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78ED4">
      <w:pPr>
        <w:spacing w:line="880" w:lineRule="exact"/>
        <w:ind w:left="0" w:leftChars="0" w:firstLine="0" w:firstLineChars="0"/>
        <w:jc w:val="center"/>
        <w:rPr>
          <w:rFonts w:hint="eastAsia" w:ascii="宋体" w:hAnsi="宋体" w:eastAsia="宋体" w:cs="宋体"/>
          <w:b w:val="0"/>
          <w:bCs w:val="0"/>
          <w:color w:val="auto"/>
          <w:w w:val="98"/>
          <w:sz w:val="58"/>
          <w:szCs w:val="58"/>
          <w:highlight w:val="none"/>
        </w:rPr>
      </w:pPr>
      <w:r>
        <w:rPr>
          <w:rFonts w:hint="eastAsia" w:ascii="宋体" w:hAnsi="宋体" w:eastAsia="宋体" w:cs="宋体"/>
          <w:b w:val="0"/>
          <w:bCs w:val="0"/>
          <w:color w:val="auto"/>
          <w:spacing w:val="80"/>
          <w:w w:val="98"/>
          <w:sz w:val="58"/>
          <w:szCs w:val="58"/>
          <w:highlight w:val="none"/>
          <w:lang w:eastAsia="zh-CN"/>
        </w:rPr>
        <w:t>广西汉昌工程咨询有限公司</w:t>
      </w:r>
      <w:r>
        <w:rPr>
          <w:rFonts w:hint="eastAsia" w:ascii="宋体" w:hAnsi="宋体" w:eastAsia="宋体" w:cs="宋体"/>
          <w:b w:val="0"/>
          <w:bCs w:val="0"/>
          <w:color w:val="auto"/>
          <w:w w:val="98"/>
          <w:sz w:val="58"/>
          <w:szCs w:val="58"/>
          <w:highlight w:val="none"/>
        </w:rPr>
        <w:cr/>
      </w:r>
    </w:p>
    <w:p w14:paraId="377C0DFB">
      <w:pPr>
        <w:pStyle w:val="14"/>
        <w:rPr>
          <w:rFonts w:hint="eastAsia" w:ascii="宋体" w:hAnsi="宋体" w:eastAsia="宋体" w:cs="宋体"/>
          <w:b w:val="0"/>
          <w:bCs w:val="0"/>
          <w:color w:val="auto"/>
          <w:highlight w:val="none"/>
        </w:rPr>
      </w:pPr>
    </w:p>
    <w:p w14:paraId="4FA38179">
      <w:pPr>
        <w:pStyle w:val="14"/>
        <w:ind w:left="0" w:leftChars="0" w:firstLine="0" w:firstLineChars="0"/>
        <w:rPr>
          <w:rFonts w:hint="eastAsia" w:ascii="宋体" w:hAnsi="宋体" w:eastAsia="宋体" w:cs="宋体"/>
          <w:b w:val="0"/>
          <w:bCs w:val="0"/>
          <w:color w:val="auto"/>
          <w:highlight w:val="none"/>
        </w:rPr>
      </w:pPr>
    </w:p>
    <w:p w14:paraId="133597F9">
      <w:pPr>
        <w:spacing w:line="880" w:lineRule="exact"/>
        <w:jc w:val="center"/>
        <w:rPr>
          <w:rFonts w:hint="eastAsia" w:ascii="宋体" w:hAnsi="宋体" w:eastAsia="宋体" w:cs="宋体"/>
          <w:b w:val="0"/>
          <w:bCs w:val="0"/>
          <w:color w:val="auto"/>
          <w:sz w:val="48"/>
          <w:szCs w:val="48"/>
          <w:highlight w:val="none"/>
        </w:rPr>
      </w:pPr>
    </w:p>
    <w:p w14:paraId="28024CB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b w:val="0"/>
          <w:bCs w:val="0"/>
          <w:color w:val="auto"/>
          <w:sz w:val="84"/>
          <w:szCs w:val="84"/>
          <w:highlight w:val="none"/>
        </w:rPr>
      </w:pPr>
      <w:r>
        <w:rPr>
          <w:rFonts w:hint="eastAsia" w:ascii="宋体" w:hAnsi="宋体" w:eastAsia="宋体" w:cs="宋体"/>
          <w:b w:val="0"/>
          <w:bCs w:val="0"/>
          <w:color w:val="auto"/>
          <w:sz w:val="96"/>
          <w:szCs w:val="96"/>
          <w:highlight w:val="none"/>
        </w:rPr>
        <w:t>竞争性磋商文件</w:t>
      </w:r>
      <w:r>
        <w:rPr>
          <w:rFonts w:hint="eastAsia" w:ascii="宋体" w:hAnsi="宋体" w:eastAsia="宋体" w:cs="宋体"/>
          <w:b w:val="0"/>
          <w:bCs w:val="0"/>
          <w:color w:val="auto"/>
          <w:sz w:val="84"/>
          <w:szCs w:val="84"/>
          <w:highlight w:val="none"/>
        </w:rPr>
        <w:cr/>
      </w:r>
    </w:p>
    <w:p w14:paraId="677B101C">
      <w:pPr>
        <w:spacing w:line="480" w:lineRule="exact"/>
        <w:ind w:firstLine="1700" w:firstLineChars="500"/>
        <w:rPr>
          <w:rFonts w:hint="eastAsia" w:ascii="宋体" w:hAnsi="宋体" w:eastAsia="宋体" w:cs="宋体"/>
          <w:b w:val="0"/>
          <w:bCs w:val="0"/>
          <w:sz w:val="34"/>
          <w:szCs w:val="34"/>
        </w:rPr>
      </w:pPr>
    </w:p>
    <w:p w14:paraId="07749825">
      <w:pPr>
        <w:spacing w:line="480" w:lineRule="exact"/>
        <w:jc w:val="center"/>
        <w:rPr>
          <w:rFonts w:hint="eastAsia" w:ascii="宋体" w:hAnsi="宋体" w:eastAsia="宋体" w:cs="宋体"/>
          <w:b w:val="0"/>
          <w:bCs w:val="0"/>
          <w:sz w:val="34"/>
          <w:szCs w:val="34"/>
        </w:rPr>
      </w:pPr>
    </w:p>
    <w:p w14:paraId="040A5235">
      <w:pPr>
        <w:spacing w:line="480" w:lineRule="exact"/>
        <w:jc w:val="center"/>
        <w:rPr>
          <w:rFonts w:hint="eastAsia" w:ascii="宋体" w:hAnsi="宋体" w:eastAsia="宋体" w:cs="宋体"/>
          <w:b w:val="0"/>
          <w:bCs w:val="0"/>
          <w:sz w:val="34"/>
          <w:szCs w:val="34"/>
          <w:lang w:eastAsia="zh-CN"/>
        </w:rPr>
      </w:pPr>
      <w:r>
        <w:rPr>
          <w:rFonts w:hint="eastAsia" w:ascii="宋体" w:hAnsi="宋体" w:eastAsia="宋体" w:cs="宋体"/>
          <w:b w:val="0"/>
          <w:bCs w:val="0"/>
          <w:sz w:val="34"/>
          <w:szCs w:val="34"/>
        </w:rPr>
        <w:t xml:space="preserve"> 项目名称：</w:t>
      </w:r>
      <w:r>
        <w:rPr>
          <w:rFonts w:hint="eastAsia" w:ascii="宋体" w:hAnsi="宋体" w:cs="宋体"/>
          <w:b w:val="0"/>
          <w:bCs w:val="0"/>
          <w:sz w:val="34"/>
          <w:szCs w:val="34"/>
          <w:lang w:eastAsia="zh-CN"/>
        </w:rPr>
        <w:t>苍梧县2025-2026年冬春季松材线虫病疫木集中除治项目</w:t>
      </w:r>
    </w:p>
    <w:p w14:paraId="1ADA657C">
      <w:pPr>
        <w:spacing w:line="480" w:lineRule="exact"/>
        <w:rPr>
          <w:rFonts w:hint="eastAsia" w:ascii="宋体" w:hAnsi="宋体" w:eastAsia="宋体" w:cs="宋体"/>
          <w:b w:val="0"/>
          <w:bCs w:val="0"/>
          <w:sz w:val="34"/>
          <w:szCs w:val="34"/>
        </w:rPr>
      </w:pPr>
    </w:p>
    <w:p w14:paraId="2E8BA907">
      <w:pPr>
        <w:spacing w:line="480" w:lineRule="exact"/>
        <w:ind w:firstLine="680" w:firstLineChars="200"/>
        <w:rPr>
          <w:rFonts w:hint="eastAsia" w:ascii="宋体" w:hAnsi="宋体" w:eastAsia="宋体" w:cs="宋体"/>
          <w:b w:val="0"/>
          <w:bCs w:val="0"/>
          <w:sz w:val="34"/>
          <w:szCs w:val="34"/>
          <w:lang w:eastAsia="zh-CN"/>
        </w:rPr>
      </w:pPr>
      <w:r>
        <w:rPr>
          <w:rFonts w:hint="eastAsia" w:ascii="宋体" w:hAnsi="宋体" w:eastAsia="宋体" w:cs="宋体"/>
          <w:b w:val="0"/>
          <w:bCs w:val="0"/>
          <w:sz w:val="34"/>
          <w:szCs w:val="34"/>
        </w:rPr>
        <w:t>项目编号：</w:t>
      </w:r>
      <w:r>
        <w:rPr>
          <w:rFonts w:hint="eastAsia" w:ascii="宋体" w:hAnsi="宋体" w:cs="宋体"/>
          <w:b w:val="0"/>
          <w:bCs w:val="0"/>
          <w:sz w:val="34"/>
          <w:szCs w:val="34"/>
          <w:lang w:eastAsia="zh-CN"/>
        </w:rPr>
        <w:t>WZZC2026-C3-210041-HCZX</w:t>
      </w:r>
    </w:p>
    <w:p w14:paraId="6BE2C711">
      <w:pPr>
        <w:spacing w:line="480" w:lineRule="exact"/>
        <w:jc w:val="center"/>
        <w:rPr>
          <w:rFonts w:hint="eastAsia" w:ascii="宋体" w:hAnsi="宋体" w:eastAsia="宋体" w:cs="宋体"/>
          <w:b w:val="0"/>
          <w:bCs w:val="0"/>
          <w:sz w:val="34"/>
          <w:szCs w:val="34"/>
        </w:rPr>
      </w:pPr>
    </w:p>
    <w:p w14:paraId="4486F9EE">
      <w:pPr>
        <w:spacing w:line="480" w:lineRule="exact"/>
        <w:ind w:firstLine="680" w:firstLineChars="200"/>
        <w:rPr>
          <w:rFonts w:hint="eastAsia" w:ascii="宋体" w:hAnsi="宋体" w:eastAsia="宋体" w:cs="宋体"/>
          <w:b w:val="0"/>
          <w:bCs w:val="0"/>
          <w:sz w:val="34"/>
          <w:szCs w:val="34"/>
          <w:lang w:eastAsia="zh-CN"/>
        </w:rPr>
      </w:pPr>
      <w:r>
        <w:rPr>
          <w:rFonts w:hint="eastAsia" w:ascii="宋体" w:hAnsi="宋体" w:eastAsia="宋体" w:cs="宋体"/>
          <w:b w:val="0"/>
          <w:bCs w:val="0"/>
          <w:sz w:val="34"/>
          <w:szCs w:val="34"/>
        </w:rPr>
        <w:t>采购单位：</w:t>
      </w:r>
      <w:r>
        <w:rPr>
          <w:rFonts w:hint="eastAsia" w:ascii="宋体" w:hAnsi="宋体" w:cs="宋体"/>
          <w:b w:val="0"/>
          <w:bCs w:val="0"/>
          <w:sz w:val="34"/>
          <w:szCs w:val="34"/>
          <w:lang w:eastAsia="zh-CN"/>
        </w:rPr>
        <w:t>苍梧县林业局</w:t>
      </w:r>
    </w:p>
    <w:p w14:paraId="62421E40">
      <w:pPr>
        <w:spacing w:line="480" w:lineRule="exact"/>
        <w:jc w:val="center"/>
        <w:rPr>
          <w:rFonts w:hint="eastAsia" w:ascii="宋体" w:hAnsi="宋体" w:eastAsia="宋体" w:cs="宋体"/>
          <w:b w:val="0"/>
          <w:bCs w:val="0"/>
          <w:sz w:val="34"/>
          <w:szCs w:val="34"/>
        </w:rPr>
      </w:pPr>
    </w:p>
    <w:p w14:paraId="571FBE08">
      <w:pPr>
        <w:spacing w:line="480" w:lineRule="exact"/>
        <w:ind w:firstLine="680" w:firstLineChars="200"/>
        <w:jc w:val="left"/>
        <w:rPr>
          <w:rFonts w:hint="eastAsia" w:ascii="宋体" w:hAnsi="宋体" w:eastAsia="宋体" w:cs="宋体"/>
          <w:b w:val="0"/>
          <w:bCs w:val="0"/>
          <w:sz w:val="34"/>
          <w:szCs w:val="34"/>
        </w:rPr>
      </w:pPr>
      <w:r>
        <w:rPr>
          <w:rFonts w:hint="eastAsia" w:ascii="宋体" w:hAnsi="宋体" w:eastAsia="宋体" w:cs="宋体"/>
          <w:b w:val="0"/>
          <w:bCs w:val="0"/>
          <w:sz w:val="34"/>
          <w:szCs w:val="34"/>
        </w:rPr>
        <w:t>代理机构：广西汉昌工程咨询有限公司</w:t>
      </w:r>
    </w:p>
    <w:p w14:paraId="285576B8">
      <w:pPr>
        <w:spacing w:line="480" w:lineRule="exact"/>
        <w:jc w:val="center"/>
        <w:rPr>
          <w:rFonts w:hint="eastAsia" w:ascii="宋体" w:hAnsi="宋体" w:eastAsia="宋体" w:cs="宋体"/>
          <w:b w:val="0"/>
          <w:bCs w:val="0"/>
          <w:sz w:val="34"/>
          <w:szCs w:val="34"/>
        </w:rPr>
      </w:pPr>
    </w:p>
    <w:p w14:paraId="05199AA6">
      <w:pPr>
        <w:spacing w:line="480" w:lineRule="exact"/>
        <w:jc w:val="center"/>
        <w:rPr>
          <w:rFonts w:hint="eastAsia" w:ascii="宋体" w:hAnsi="宋体" w:eastAsia="宋体" w:cs="宋体"/>
          <w:b w:val="0"/>
          <w:bCs w:val="0"/>
          <w:sz w:val="34"/>
          <w:szCs w:val="34"/>
        </w:rPr>
      </w:pPr>
    </w:p>
    <w:p w14:paraId="183E178E">
      <w:pPr>
        <w:spacing w:line="480" w:lineRule="exact"/>
        <w:jc w:val="center"/>
        <w:rPr>
          <w:rFonts w:hint="eastAsia" w:ascii="宋体" w:hAnsi="宋体" w:eastAsia="宋体" w:cs="宋体"/>
          <w:b w:val="0"/>
          <w:bCs w:val="0"/>
          <w:sz w:val="34"/>
          <w:szCs w:val="34"/>
        </w:rPr>
      </w:pPr>
    </w:p>
    <w:p w14:paraId="2DD4856D">
      <w:pPr>
        <w:spacing w:line="480" w:lineRule="exact"/>
        <w:jc w:val="center"/>
        <w:rPr>
          <w:rFonts w:hint="eastAsia" w:ascii="宋体" w:hAnsi="宋体" w:eastAsia="宋体" w:cs="宋体"/>
          <w:b w:val="0"/>
          <w:bCs w:val="0"/>
          <w:sz w:val="34"/>
          <w:szCs w:val="34"/>
        </w:rPr>
      </w:pPr>
    </w:p>
    <w:p w14:paraId="4D592ADF">
      <w:pPr>
        <w:pStyle w:val="19"/>
        <w:spacing w:line="480" w:lineRule="exact"/>
        <w:jc w:val="center"/>
        <w:rPr>
          <w:rFonts w:ascii="仿宋_GB2312" w:hAnsi="宋体" w:eastAsia="仿宋_GB2312"/>
          <w:b w:val="0"/>
          <w:bCs w:val="0"/>
          <w:sz w:val="32"/>
          <w:szCs w:val="32"/>
        </w:rPr>
      </w:pPr>
      <w:r>
        <w:rPr>
          <w:rFonts w:hint="eastAsia" w:ascii="宋体" w:hAnsi="宋体" w:eastAsia="宋体" w:cs="宋体"/>
          <w:b w:val="0"/>
          <w:bCs w:val="0"/>
          <w:sz w:val="34"/>
          <w:szCs w:val="34"/>
        </w:rPr>
        <w:t>202</w:t>
      </w:r>
      <w:r>
        <w:rPr>
          <w:rFonts w:hint="eastAsia" w:hAnsi="宋体" w:cs="宋体"/>
          <w:b w:val="0"/>
          <w:bCs w:val="0"/>
          <w:sz w:val="34"/>
          <w:szCs w:val="34"/>
          <w:lang w:val="en-US" w:eastAsia="zh-CN"/>
        </w:rPr>
        <w:t>6</w:t>
      </w:r>
      <w:r>
        <w:rPr>
          <w:rFonts w:hint="eastAsia" w:ascii="宋体" w:hAnsi="宋体" w:eastAsia="宋体" w:cs="宋体"/>
          <w:b w:val="0"/>
          <w:bCs w:val="0"/>
          <w:sz w:val="34"/>
          <w:szCs w:val="34"/>
        </w:rPr>
        <w:t>年</w:t>
      </w:r>
      <w:r>
        <w:rPr>
          <w:rFonts w:hint="eastAsia" w:hAnsi="宋体" w:cs="宋体"/>
          <w:b w:val="0"/>
          <w:bCs w:val="0"/>
          <w:sz w:val="34"/>
          <w:szCs w:val="34"/>
          <w:lang w:val="en-US" w:eastAsia="zh-CN"/>
        </w:rPr>
        <w:t>3</w:t>
      </w:r>
      <w:r>
        <w:rPr>
          <w:rFonts w:hint="eastAsia" w:ascii="宋体" w:hAnsi="宋体" w:eastAsia="宋体" w:cs="宋体"/>
          <w:b w:val="0"/>
          <w:bCs w:val="0"/>
          <w:sz w:val="34"/>
          <w:szCs w:val="34"/>
        </w:rPr>
        <w:t>月</w:t>
      </w:r>
    </w:p>
    <w:p w14:paraId="495E4F83">
      <w:pPr>
        <w:spacing w:line="400" w:lineRule="exact"/>
        <w:jc w:val="left"/>
        <w:rPr>
          <w:rFonts w:ascii="仿宋_GB2312" w:hAnsi="宋体" w:eastAsia="仿宋_GB2312"/>
          <w:b/>
          <w:sz w:val="34"/>
          <w:szCs w:val="34"/>
        </w:rPr>
      </w:pPr>
    </w:p>
    <w:p w14:paraId="39FA192D">
      <w:pPr>
        <w:spacing w:line="400" w:lineRule="exact"/>
        <w:jc w:val="left"/>
        <w:rPr>
          <w:rFonts w:ascii="仿宋_GB2312" w:hAnsi="宋体" w:eastAsia="仿宋_GB2312"/>
          <w:b/>
          <w:sz w:val="34"/>
          <w:szCs w:val="34"/>
        </w:rPr>
        <w:sectPr>
          <w:footerReference r:id="rId3" w:type="even"/>
          <w:pgSz w:w="11906" w:h="16838"/>
          <w:pgMar w:top="1134" w:right="1361" w:bottom="1134" w:left="1361" w:header="851" w:footer="992" w:gutter="0"/>
          <w:pgNumType w:start="1"/>
          <w:cols w:space="720" w:num="1"/>
          <w:titlePg/>
          <w:docGrid w:type="lines" w:linePitch="312" w:charSpace="0"/>
        </w:sectPr>
      </w:pPr>
    </w:p>
    <w:p w14:paraId="38396DF5">
      <w:pPr>
        <w:spacing w:line="360" w:lineRule="auto"/>
        <w:jc w:val="center"/>
        <w:rPr>
          <w:rFonts w:ascii="宋体" w:hAnsi="宋体"/>
          <w:bCs/>
          <w:sz w:val="44"/>
          <w:szCs w:val="44"/>
        </w:rPr>
      </w:pPr>
      <w:r>
        <w:rPr>
          <w:rFonts w:hint="eastAsia" w:ascii="宋体" w:hAnsi="宋体"/>
          <w:bCs/>
          <w:sz w:val="44"/>
          <w:szCs w:val="44"/>
        </w:rPr>
        <w:t>目  录</w:t>
      </w:r>
    </w:p>
    <w:p w14:paraId="6420AE7B">
      <w:pPr>
        <w:spacing w:line="400" w:lineRule="exact"/>
        <w:jc w:val="center"/>
        <w:rPr>
          <w:rFonts w:ascii="宋体" w:hAnsi="宋体"/>
          <w:bCs/>
          <w:sz w:val="44"/>
          <w:szCs w:val="44"/>
        </w:rPr>
      </w:pPr>
    </w:p>
    <w:p w14:paraId="46F9F72D">
      <w:pPr>
        <w:pStyle w:val="25"/>
        <w:tabs>
          <w:tab w:val="right" w:leader="dot" w:pos="8869"/>
        </w:tabs>
        <w:snapToGrid w:val="0"/>
        <w:spacing w:line="500" w:lineRule="atLeast"/>
        <w:ind w:left="218" w:leftChars="104"/>
        <w:rPr>
          <w:rFonts w:ascii="宋体" w:hAnsi="宋体"/>
          <w:bCs/>
          <w:sz w:val="24"/>
        </w:rPr>
      </w:pPr>
      <w:r>
        <w:rPr>
          <w:rFonts w:ascii="宋体" w:hAnsi="宋体"/>
          <w:bCs/>
          <w:sz w:val="24"/>
        </w:rPr>
        <w:fldChar w:fldCharType="begin"/>
      </w:r>
      <w:r>
        <w:rPr>
          <w:rFonts w:ascii="宋体" w:hAnsi="宋体"/>
          <w:bCs/>
          <w:sz w:val="24"/>
        </w:rPr>
        <w:instrText xml:space="preserve"> </w:instrText>
      </w:r>
      <w:r>
        <w:rPr>
          <w:rFonts w:hint="eastAsia" w:ascii="宋体" w:hAnsi="宋体"/>
          <w:bCs/>
          <w:sz w:val="24"/>
        </w:rPr>
        <w:instrText xml:space="preserve">TOC \o "1-3" \h \z \u</w:instrText>
      </w:r>
      <w:r>
        <w:rPr>
          <w:rFonts w:ascii="宋体" w:hAnsi="宋体"/>
          <w:bCs/>
          <w:sz w:val="24"/>
        </w:rPr>
        <w:instrText xml:space="preserve"> </w:instrText>
      </w:r>
      <w:r>
        <w:rPr>
          <w:rFonts w:ascii="宋体" w:hAnsi="宋体"/>
          <w:bCs/>
          <w:sz w:val="24"/>
        </w:rPr>
        <w:fldChar w:fldCharType="separate"/>
      </w:r>
      <w:r>
        <w:fldChar w:fldCharType="begin"/>
      </w:r>
      <w:r>
        <w:instrText xml:space="preserve"> HYPERLINK \l "_Toc74323456" </w:instrText>
      </w:r>
      <w:r>
        <w:fldChar w:fldCharType="separate"/>
      </w:r>
      <w:r>
        <w:rPr>
          <w:rStyle w:val="39"/>
          <w:rFonts w:hint="eastAsia" w:ascii="宋体" w:hAnsi="宋体"/>
          <w:bCs/>
          <w:color w:val="auto"/>
          <w:sz w:val="24"/>
        </w:rPr>
        <w:t>第一章</w:t>
      </w:r>
      <w:r>
        <w:rPr>
          <w:rStyle w:val="39"/>
          <w:rFonts w:ascii="宋体" w:hAnsi="宋体"/>
          <w:bCs/>
          <w:color w:val="auto"/>
          <w:sz w:val="24"/>
        </w:rPr>
        <w:t xml:space="preserve"> </w:t>
      </w:r>
      <w:r>
        <w:rPr>
          <w:rStyle w:val="39"/>
          <w:rFonts w:hint="eastAsia" w:ascii="宋体" w:hAnsi="宋体"/>
          <w:bCs/>
          <w:color w:val="auto"/>
          <w:sz w:val="24"/>
        </w:rPr>
        <w:t>竞争性磋商公告</w:t>
      </w:r>
      <w:r>
        <w:rPr>
          <w:rFonts w:ascii="宋体" w:hAnsi="宋体"/>
          <w:bCs/>
          <w:sz w:val="24"/>
        </w:rPr>
        <w:tab/>
      </w:r>
      <w:r>
        <w:rPr>
          <w:rFonts w:hint="eastAsia" w:ascii="宋体" w:hAnsi="宋体"/>
          <w:bCs/>
          <w:sz w:val="24"/>
          <w:lang w:val="en-US" w:eastAsia="zh-CN"/>
        </w:rPr>
        <w:t>1</w:t>
      </w:r>
      <w:r>
        <w:rPr>
          <w:rFonts w:ascii="宋体" w:hAnsi="宋体"/>
          <w:bCs/>
          <w:sz w:val="24"/>
        </w:rPr>
        <w:fldChar w:fldCharType="end"/>
      </w:r>
    </w:p>
    <w:p w14:paraId="560BBE8A">
      <w:pPr>
        <w:pStyle w:val="25"/>
        <w:tabs>
          <w:tab w:val="right" w:leader="dot" w:pos="8869"/>
        </w:tabs>
        <w:snapToGrid w:val="0"/>
        <w:spacing w:line="500" w:lineRule="atLeast"/>
        <w:ind w:left="218" w:leftChars="104"/>
        <w:rPr>
          <w:rFonts w:ascii="宋体" w:hAnsi="宋体"/>
          <w:bCs/>
          <w:sz w:val="24"/>
        </w:rPr>
      </w:pPr>
      <w:r>
        <w:fldChar w:fldCharType="begin"/>
      </w:r>
      <w:r>
        <w:instrText xml:space="preserve"> HYPERLINK \l "_Toc74323457" </w:instrText>
      </w:r>
      <w:r>
        <w:fldChar w:fldCharType="separate"/>
      </w:r>
      <w:r>
        <w:rPr>
          <w:rStyle w:val="39"/>
          <w:rFonts w:hint="eastAsia" w:ascii="宋体" w:hAnsi="宋体"/>
          <w:bCs/>
          <w:color w:val="auto"/>
          <w:sz w:val="24"/>
        </w:rPr>
        <w:t>第二章</w:t>
      </w:r>
      <w:r>
        <w:rPr>
          <w:rStyle w:val="39"/>
          <w:rFonts w:ascii="宋体" w:hAnsi="宋体"/>
          <w:bCs/>
          <w:color w:val="auto"/>
          <w:sz w:val="24"/>
        </w:rPr>
        <w:t xml:space="preserve"> </w:t>
      </w:r>
      <w:r>
        <w:rPr>
          <w:rStyle w:val="39"/>
          <w:rFonts w:hint="eastAsia" w:ascii="宋体" w:hAnsi="宋体"/>
          <w:bCs/>
          <w:color w:val="auto"/>
          <w:sz w:val="24"/>
        </w:rPr>
        <w:t>供应商须知</w:t>
      </w:r>
      <w:r>
        <w:rPr>
          <w:rFonts w:ascii="宋体" w:hAnsi="宋体"/>
          <w:bCs/>
          <w:sz w:val="24"/>
        </w:rPr>
        <w:tab/>
      </w:r>
      <w:r>
        <w:rPr>
          <w:rFonts w:hint="eastAsia" w:ascii="宋体" w:hAnsi="宋体"/>
          <w:bCs/>
          <w:sz w:val="24"/>
          <w:lang w:val="en-US" w:eastAsia="zh-CN"/>
        </w:rPr>
        <w:t>4</w:t>
      </w:r>
      <w:r>
        <w:rPr>
          <w:rFonts w:ascii="宋体" w:hAnsi="宋体"/>
          <w:bCs/>
          <w:sz w:val="24"/>
        </w:rPr>
        <w:fldChar w:fldCharType="end"/>
      </w:r>
    </w:p>
    <w:p w14:paraId="544ADC2A">
      <w:pPr>
        <w:pStyle w:val="25"/>
        <w:tabs>
          <w:tab w:val="right" w:leader="dot" w:pos="8869"/>
        </w:tabs>
        <w:snapToGrid w:val="0"/>
        <w:spacing w:line="500" w:lineRule="atLeast"/>
        <w:ind w:left="218" w:leftChars="104"/>
        <w:rPr>
          <w:rFonts w:ascii="宋体" w:hAnsi="宋体"/>
          <w:bCs/>
          <w:sz w:val="24"/>
        </w:rPr>
      </w:pPr>
      <w:r>
        <w:fldChar w:fldCharType="begin"/>
      </w:r>
      <w:r>
        <w:instrText xml:space="preserve"> HYPERLINK \l "_Toc74323458" </w:instrText>
      </w:r>
      <w:r>
        <w:fldChar w:fldCharType="separate"/>
      </w:r>
      <w:r>
        <w:rPr>
          <w:rStyle w:val="39"/>
          <w:rFonts w:hint="eastAsia" w:ascii="宋体" w:hAnsi="宋体"/>
          <w:bCs/>
          <w:color w:val="auto"/>
          <w:sz w:val="24"/>
        </w:rPr>
        <w:t>第三章</w:t>
      </w:r>
      <w:r>
        <w:rPr>
          <w:rStyle w:val="39"/>
          <w:rFonts w:ascii="宋体" w:hAnsi="宋体"/>
          <w:bCs/>
          <w:color w:val="auto"/>
          <w:sz w:val="24"/>
        </w:rPr>
        <w:t xml:space="preserve"> </w:t>
      </w:r>
      <w:r>
        <w:rPr>
          <w:rStyle w:val="39"/>
          <w:rFonts w:hint="eastAsia" w:ascii="宋体" w:hAnsi="宋体"/>
          <w:bCs/>
          <w:color w:val="auto"/>
          <w:sz w:val="24"/>
        </w:rPr>
        <w:t>采购需求</w:t>
      </w:r>
      <w:r>
        <w:rPr>
          <w:rFonts w:ascii="宋体" w:hAnsi="宋体"/>
          <w:bCs/>
          <w:sz w:val="24"/>
        </w:rPr>
        <w:tab/>
      </w:r>
      <w:r>
        <w:rPr>
          <w:rFonts w:ascii="宋体" w:hAnsi="宋体"/>
          <w:bCs/>
          <w:sz w:val="24"/>
        </w:rPr>
        <w:fldChar w:fldCharType="begin"/>
      </w:r>
      <w:r>
        <w:rPr>
          <w:rFonts w:ascii="宋体" w:hAnsi="宋体"/>
          <w:bCs/>
          <w:sz w:val="24"/>
        </w:rPr>
        <w:instrText xml:space="preserve"> PAGEREF _Toc74323458 \h </w:instrText>
      </w:r>
      <w:r>
        <w:rPr>
          <w:rFonts w:ascii="宋体" w:hAnsi="宋体"/>
          <w:bCs/>
          <w:sz w:val="24"/>
        </w:rPr>
        <w:fldChar w:fldCharType="separate"/>
      </w:r>
      <w:r>
        <w:rPr>
          <w:rFonts w:ascii="宋体" w:hAnsi="宋体"/>
          <w:bCs/>
          <w:sz w:val="24"/>
        </w:rPr>
        <w:t>21</w:t>
      </w:r>
      <w:r>
        <w:rPr>
          <w:rFonts w:ascii="宋体" w:hAnsi="宋体"/>
          <w:bCs/>
          <w:sz w:val="24"/>
        </w:rPr>
        <w:fldChar w:fldCharType="end"/>
      </w:r>
      <w:r>
        <w:rPr>
          <w:rFonts w:ascii="宋体" w:hAnsi="宋体"/>
          <w:bCs/>
          <w:sz w:val="24"/>
        </w:rPr>
        <w:fldChar w:fldCharType="end"/>
      </w:r>
    </w:p>
    <w:p w14:paraId="15A1EBE7">
      <w:pPr>
        <w:pStyle w:val="25"/>
        <w:tabs>
          <w:tab w:val="right" w:leader="dot" w:pos="8869"/>
        </w:tabs>
        <w:snapToGrid w:val="0"/>
        <w:spacing w:line="500" w:lineRule="atLeast"/>
        <w:ind w:left="218" w:leftChars="104"/>
        <w:rPr>
          <w:rFonts w:hint="eastAsia" w:ascii="宋体" w:hAnsi="宋体" w:eastAsia="宋体"/>
          <w:bCs/>
          <w:sz w:val="24"/>
          <w:lang w:val="en-US" w:eastAsia="zh-CN"/>
        </w:rPr>
      </w:pPr>
      <w:r>
        <w:fldChar w:fldCharType="begin"/>
      </w:r>
      <w:r>
        <w:instrText xml:space="preserve"> HYPERLINK \l "_Toc74323459" </w:instrText>
      </w:r>
      <w:r>
        <w:fldChar w:fldCharType="separate"/>
      </w:r>
      <w:r>
        <w:rPr>
          <w:rStyle w:val="39"/>
          <w:rFonts w:hint="eastAsia" w:ascii="宋体" w:hAnsi="宋体"/>
          <w:bCs/>
          <w:color w:val="auto"/>
          <w:sz w:val="24"/>
        </w:rPr>
        <w:t>第四章</w:t>
      </w:r>
      <w:r>
        <w:rPr>
          <w:rStyle w:val="39"/>
          <w:rFonts w:ascii="宋体" w:hAnsi="宋体"/>
          <w:bCs/>
          <w:color w:val="auto"/>
          <w:sz w:val="24"/>
        </w:rPr>
        <w:t xml:space="preserve"> </w:t>
      </w:r>
      <w:r>
        <w:rPr>
          <w:rStyle w:val="39"/>
          <w:rFonts w:hint="eastAsia" w:ascii="宋体" w:hAnsi="宋体"/>
          <w:bCs/>
          <w:color w:val="auto"/>
          <w:sz w:val="24"/>
        </w:rPr>
        <w:t>评审程序、评审方法和评审标准</w:t>
      </w:r>
      <w:r>
        <w:rPr>
          <w:rFonts w:ascii="宋体" w:hAnsi="宋体"/>
          <w:bCs/>
          <w:sz w:val="24"/>
        </w:rPr>
        <w:tab/>
      </w:r>
      <w:r>
        <w:rPr>
          <w:rFonts w:hint="eastAsia" w:ascii="宋体" w:hAnsi="宋体"/>
          <w:bCs/>
          <w:sz w:val="24"/>
          <w:lang w:val="en-US" w:eastAsia="zh-CN"/>
        </w:rPr>
        <w:t>6</w:t>
      </w:r>
      <w:r>
        <w:rPr>
          <w:rFonts w:ascii="宋体" w:hAnsi="宋体"/>
          <w:bCs/>
          <w:sz w:val="24"/>
        </w:rPr>
        <w:fldChar w:fldCharType="end"/>
      </w:r>
      <w:r>
        <w:rPr>
          <w:rFonts w:hint="eastAsia" w:ascii="宋体" w:hAnsi="宋体"/>
          <w:bCs/>
          <w:sz w:val="24"/>
          <w:lang w:val="en-US" w:eastAsia="zh-CN"/>
        </w:rPr>
        <w:t>0</w:t>
      </w:r>
    </w:p>
    <w:p w14:paraId="0D86B6F2">
      <w:pPr>
        <w:pStyle w:val="25"/>
        <w:tabs>
          <w:tab w:val="right" w:leader="dot" w:pos="8869"/>
        </w:tabs>
        <w:snapToGrid w:val="0"/>
        <w:spacing w:line="500" w:lineRule="atLeast"/>
        <w:ind w:left="218" w:leftChars="104"/>
        <w:rPr>
          <w:rFonts w:hint="eastAsia" w:ascii="宋体" w:hAnsi="宋体" w:eastAsia="宋体"/>
          <w:bCs/>
          <w:sz w:val="24"/>
          <w:lang w:val="en-US" w:eastAsia="zh-CN"/>
        </w:rPr>
      </w:pPr>
      <w:r>
        <w:fldChar w:fldCharType="begin"/>
      </w:r>
      <w:r>
        <w:instrText xml:space="preserve"> HYPERLINK \l "_Toc74323460" </w:instrText>
      </w:r>
      <w:r>
        <w:fldChar w:fldCharType="separate"/>
      </w:r>
      <w:r>
        <w:rPr>
          <w:rStyle w:val="39"/>
          <w:rFonts w:hint="eastAsia" w:ascii="宋体" w:hAnsi="宋体"/>
          <w:bCs/>
          <w:color w:val="auto"/>
          <w:sz w:val="24"/>
        </w:rPr>
        <w:t>第五章</w:t>
      </w:r>
      <w:r>
        <w:rPr>
          <w:rStyle w:val="39"/>
          <w:rFonts w:ascii="宋体" w:hAnsi="宋体"/>
          <w:bCs/>
          <w:color w:val="auto"/>
          <w:sz w:val="24"/>
        </w:rPr>
        <w:t xml:space="preserve"> </w:t>
      </w:r>
      <w:r>
        <w:rPr>
          <w:rStyle w:val="39"/>
          <w:rFonts w:hint="eastAsia" w:ascii="宋体" w:hAnsi="宋体"/>
          <w:bCs/>
          <w:color w:val="auto"/>
          <w:sz w:val="24"/>
        </w:rPr>
        <w:t>响应文件格式</w:t>
      </w:r>
      <w:r>
        <w:rPr>
          <w:rFonts w:ascii="宋体" w:hAnsi="宋体"/>
          <w:bCs/>
          <w:sz w:val="24"/>
        </w:rPr>
        <w:tab/>
      </w:r>
      <w:r>
        <w:rPr>
          <w:rFonts w:hint="eastAsia" w:ascii="宋体" w:hAnsi="宋体"/>
          <w:bCs/>
          <w:sz w:val="24"/>
          <w:lang w:val="en-US" w:eastAsia="zh-CN"/>
        </w:rPr>
        <w:t>6</w:t>
      </w:r>
      <w:r>
        <w:rPr>
          <w:rFonts w:ascii="宋体" w:hAnsi="宋体"/>
          <w:bCs/>
          <w:sz w:val="24"/>
        </w:rPr>
        <w:fldChar w:fldCharType="end"/>
      </w:r>
      <w:r>
        <w:rPr>
          <w:rFonts w:hint="eastAsia" w:ascii="宋体" w:hAnsi="宋体"/>
          <w:bCs/>
          <w:sz w:val="24"/>
          <w:lang w:val="en-US" w:eastAsia="zh-CN"/>
        </w:rPr>
        <w:t>8</w:t>
      </w:r>
    </w:p>
    <w:p w14:paraId="39E308CF">
      <w:pPr>
        <w:pStyle w:val="25"/>
        <w:tabs>
          <w:tab w:val="right" w:leader="dot" w:pos="8869"/>
        </w:tabs>
        <w:snapToGrid w:val="0"/>
        <w:spacing w:line="500" w:lineRule="atLeast"/>
        <w:ind w:left="218" w:leftChars="104"/>
        <w:rPr>
          <w:rFonts w:hint="eastAsia" w:ascii="宋体" w:hAnsi="宋体" w:eastAsia="宋体"/>
          <w:bCs/>
          <w:sz w:val="24"/>
          <w:lang w:val="en-US" w:eastAsia="zh-CN"/>
        </w:rPr>
      </w:pPr>
      <w:r>
        <w:fldChar w:fldCharType="begin"/>
      </w:r>
      <w:r>
        <w:instrText xml:space="preserve"> HYPERLINK \l "_Toc74323461" </w:instrText>
      </w:r>
      <w:r>
        <w:fldChar w:fldCharType="separate"/>
      </w:r>
      <w:r>
        <w:rPr>
          <w:rStyle w:val="39"/>
          <w:rFonts w:hint="eastAsia" w:ascii="宋体" w:hAnsi="宋体"/>
          <w:bCs/>
          <w:color w:val="auto"/>
          <w:sz w:val="24"/>
        </w:rPr>
        <w:t>第六章</w:t>
      </w:r>
      <w:r>
        <w:rPr>
          <w:rStyle w:val="39"/>
          <w:rFonts w:ascii="宋体" w:hAnsi="宋体"/>
          <w:bCs/>
          <w:color w:val="auto"/>
          <w:sz w:val="24"/>
        </w:rPr>
        <w:t xml:space="preserve"> </w:t>
      </w:r>
      <w:r>
        <w:rPr>
          <w:rStyle w:val="39"/>
          <w:rFonts w:hint="eastAsia" w:ascii="宋体" w:hAnsi="宋体"/>
          <w:bCs/>
          <w:color w:val="auto"/>
          <w:sz w:val="24"/>
        </w:rPr>
        <w:t>合同主要条款</w:t>
      </w:r>
      <w:r>
        <w:rPr>
          <w:rFonts w:ascii="宋体" w:hAnsi="宋体"/>
          <w:bCs/>
          <w:sz w:val="24"/>
        </w:rPr>
        <w:tab/>
      </w:r>
      <w:r>
        <w:rPr>
          <w:rFonts w:hint="eastAsia" w:ascii="宋体" w:hAnsi="宋体"/>
          <w:bCs/>
          <w:sz w:val="24"/>
          <w:lang w:val="en-US" w:eastAsia="zh-CN"/>
        </w:rPr>
        <w:t>8</w:t>
      </w:r>
      <w:r>
        <w:rPr>
          <w:rFonts w:ascii="宋体" w:hAnsi="宋体"/>
          <w:bCs/>
          <w:sz w:val="24"/>
        </w:rPr>
        <w:fldChar w:fldCharType="end"/>
      </w:r>
      <w:r>
        <w:rPr>
          <w:rFonts w:hint="eastAsia" w:ascii="宋体" w:hAnsi="宋体"/>
          <w:bCs/>
          <w:sz w:val="24"/>
          <w:lang w:val="en-US" w:eastAsia="zh-CN"/>
        </w:rPr>
        <w:t>7</w:t>
      </w:r>
    </w:p>
    <w:p w14:paraId="63014C0A">
      <w:pPr>
        <w:pStyle w:val="26"/>
        <w:tabs>
          <w:tab w:val="right" w:leader="dot" w:pos="8931"/>
          <w:tab w:val="clear" w:pos="8296"/>
        </w:tabs>
        <w:snapToGrid w:val="0"/>
        <w:spacing w:line="500" w:lineRule="atLeast"/>
        <w:ind w:left="0" w:leftChars="0"/>
        <w:rPr>
          <w:rFonts w:ascii="宋体" w:hAnsi="宋体"/>
          <w:b/>
          <w:sz w:val="24"/>
        </w:rPr>
      </w:pPr>
      <w:r>
        <w:rPr>
          <w:rFonts w:ascii="宋体" w:hAnsi="宋体"/>
          <w:bCs/>
          <w:sz w:val="24"/>
        </w:rPr>
        <w:fldChar w:fldCharType="end"/>
      </w:r>
    </w:p>
    <w:p w14:paraId="2AB668E3">
      <w:pPr>
        <w:spacing w:line="400" w:lineRule="exact"/>
        <w:rPr>
          <w:rFonts w:ascii="宋体" w:hAnsi="宋体"/>
          <w:b/>
          <w:sz w:val="32"/>
          <w:szCs w:val="32"/>
        </w:rPr>
      </w:pPr>
    </w:p>
    <w:p w14:paraId="4AF45876">
      <w:pPr>
        <w:spacing w:line="400" w:lineRule="exact"/>
        <w:jc w:val="center"/>
        <w:rPr>
          <w:rFonts w:ascii="宋体" w:hAnsi="宋体"/>
          <w:b/>
          <w:sz w:val="32"/>
          <w:szCs w:val="32"/>
        </w:rPr>
      </w:pPr>
    </w:p>
    <w:p w14:paraId="7C4C896C">
      <w:pPr>
        <w:spacing w:line="400" w:lineRule="exact"/>
        <w:jc w:val="center"/>
        <w:rPr>
          <w:rFonts w:ascii="宋体" w:hAnsi="宋体"/>
          <w:b/>
          <w:sz w:val="32"/>
          <w:szCs w:val="32"/>
        </w:rPr>
        <w:sectPr>
          <w:headerReference r:id="rId5" w:type="first"/>
          <w:footerReference r:id="rId7" w:type="first"/>
          <w:headerReference r:id="rId4" w:type="default"/>
          <w:footerReference r:id="rId6" w:type="default"/>
          <w:pgSz w:w="11906" w:h="16838"/>
          <w:pgMar w:top="1134" w:right="1361" w:bottom="1134" w:left="1361" w:header="851" w:footer="992" w:gutter="0"/>
          <w:pgNumType w:start="1"/>
          <w:cols w:space="720" w:num="1"/>
          <w:titlePg/>
          <w:docGrid w:type="lines" w:linePitch="312" w:charSpace="0"/>
        </w:sectPr>
      </w:pPr>
    </w:p>
    <w:p w14:paraId="63AB3B09">
      <w:pPr>
        <w:spacing w:line="460" w:lineRule="exact"/>
        <w:jc w:val="center"/>
        <w:rPr>
          <w:rFonts w:ascii="宋体" w:hAnsi="宋体"/>
          <w:b/>
          <w:sz w:val="32"/>
          <w:szCs w:val="32"/>
        </w:rPr>
      </w:pPr>
      <w:bookmarkStart w:id="0" w:name="_Toc74323456"/>
      <w:r>
        <w:rPr>
          <w:rFonts w:hint="eastAsia" w:ascii="宋体" w:hAnsi="宋体"/>
          <w:b/>
          <w:sz w:val="32"/>
          <w:szCs w:val="32"/>
        </w:rPr>
        <w:t>第一章 竞争性磋商公告</w:t>
      </w:r>
      <w:bookmarkEnd w:id="0"/>
    </w:p>
    <w:p w14:paraId="792A03AC">
      <w:pPr>
        <w:pStyle w:val="19"/>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pacing w:val="-2"/>
          <w:sz w:val="28"/>
          <w:szCs w:val="28"/>
          <w:highlight w:val="none"/>
          <w:lang w:eastAsia="zh-CN"/>
        </w:rPr>
      </w:pPr>
      <w:r>
        <w:rPr>
          <w:rFonts w:hint="eastAsia" w:ascii="宋体" w:hAnsi="宋体" w:eastAsia="宋体" w:cs="宋体"/>
          <w:b/>
          <w:color w:val="auto"/>
          <w:spacing w:val="-2"/>
          <w:sz w:val="28"/>
          <w:szCs w:val="28"/>
          <w:highlight w:val="none"/>
          <w:lang w:eastAsia="zh-CN"/>
        </w:rPr>
        <w:t>广西汉昌工程咨询有限公司</w:t>
      </w:r>
    </w:p>
    <w:p w14:paraId="21909A3A">
      <w:pPr>
        <w:pStyle w:val="19"/>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pacing w:val="-2"/>
          <w:sz w:val="28"/>
          <w:szCs w:val="28"/>
          <w:highlight w:val="none"/>
        </w:rPr>
      </w:pPr>
      <w:r>
        <w:rPr>
          <w:rFonts w:hint="eastAsia" w:hAnsi="宋体" w:cs="宋体"/>
          <w:b/>
          <w:color w:val="auto"/>
          <w:spacing w:val="-2"/>
          <w:sz w:val="28"/>
          <w:szCs w:val="28"/>
          <w:highlight w:val="none"/>
          <w:lang w:eastAsia="zh-CN"/>
        </w:rPr>
        <w:t>苍梧县2025-2026年冬春季松材线虫病疫木集中除治项目（WZZC2026-C3-210041-HCZX</w:t>
      </w:r>
      <w:r>
        <w:rPr>
          <w:rFonts w:hint="eastAsia" w:hAnsi="宋体" w:cs="宋体"/>
          <w:b/>
          <w:color w:val="auto"/>
          <w:spacing w:val="-2"/>
          <w:sz w:val="28"/>
          <w:szCs w:val="28"/>
          <w:highlight w:val="none"/>
          <w:lang w:val="en-US" w:eastAsia="zh-CN"/>
        </w:rPr>
        <w:t>）</w:t>
      </w:r>
      <w:r>
        <w:rPr>
          <w:rFonts w:hint="eastAsia" w:ascii="宋体" w:hAnsi="宋体" w:eastAsia="宋体" w:cs="宋体"/>
          <w:b/>
          <w:color w:val="auto"/>
          <w:spacing w:val="-2"/>
          <w:sz w:val="28"/>
          <w:szCs w:val="28"/>
          <w:highlight w:val="none"/>
        </w:rPr>
        <w:t>竞争性磋商公告</w:t>
      </w:r>
    </w:p>
    <w:p w14:paraId="026DFADD">
      <w:pPr>
        <w:pStyle w:val="19"/>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i w:val="0"/>
          <w:iCs w:val="0"/>
          <w:caps w:val="0"/>
          <w:color w:val="000000"/>
          <w:spacing w:val="0"/>
          <w:sz w:val="21"/>
          <w:szCs w:val="21"/>
        </w:rPr>
        <w:t>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7"/>
      </w:tblGrid>
      <w:tr w14:paraId="0BC2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907" w:type="dxa"/>
            <w:noWrap w:val="0"/>
            <w:vAlign w:val="top"/>
          </w:tcPr>
          <w:p w14:paraId="4C68F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项目概况</w:t>
            </w:r>
          </w:p>
          <w:p w14:paraId="28662E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Theme="minorEastAsia" w:hAnsiTheme="minorEastAsia" w:eastAsiaTheme="minorEastAsia" w:cstheme="minorEastAsia"/>
                <w:b w:val="0"/>
                <w:bCs w:val="0"/>
                <w:color w:val="auto"/>
                <w:sz w:val="21"/>
                <w:szCs w:val="21"/>
                <w:vertAlign w:val="baseline"/>
              </w:rPr>
            </w:pPr>
            <w:r>
              <w:rPr>
                <w:rFonts w:hint="eastAsia" w:asciiTheme="minorEastAsia" w:hAnsiTheme="minorEastAsia" w:eastAsiaTheme="minorEastAsia" w:cstheme="minorEastAsia"/>
                <w:i w:val="0"/>
                <w:iCs w:val="0"/>
                <w:caps w:val="0"/>
                <w:color w:val="000000"/>
                <w:spacing w:val="0"/>
                <w:sz w:val="21"/>
                <w:szCs w:val="21"/>
                <w:u w:val="single"/>
                <w:lang w:eastAsia="zh-CN"/>
              </w:rPr>
              <w:t>苍梧县2025-2026年冬春季松材线虫病疫木集中除治项目</w:t>
            </w:r>
            <w:r>
              <w:rPr>
                <w:rFonts w:hint="eastAsia" w:asciiTheme="minorEastAsia" w:hAnsiTheme="minorEastAsia" w:eastAsiaTheme="minorEastAsia" w:cstheme="minorEastAsia"/>
                <w:i w:val="0"/>
                <w:iCs w:val="0"/>
                <w:caps w:val="0"/>
                <w:color w:val="000000"/>
                <w:spacing w:val="0"/>
                <w:sz w:val="21"/>
                <w:szCs w:val="21"/>
              </w:rPr>
              <w:t>的潜在供应商应在广西政府采购云平台线上获取采购文件，并于202</w:t>
            </w:r>
            <w:r>
              <w:rPr>
                <w:rFonts w:hint="eastAsia" w:asciiTheme="minorEastAsia" w:hAnsiTheme="minorEastAsia" w:eastAsiaTheme="minorEastAsia" w:cstheme="minorEastAsia"/>
                <w:i w:val="0"/>
                <w:iCs w:val="0"/>
                <w:caps w:val="0"/>
                <w:color w:val="000000"/>
                <w:spacing w:val="0"/>
                <w:sz w:val="21"/>
                <w:szCs w:val="21"/>
                <w:lang w:val="en-US" w:eastAsia="zh-CN"/>
              </w:rPr>
              <w:t>6</w:t>
            </w:r>
            <w:r>
              <w:rPr>
                <w:rFonts w:hint="eastAsia" w:asciiTheme="minorEastAsia" w:hAnsiTheme="minorEastAsia" w:eastAsiaTheme="minorEastAsia" w:cstheme="minorEastAsia"/>
                <w:i w:val="0"/>
                <w:iCs w:val="0"/>
                <w:caps w:val="0"/>
                <w:color w:val="000000"/>
                <w:spacing w:val="0"/>
                <w:sz w:val="21"/>
                <w:szCs w:val="21"/>
              </w:rPr>
              <w:t>年</w:t>
            </w:r>
            <w:r>
              <w:rPr>
                <w:rFonts w:hint="eastAsia" w:asciiTheme="minorEastAsia" w:hAnsiTheme="minorEastAsia" w:eastAsiaTheme="minorEastAsia" w:cstheme="minorEastAsia"/>
                <w:i w:val="0"/>
                <w:iCs w:val="0"/>
                <w:caps w:val="0"/>
                <w:color w:val="000000"/>
                <w:spacing w:val="0"/>
                <w:sz w:val="21"/>
                <w:szCs w:val="21"/>
                <w:lang w:val="en-US" w:eastAsia="zh-CN"/>
              </w:rPr>
              <w:t>3</w:t>
            </w:r>
            <w:r>
              <w:rPr>
                <w:rFonts w:hint="eastAsia" w:asciiTheme="minorEastAsia" w:hAnsiTheme="minorEastAsia" w:eastAsiaTheme="minorEastAsia" w:cstheme="minorEastAsia"/>
                <w:i w:val="0"/>
                <w:iCs w:val="0"/>
                <w:caps w:val="0"/>
                <w:color w:val="000000"/>
                <w:spacing w:val="0"/>
                <w:sz w:val="21"/>
                <w:szCs w:val="21"/>
              </w:rPr>
              <w:t>月</w:t>
            </w:r>
            <w:r>
              <w:rPr>
                <w:rFonts w:hint="eastAsia" w:asciiTheme="minorEastAsia" w:hAnsiTheme="minorEastAsia" w:eastAsiaTheme="minorEastAsia" w:cstheme="minorEastAsia"/>
                <w:i w:val="0"/>
                <w:iCs w:val="0"/>
                <w:caps w:val="0"/>
                <w:color w:val="000000"/>
                <w:spacing w:val="0"/>
                <w:sz w:val="21"/>
                <w:szCs w:val="21"/>
                <w:lang w:val="en-US" w:eastAsia="zh-CN"/>
              </w:rPr>
              <w:t>25</w:t>
            </w:r>
            <w:r>
              <w:rPr>
                <w:rFonts w:hint="eastAsia" w:asciiTheme="minorEastAsia" w:hAnsiTheme="minorEastAsia" w:eastAsiaTheme="minorEastAsia" w:cstheme="minorEastAsia"/>
                <w:i w:val="0"/>
                <w:iCs w:val="0"/>
                <w:caps w:val="0"/>
                <w:color w:val="000000"/>
                <w:spacing w:val="0"/>
                <w:sz w:val="21"/>
                <w:szCs w:val="21"/>
              </w:rPr>
              <w:t>日 09:30（北京时间）前提交响应文件。</w:t>
            </w:r>
          </w:p>
        </w:tc>
      </w:tr>
    </w:tbl>
    <w:p w14:paraId="1ADFFB59">
      <w:pPr>
        <w:pStyle w:val="28"/>
        <w:keepNext w:val="0"/>
        <w:keepLines w:val="0"/>
        <w:widowControl/>
        <w:suppressLineNumbers w:val="0"/>
        <w:spacing w:before="60" w:beforeAutospacing="0" w:after="60" w:afterAutospacing="0" w:line="360" w:lineRule="auto"/>
        <w:ind w:left="0" w:leftChars="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w:t>
      </w:r>
    </w:p>
    <w:p w14:paraId="616FAD94">
      <w:pPr>
        <w:pStyle w:val="28"/>
        <w:keepNext w:val="0"/>
        <w:keepLines w:val="0"/>
        <w:widowControl/>
        <w:suppressLineNumbers w:val="0"/>
        <w:spacing w:before="204" w:beforeAutospacing="0" w:after="204"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Style w:val="36"/>
          <w:rFonts w:hint="eastAsia" w:asciiTheme="minorEastAsia" w:hAnsiTheme="minorEastAsia" w:eastAsiaTheme="minorEastAsia" w:cstheme="minorEastAsia"/>
          <w:i w:val="0"/>
          <w:iCs w:val="0"/>
          <w:caps w:val="0"/>
          <w:color w:val="000000"/>
          <w:spacing w:val="0"/>
          <w:sz w:val="21"/>
          <w:szCs w:val="21"/>
        </w:rPr>
        <w:t>一、项目基本情况</w:t>
      </w:r>
    </w:p>
    <w:p w14:paraId="0014625B">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xml:space="preserve"> 项目编号：</w:t>
      </w:r>
      <w:r>
        <w:rPr>
          <w:rFonts w:hint="eastAsia" w:asciiTheme="minorEastAsia" w:hAnsiTheme="minorEastAsia" w:eastAsiaTheme="minorEastAsia" w:cstheme="minorEastAsia"/>
          <w:i w:val="0"/>
          <w:iCs w:val="0"/>
          <w:caps w:val="0"/>
          <w:color w:val="000000"/>
          <w:spacing w:val="0"/>
          <w:sz w:val="21"/>
          <w:szCs w:val="21"/>
          <w:highlight w:val="none"/>
          <w:lang w:eastAsia="zh-CN"/>
        </w:rPr>
        <w:t>WZZC2026-C3-210041-HCZX</w:t>
      </w:r>
      <w:r>
        <w:rPr>
          <w:rFonts w:hint="eastAsia" w:asciiTheme="minorEastAsia" w:hAnsiTheme="minorEastAsia" w:eastAsiaTheme="minorEastAsia" w:cstheme="minorEastAsia"/>
          <w:i w:val="0"/>
          <w:iCs w:val="0"/>
          <w:caps w:val="0"/>
          <w:color w:val="000000"/>
          <w:spacing w:val="0"/>
          <w:sz w:val="21"/>
          <w:szCs w:val="21"/>
        </w:rPr>
        <w:t> </w:t>
      </w:r>
    </w:p>
    <w:p w14:paraId="2C0B2BF5">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项目名称：</w:t>
      </w:r>
      <w:r>
        <w:rPr>
          <w:rFonts w:hint="eastAsia" w:asciiTheme="minorEastAsia" w:hAnsiTheme="minorEastAsia" w:eastAsiaTheme="minorEastAsia" w:cstheme="minorEastAsia"/>
          <w:i w:val="0"/>
          <w:iCs w:val="0"/>
          <w:caps w:val="0"/>
          <w:color w:val="000000"/>
          <w:spacing w:val="0"/>
          <w:sz w:val="21"/>
          <w:szCs w:val="21"/>
          <w:lang w:eastAsia="zh-CN"/>
        </w:rPr>
        <w:t>苍梧县2025-2026年冬春季松材线虫病疫木集中除治项目</w:t>
      </w:r>
      <w:r>
        <w:rPr>
          <w:rFonts w:hint="eastAsia" w:asciiTheme="minorEastAsia" w:hAnsiTheme="minorEastAsia" w:eastAsiaTheme="minorEastAsia" w:cstheme="minorEastAsia"/>
          <w:i w:val="0"/>
          <w:iCs w:val="0"/>
          <w:caps w:val="0"/>
          <w:color w:val="000000"/>
          <w:spacing w:val="0"/>
          <w:sz w:val="21"/>
          <w:szCs w:val="21"/>
        </w:rPr>
        <w:t> </w:t>
      </w:r>
    </w:p>
    <w:p w14:paraId="7030EB4F">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采购方式：竞争性磋商 </w:t>
      </w:r>
    </w:p>
    <w:p w14:paraId="4AB0BF41">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xml:space="preserve"> 预算总金额（元）：</w:t>
      </w:r>
      <w:r>
        <w:rPr>
          <w:rFonts w:hint="eastAsia" w:asciiTheme="minorEastAsia" w:hAnsiTheme="minorEastAsia" w:eastAsiaTheme="minorEastAsia" w:cstheme="minorEastAsia"/>
          <w:i w:val="0"/>
          <w:iCs w:val="0"/>
          <w:caps w:val="0"/>
          <w:color w:val="000000"/>
          <w:spacing w:val="0"/>
          <w:sz w:val="21"/>
          <w:szCs w:val="21"/>
          <w:lang w:val="en-US" w:eastAsia="zh-CN"/>
        </w:rPr>
        <w:t>2670000</w:t>
      </w:r>
      <w:r>
        <w:rPr>
          <w:rFonts w:hint="eastAsia" w:asciiTheme="minorEastAsia" w:hAnsiTheme="minorEastAsia" w:eastAsiaTheme="minorEastAsia" w:cstheme="minorEastAsia"/>
          <w:i w:val="0"/>
          <w:iCs w:val="0"/>
          <w:caps w:val="0"/>
          <w:color w:val="000000"/>
          <w:spacing w:val="0"/>
          <w:sz w:val="21"/>
          <w:szCs w:val="21"/>
        </w:rPr>
        <w:t>  </w:t>
      </w:r>
    </w:p>
    <w:p w14:paraId="64CD195D">
      <w:pPr>
        <w:pStyle w:val="28"/>
        <w:keepNext w:val="0"/>
        <w:keepLines w:val="0"/>
        <w:widowControl/>
        <w:suppressLineNumbers w:val="0"/>
        <w:spacing w:before="60" w:beforeAutospacing="0" w:after="60" w:afterAutospacing="0" w:line="360" w:lineRule="auto"/>
        <w:ind w:left="420" w:leftChars="200" w:right="0" w:firstLine="0" w:firstLineChars="0"/>
        <w:rPr>
          <w:rFonts w:hint="eastAsia" w:asciiTheme="minorEastAsia" w:hAnsiTheme="minorEastAsia" w:eastAsiaTheme="minorEastAsia" w:cstheme="minorEastAsia"/>
          <w:i w:val="0"/>
          <w:iCs w:val="0"/>
          <w:caps w:val="0"/>
          <w:color w:val="000000"/>
          <w:spacing w:val="0"/>
          <w:sz w:val="21"/>
          <w:szCs w:val="21"/>
          <w:shd w:val="clear" w:fill="F7F7F7"/>
        </w:rPr>
      </w:pPr>
      <w:r>
        <w:rPr>
          <w:rFonts w:hint="eastAsia" w:asciiTheme="minorEastAsia" w:hAnsiTheme="minorEastAsia" w:eastAsiaTheme="minorEastAsia" w:cstheme="minorEastAsia"/>
          <w:i w:val="0"/>
          <w:iCs w:val="0"/>
          <w:caps w:val="0"/>
          <w:color w:val="000000"/>
          <w:spacing w:val="0"/>
          <w:sz w:val="21"/>
          <w:szCs w:val="21"/>
        </w:rPr>
        <w:t>采购需求：</w:t>
      </w:r>
      <w:r>
        <w:rPr>
          <w:rFonts w:hint="eastAsia" w:asciiTheme="minorEastAsia" w:hAnsiTheme="minorEastAsia" w:eastAsiaTheme="minorEastAsia" w:cstheme="minorEastAsia"/>
          <w:i w:val="0"/>
          <w:iCs w:val="0"/>
          <w:caps w:val="0"/>
          <w:color w:val="000000"/>
          <w:spacing w:val="0"/>
          <w:sz w:val="21"/>
          <w:szCs w:val="21"/>
          <w:lang w:eastAsia="zh-CN"/>
        </w:rPr>
        <w:t>详见竞争性磋商文件</w:t>
      </w:r>
      <w:r>
        <w:rPr>
          <w:rFonts w:hint="eastAsia" w:asciiTheme="minorEastAsia" w:hAnsiTheme="minorEastAsia" w:eastAsiaTheme="minorEastAsia" w:cstheme="minorEastAsia"/>
          <w:i w:val="0"/>
          <w:iCs w:val="0"/>
          <w:caps w:val="0"/>
          <w:color w:val="000000"/>
          <w:spacing w:val="0"/>
          <w:sz w:val="21"/>
          <w:szCs w:val="21"/>
          <w:shd w:val="clear" w:fill="F7F7F7"/>
        </w:rPr>
        <w:br w:type="textWrapping"/>
      </w:r>
      <w:r>
        <w:rPr>
          <w:rFonts w:hint="eastAsia" w:asciiTheme="minorEastAsia" w:hAnsiTheme="minorEastAsia" w:eastAsiaTheme="minorEastAsia" w:cstheme="minorEastAsia"/>
          <w:i w:val="0"/>
          <w:iCs w:val="0"/>
          <w:caps w:val="0"/>
          <w:color w:val="000000"/>
          <w:spacing w:val="0"/>
          <w:sz w:val="21"/>
          <w:szCs w:val="21"/>
          <w:shd w:val="clear" w:fill="F7F7F7"/>
        </w:rPr>
        <w:t>标项名称:分标1：</w:t>
      </w:r>
      <w:r>
        <w:rPr>
          <w:rFonts w:hint="eastAsia" w:asciiTheme="minorEastAsia" w:hAnsiTheme="minorEastAsia" w:eastAsiaTheme="minorEastAsia" w:cstheme="minorEastAsia"/>
          <w:i w:val="0"/>
          <w:iCs w:val="0"/>
          <w:caps w:val="0"/>
          <w:color w:val="000000"/>
          <w:spacing w:val="0"/>
          <w:sz w:val="21"/>
          <w:szCs w:val="21"/>
          <w:shd w:val="clear" w:fill="F7F7F7"/>
          <w:lang w:eastAsia="zh-CN"/>
        </w:rPr>
        <w:t>苍梧县2025-2026年冬春季松材线虫病疫木集中除治项目</w:t>
      </w:r>
      <w:r>
        <w:rPr>
          <w:rFonts w:hint="eastAsia" w:asciiTheme="minorEastAsia" w:hAnsiTheme="minorEastAsia" w:eastAsiaTheme="minorEastAsia" w:cstheme="minorEastAsia"/>
          <w:i w:val="0"/>
          <w:iCs w:val="0"/>
          <w:caps w:val="0"/>
          <w:color w:val="000000"/>
          <w:spacing w:val="0"/>
          <w:sz w:val="21"/>
          <w:szCs w:val="21"/>
          <w:shd w:val="clear" w:fill="F7F7F7"/>
        </w:rPr>
        <w:t>（沙头镇、木双镇、六堡镇）</w:t>
      </w:r>
      <w:r>
        <w:rPr>
          <w:rFonts w:hint="eastAsia" w:asciiTheme="minorEastAsia" w:hAnsiTheme="minorEastAsia" w:eastAsiaTheme="minorEastAsia" w:cstheme="minorEastAsia"/>
          <w:i w:val="0"/>
          <w:iCs w:val="0"/>
          <w:caps w:val="0"/>
          <w:color w:val="000000"/>
          <w:spacing w:val="0"/>
          <w:sz w:val="21"/>
          <w:szCs w:val="21"/>
          <w:shd w:val="clear" w:fill="F7F7F7"/>
        </w:rPr>
        <w:br w:type="textWrapping"/>
      </w:r>
      <w:r>
        <w:rPr>
          <w:rFonts w:hint="eastAsia" w:asciiTheme="minorEastAsia" w:hAnsiTheme="minorEastAsia" w:eastAsiaTheme="minorEastAsia" w:cstheme="minorEastAsia"/>
          <w:i w:val="0"/>
          <w:iCs w:val="0"/>
          <w:caps w:val="0"/>
          <w:color w:val="000000"/>
          <w:spacing w:val="0"/>
          <w:sz w:val="21"/>
          <w:szCs w:val="21"/>
          <w:shd w:val="clear" w:fill="F7F7F7"/>
        </w:rPr>
        <w:t>预算金额（元）:</w:t>
      </w:r>
      <w:r>
        <w:rPr>
          <w:rFonts w:hint="eastAsia" w:asciiTheme="minorEastAsia" w:hAnsiTheme="minorEastAsia" w:eastAsiaTheme="minorEastAsia" w:cstheme="minorEastAsia"/>
          <w:i w:val="0"/>
          <w:iCs w:val="0"/>
          <w:caps w:val="0"/>
          <w:color w:val="000000"/>
          <w:spacing w:val="0"/>
          <w:sz w:val="21"/>
          <w:szCs w:val="21"/>
          <w:shd w:val="clear" w:fill="F7F7F7"/>
          <w:lang w:val="en-US" w:eastAsia="zh-CN"/>
        </w:rPr>
        <w:t>82</w:t>
      </w:r>
      <w:r>
        <w:rPr>
          <w:rFonts w:hint="eastAsia" w:asciiTheme="minorEastAsia" w:hAnsiTheme="minorEastAsia" w:eastAsiaTheme="minorEastAsia" w:cstheme="minorEastAsia"/>
          <w:i w:val="0"/>
          <w:iCs w:val="0"/>
          <w:caps w:val="0"/>
          <w:color w:val="000000"/>
          <w:spacing w:val="0"/>
          <w:sz w:val="21"/>
          <w:szCs w:val="21"/>
          <w:shd w:val="clear" w:fill="F7F7F7"/>
        </w:rPr>
        <w:t>0000</w:t>
      </w:r>
      <w:r>
        <w:rPr>
          <w:rFonts w:hint="eastAsia" w:asciiTheme="minorEastAsia" w:hAnsiTheme="minorEastAsia" w:eastAsiaTheme="minorEastAsia" w:cstheme="minorEastAsia"/>
          <w:i w:val="0"/>
          <w:iCs w:val="0"/>
          <w:caps w:val="0"/>
          <w:color w:val="000000"/>
          <w:spacing w:val="0"/>
          <w:sz w:val="21"/>
          <w:szCs w:val="21"/>
          <w:shd w:val="clear" w:fill="F7F7F7"/>
        </w:rPr>
        <w:br w:type="textWrapping"/>
      </w:r>
      <w:r>
        <w:rPr>
          <w:rFonts w:hint="eastAsia" w:asciiTheme="minorEastAsia" w:hAnsiTheme="minorEastAsia" w:eastAsiaTheme="minorEastAsia" w:cstheme="minorEastAsia"/>
          <w:i w:val="0"/>
          <w:iCs w:val="0"/>
          <w:caps w:val="0"/>
          <w:color w:val="000000"/>
          <w:spacing w:val="0"/>
          <w:sz w:val="21"/>
          <w:szCs w:val="21"/>
          <w:shd w:val="clear" w:fill="F7F7F7"/>
        </w:rPr>
        <w:t>简要规格描述或项目基本概况介绍、用途：清理沙头镇、木双镇、六堡镇的</w:t>
      </w:r>
      <w:r>
        <w:rPr>
          <w:rFonts w:hint="eastAsia" w:asciiTheme="minorEastAsia" w:hAnsiTheme="minorEastAsia" w:eastAsiaTheme="minorEastAsia" w:cstheme="minorEastAsia"/>
          <w:i w:val="0"/>
          <w:iCs w:val="0"/>
          <w:caps w:val="0"/>
          <w:color w:val="000000"/>
          <w:spacing w:val="0"/>
          <w:sz w:val="21"/>
          <w:szCs w:val="21"/>
          <w:shd w:val="clear" w:fill="F7F7F7"/>
          <w:lang w:eastAsia="zh-CN"/>
        </w:rPr>
        <w:t>松材线虫病枯死木</w:t>
      </w:r>
      <w:r>
        <w:rPr>
          <w:rFonts w:hint="eastAsia" w:asciiTheme="minorEastAsia" w:hAnsiTheme="minorEastAsia" w:eastAsiaTheme="minorEastAsia" w:cstheme="minorEastAsia"/>
          <w:i w:val="0"/>
          <w:iCs w:val="0"/>
          <w:caps w:val="0"/>
          <w:color w:val="000000"/>
          <w:spacing w:val="0"/>
          <w:sz w:val="21"/>
          <w:szCs w:val="21"/>
          <w:shd w:val="clear" w:fill="F7F7F7"/>
        </w:rPr>
        <w:t>约</w:t>
      </w:r>
      <w:r>
        <w:rPr>
          <w:rFonts w:hint="eastAsia" w:asciiTheme="minorEastAsia" w:hAnsiTheme="minorEastAsia" w:eastAsiaTheme="minorEastAsia" w:cstheme="minorEastAsia"/>
          <w:i w:val="0"/>
          <w:iCs w:val="0"/>
          <w:caps w:val="0"/>
          <w:color w:val="000000"/>
          <w:spacing w:val="0"/>
          <w:sz w:val="21"/>
          <w:szCs w:val="21"/>
          <w:shd w:val="clear" w:fill="F7F7F7"/>
          <w:lang w:val="en-US" w:eastAsia="zh-CN"/>
        </w:rPr>
        <w:t>3280</w:t>
      </w:r>
      <w:r>
        <w:rPr>
          <w:rFonts w:hint="eastAsia" w:asciiTheme="minorEastAsia" w:hAnsiTheme="minorEastAsia" w:eastAsiaTheme="minorEastAsia" w:cstheme="minorEastAsia"/>
          <w:i w:val="0"/>
          <w:iCs w:val="0"/>
          <w:caps w:val="0"/>
          <w:color w:val="000000"/>
          <w:spacing w:val="0"/>
          <w:sz w:val="21"/>
          <w:szCs w:val="21"/>
          <w:shd w:val="clear" w:fill="F7F7F7"/>
        </w:rPr>
        <w:t>株</w:t>
      </w:r>
      <w:r>
        <w:rPr>
          <w:rFonts w:hint="eastAsia" w:asciiTheme="minorEastAsia" w:hAnsiTheme="minorEastAsia" w:eastAsiaTheme="minorEastAsia" w:cstheme="minorEastAsia"/>
          <w:i w:val="0"/>
          <w:iCs w:val="0"/>
          <w:caps w:val="0"/>
          <w:color w:val="000000"/>
          <w:spacing w:val="0"/>
          <w:sz w:val="21"/>
          <w:szCs w:val="21"/>
          <w:shd w:val="clear" w:fill="F7F7F7"/>
          <w:lang w:eastAsia="zh-CN"/>
        </w:rPr>
        <w:t>，</w:t>
      </w:r>
      <w:r>
        <w:rPr>
          <w:rFonts w:hint="eastAsia" w:asciiTheme="minorEastAsia" w:hAnsiTheme="minorEastAsia" w:eastAsiaTheme="minorEastAsia" w:cstheme="minorEastAsia"/>
          <w:i w:val="0"/>
          <w:iCs w:val="0"/>
          <w:caps w:val="0"/>
          <w:color w:val="000000"/>
          <w:spacing w:val="0"/>
          <w:sz w:val="21"/>
          <w:szCs w:val="21"/>
          <w:shd w:val="clear" w:fill="F7F7F7"/>
        </w:rPr>
        <w:t>具体详见第</w:t>
      </w:r>
      <w:r>
        <w:rPr>
          <w:rFonts w:hint="eastAsia" w:asciiTheme="minorEastAsia" w:hAnsiTheme="minorEastAsia" w:eastAsiaTheme="minorEastAsia" w:cstheme="minorEastAsia"/>
          <w:i w:val="0"/>
          <w:iCs w:val="0"/>
          <w:caps w:val="0"/>
          <w:color w:val="000000"/>
          <w:spacing w:val="0"/>
          <w:sz w:val="21"/>
          <w:szCs w:val="21"/>
          <w:shd w:val="clear" w:fill="F7F7F7"/>
          <w:lang w:eastAsia="zh-CN"/>
        </w:rPr>
        <w:t>三</w:t>
      </w:r>
      <w:r>
        <w:rPr>
          <w:rFonts w:hint="eastAsia" w:asciiTheme="minorEastAsia" w:hAnsiTheme="minorEastAsia" w:eastAsiaTheme="minorEastAsia" w:cstheme="minorEastAsia"/>
          <w:i w:val="0"/>
          <w:iCs w:val="0"/>
          <w:caps w:val="0"/>
          <w:color w:val="000000"/>
          <w:spacing w:val="0"/>
          <w:sz w:val="21"/>
          <w:szCs w:val="21"/>
          <w:shd w:val="clear" w:fill="F7F7F7"/>
        </w:rPr>
        <w:t>章《采购需求》</w:t>
      </w:r>
    </w:p>
    <w:p w14:paraId="3F474714">
      <w:pPr>
        <w:pStyle w:val="28"/>
        <w:keepNext w:val="0"/>
        <w:keepLines w:val="0"/>
        <w:widowControl/>
        <w:suppressLineNumbers w:val="0"/>
        <w:spacing w:before="60" w:beforeAutospacing="0" w:after="60" w:afterAutospacing="0" w:line="360" w:lineRule="auto"/>
        <w:ind w:left="420" w:leftChars="200" w:right="0" w:firstLine="0" w:firstLineChars="0"/>
        <w:rPr>
          <w:rFonts w:hint="eastAsia" w:asciiTheme="minorEastAsia" w:hAnsiTheme="minorEastAsia" w:eastAsiaTheme="minorEastAsia" w:cstheme="minorEastAsia"/>
          <w:i w:val="0"/>
          <w:iCs w:val="0"/>
          <w:caps w:val="0"/>
          <w:color w:val="000000"/>
          <w:spacing w:val="0"/>
          <w:sz w:val="21"/>
          <w:szCs w:val="21"/>
          <w:shd w:val="clear" w:fill="F7F7F7"/>
        </w:rPr>
      </w:pPr>
      <w:r>
        <w:rPr>
          <w:rFonts w:hint="eastAsia" w:asciiTheme="minorEastAsia" w:hAnsiTheme="minorEastAsia" w:eastAsiaTheme="minorEastAsia" w:cstheme="minorEastAsia"/>
          <w:i w:val="0"/>
          <w:iCs w:val="0"/>
          <w:caps w:val="0"/>
          <w:color w:val="000000"/>
          <w:spacing w:val="0"/>
          <w:sz w:val="21"/>
          <w:szCs w:val="21"/>
          <w:shd w:val="clear" w:fill="F7F7F7"/>
        </w:rPr>
        <w:t>分标</w:t>
      </w:r>
      <w:r>
        <w:rPr>
          <w:rFonts w:hint="eastAsia" w:asciiTheme="minorEastAsia" w:hAnsiTheme="minorEastAsia" w:eastAsiaTheme="minorEastAsia" w:cstheme="minorEastAsia"/>
          <w:i w:val="0"/>
          <w:iCs w:val="0"/>
          <w:caps w:val="0"/>
          <w:color w:val="000000"/>
          <w:spacing w:val="0"/>
          <w:sz w:val="21"/>
          <w:szCs w:val="21"/>
          <w:shd w:val="clear" w:fill="F7F7F7"/>
          <w:lang w:val="en-US" w:eastAsia="zh-CN"/>
        </w:rPr>
        <w:t>2</w:t>
      </w:r>
      <w:r>
        <w:rPr>
          <w:rFonts w:hint="eastAsia" w:asciiTheme="minorEastAsia" w:hAnsiTheme="minorEastAsia" w:eastAsiaTheme="minorEastAsia" w:cstheme="minorEastAsia"/>
          <w:i w:val="0"/>
          <w:iCs w:val="0"/>
          <w:caps w:val="0"/>
          <w:color w:val="000000"/>
          <w:spacing w:val="0"/>
          <w:sz w:val="21"/>
          <w:szCs w:val="21"/>
          <w:shd w:val="clear" w:fill="F7F7F7"/>
        </w:rPr>
        <w:t>：</w:t>
      </w:r>
      <w:r>
        <w:rPr>
          <w:rFonts w:hint="eastAsia" w:asciiTheme="minorEastAsia" w:hAnsiTheme="minorEastAsia" w:eastAsiaTheme="minorEastAsia" w:cstheme="minorEastAsia"/>
          <w:i w:val="0"/>
          <w:iCs w:val="0"/>
          <w:caps w:val="0"/>
          <w:color w:val="000000"/>
          <w:spacing w:val="0"/>
          <w:sz w:val="21"/>
          <w:szCs w:val="21"/>
          <w:shd w:val="clear" w:fill="F7F7F7"/>
          <w:lang w:eastAsia="zh-CN"/>
        </w:rPr>
        <w:t>苍梧县2025-2026年冬春季松材线虫病疫木集中除治项目</w:t>
      </w:r>
      <w:r>
        <w:rPr>
          <w:rFonts w:hint="eastAsia" w:asciiTheme="minorEastAsia" w:hAnsiTheme="minorEastAsia" w:eastAsiaTheme="minorEastAsia" w:cstheme="minorEastAsia"/>
          <w:i w:val="0"/>
          <w:iCs w:val="0"/>
          <w:caps w:val="0"/>
          <w:color w:val="000000"/>
          <w:spacing w:val="0"/>
          <w:sz w:val="21"/>
          <w:szCs w:val="21"/>
          <w:shd w:val="clear" w:fill="F7F7F7"/>
        </w:rPr>
        <w:t>（旺甫镇、梨埠镇、石桥镇、岭脚镇、京南镇）</w:t>
      </w:r>
    </w:p>
    <w:p w14:paraId="231E0282">
      <w:pPr>
        <w:pStyle w:val="28"/>
        <w:keepNext w:val="0"/>
        <w:keepLines w:val="0"/>
        <w:widowControl/>
        <w:suppressLineNumbers w:val="0"/>
        <w:spacing w:before="60" w:beforeAutospacing="0" w:after="60" w:afterAutospacing="0" w:line="360" w:lineRule="auto"/>
        <w:ind w:left="420" w:leftChars="200" w:right="0" w:firstLine="0" w:firstLineChars="0"/>
        <w:rPr>
          <w:rFonts w:hint="eastAsia" w:asciiTheme="minorEastAsia" w:hAnsiTheme="minorEastAsia" w:eastAsiaTheme="minorEastAsia" w:cstheme="minorEastAsia"/>
          <w:i w:val="0"/>
          <w:iCs w:val="0"/>
          <w:caps w:val="0"/>
          <w:color w:val="000000"/>
          <w:spacing w:val="0"/>
          <w:sz w:val="21"/>
          <w:szCs w:val="21"/>
          <w:shd w:val="clear" w:fill="F7F7F7"/>
        </w:rPr>
      </w:pPr>
      <w:r>
        <w:rPr>
          <w:rFonts w:hint="eastAsia" w:asciiTheme="minorEastAsia" w:hAnsiTheme="minorEastAsia" w:eastAsiaTheme="minorEastAsia" w:cstheme="minorEastAsia"/>
          <w:i w:val="0"/>
          <w:iCs w:val="0"/>
          <w:caps w:val="0"/>
          <w:color w:val="000000"/>
          <w:spacing w:val="0"/>
          <w:sz w:val="21"/>
          <w:szCs w:val="21"/>
          <w:shd w:val="clear" w:fill="F7F7F7"/>
        </w:rPr>
        <w:t>预算金额（元）:</w:t>
      </w:r>
      <w:r>
        <w:rPr>
          <w:rFonts w:hint="eastAsia" w:asciiTheme="minorEastAsia" w:hAnsiTheme="minorEastAsia" w:eastAsiaTheme="minorEastAsia" w:cstheme="minorEastAsia"/>
          <w:i w:val="0"/>
          <w:iCs w:val="0"/>
          <w:caps w:val="0"/>
          <w:color w:val="000000"/>
          <w:spacing w:val="0"/>
          <w:sz w:val="21"/>
          <w:szCs w:val="21"/>
          <w:shd w:val="clear" w:fill="F7F7F7"/>
          <w:lang w:val="en-US" w:eastAsia="zh-CN"/>
        </w:rPr>
        <w:t>185</w:t>
      </w:r>
      <w:r>
        <w:rPr>
          <w:rFonts w:hint="eastAsia" w:asciiTheme="minorEastAsia" w:hAnsiTheme="minorEastAsia" w:eastAsiaTheme="minorEastAsia" w:cstheme="minorEastAsia"/>
          <w:i w:val="0"/>
          <w:iCs w:val="0"/>
          <w:caps w:val="0"/>
          <w:color w:val="000000"/>
          <w:spacing w:val="0"/>
          <w:sz w:val="21"/>
          <w:szCs w:val="21"/>
          <w:shd w:val="clear" w:fill="F7F7F7"/>
        </w:rPr>
        <w:t>0000</w:t>
      </w:r>
      <w:r>
        <w:rPr>
          <w:rFonts w:hint="eastAsia" w:asciiTheme="minorEastAsia" w:hAnsiTheme="minorEastAsia" w:eastAsiaTheme="minorEastAsia" w:cstheme="minorEastAsia"/>
          <w:i w:val="0"/>
          <w:iCs w:val="0"/>
          <w:caps w:val="0"/>
          <w:color w:val="000000"/>
          <w:spacing w:val="0"/>
          <w:sz w:val="21"/>
          <w:szCs w:val="21"/>
          <w:shd w:val="clear" w:fill="F7F7F7"/>
        </w:rPr>
        <w:br w:type="textWrapping"/>
      </w:r>
      <w:r>
        <w:rPr>
          <w:rFonts w:hint="eastAsia" w:asciiTheme="minorEastAsia" w:hAnsiTheme="minorEastAsia" w:eastAsiaTheme="minorEastAsia" w:cstheme="minorEastAsia"/>
          <w:i w:val="0"/>
          <w:iCs w:val="0"/>
          <w:caps w:val="0"/>
          <w:color w:val="000000"/>
          <w:spacing w:val="0"/>
          <w:sz w:val="21"/>
          <w:szCs w:val="21"/>
          <w:shd w:val="clear" w:fill="F7F7F7"/>
        </w:rPr>
        <w:t>简要规格描述或项目基本概况介绍、用途：清理旺甫镇、梨埠镇、石桥镇、岭脚镇、京南镇的</w:t>
      </w:r>
      <w:r>
        <w:rPr>
          <w:rFonts w:hint="eastAsia" w:asciiTheme="minorEastAsia" w:hAnsiTheme="minorEastAsia" w:eastAsiaTheme="minorEastAsia" w:cstheme="minorEastAsia"/>
          <w:i w:val="0"/>
          <w:iCs w:val="0"/>
          <w:caps w:val="0"/>
          <w:color w:val="000000"/>
          <w:spacing w:val="0"/>
          <w:sz w:val="21"/>
          <w:szCs w:val="21"/>
          <w:shd w:val="clear" w:fill="F7F7F7"/>
          <w:lang w:eastAsia="zh-CN"/>
        </w:rPr>
        <w:t>松材线虫病枯死木</w:t>
      </w:r>
      <w:r>
        <w:rPr>
          <w:rFonts w:hint="eastAsia" w:asciiTheme="minorEastAsia" w:hAnsiTheme="minorEastAsia" w:eastAsiaTheme="minorEastAsia" w:cstheme="minorEastAsia"/>
          <w:i w:val="0"/>
          <w:iCs w:val="0"/>
          <w:caps w:val="0"/>
          <w:color w:val="000000"/>
          <w:spacing w:val="0"/>
          <w:sz w:val="21"/>
          <w:szCs w:val="21"/>
          <w:shd w:val="clear" w:fill="F7F7F7"/>
        </w:rPr>
        <w:t>约</w:t>
      </w:r>
      <w:r>
        <w:rPr>
          <w:rFonts w:hint="eastAsia" w:asciiTheme="minorEastAsia" w:hAnsiTheme="minorEastAsia" w:eastAsiaTheme="minorEastAsia" w:cstheme="minorEastAsia"/>
          <w:i w:val="0"/>
          <w:iCs w:val="0"/>
          <w:caps w:val="0"/>
          <w:color w:val="000000"/>
          <w:spacing w:val="0"/>
          <w:sz w:val="21"/>
          <w:szCs w:val="21"/>
          <w:shd w:val="clear" w:fill="F7F7F7"/>
          <w:lang w:val="en-US" w:eastAsia="zh-CN"/>
        </w:rPr>
        <w:t>7400</w:t>
      </w:r>
      <w:r>
        <w:rPr>
          <w:rFonts w:hint="eastAsia" w:asciiTheme="minorEastAsia" w:hAnsiTheme="minorEastAsia" w:eastAsiaTheme="minorEastAsia" w:cstheme="minorEastAsia"/>
          <w:i w:val="0"/>
          <w:iCs w:val="0"/>
          <w:caps w:val="0"/>
          <w:color w:val="000000"/>
          <w:spacing w:val="0"/>
          <w:sz w:val="21"/>
          <w:szCs w:val="21"/>
          <w:shd w:val="clear" w:fill="F7F7F7"/>
        </w:rPr>
        <w:t>株</w:t>
      </w:r>
      <w:r>
        <w:rPr>
          <w:rFonts w:hint="eastAsia" w:asciiTheme="minorEastAsia" w:hAnsiTheme="minorEastAsia" w:eastAsiaTheme="minorEastAsia" w:cstheme="minorEastAsia"/>
          <w:i w:val="0"/>
          <w:iCs w:val="0"/>
          <w:caps w:val="0"/>
          <w:color w:val="000000"/>
          <w:spacing w:val="0"/>
          <w:sz w:val="21"/>
          <w:szCs w:val="21"/>
          <w:shd w:val="clear" w:fill="F7F7F7"/>
          <w:lang w:eastAsia="zh-CN"/>
        </w:rPr>
        <w:t>，</w:t>
      </w:r>
      <w:r>
        <w:rPr>
          <w:rFonts w:hint="eastAsia" w:asciiTheme="minorEastAsia" w:hAnsiTheme="minorEastAsia" w:eastAsiaTheme="minorEastAsia" w:cstheme="minorEastAsia"/>
          <w:i w:val="0"/>
          <w:iCs w:val="0"/>
          <w:caps w:val="0"/>
          <w:color w:val="000000"/>
          <w:spacing w:val="0"/>
          <w:sz w:val="21"/>
          <w:szCs w:val="21"/>
          <w:shd w:val="clear" w:fill="F7F7F7"/>
        </w:rPr>
        <w:t>具体详见第</w:t>
      </w:r>
      <w:r>
        <w:rPr>
          <w:rFonts w:hint="eastAsia" w:asciiTheme="minorEastAsia" w:hAnsiTheme="minorEastAsia" w:eastAsiaTheme="minorEastAsia" w:cstheme="minorEastAsia"/>
          <w:i w:val="0"/>
          <w:iCs w:val="0"/>
          <w:caps w:val="0"/>
          <w:color w:val="000000"/>
          <w:spacing w:val="0"/>
          <w:sz w:val="21"/>
          <w:szCs w:val="21"/>
          <w:shd w:val="clear" w:fill="F7F7F7"/>
          <w:lang w:eastAsia="zh-CN"/>
        </w:rPr>
        <w:t>三</w:t>
      </w:r>
      <w:r>
        <w:rPr>
          <w:rFonts w:hint="eastAsia" w:asciiTheme="minorEastAsia" w:hAnsiTheme="minorEastAsia" w:eastAsiaTheme="minorEastAsia" w:cstheme="minorEastAsia"/>
          <w:i w:val="0"/>
          <w:iCs w:val="0"/>
          <w:caps w:val="0"/>
          <w:color w:val="000000"/>
          <w:spacing w:val="0"/>
          <w:sz w:val="21"/>
          <w:szCs w:val="21"/>
          <w:shd w:val="clear" w:fill="F7F7F7"/>
        </w:rPr>
        <w:t>章《采购需求》</w:t>
      </w:r>
    </w:p>
    <w:p w14:paraId="39EA187A">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shd w:val="clear" w:fill="F7F7F7"/>
        </w:rPr>
        <w:t>最高限价（如有）：</w:t>
      </w:r>
      <w:r>
        <w:rPr>
          <w:rFonts w:hint="eastAsia" w:asciiTheme="minorEastAsia" w:hAnsiTheme="minorEastAsia" w:eastAsiaTheme="minorEastAsia" w:cstheme="minorEastAsia"/>
          <w:i w:val="0"/>
          <w:iCs w:val="0"/>
          <w:caps w:val="0"/>
          <w:color w:val="000000"/>
          <w:spacing w:val="0"/>
          <w:sz w:val="21"/>
          <w:szCs w:val="21"/>
          <w:shd w:val="clear" w:fill="F7F7F7"/>
          <w:lang w:val="en-US" w:eastAsia="zh-CN"/>
        </w:rPr>
        <w:t>2670000</w:t>
      </w:r>
    </w:p>
    <w:p w14:paraId="48483BD3">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shd w:val="clear" w:fill="F7F7F7"/>
        </w:rPr>
        <w:t>合同履约期限：202</w:t>
      </w:r>
      <w:r>
        <w:rPr>
          <w:rFonts w:hint="eastAsia" w:asciiTheme="minorEastAsia" w:hAnsiTheme="minorEastAsia" w:eastAsiaTheme="minorEastAsia" w:cstheme="minorEastAsia"/>
          <w:i w:val="0"/>
          <w:iCs w:val="0"/>
          <w:caps w:val="0"/>
          <w:color w:val="000000"/>
          <w:spacing w:val="0"/>
          <w:sz w:val="21"/>
          <w:szCs w:val="21"/>
          <w:shd w:val="clear" w:fill="F7F7F7"/>
          <w:lang w:val="en-US" w:eastAsia="zh-CN"/>
        </w:rPr>
        <w:t>6</w:t>
      </w:r>
      <w:r>
        <w:rPr>
          <w:rFonts w:hint="eastAsia" w:asciiTheme="minorEastAsia" w:hAnsiTheme="minorEastAsia" w:eastAsiaTheme="minorEastAsia" w:cstheme="minorEastAsia"/>
          <w:i w:val="0"/>
          <w:iCs w:val="0"/>
          <w:caps w:val="0"/>
          <w:color w:val="000000"/>
          <w:spacing w:val="0"/>
          <w:sz w:val="21"/>
          <w:szCs w:val="21"/>
          <w:shd w:val="clear" w:fill="F7F7F7"/>
        </w:rPr>
        <w:t>年</w:t>
      </w:r>
      <w:r>
        <w:rPr>
          <w:rFonts w:hint="eastAsia" w:asciiTheme="minorEastAsia" w:hAnsiTheme="minorEastAsia" w:eastAsiaTheme="minorEastAsia" w:cstheme="minorEastAsia"/>
          <w:i w:val="0"/>
          <w:iCs w:val="0"/>
          <w:caps w:val="0"/>
          <w:color w:val="000000"/>
          <w:spacing w:val="0"/>
          <w:sz w:val="21"/>
          <w:szCs w:val="21"/>
          <w:shd w:val="clear" w:fill="F7F7F7"/>
          <w:lang w:val="en-US" w:eastAsia="zh-CN"/>
        </w:rPr>
        <w:t>6</w:t>
      </w:r>
      <w:r>
        <w:rPr>
          <w:rFonts w:hint="eastAsia" w:asciiTheme="minorEastAsia" w:hAnsiTheme="minorEastAsia" w:eastAsiaTheme="minorEastAsia" w:cstheme="minorEastAsia"/>
          <w:i w:val="0"/>
          <w:iCs w:val="0"/>
          <w:caps w:val="0"/>
          <w:color w:val="000000"/>
          <w:spacing w:val="0"/>
          <w:sz w:val="21"/>
          <w:szCs w:val="21"/>
          <w:shd w:val="clear" w:fill="F7F7F7"/>
        </w:rPr>
        <w:t>月</w:t>
      </w:r>
      <w:r>
        <w:rPr>
          <w:rFonts w:hint="eastAsia" w:asciiTheme="minorEastAsia" w:hAnsiTheme="minorEastAsia" w:eastAsiaTheme="minorEastAsia" w:cstheme="minorEastAsia"/>
          <w:i w:val="0"/>
          <w:iCs w:val="0"/>
          <w:caps w:val="0"/>
          <w:color w:val="000000"/>
          <w:spacing w:val="0"/>
          <w:sz w:val="21"/>
          <w:szCs w:val="21"/>
          <w:shd w:val="clear" w:fill="F7F7F7"/>
          <w:lang w:val="en-US" w:eastAsia="zh-CN"/>
        </w:rPr>
        <w:t>30</w:t>
      </w:r>
      <w:r>
        <w:rPr>
          <w:rFonts w:hint="eastAsia" w:asciiTheme="minorEastAsia" w:hAnsiTheme="minorEastAsia" w:eastAsiaTheme="minorEastAsia" w:cstheme="minorEastAsia"/>
          <w:i w:val="0"/>
          <w:iCs w:val="0"/>
          <w:caps w:val="0"/>
          <w:color w:val="000000"/>
          <w:spacing w:val="0"/>
          <w:sz w:val="21"/>
          <w:szCs w:val="21"/>
          <w:shd w:val="clear" w:fill="F7F7F7"/>
        </w:rPr>
        <w:t>日前完成</w:t>
      </w:r>
    </w:p>
    <w:p w14:paraId="0F3BCB7B">
      <w:pPr>
        <w:pStyle w:val="28"/>
        <w:keepNext w:val="0"/>
        <w:keepLines w:val="0"/>
        <w:widowControl/>
        <w:suppressLineNumbers w:val="0"/>
        <w:spacing w:before="60" w:beforeAutospacing="0" w:after="60" w:afterAutospacing="0" w:line="360" w:lineRule="auto"/>
        <w:ind w:left="420" w:leftChars="20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shd w:val="clear" w:fill="F7F7F7"/>
        </w:rPr>
        <w:t>本标项（</w:t>
      </w:r>
      <w:r>
        <w:rPr>
          <w:rStyle w:val="41"/>
          <w:rFonts w:hint="eastAsia" w:asciiTheme="minorEastAsia" w:hAnsiTheme="minorEastAsia" w:eastAsiaTheme="minorEastAsia" w:cstheme="minorEastAsia"/>
          <w:i w:val="0"/>
          <w:iCs w:val="0"/>
          <w:caps w:val="0"/>
          <w:color w:val="000000"/>
          <w:spacing w:val="0"/>
          <w:sz w:val="21"/>
          <w:szCs w:val="21"/>
          <w:shd w:val="clear" w:fill="F7F7F7"/>
        </w:rPr>
        <w:t>否</w:t>
      </w:r>
      <w:r>
        <w:rPr>
          <w:rFonts w:hint="eastAsia" w:asciiTheme="minorEastAsia" w:hAnsiTheme="minorEastAsia" w:eastAsiaTheme="minorEastAsia" w:cstheme="minorEastAsia"/>
          <w:i w:val="0"/>
          <w:iCs w:val="0"/>
          <w:caps w:val="0"/>
          <w:color w:val="000000"/>
          <w:spacing w:val="0"/>
          <w:sz w:val="21"/>
          <w:szCs w:val="21"/>
          <w:shd w:val="clear" w:fill="F7F7F7"/>
        </w:rPr>
        <w:t>）接受联合体投标</w:t>
      </w:r>
      <w:r>
        <w:rPr>
          <w:rFonts w:hint="eastAsia" w:asciiTheme="minorEastAsia" w:hAnsiTheme="minorEastAsia" w:eastAsiaTheme="minorEastAsia" w:cstheme="minorEastAsia"/>
          <w:i w:val="0"/>
          <w:iCs w:val="0"/>
          <w:caps w:val="0"/>
          <w:color w:val="000000"/>
          <w:spacing w:val="0"/>
          <w:sz w:val="21"/>
          <w:szCs w:val="21"/>
          <w:shd w:val="clear" w:fill="F7F7F7"/>
          <w:lang w:val="en-US" w:eastAsia="zh-CN"/>
        </w:rPr>
        <w:t xml:space="preserve">       </w:t>
      </w:r>
      <w:r>
        <w:rPr>
          <w:rFonts w:hint="eastAsia" w:asciiTheme="minorEastAsia" w:hAnsiTheme="minorEastAsia" w:eastAsiaTheme="minorEastAsia" w:cstheme="minorEastAsia"/>
          <w:i w:val="0"/>
          <w:iCs w:val="0"/>
          <w:caps w:val="0"/>
          <w:color w:val="000000"/>
          <w:spacing w:val="0"/>
          <w:sz w:val="21"/>
          <w:szCs w:val="21"/>
          <w:shd w:val="clear" w:fill="F7F7F7"/>
        </w:rPr>
        <w:t>备注：</w:t>
      </w:r>
      <w:r>
        <w:rPr>
          <w:rFonts w:hint="eastAsia" w:ascii="宋体" w:hAnsi="宋体" w:eastAsia="宋体" w:cs="宋体"/>
          <w:b w:val="0"/>
          <w:bCs w:val="0"/>
          <w:sz w:val="21"/>
          <w:szCs w:val="21"/>
          <w:lang w:val="en-US" w:eastAsia="zh-CN"/>
        </w:rPr>
        <w:t>无</w:t>
      </w:r>
    </w:p>
    <w:p w14:paraId="5E895FEF">
      <w:pPr>
        <w:pStyle w:val="28"/>
        <w:keepNext w:val="0"/>
        <w:keepLines w:val="0"/>
        <w:widowControl/>
        <w:suppressLineNumbers w:val="0"/>
        <w:spacing w:before="204" w:beforeAutospacing="0" w:after="204"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Style w:val="36"/>
          <w:rFonts w:hint="eastAsia" w:asciiTheme="minorEastAsia" w:hAnsiTheme="minorEastAsia" w:eastAsiaTheme="minorEastAsia" w:cstheme="minorEastAsia"/>
          <w:i w:val="0"/>
          <w:iCs w:val="0"/>
          <w:caps w:val="0"/>
          <w:color w:val="000000"/>
          <w:spacing w:val="0"/>
          <w:sz w:val="21"/>
          <w:szCs w:val="21"/>
        </w:rPr>
        <w:t>二、申请人的资格要求：</w:t>
      </w:r>
    </w:p>
    <w:p w14:paraId="05090CBD">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1.满足《中华人民共和国政府采购法》第二十二条规定；</w:t>
      </w:r>
    </w:p>
    <w:p w14:paraId="6CB15EF8">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2.落实政府采购政策需满足的资格要求：</w:t>
      </w:r>
      <w:r>
        <w:rPr>
          <w:rFonts w:hint="eastAsia" w:asciiTheme="minorEastAsia" w:hAnsiTheme="minorEastAsia" w:eastAsiaTheme="minorEastAsia" w:cstheme="minorEastAsia"/>
          <w:i w:val="0"/>
          <w:iCs w:val="0"/>
          <w:caps w:val="0"/>
          <w:color w:val="000000"/>
          <w:spacing w:val="0"/>
          <w:sz w:val="21"/>
          <w:szCs w:val="21"/>
          <w:lang w:val="en-US" w:eastAsia="zh-CN"/>
        </w:rPr>
        <w:t>专门面向中小企业采购的项目（供应商应为中小微企业、监狱企业、残疾人福利性单位)</w:t>
      </w:r>
    </w:p>
    <w:p w14:paraId="3EE6DB35">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highlight w:val="none"/>
        </w:rPr>
        <w:t>3.本项目的特定资格要求：</w:t>
      </w:r>
      <w:r>
        <w:rPr>
          <w:rFonts w:hint="eastAsia" w:asciiTheme="minorEastAsia" w:hAnsiTheme="minorEastAsia" w:eastAsiaTheme="minorEastAsia" w:cstheme="minorEastAsia"/>
          <w:i w:val="0"/>
          <w:iCs w:val="0"/>
          <w:caps w:val="0"/>
          <w:color w:val="000000"/>
          <w:spacing w:val="0"/>
          <w:sz w:val="21"/>
          <w:szCs w:val="21"/>
          <w:highlight w:val="none"/>
          <w:lang w:eastAsia="zh-CN"/>
        </w:rPr>
        <w:t>无</w:t>
      </w:r>
      <w:r>
        <w:rPr>
          <w:rFonts w:hint="eastAsia" w:asciiTheme="minorEastAsia" w:hAnsiTheme="minorEastAsia" w:eastAsiaTheme="minorEastAsia" w:cstheme="minorEastAsia"/>
          <w:i w:val="0"/>
          <w:iCs w:val="0"/>
          <w:caps w:val="0"/>
          <w:color w:val="000000"/>
          <w:spacing w:val="0"/>
          <w:sz w:val="21"/>
          <w:szCs w:val="21"/>
          <w:highlight w:val="none"/>
        </w:rPr>
        <w:t>。</w:t>
      </w:r>
      <w:r>
        <w:rPr>
          <w:rFonts w:hint="eastAsia" w:asciiTheme="minorEastAsia" w:hAnsiTheme="minorEastAsia" w:eastAsiaTheme="minorEastAsia" w:cstheme="minorEastAsia"/>
          <w:i w:val="0"/>
          <w:iCs w:val="0"/>
          <w:caps w:val="0"/>
          <w:color w:val="000000"/>
          <w:spacing w:val="0"/>
          <w:sz w:val="21"/>
          <w:szCs w:val="21"/>
        </w:rPr>
        <w:t> </w:t>
      </w:r>
    </w:p>
    <w:p w14:paraId="0D8D73D3">
      <w:pPr>
        <w:pStyle w:val="28"/>
        <w:keepNext w:val="0"/>
        <w:keepLines w:val="0"/>
        <w:widowControl/>
        <w:suppressLineNumbers w:val="0"/>
        <w:spacing w:before="204" w:beforeAutospacing="0" w:after="204"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Style w:val="36"/>
          <w:rFonts w:hint="eastAsia" w:asciiTheme="minorEastAsia" w:hAnsiTheme="minorEastAsia" w:eastAsiaTheme="minorEastAsia" w:cstheme="minorEastAsia"/>
          <w:i w:val="0"/>
          <w:iCs w:val="0"/>
          <w:caps w:val="0"/>
          <w:color w:val="000000"/>
          <w:spacing w:val="0"/>
          <w:sz w:val="21"/>
          <w:szCs w:val="21"/>
        </w:rPr>
        <w:t>三、获取采购文件</w:t>
      </w:r>
    </w:p>
    <w:p w14:paraId="2A1595F2">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u w:val="none"/>
        </w:rPr>
        <w:t>时间：202</w:t>
      </w:r>
      <w:r>
        <w:rPr>
          <w:rFonts w:hint="eastAsia" w:asciiTheme="minorEastAsia" w:hAnsiTheme="minorEastAsia" w:eastAsiaTheme="minorEastAsia" w:cstheme="minorEastAsia"/>
          <w:i w:val="0"/>
          <w:iCs w:val="0"/>
          <w:caps w:val="0"/>
          <w:color w:val="000000"/>
          <w:spacing w:val="0"/>
          <w:sz w:val="21"/>
          <w:szCs w:val="21"/>
          <w:u w:val="none"/>
          <w:lang w:val="en-US" w:eastAsia="zh-CN"/>
        </w:rPr>
        <w:t>6</w:t>
      </w:r>
      <w:r>
        <w:rPr>
          <w:rFonts w:hint="eastAsia" w:asciiTheme="minorEastAsia" w:hAnsiTheme="minorEastAsia" w:eastAsiaTheme="minorEastAsia" w:cstheme="minorEastAsia"/>
          <w:i w:val="0"/>
          <w:iCs w:val="0"/>
          <w:caps w:val="0"/>
          <w:color w:val="000000"/>
          <w:spacing w:val="0"/>
          <w:sz w:val="21"/>
          <w:szCs w:val="21"/>
          <w:u w:val="none"/>
        </w:rPr>
        <w:t>年</w:t>
      </w:r>
      <w:r>
        <w:rPr>
          <w:rFonts w:hint="eastAsia" w:asciiTheme="minorEastAsia" w:hAnsiTheme="minorEastAsia" w:eastAsiaTheme="minorEastAsia" w:cstheme="minorEastAsia"/>
          <w:i w:val="0"/>
          <w:iCs w:val="0"/>
          <w:caps w:val="0"/>
          <w:color w:val="000000"/>
          <w:spacing w:val="0"/>
          <w:sz w:val="21"/>
          <w:szCs w:val="21"/>
          <w:u w:val="none"/>
          <w:lang w:val="en-US" w:eastAsia="zh-CN"/>
        </w:rPr>
        <w:t>3</w:t>
      </w:r>
      <w:r>
        <w:rPr>
          <w:rFonts w:hint="eastAsia" w:asciiTheme="minorEastAsia" w:hAnsiTheme="minorEastAsia" w:eastAsiaTheme="minorEastAsia" w:cstheme="minorEastAsia"/>
          <w:i w:val="0"/>
          <w:iCs w:val="0"/>
          <w:caps w:val="0"/>
          <w:color w:val="000000"/>
          <w:spacing w:val="0"/>
          <w:sz w:val="21"/>
          <w:szCs w:val="21"/>
          <w:u w:val="none"/>
        </w:rPr>
        <w:t>月</w:t>
      </w:r>
      <w:r>
        <w:rPr>
          <w:rFonts w:hint="eastAsia" w:asciiTheme="minorEastAsia" w:hAnsiTheme="minorEastAsia" w:eastAsiaTheme="minorEastAsia" w:cstheme="minorEastAsia"/>
          <w:i w:val="0"/>
          <w:iCs w:val="0"/>
          <w:caps w:val="0"/>
          <w:color w:val="000000"/>
          <w:spacing w:val="0"/>
          <w:sz w:val="21"/>
          <w:szCs w:val="21"/>
          <w:u w:val="none"/>
          <w:lang w:val="en-US" w:eastAsia="zh-CN"/>
        </w:rPr>
        <w:t>13</w:t>
      </w:r>
      <w:r>
        <w:rPr>
          <w:rFonts w:hint="eastAsia" w:asciiTheme="minorEastAsia" w:hAnsiTheme="minorEastAsia" w:eastAsiaTheme="minorEastAsia" w:cstheme="minorEastAsia"/>
          <w:i w:val="0"/>
          <w:iCs w:val="0"/>
          <w:caps w:val="0"/>
          <w:color w:val="000000"/>
          <w:spacing w:val="0"/>
          <w:sz w:val="21"/>
          <w:szCs w:val="21"/>
          <w:u w:val="none"/>
        </w:rPr>
        <w:t>日至202</w:t>
      </w:r>
      <w:r>
        <w:rPr>
          <w:rFonts w:hint="eastAsia" w:asciiTheme="minorEastAsia" w:hAnsiTheme="minorEastAsia" w:eastAsiaTheme="minorEastAsia" w:cstheme="minorEastAsia"/>
          <w:i w:val="0"/>
          <w:iCs w:val="0"/>
          <w:caps w:val="0"/>
          <w:color w:val="000000"/>
          <w:spacing w:val="0"/>
          <w:sz w:val="21"/>
          <w:szCs w:val="21"/>
          <w:u w:val="none"/>
          <w:lang w:val="en-US" w:eastAsia="zh-CN"/>
        </w:rPr>
        <w:t>6</w:t>
      </w:r>
      <w:r>
        <w:rPr>
          <w:rFonts w:hint="eastAsia" w:asciiTheme="minorEastAsia" w:hAnsiTheme="minorEastAsia" w:eastAsiaTheme="minorEastAsia" w:cstheme="minorEastAsia"/>
          <w:i w:val="0"/>
          <w:iCs w:val="0"/>
          <w:caps w:val="0"/>
          <w:color w:val="000000"/>
          <w:spacing w:val="0"/>
          <w:sz w:val="21"/>
          <w:szCs w:val="21"/>
          <w:u w:val="none"/>
        </w:rPr>
        <w:t>年</w:t>
      </w:r>
      <w:r>
        <w:rPr>
          <w:rFonts w:hint="eastAsia" w:asciiTheme="minorEastAsia" w:hAnsiTheme="minorEastAsia" w:eastAsiaTheme="minorEastAsia" w:cstheme="minorEastAsia"/>
          <w:i w:val="0"/>
          <w:iCs w:val="0"/>
          <w:caps w:val="0"/>
          <w:color w:val="000000"/>
          <w:spacing w:val="0"/>
          <w:sz w:val="21"/>
          <w:szCs w:val="21"/>
          <w:u w:val="none"/>
          <w:lang w:val="en-US" w:eastAsia="zh-CN"/>
        </w:rPr>
        <w:t>3</w:t>
      </w:r>
      <w:r>
        <w:rPr>
          <w:rFonts w:hint="eastAsia" w:asciiTheme="minorEastAsia" w:hAnsiTheme="minorEastAsia" w:eastAsiaTheme="minorEastAsia" w:cstheme="minorEastAsia"/>
          <w:i w:val="0"/>
          <w:iCs w:val="0"/>
          <w:caps w:val="0"/>
          <w:color w:val="000000"/>
          <w:spacing w:val="0"/>
          <w:sz w:val="21"/>
          <w:szCs w:val="21"/>
          <w:u w:val="none"/>
        </w:rPr>
        <w:t>月</w:t>
      </w:r>
      <w:r>
        <w:rPr>
          <w:rFonts w:hint="eastAsia" w:asciiTheme="minorEastAsia" w:hAnsiTheme="minorEastAsia" w:eastAsiaTheme="minorEastAsia" w:cstheme="minorEastAsia"/>
          <w:i w:val="0"/>
          <w:iCs w:val="0"/>
          <w:caps w:val="0"/>
          <w:color w:val="000000"/>
          <w:spacing w:val="0"/>
          <w:sz w:val="21"/>
          <w:szCs w:val="21"/>
          <w:u w:val="none"/>
          <w:lang w:val="en-US" w:eastAsia="zh-CN"/>
        </w:rPr>
        <w:t>20</w:t>
      </w:r>
      <w:r>
        <w:rPr>
          <w:rFonts w:hint="eastAsia" w:asciiTheme="minorEastAsia" w:hAnsiTheme="minorEastAsia" w:eastAsiaTheme="minorEastAsia" w:cstheme="minorEastAsia"/>
          <w:i w:val="0"/>
          <w:iCs w:val="0"/>
          <w:caps w:val="0"/>
          <w:color w:val="000000"/>
          <w:spacing w:val="0"/>
          <w:sz w:val="21"/>
          <w:szCs w:val="21"/>
          <w:u w:val="none"/>
        </w:rPr>
        <w:t>日，每天08:00至12:00，12:00至18:00（北京时间，法定节假日除外）</w:t>
      </w:r>
    </w:p>
    <w:p w14:paraId="57CAF360">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xml:space="preserve"> 地点（网址）：广西政府采购云平台线上获取 </w:t>
      </w:r>
    </w:p>
    <w:p w14:paraId="1650F885">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方式：供应商登录广西政府采购云平台https://www.gcy.zfcg.gxzf.gov.cn/在线申请获取采购文件（进入“项目采购”应用，在获取采购文件菜单中选择项目，申请获取采购文件） </w:t>
      </w:r>
    </w:p>
    <w:p w14:paraId="105AE635">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售价（元）：0 </w:t>
      </w:r>
    </w:p>
    <w:p w14:paraId="2A1E2B01">
      <w:pPr>
        <w:pStyle w:val="28"/>
        <w:keepNext w:val="0"/>
        <w:keepLines w:val="0"/>
        <w:widowControl/>
        <w:suppressLineNumbers w:val="0"/>
        <w:spacing w:before="204" w:beforeAutospacing="0" w:after="204"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Style w:val="36"/>
          <w:rFonts w:hint="eastAsia" w:asciiTheme="minorEastAsia" w:hAnsiTheme="minorEastAsia" w:eastAsiaTheme="minorEastAsia" w:cstheme="minorEastAsia"/>
          <w:i w:val="0"/>
          <w:iCs w:val="0"/>
          <w:caps w:val="0"/>
          <w:color w:val="000000"/>
          <w:spacing w:val="0"/>
          <w:sz w:val="21"/>
          <w:szCs w:val="21"/>
        </w:rPr>
        <w:t>四、响应文件提交</w:t>
      </w:r>
      <w:r>
        <w:rPr>
          <w:rFonts w:hint="eastAsia" w:asciiTheme="minorEastAsia" w:hAnsiTheme="minorEastAsia" w:eastAsiaTheme="minorEastAsia" w:cstheme="minorEastAsia"/>
          <w:i w:val="0"/>
          <w:iCs w:val="0"/>
          <w:caps w:val="0"/>
          <w:color w:val="000000"/>
          <w:spacing w:val="0"/>
          <w:sz w:val="21"/>
          <w:szCs w:val="21"/>
        </w:rPr>
        <w:t> </w:t>
      </w:r>
    </w:p>
    <w:p w14:paraId="17C8A483">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截止时间：202</w:t>
      </w:r>
      <w:r>
        <w:rPr>
          <w:rFonts w:hint="eastAsia" w:asciiTheme="minorEastAsia" w:hAnsiTheme="minorEastAsia" w:eastAsiaTheme="minorEastAsia" w:cstheme="minorEastAsia"/>
          <w:i w:val="0"/>
          <w:iCs w:val="0"/>
          <w:caps w:val="0"/>
          <w:color w:val="000000"/>
          <w:spacing w:val="0"/>
          <w:sz w:val="21"/>
          <w:szCs w:val="21"/>
          <w:lang w:val="en-US" w:eastAsia="zh-CN"/>
        </w:rPr>
        <w:t>6</w:t>
      </w:r>
      <w:r>
        <w:rPr>
          <w:rFonts w:hint="eastAsia" w:asciiTheme="minorEastAsia" w:hAnsiTheme="minorEastAsia" w:eastAsiaTheme="minorEastAsia" w:cstheme="minorEastAsia"/>
          <w:i w:val="0"/>
          <w:iCs w:val="0"/>
          <w:caps w:val="0"/>
          <w:color w:val="000000"/>
          <w:spacing w:val="0"/>
          <w:sz w:val="21"/>
          <w:szCs w:val="21"/>
        </w:rPr>
        <w:t>年</w:t>
      </w:r>
      <w:r>
        <w:rPr>
          <w:rFonts w:hint="eastAsia" w:asciiTheme="minorEastAsia" w:hAnsiTheme="minorEastAsia" w:eastAsiaTheme="minorEastAsia" w:cstheme="minorEastAsia"/>
          <w:i w:val="0"/>
          <w:iCs w:val="0"/>
          <w:caps w:val="0"/>
          <w:color w:val="000000"/>
          <w:spacing w:val="0"/>
          <w:sz w:val="21"/>
          <w:szCs w:val="21"/>
          <w:lang w:val="en-US" w:eastAsia="zh-CN"/>
        </w:rPr>
        <w:t>3</w:t>
      </w:r>
      <w:r>
        <w:rPr>
          <w:rFonts w:hint="eastAsia" w:asciiTheme="minorEastAsia" w:hAnsiTheme="minorEastAsia" w:eastAsiaTheme="minorEastAsia" w:cstheme="minorEastAsia"/>
          <w:i w:val="0"/>
          <w:iCs w:val="0"/>
          <w:caps w:val="0"/>
          <w:color w:val="000000"/>
          <w:spacing w:val="0"/>
          <w:sz w:val="21"/>
          <w:szCs w:val="21"/>
        </w:rPr>
        <w:t>月</w:t>
      </w:r>
      <w:r>
        <w:rPr>
          <w:rFonts w:hint="eastAsia" w:asciiTheme="minorEastAsia" w:hAnsiTheme="minorEastAsia" w:eastAsiaTheme="minorEastAsia" w:cstheme="minorEastAsia"/>
          <w:i w:val="0"/>
          <w:iCs w:val="0"/>
          <w:caps w:val="0"/>
          <w:color w:val="000000"/>
          <w:spacing w:val="0"/>
          <w:sz w:val="21"/>
          <w:szCs w:val="21"/>
          <w:lang w:val="en-US" w:eastAsia="zh-CN"/>
        </w:rPr>
        <w:t>25</w:t>
      </w:r>
      <w:r>
        <w:rPr>
          <w:rFonts w:hint="eastAsia" w:asciiTheme="minorEastAsia" w:hAnsiTheme="minorEastAsia" w:eastAsiaTheme="minorEastAsia" w:cstheme="minorEastAsia"/>
          <w:i w:val="0"/>
          <w:iCs w:val="0"/>
          <w:caps w:val="0"/>
          <w:color w:val="000000"/>
          <w:spacing w:val="0"/>
          <w:sz w:val="21"/>
          <w:szCs w:val="21"/>
        </w:rPr>
        <w:t>日 09:30（北京时间）</w:t>
      </w:r>
    </w:p>
    <w:p w14:paraId="227A294C">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地点（网址）：通过广西政府采购云平台（https://www.gcy.zfcg.gxzf.gov.cn/）在线投标响应 </w:t>
      </w:r>
    </w:p>
    <w:p w14:paraId="2AD465E4">
      <w:pPr>
        <w:pStyle w:val="28"/>
        <w:keepNext w:val="0"/>
        <w:keepLines w:val="0"/>
        <w:widowControl/>
        <w:suppressLineNumbers w:val="0"/>
        <w:spacing w:before="204" w:beforeAutospacing="0" w:after="204"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Style w:val="36"/>
          <w:rFonts w:hint="eastAsia" w:asciiTheme="minorEastAsia" w:hAnsiTheme="minorEastAsia" w:eastAsiaTheme="minorEastAsia" w:cstheme="minorEastAsia"/>
          <w:i w:val="0"/>
          <w:iCs w:val="0"/>
          <w:caps w:val="0"/>
          <w:color w:val="000000"/>
          <w:spacing w:val="0"/>
          <w:sz w:val="21"/>
          <w:szCs w:val="21"/>
        </w:rPr>
        <w:t>五、响应文件开启</w:t>
      </w:r>
      <w:r>
        <w:rPr>
          <w:rFonts w:hint="eastAsia" w:asciiTheme="minorEastAsia" w:hAnsiTheme="minorEastAsia" w:eastAsiaTheme="minorEastAsia" w:cstheme="minorEastAsia"/>
          <w:i w:val="0"/>
          <w:iCs w:val="0"/>
          <w:caps w:val="0"/>
          <w:color w:val="000000"/>
          <w:spacing w:val="0"/>
          <w:sz w:val="21"/>
          <w:szCs w:val="21"/>
        </w:rPr>
        <w:t> </w:t>
      </w:r>
    </w:p>
    <w:p w14:paraId="56828DF3">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aps w:val="0"/>
          <w:color w:val="000000"/>
          <w:spacing w:val="0"/>
          <w:sz w:val="21"/>
          <w:szCs w:val="21"/>
        </w:rPr>
        <w:t xml:space="preserve"> 开启时间：202</w:t>
      </w:r>
      <w:r>
        <w:rPr>
          <w:rFonts w:hint="eastAsia" w:asciiTheme="minorEastAsia" w:hAnsiTheme="minorEastAsia" w:eastAsiaTheme="minorEastAsia" w:cstheme="minorEastAsia"/>
          <w:i w:val="0"/>
          <w:iCs w:val="0"/>
          <w:caps w:val="0"/>
          <w:color w:val="000000"/>
          <w:spacing w:val="0"/>
          <w:sz w:val="21"/>
          <w:szCs w:val="21"/>
          <w:lang w:val="en-US" w:eastAsia="zh-CN"/>
        </w:rPr>
        <w:t>6</w:t>
      </w:r>
      <w:r>
        <w:rPr>
          <w:rFonts w:hint="eastAsia" w:asciiTheme="minorEastAsia" w:hAnsiTheme="minorEastAsia" w:eastAsiaTheme="minorEastAsia" w:cstheme="minorEastAsia"/>
          <w:i w:val="0"/>
          <w:iCs w:val="0"/>
          <w:caps w:val="0"/>
          <w:color w:val="000000"/>
          <w:spacing w:val="0"/>
          <w:sz w:val="21"/>
          <w:szCs w:val="21"/>
        </w:rPr>
        <w:t>年</w:t>
      </w:r>
      <w:r>
        <w:rPr>
          <w:rFonts w:hint="eastAsia" w:asciiTheme="minorEastAsia" w:hAnsiTheme="minorEastAsia" w:eastAsiaTheme="minorEastAsia" w:cstheme="minorEastAsia"/>
          <w:i w:val="0"/>
          <w:iCs w:val="0"/>
          <w:caps w:val="0"/>
          <w:color w:val="000000"/>
          <w:spacing w:val="0"/>
          <w:sz w:val="21"/>
          <w:szCs w:val="21"/>
          <w:lang w:val="en-US" w:eastAsia="zh-CN"/>
        </w:rPr>
        <w:t>3</w:t>
      </w:r>
      <w:r>
        <w:rPr>
          <w:rFonts w:hint="eastAsia" w:asciiTheme="minorEastAsia" w:hAnsiTheme="minorEastAsia" w:eastAsiaTheme="minorEastAsia" w:cstheme="minorEastAsia"/>
          <w:i w:val="0"/>
          <w:iCs w:val="0"/>
          <w:caps w:val="0"/>
          <w:color w:val="000000"/>
          <w:spacing w:val="0"/>
          <w:sz w:val="21"/>
          <w:szCs w:val="21"/>
        </w:rPr>
        <w:t>月</w:t>
      </w:r>
      <w:r>
        <w:rPr>
          <w:rFonts w:hint="eastAsia" w:asciiTheme="minorEastAsia" w:hAnsiTheme="minorEastAsia" w:eastAsiaTheme="minorEastAsia" w:cstheme="minorEastAsia"/>
          <w:i w:val="0"/>
          <w:iCs w:val="0"/>
          <w:caps w:val="0"/>
          <w:color w:val="000000"/>
          <w:spacing w:val="0"/>
          <w:sz w:val="21"/>
          <w:szCs w:val="21"/>
          <w:lang w:val="en-US" w:eastAsia="zh-CN"/>
        </w:rPr>
        <w:t>25</w:t>
      </w:r>
      <w:r>
        <w:rPr>
          <w:rFonts w:hint="eastAsia" w:asciiTheme="minorEastAsia" w:hAnsiTheme="minorEastAsia" w:eastAsiaTheme="minorEastAsia" w:cstheme="minorEastAsia"/>
          <w:i w:val="0"/>
          <w:iCs w:val="0"/>
          <w:caps w:val="0"/>
          <w:color w:val="000000"/>
          <w:spacing w:val="0"/>
          <w:sz w:val="21"/>
          <w:szCs w:val="21"/>
        </w:rPr>
        <w:t>日 09:30（北京时间）</w:t>
      </w: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p>
    <w:p w14:paraId="79C79133">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地点：通过广西政府采购云平台（https://www.gcy.zfcg.gxzf.gov.cn/）开启 </w:t>
      </w:r>
    </w:p>
    <w:p w14:paraId="79918558">
      <w:pPr>
        <w:pStyle w:val="28"/>
        <w:keepNext w:val="0"/>
        <w:keepLines w:val="0"/>
        <w:widowControl/>
        <w:suppressLineNumbers w:val="0"/>
        <w:spacing w:before="204" w:beforeAutospacing="0" w:after="204"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Style w:val="36"/>
          <w:rFonts w:hint="eastAsia" w:asciiTheme="minorEastAsia" w:hAnsiTheme="minorEastAsia" w:eastAsiaTheme="minorEastAsia" w:cstheme="minorEastAsia"/>
          <w:i w:val="0"/>
          <w:iCs w:val="0"/>
          <w:caps w:val="0"/>
          <w:color w:val="000000"/>
          <w:spacing w:val="0"/>
          <w:sz w:val="21"/>
          <w:szCs w:val="21"/>
        </w:rPr>
        <w:t>六、公告期限</w:t>
      </w:r>
    </w:p>
    <w:p w14:paraId="052D711D">
      <w:pPr>
        <w:pStyle w:val="28"/>
        <w:keepNext w:val="0"/>
        <w:keepLines w:val="0"/>
        <w:widowControl/>
        <w:suppressLineNumbers w:val="0"/>
        <w:spacing w:before="60" w:beforeAutospacing="0" w:after="60" w:afterAutospacing="0" w:line="360" w:lineRule="auto"/>
        <w:ind w:left="0" w:right="0" w:firstLine="0"/>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自本公告发布之日起5个工作日。</w:t>
      </w:r>
    </w:p>
    <w:p w14:paraId="0C69936B">
      <w:pPr>
        <w:pStyle w:val="28"/>
        <w:keepNext w:val="0"/>
        <w:keepLines w:val="0"/>
        <w:widowControl/>
        <w:suppressLineNumbers w:val="0"/>
        <w:spacing w:before="204" w:beforeAutospacing="0" w:after="204"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Style w:val="36"/>
          <w:rFonts w:hint="eastAsia" w:asciiTheme="minorEastAsia" w:hAnsiTheme="minorEastAsia" w:eastAsiaTheme="minorEastAsia" w:cstheme="minorEastAsia"/>
          <w:i w:val="0"/>
          <w:iCs w:val="0"/>
          <w:caps w:val="0"/>
          <w:color w:val="000000"/>
          <w:spacing w:val="0"/>
          <w:sz w:val="21"/>
          <w:szCs w:val="21"/>
        </w:rPr>
        <w:t>七、其他补充事宜</w:t>
      </w:r>
      <w:r>
        <w:rPr>
          <w:rFonts w:hint="eastAsia" w:asciiTheme="minorEastAsia" w:hAnsiTheme="minorEastAsia" w:eastAsiaTheme="minorEastAsia" w:cstheme="minorEastAsia"/>
          <w:i w:val="0"/>
          <w:iCs w:val="0"/>
          <w:caps w:val="0"/>
          <w:color w:val="000000"/>
          <w:spacing w:val="0"/>
          <w:sz w:val="21"/>
          <w:szCs w:val="21"/>
        </w:rPr>
        <w:t> </w:t>
      </w:r>
    </w:p>
    <w:p w14:paraId="55A2FFD7">
      <w:pPr>
        <w:pStyle w:val="28"/>
        <w:keepNext w:val="0"/>
        <w:keepLines w:val="0"/>
        <w:widowControl/>
        <w:suppressLineNumbers w:val="0"/>
        <w:spacing w:before="60" w:beforeAutospacing="0" w:after="60" w:afterAutospacing="0" w:line="360" w:lineRule="auto"/>
        <w:ind w:left="0" w:right="0" w:firstLine="0"/>
        <w:rPr>
          <w:rFonts w:hint="eastAsia" w:asciiTheme="minorEastAsia" w:hAnsiTheme="minorEastAsia" w:eastAsiaTheme="minorEastAsia" w:cstheme="minorEastAsia"/>
          <w:i w:val="0"/>
          <w:iCs w:val="0"/>
          <w:caps w:val="0"/>
          <w:color w:val="000000"/>
          <w:spacing w:val="0"/>
          <w:sz w:val="21"/>
          <w:szCs w:val="21"/>
        </w:rPr>
      </w:pPr>
      <w:r>
        <w:rPr>
          <w:rFonts w:hint="eastAsia" w:ascii="宋体" w:hAnsi="宋体" w:eastAsia="宋体" w:cs="宋体"/>
          <w:b w:val="0"/>
          <w:bCs w:val="0"/>
          <w:color w:val="auto"/>
          <w:kern w:val="0"/>
          <w:sz w:val="21"/>
          <w:szCs w:val="21"/>
          <w:lang w:val="en-US" w:eastAsia="zh-CN"/>
        </w:rPr>
        <w:t>1.公告发布网址：</w:t>
      </w:r>
      <w:r>
        <w:rPr>
          <w:rFonts w:hint="eastAsia" w:ascii="宋体" w:hAnsi="宋体" w:eastAsia="宋体" w:cs="宋体"/>
          <w:b w:val="0"/>
          <w:bCs w:val="0"/>
          <w:color w:val="auto"/>
          <w:kern w:val="0"/>
          <w:sz w:val="21"/>
          <w:szCs w:val="21"/>
          <w:lang w:val="en-US" w:eastAsia="zh-CN"/>
        </w:rPr>
        <w:fldChar w:fldCharType="begin"/>
      </w:r>
      <w:r>
        <w:rPr>
          <w:rFonts w:hint="eastAsia" w:ascii="宋体" w:hAnsi="宋体" w:eastAsia="宋体" w:cs="宋体"/>
          <w:b w:val="0"/>
          <w:bCs w:val="0"/>
          <w:color w:val="auto"/>
          <w:kern w:val="0"/>
          <w:sz w:val="21"/>
          <w:szCs w:val="21"/>
          <w:lang w:val="en-US" w:eastAsia="zh-CN"/>
        </w:rPr>
        <w:instrText xml:space="preserve"> HYPERLINK "http://www.ccgp.gov.cn（中国政府采购网）、zfcg.gxzf.gov.cn（广西壮族自治区政府采购网）、http:/117.141.250.58:10030/web/cgw/index.ptl（梧州市政府采购网）（公告发布媒体包含但不限于上述媒体）" </w:instrText>
      </w:r>
      <w:r>
        <w:rPr>
          <w:rFonts w:hint="eastAsia" w:ascii="宋体" w:hAnsi="宋体" w:eastAsia="宋体" w:cs="宋体"/>
          <w:b w:val="0"/>
          <w:bCs w:val="0"/>
          <w:color w:val="auto"/>
          <w:kern w:val="0"/>
          <w:sz w:val="21"/>
          <w:szCs w:val="21"/>
          <w:lang w:val="en-US" w:eastAsia="zh-CN"/>
        </w:rPr>
        <w:fldChar w:fldCharType="separate"/>
      </w:r>
      <w:r>
        <w:rPr>
          <w:rFonts w:hint="eastAsia" w:ascii="宋体" w:hAnsi="宋体" w:eastAsia="宋体" w:cs="宋体"/>
          <w:b w:val="0"/>
          <w:bCs w:val="0"/>
          <w:color w:val="auto"/>
          <w:kern w:val="0"/>
          <w:sz w:val="21"/>
          <w:szCs w:val="21"/>
          <w:lang w:val="en-US" w:eastAsia="zh-CN"/>
        </w:rPr>
        <w:t>www.ccgp.gov.cn（中国政府采购网）、http://zfcg.gxzf.gov.cn/（广西壮族自治区政府采购网）、http://117.141.250.58:10030/web/cgw/index.ptl（梧州市政府采购网）</w:t>
      </w:r>
      <w:r>
        <w:rPr>
          <w:rFonts w:hint="eastAsia" w:ascii="宋体" w:hAnsi="宋体" w:eastAsia="宋体" w:cs="宋体"/>
          <w:b w:val="0"/>
          <w:bCs w:val="0"/>
          <w:color w:val="auto"/>
          <w:kern w:val="0"/>
          <w:sz w:val="21"/>
          <w:szCs w:val="21"/>
          <w:lang w:val="en-US" w:eastAsia="zh-CN"/>
        </w:rPr>
        <w:fldChar w:fldCharType="end"/>
      </w:r>
      <w:r>
        <w:rPr>
          <w:rFonts w:hint="eastAsia" w:ascii="宋体" w:hAnsi="宋体" w:eastAsia="宋体" w:cs="宋体"/>
          <w:b w:val="0"/>
          <w:bCs w:val="0"/>
          <w:color w:val="auto"/>
          <w:kern w:val="0"/>
          <w:sz w:val="21"/>
          <w:szCs w:val="21"/>
          <w:lang w:val="en-US" w:eastAsia="zh-CN"/>
        </w:rPr>
        <w:t>、http://www.cangwu.gov.cn/（</w:t>
      </w:r>
      <w:bookmarkStart w:id="1" w:name="_Toc28359018"/>
      <w:r>
        <w:rPr>
          <w:rFonts w:hint="eastAsia" w:ascii="宋体" w:hAnsi="宋体" w:eastAsia="宋体" w:cs="宋体"/>
          <w:b w:val="0"/>
          <w:bCs w:val="0"/>
          <w:color w:val="auto"/>
          <w:kern w:val="0"/>
          <w:sz w:val="21"/>
          <w:szCs w:val="21"/>
          <w:lang w:val="en-US" w:eastAsia="zh-CN"/>
        </w:rPr>
        <w:t>广西梧州苍梧县人民政府门户网</w:t>
      </w:r>
      <w:bookmarkEnd w:id="1"/>
      <w:r>
        <w:rPr>
          <w:rFonts w:hint="eastAsia" w:ascii="宋体" w:hAnsi="宋体" w:eastAsia="宋体" w:cs="宋体"/>
          <w:b w:val="0"/>
          <w:bCs w:val="0"/>
          <w:color w:val="auto"/>
          <w:kern w:val="0"/>
          <w:sz w:val="21"/>
          <w:szCs w:val="21"/>
          <w:lang w:val="en-US" w:eastAsia="zh-CN"/>
        </w:rPr>
        <w:t>）</w:t>
      </w:r>
      <w:r>
        <w:rPr>
          <w:rFonts w:hint="eastAsia" w:asciiTheme="minorEastAsia" w:hAnsiTheme="minorEastAsia" w:eastAsiaTheme="minorEastAsia" w:cstheme="minorEastAsia"/>
          <w:i w:val="0"/>
          <w:iCs w:val="0"/>
          <w:caps w:val="0"/>
          <w:color w:val="000000"/>
          <w:spacing w:val="0"/>
          <w:sz w:val="21"/>
          <w:szCs w:val="21"/>
        </w:rPr>
        <w:t>  </w:t>
      </w:r>
    </w:p>
    <w:p w14:paraId="13B5C2CB">
      <w:pPr>
        <w:pStyle w:val="28"/>
        <w:keepNext w:val="0"/>
        <w:keepLines w:val="0"/>
        <w:widowControl/>
        <w:suppressLineNumbers w:val="0"/>
        <w:spacing w:before="204" w:beforeAutospacing="0" w:after="204"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1"/>
          <w:szCs w:val="21"/>
        </w:rPr>
      </w:pPr>
      <w:r>
        <w:rPr>
          <w:rStyle w:val="36"/>
          <w:rFonts w:hint="eastAsia" w:asciiTheme="minorEastAsia" w:hAnsiTheme="minorEastAsia" w:eastAsiaTheme="minorEastAsia" w:cstheme="minorEastAsia"/>
          <w:i w:val="0"/>
          <w:iCs w:val="0"/>
          <w:caps w:val="0"/>
          <w:color w:val="000000"/>
          <w:spacing w:val="0"/>
          <w:sz w:val="21"/>
          <w:szCs w:val="21"/>
        </w:rPr>
        <w:t>八、凡对本次招标提出询问，请按以下方式联系</w:t>
      </w:r>
    </w:p>
    <w:p w14:paraId="4134E21C">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1.采购人信息</w:t>
      </w:r>
    </w:p>
    <w:p w14:paraId="73770CB4">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名    称：</w:t>
      </w:r>
      <w:r>
        <w:rPr>
          <w:rFonts w:hint="eastAsia" w:asciiTheme="minorEastAsia" w:hAnsiTheme="minorEastAsia" w:eastAsiaTheme="minorEastAsia" w:cstheme="minorEastAsia"/>
          <w:i w:val="0"/>
          <w:iCs w:val="0"/>
          <w:caps w:val="0"/>
          <w:color w:val="000000"/>
          <w:spacing w:val="0"/>
          <w:sz w:val="21"/>
          <w:szCs w:val="21"/>
          <w:lang w:eastAsia="zh-CN"/>
        </w:rPr>
        <w:t>苍梧县林业局</w:t>
      </w:r>
      <w:r>
        <w:rPr>
          <w:rFonts w:hint="eastAsia" w:asciiTheme="minorEastAsia" w:hAnsiTheme="minorEastAsia" w:eastAsiaTheme="minorEastAsia" w:cstheme="minorEastAsia"/>
          <w:i w:val="0"/>
          <w:iCs w:val="0"/>
          <w:caps w:val="0"/>
          <w:color w:val="000000"/>
          <w:spacing w:val="0"/>
          <w:sz w:val="21"/>
          <w:szCs w:val="21"/>
        </w:rPr>
        <w:t> </w:t>
      </w:r>
    </w:p>
    <w:p w14:paraId="1CD0598C">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地    址：</w:t>
      </w:r>
      <w:r>
        <w:rPr>
          <w:rFonts w:hint="eastAsia" w:asciiTheme="minorEastAsia" w:hAnsiTheme="minorEastAsia" w:eastAsiaTheme="minorEastAsia" w:cstheme="minorEastAsia"/>
          <w:i w:val="0"/>
          <w:iCs w:val="0"/>
          <w:caps w:val="0"/>
          <w:color w:val="000000"/>
          <w:spacing w:val="0"/>
          <w:sz w:val="21"/>
          <w:szCs w:val="21"/>
          <w:lang w:eastAsia="zh-CN"/>
        </w:rPr>
        <w:t>苍梧县石桥镇苍梧县行政中心大楼东附楼</w:t>
      </w:r>
      <w:r>
        <w:rPr>
          <w:rFonts w:hint="eastAsia" w:asciiTheme="minorEastAsia" w:hAnsiTheme="minorEastAsia" w:eastAsiaTheme="minorEastAsia" w:cstheme="minorEastAsia"/>
          <w:i w:val="0"/>
          <w:iCs w:val="0"/>
          <w:caps w:val="0"/>
          <w:color w:val="000000"/>
          <w:spacing w:val="0"/>
          <w:sz w:val="21"/>
          <w:szCs w:val="21"/>
        </w:rPr>
        <w:t> </w:t>
      </w:r>
    </w:p>
    <w:p w14:paraId="6141DB8B">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项目联系人：</w:t>
      </w:r>
      <w:r>
        <w:rPr>
          <w:rFonts w:hint="eastAsia" w:asciiTheme="minorEastAsia" w:hAnsiTheme="minorEastAsia" w:eastAsiaTheme="minorEastAsia" w:cstheme="minorEastAsia"/>
          <w:i w:val="0"/>
          <w:iCs w:val="0"/>
          <w:caps w:val="0"/>
          <w:color w:val="000000"/>
          <w:spacing w:val="0"/>
          <w:sz w:val="21"/>
          <w:szCs w:val="21"/>
          <w:lang w:eastAsia="zh-CN"/>
        </w:rPr>
        <w:t>倪站长</w:t>
      </w:r>
      <w:r>
        <w:rPr>
          <w:rFonts w:hint="eastAsia" w:asciiTheme="minorEastAsia" w:hAnsiTheme="minorEastAsia" w:eastAsiaTheme="minorEastAsia" w:cstheme="minorEastAsia"/>
          <w:i w:val="0"/>
          <w:iCs w:val="0"/>
          <w:caps w:val="0"/>
          <w:color w:val="000000"/>
          <w:spacing w:val="0"/>
          <w:sz w:val="21"/>
          <w:szCs w:val="21"/>
        </w:rPr>
        <w:t> </w:t>
      </w:r>
    </w:p>
    <w:p w14:paraId="091638A1">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项目联系方式：</w:t>
      </w:r>
      <w:r>
        <w:rPr>
          <w:rFonts w:hint="eastAsia" w:asciiTheme="minorEastAsia" w:hAnsiTheme="minorEastAsia" w:eastAsiaTheme="minorEastAsia" w:cstheme="minorEastAsia"/>
          <w:i w:val="0"/>
          <w:iCs w:val="0"/>
          <w:caps w:val="0"/>
          <w:color w:val="000000"/>
          <w:spacing w:val="0"/>
          <w:sz w:val="21"/>
          <w:szCs w:val="21"/>
          <w:lang w:val="en-US" w:eastAsia="zh-CN"/>
        </w:rPr>
        <w:t>0774-2692881</w:t>
      </w:r>
      <w:r>
        <w:rPr>
          <w:rFonts w:hint="eastAsia" w:asciiTheme="minorEastAsia" w:hAnsiTheme="minorEastAsia" w:eastAsiaTheme="minorEastAsia" w:cstheme="minorEastAsia"/>
          <w:i w:val="0"/>
          <w:iCs w:val="0"/>
          <w:caps w:val="0"/>
          <w:color w:val="000000"/>
          <w:spacing w:val="0"/>
          <w:sz w:val="21"/>
          <w:szCs w:val="21"/>
        </w:rPr>
        <w:t>  </w:t>
      </w:r>
      <w:r>
        <w:rPr>
          <w:rFonts w:hint="eastAsia" w:asciiTheme="minorEastAsia" w:hAnsiTheme="minorEastAsia" w:eastAsiaTheme="minorEastAsia" w:cstheme="minorEastAsia"/>
          <w:i w:val="0"/>
          <w:iCs w:val="0"/>
          <w:caps w:val="0"/>
          <w:color w:val="000000"/>
          <w:spacing w:val="0"/>
          <w:sz w:val="21"/>
          <w:szCs w:val="21"/>
        </w:rPr>
        <w:br w:type="textWrapping"/>
      </w:r>
      <w:r>
        <w:rPr>
          <w:rFonts w:hint="eastAsia" w:asciiTheme="minorEastAsia" w:hAnsiTheme="minorEastAsia" w:eastAsiaTheme="minorEastAsia" w:cstheme="minorEastAsia"/>
          <w:i w:val="0"/>
          <w:iCs w:val="0"/>
          <w:caps w:val="0"/>
          <w:color w:val="000000"/>
          <w:spacing w:val="0"/>
          <w:sz w:val="21"/>
          <w:szCs w:val="21"/>
        </w:rPr>
        <w:t>    2.采购代理机构信息</w:t>
      </w:r>
    </w:p>
    <w:p w14:paraId="34D3A088">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名    称：广西汉昌工程咨询有限公司 </w:t>
      </w:r>
    </w:p>
    <w:p w14:paraId="1F19EA6D">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地    址：广西梧州市长洲区西堤三路19号国龙财富中心19层020室 </w:t>
      </w:r>
    </w:p>
    <w:p w14:paraId="531B10BC">
      <w:pPr>
        <w:pStyle w:val="28"/>
        <w:keepNext w:val="0"/>
        <w:keepLines w:val="0"/>
        <w:widowControl/>
        <w:suppressLineNumbers w:val="0"/>
        <w:spacing w:before="60" w:beforeAutospacing="0" w:after="6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项目联系人：莫工 </w:t>
      </w:r>
    </w:p>
    <w:p w14:paraId="302C902E">
      <w:pPr>
        <w:pStyle w:val="28"/>
        <w:keepNext w:val="0"/>
        <w:keepLines w:val="0"/>
        <w:widowControl/>
        <w:suppressLineNumbers w:val="0"/>
        <w:spacing w:before="60" w:beforeAutospacing="0" w:after="60" w:afterAutospacing="0" w:line="360" w:lineRule="auto"/>
        <w:ind w:left="0" w:right="0"/>
      </w:pPr>
      <w:r>
        <w:rPr>
          <w:rFonts w:hint="eastAsia" w:asciiTheme="minorEastAsia" w:hAnsiTheme="minorEastAsia" w:eastAsiaTheme="minorEastAsia" w:cstheme="minorEastAsia"/>
          <w:i w:val="0"/>
          <w:iCs w:val="0"/>
          <w:caps w:val="0"/>
          <w:color w:val="000000"/>
          <w:spacing w:val="0"/>
          <w:sz w:val="21"/>
          <w:szCs w:val="21"/>
        </w:rPr>
        <w:t>    项目联系方式：0774-6023922</w:t>
      </w:r>
    </w:p>
    <w:p w14:paraId="6328B7C2">
      <w:pPr>
        <w:rPr>
          <w:rFonts w:hint="eastAsia" w:asciiTheme="minorEastAsia" w:hAnsiTheme="minorEastAsia" w:eastAsiaTheme="minorEastAsia" w:cstheme="minorEastAsia"/>
          <w:i w:val="0"/>
          <w:iCs w:val="0"/>
          <w:caps w:val="0"/>
          <w:color w:val="000000"/>
          <w:spacing w:val="0"/>
          <w:sz w:val="21"/>
          <w:szCs w:val="21"/>
        </w:rPr>
      </w:pPr>
    </w:p>
    <w:p w14:paraId="2E93B99E">
      <w:pPr>
        <w:jc w:val="center"/>
        <w:rPr>
          <w:rFonts w:hint="eastAsia" w:asciiTheme="minorEastAsia" w:hAnsiTheme="minorEastAsia" w:eastAsiaTheme="minorEastAsia" w:cstheme="minorEastAsia"/>
          <w:i w:val="0"/>
          <w:iCs w:val="0"/>
          <w:caps w:val="0"/>
          <w:color w:val="000000"/>
          <w:spacing w:val="0"/>
          <w:sz w:val="21"/>
          <w:szCs w:val="21"/>
          <w:lang w:val="en-US" w:eastAsia="zh-CN"/>
        </w:rPr>
      </w:pP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p>
    <w:p w14:paraId="332C0856">
      <w:pPr>
        <w:wordWrap w:val="0"/>
        <w:spacing w:line="336" w:lineRule="auto"/>
        <w:ind w:firstLine="420" w:firstLineChars="200"/>
        <w:jc w:val="right"/>
        <w:rPr>
          <w:rFonts w:ascii="宋体" w:hAnsi="宋体" w:cs="宋体"/>
          <w:sz w:val="24"/>
        </w:rPr>
      </w:pPr>
      <w:r>
        <w:rPr>
          <w:rFonts w:hint="eastAsia" w:asciiTheme="minorEastAsia" w:hAnsiTheme="minorEastAsia" w:eastAsiaTheme="minorEastAsia" w:cstheme="minorEastAsia"/>
          <w:i w:val="0"/>
          <w:iCs w:val="0"/>
          <w:caps w:val="0"/>
          <w:color w:val="000000"/>
          <w:spacing w:val="0"/>
          <w:sz w:val="21"/>
          <w:szCs w:val="21"/>
          <w:lang w:val="en-US" w:eastAsia="zh-CN"/>
        </w:rPr>
        <w:t xml:space="preserve">                         </w:t>
      </w:r>
    </w:p>
    <w:p w14:paraId="14C9C838">
      <w:pPr>
        <w:wordWrap w:val="0"/>
        <w:spacing w:line="336" w:lineRule="auto"/>
        <w:ind w:firstLine="480" w:firstLineChars="200"/>
        <w:jc w:val="right"/>
        <w:rPr>
          <w:rFonts w:ascii="宋体" w:hAnsi="宋体" w:cs="宋体"/>
          <w:sz w:val="24"/>
        </w:rPr>
      </w:pPr>
      <w:r>
        <w:rPr>
          <w:rFonts w:hint="eastAsia" w:ascii="宋体" w:hAnsi="宋体" w:cs="宋体"/>
          <w:sz w:val="24"/>
        </w:rPr>
        <w:t>广西汉昌工程咨询有限公司</w:t>
      </w:r>
    </w:p>
    <w:p w14:paraId="7C7BC569">
      <w:pPr>
        <w:wordWrap w:val="0"/>
        <w:spacing w:line="336" w:lineRule="auto"/>
        <w:ind w:firstLine="480" w:firstLineChars="200"/>
        <w:jc w:val="right"/>
        <w:rPr>
          <w:rFonts w:ascii="宋体" w:hAnsi="宋体" w:cs="宋体"/>
          <w:sz w:val="24"/>
        </w:r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w:t>
      </w:r>
    </w:p>
    <w:p w14:paraId="20108227">
      <w:pPr>
        <w:spacing w:line="400" w:lineRule="exact"/>
        <w:ind w:firstLine="420" w:firstLineChars="200"/>
        <w:rPr>
          <w:rFonts w:ascii="宋体" w:hAnsi="宋体" w:cs="宋体"/>
          <w:szCs w:val="21"/>
        </w:rPr>
      </w:pPr>
    </w:p>
    <w:p w14:paraId="42FF8323">
      <w:pPr>
        <w:spacing w:line="400" w:lineRule="exact"/>
        <w:rPr>
          <w:rFonts w:ascii="宋体" w:hAnsi="宋体" w:cs="宋体"/>
          <w:szCs w:val="21"/>
        </w:rPr>
      </w:pPr>
    </w:p>
    <w:p w14:paraId="76C72F6A">
      <w:pPr>
        <w:spacing w:line="460" w:lineRule="exact"/>
        <w:jc w:val="center"/>
        <w:rPr>
          <w:rFonts w:ascii="宋体" w:hAnsi="宋体"/>
          <w:b/>
          <w:sz w:val="32"/>
          <w:szCs w:val="32"/>
        </w:rPr>
      </w:pPr>
      <w:r>
        <w:rPr>
          <w:rFonts w:ascii="宋体" w:hAnsi="宋体"/>
          <w:sz w:val="32"/>
          <w:szCs w:val="32"/>
        </w:rPr>
        <w:br w:type="page"/>
      </w:r>
      <w:bookmarkStart w:id="2" w:name="_Toc74323457"/>
      <w:r>
        <w:rPr>
          <w:rFonts w:hint="eastAsia" w:ascii="宋体" w:hAnsi="宋体"/>
          <w:b/>
          <w:sz w:val="32"/>
          <w:szCs w:val="32"/>
        </w:rPr>
        <w:t>第二章 供应商须知</w:t>
      </w:r>
      <w:bookmarkEnd w:id="2"/>
    </w:p>
    <w:p w14:paraId="58642C4C">
      <w:pPr>
        <w:spacing w:line="460" w:lineRule="exact"/>
        <w:jc w:val="center"/>
        <w:rPr>
          <w:rFonts w:ascii="宋体" w:hAnsi="宋体"/>
          <w:b/>
          <w:sz w:val="32"/>
          <w:szCs w:val="32"/>
        </w:rPr>
      </w:pPr>
      <w:r>
        <w:rPr>
          <w:rFonts w:hint="eastAsia" w:ascii="宋体" w:hAnsi="宋体"/>
          <w:b/>
          <w:sz w:val="32"/>
          <w:szCs w:val="32"/>
        </w:rPr>
        <w:t>供应商须知前附表</w:t>
      </w:r>
    </w:p>
    <w:p w14:paraId="122D0D22">
      <w:pPr>
        <w:jc w:val="center"/>
        <w:rPr>
          <w:rFonts w:ascii="宋体" w:hAnsi="宋体"/>
          <w:b/>
          <w:sz w:val="24"/>
        </w:rPr>
      </w:pP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
        <w:gridCol w:w="8220"/>
      </w:tblGrid>
      <w:tr w14:paraId="36CA4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40" w:type="dxa"/>
          </w:tcPr>
          <w:p w14:paraId="170B21C4">
            <w:pPr>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条款号</w:t>
            </w:r>
          </w:p>
        </w:tc>
        <w:tc>
          <w:tcPr>
            <w:tcW w:w="8220" w:type="dxa"/>
          </w:tcPr>
          <w:p w14:paraId="31945A95">
            <w:pPr>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内    容</w:t>
            </w:r>
          </w:p>
        </w:tc>
      </w:tr>
      <w:tr w14:paraId="7FF00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472F78AA">
            <w:pPr>
              <w:pStyle w:val="19"/>
              <w:spacing w:line="360" w:lineRule="auto"/>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1.1</w:t>
            </w:r>
          </w:p>
        </w:tc>
        <w:tc>
          <w:tcPr>
            <w:tcW w:w="8220" w:type="dxa"/>
            <w:vAlign w:val="center"/>
          </w:tcPr>
          <w:p w14:paraId="46FBAC78">
            <w:pPr>
              <w:spacing w:line="360" w:lineRule="auto"/>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lang w:eastAsia="zh-CN"/>
              </w:rPr>
              <w:t>苍梧县2025-2026年冬春季松材线虫病疫木集中除治项目</w:t>
            </w:r>
          </w:p>
          <w:p w14:paraId="72395DCF">
            <w:pPr>
              <w:pStyle w:val="19"/>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lang w:eastAsia="zh-CN"/>
              </w:rPr>
              <w:t>WZZC2026-C3-210041-HCZX</w:t>
            </w:r>
          </w:p>
          <w:p w14:paraId="787795CC">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采购预算：人民币</w:t>
            </w:r>
            <w:r>
              <w:rPr>
                <w:rFonts w:hint="eastAsia" w:asciiTheme="minorEastAsia" w:hAnsiTheme="minorEastAsia" w:eastAsiaTheme="minorEastAsia" w:cstheme="minorEastAsia"/>
                <w:lang w:val="en-US" w:eastAsia="zh-CN"/>
              </w:rPr>
              <w:t>267</w:t>
            </w:r>
            <w:r>
              <w:rPr>
                <w:rFonts w:hint="eastAsia" w:asciiTheme="minorEastAsia" w:hAnsiTheme="minorEastAsia" w:eastAsiaTheme="minorEastAsia" w:cstheme="minorEastAsia"/>
              </w:rPr>
              <w:t>万元</w:t>
            </w:r>
          </w:p>
        </w:tc>
      </w:tr>
      <w:tr w14:paraId="70D78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39E90727">
            <w:pPr>
              <w:pStyle w:val="19"/>
              <w:spacing w:line="360" w:lineRule="auto"/>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2.1</w:t>
            </w:r>
          </w:p>
        </w:tc>
        <w:tc>
          <w:tcPr>
            <w:tcW w:w="8220" w:type="dxa"/>
            <w:vAlign w:val="center"/>
          </w:tcPr>
          <w:p w14:paraId="6FC5C82D">
            <w:pPr>
              <w:pStyle w:val="19"/>
              <w:spacing w:line="360" w:lineRule="auto"/>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名 称：</w:t>
            </w:r>
            <w:r>
              <w:rPr>
                <w:rFonts w:hint="eastAsia" w:asciiTheme="minorEastAsia" w:hAnsiTheme="minorEastAsia" w:eastAsiaTheme="minorEastAsia" w:cstheme="minorEastAsia"/>
                <w:sz w:val="21"/>
                <w:lang w:eastAsia="zh-CN"/>
              </w:rPr>
              <w:t>苍梧县林业局</w:t>
            </w:r>
            <w:r>
              <w:rPr>
                <w:rFonts w:hint="eastAsia" w:asciiTheme="minorEastAsia" w:hAnsiTheme="minorEastAsia" w:eastAsiaTheme="minorEastAsia" w:cstheme="minorEastAsia"/>
                <w:sz w:val="21"/>
              </w:rPr>
              <w:t> </w:t>
            </w:r>
          </w:p>
          <w:p w14:paraId="6626A27F">
            <w:pPr>
              <w:pStyle w:val="19"/>
              <w:spacing w:line="360" w:lineRule="auto"/>
              <w:jc w:val="left"/>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地 址：</w:t>
            </w:r>
            <w:r>
              <w:rPr>
                <w:rFonts w:hint="eastAsia" w:asciiTheme="minorEastAsia" w:hAnsiTheme="minorEastAsia" w:eastAsiaTheme="minorEastAsia" w:cstheme="minorEastAsia"/>
                <w:i w:val="0"/>
                <w:iCs w:val="0"/>
                <w:caps w:val="0"/>
                <w:color w:val="000000"/>
                <w:spacing w:val="0"/>
                <w:sz w:val="21"/>
                <w:szCs w:val="21"/>
                <w:lang w:eastAsia="zh-CN"/>
              </w:rPr>
              <w:t>苍梧县石桥镇苍梧县行政中心大楼东附楼</w:t>
            </w:r>
          </w:p>
          <w:p w14:paraId="3FF7D6B0">
            <w:pPr>
              <w:pStyle w:val="19"/>
              <w:spacing w:line="360" w:lineRule="auto"/>
              <w:jc w:val="left"/>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z w:val="21"/>
              </w:rPr>
              <w:t>项目联系人：</w:t>
            </w:r>
            <w:r>
              <w:rPr>
                <w:rFonts w:hint="eastAsia" w:asciiTheme="minorEastAsia" w:hAnsiTheme="minorEastAsia" w:eastAsiaTheme="minorEastAsia" w:cstheme="minorEastAsia"/>
                <w:i w:val="0"/>
                <w:iCs w:val="0"/>
                <w:caps w:val="0"/>
                <w:color w:val="000000"/>
                <w:spacing w:val="0"/>
                <w:sz w:val="21"/>
                <w:szCs w:val="21"/>
                <w:lang w:eastAsia="zh-CN"/>
              </w:rPr>
              <w:t>倪站长</w:t>
            </w:r>
          </w:p>
          <w:p w14:paraId="15FA65D4">
            <w:pPr>
              <w:pStyle w:val="19"/>
              <w:spacing w:line="360" w:lineRule="auto"/>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项目联系方式：</w:t>
            </w:r>
            <w:r>
              <w:rPr>
                <w:rFonts w:hint="eastAsia" w:asciiTheme="minorEastAsia" w:hAnsiTheme="minorEastAsia" w:eastAsiaTheme="minorEastAsia" w:cstheme="minorEastAsia"/>
                <w:i w:val="0"/>
                <w:iCs w:val="0"/>
                <w:caps w:val="0"/>
                <w:color w:val="000000"/>
                <w:spacing w:val="0"/>
                <w:sz w:val="21"/>
                <w:szCs w:val="21"/>
                <w:lang w:val="en-US" w:eastAsia="zh-CN"/>
              </w:rPr>
              <w:t>0774-2692881</w:t>
            </w:r>
          </w:p>
        </w:tc>
      </w:tr>
      <w:tr w14:paraId="719A2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40" w:type="dxa"/>
            <w:vAlign w:val="center"/>
          </w:tcPr>
          <w:p w14:paraId="2CD3EFCF">
            <w:pPr>
              <w:pStyle w:val="19"/>
              <w:spacing w:line="360" w:lineRule="auto"/>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2.2</w:t>
            </w:r>
          </w:p>
        </w:tc>
        <w:tc>
          <w:tcPr>
            <w:tcW w:w="8220" w:type="dxa"/>
            <w:vAlign w:val="center"/>
          </w:tcPr>
          <w:p w14:paraId="44971AF9">
            <w:pPr>
              <w:pStyle w:val="19"/>
              <w:spacing w:line="360" w:lineRule="auto"/>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名  称：广西汉昌工程咨询有限公司 </w:t>
            </w:r>
          </w:p>
          <w:p w14:paraId="073624F0">
            <w:pPr>
              <w:pStyle w:val="19"/>
              <w:spacing w:line="360" w:lineRule="auto"/>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地 址：广西梧州市长洲区西堤三路19号国龙财富中心19层020室 </w:t>
            </w:r>
          </w:p>
          <w:p w14:paraId="14240DDB">
            <w:pPr>
              <w:pStyle w:val="19"/>
              <w:spacing w:line="360" w:lineRule="auto"/>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项目联系人：莫工 </w:t>
            </w:r>
          </w:p>
          <w:p w14:paraId="66B54841">
            <w:pPr>
              <w:pStyle w:val="19"/>
              <w:spacing w:line="360" w:lineRule="auto"/>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项目联系方式：0774-6023922</w:t>
            </w:r>
          </w:p>
        </w:tc>
      </w:tr>
      <w:tr w14:paraId="407C4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46982F5A">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220" w:type="dxa"/>
            <w:vAlign w:val="center"/>
          </w:tcPr>
          <w:p w14:paraId="5F468E5C">
            <w:pPr>
              <w:pStyle w:val="12"/>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供应商的资格条件</w:t>
            </w:r>
            <w:r>
              <w:rPr>
                <w:rFonts w:hint="eastAsia" w:asciiTheme="minorEastAsia" w:hAnsiTheme="minorEastAsia" w:eastAsiaTheme="minorEastAsia" w:cstheme="minorEastAsia"/>
                <w:szCs w:val="21"/>
              </w:rPr>
              <w:t>：详见竞争性磋商公告</w:t>
            </w:r>
          </w:p>
        </w:tc>
      </w:tr>
      <w:tr w14:paraId="57E56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40" w:type="dxa"/>
            <w:vAlign w:val="center"/>
          </w:tcPr>
          <w:p w14:paraId="0C2DA39F">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w:t>
            </w:r>
          </w:p>
        </w:tc>
        <w:tc>
          <w:tcPr>
            <w:tcW w:w="8220" w:type="dxa"/>
            <w:vAlign w:val="center"/>
          </w:tcPr>
          <w:p w14:paraId="56FB9848">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是否接受联合体竞标: 详见竞争性磋商公告</w:t>
            </w:r>
          </w:p>
        </w:tc>
      </w:tr>
      <w:tr w14:paraId="7E170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29D73F2E">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c>
          <w:tcPr>
            <w:tcW w:w="8220" w:type="dxa"/>
            <w:vAlign w:val="center"/>
          </w:tcPr>
          <w:p w14:paraId="2B135128">
            <w:pPr>
              <w:pStyle w:val="12"/>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是否允许分包：□允许/ ☑不允许</w:t>
            </w:r>
          </w:p>
        </w:tc>
      </w:tr>
      <w:tr w14:paraId="7A4D9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11DAEA27">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12.1.1</w:t>
            </w:r>
          </w:p>
        </w:tc>
        <w:tc>
          <w:tcPr>
            <w:tcW w:w="8220" w:type="dxa"/>
            <w:vAlign w:val="center"/>
          </w:tcPr>
          <w:p w14:paraId="17A9789B">
            <w:pPr>
              <w:spacing w:line="360" w:lineRule="auto"/>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资格证明文件</w:t>
            </w:r>
          </w:p>
          <w:p w14:paraId="599CF03F">
            <w:pPr>
              <w:pStyle w:val="12"/>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供应商为法人或者其他组织的，证明文件为其营业执照复印件（如营业执照或者事业单位法人证书或者执业许可证等）；供应商为自然人的，证明文件为其身份证复印件；（</w:t>
            </w:r>
            <w:r>
              <w:rPr>
                <w:rFonts w:hint="eastAsia" w:asciiTheme="minorEastAsia" w:hAnsiTheme="minorEastAsia" w:eastAsiaTheme="minorEastAsia" w:cstheme="minorEastAsia"/>
                <w:b/>
                <w:szCs w:val="21"/>
              </w:rPr>
              <w:t>必须提供，否则响应文件按无效响应处理</w:t>
            </w:r>
            <w:r>
              <w:rPr>
                <w:rFonts w:hint="eastAsia" w:asciiTheme="minorEastAsia" w:hAnsiTheme="minorEastAsia" w:eastAsiaTheme="minorEastAsia" w:cstheme="minorEastAsia"/>
                <w:szCs w:val="21"/>
              </w:rPr>
              <w:t>）</w:t>
            </w:r>
          </w:p>
          <w:p w14:paraId="6AD9F409">
            <w:pPr>
              <w:spacing w:line="360" w:lineRule="auto"/>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供应商依法缴纳税收的相关材料（</w:t>
            </w:r>
            <w:r>
              <w:rPr>
                <w:rFonts w:hint="eastAsia" w:asciiTheme="minorEastAsia" w:hAnsiTheme="minorEastAsia" w:eastAsiaTheme="minorEastAsia" w:cstheme="minorEastAsia"/>
                <w:color w:val="auto"/>
                <w:sz w:val="21"/>
                <w:szCs w:val="21"/>
                <w:lang w:val="en-US" w:eastAsia="zh-CN"/>
              </w:rPr>
              <w:t>2025年10月至截标时间前任意的</w:t>
            </w:r>
            <w:r>
              <w:rPr>
                <w:rFonts w:hint="eastAsia" w:asciiTheme="minorEastAsia" w:hAnsiTheme="minorEastAsia" w:eastAsiaTheme="minorEastAsia" w:cstheme="minorEastAsia"/>
                <w:szCs w:val="21"/>
              </w:rPr>
              <w:t>连续</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三</w:t>
            </w:r>
            <w:r>
              <w:rPr>
                <w:rFonts w:hint="eastAsia" w:asciiTheme="minorEastAsia" w:hAnsiTheme="minorEastAsia" w:eastAsiaTheme="minorEastAsia" w:cstheme="minorEastAsia"/>
                <w:szCs w:val="21"/>
              </w:rPr>
              <w:t>个月的依法缴纳税收的凭据复印件；</w:t>
            </w:r>
            <w:r>
              <w:rPr>
                <w:rFonts w:hint="eastAsia" w:asciiTheme="minorEastAsia" w:hAnsiTheme="minorEastAsia" w:eastAsiaTheme="minorEastAsia" w:cstheme="minorEastAsia"/>
              </w:rPr>
              <w:t>依法免税的，必须提供相应文件证明其依法免税。</w:t>
            </w:r>
            <w:r>
              <w:rPr>
                <w:rFonts w:hint="eastAsia" w:asciiTheme="minorEastAsia" w:hAnsiTheme="minorEastAsia" w:eastAsiaTheme="minorEastAsia" w:cstheme="minorEastAsia"/>
                <w:szCs w:val="21"/>
              </w:rPr>
              <w:t>从成立之日起到响应文件提交截止时间止不足要求月数的，只需提供从成立之日起的依法缴纳税收</w:t>
            </w:r>
            <w:r>
              <w:rPr>
                <w:rFonts w:hint="eastAsia" w:asciiTheme="minorEastAsia" w:hAnsiTheme="minorEastAsia" w:eastAsiaTheme="minorEastAsia" w:cstheme="minorEastAsia"/>
              </w:rPr>
              <w:t>相应证明文件</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szCs w:val="21"/>
              </w:rPr>
              <w:t>必须提供，否则响应文件按无效响应处理</w:t>
            </w:r>
            <w:r>
              <w:rPr>
                <w:rFonts w:hint="eastAsia" w:asciiTheme="minorEastAsia" w:hAnsiTheme="minorEastAsia" w:eastAsiaTheme="minorEastAsia" w:cstheme="minorEastAsia"/>
                <w:szCs w:val="21"/>
              </w:rPr>
              <w:t>）</w:t>
            </w:r>
          </w:p>
          <w:p w14:paraId="17A54947">
            <w:pPr>
              <w:spacing w:line="360" w:lineRule="auto"/>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 供应商依法缴纳社会保障资金的相关材料[</w:t>
            </w:r>
            <w:r>
              <w:rPr>
                <w:rFonts w:hint="eastAsia" w:asciiTheme="minorEastAsia" w:hAnsiTheme="minorEastAsia" w:eastAsiaTheme="minorEastAsia" w:cstheme="minorEastAsia"/>
                <w:color w:val="auto"/>
                <w:sz w:val="21"/>
                <w:szCs w:val="21"/>
                <w:lang w:val="en-US" w:eastAsia="zh-CN"/>
              </w:rPr>
              <w:t>2025年10月至截标时间前任意的</w:t>
            </w:r>
            <w:r>
              <w:rPr>
                <w:rFonts w:hint="eastAsia" w:asciiTheme="minorEastAsia" w:hAnsiTheme="minorEastAsia" w:eastAsiaTheme="minorEastAsia" w:cstheme="minorEastAsia"/>
                <w:szCs w:val="21"/>
              </w:rPr>
              <w:t>连续三个月的依法缴纳社会保障资金的缴费凭证（专用收据或者社会保险缴纳清单）复印件；</w:t>
            </w:r>
            <w:r>
              <w:rPr>
                <w:rFonts w:hint="eastAsia" w:asciiTheme="minorEastAsia" w:hAnsiTheme="minorEastAsia" w:eastAsiaTheme="minorEastAsia" w:cstheme="minorEastAsia"/>
              </w:rPr>
              <w:t>依法不需要缴纳社会保障资金的，必须提供相应文件证明不需要缴纳社会保障资金。</w:t>
            </w:r>
            <w:r>
              <w:rPr>
                <w:rFonts w:hint="eastAsia" w:asciiTheme="minorEastAsia" w:hAnsiTheme="minorEastAsia" w:eastAsiaTheme="minorEastAsia" w:cstheme="minorEastAsia"/>
                <w:szCs w:val="21"/>
              </w:rPr>
              <w:t>从成立之日起到响应文件提交截止时间止不足要求月数的只需提供从成立之日起的依法缴纳社会保障资金的</w:t>
            </w:r>
            <w:r>
              <w:rPr>
                <w:rFonts w:hint="eastAsia" w:asciiTheme="minorEastAsia" w:hAnsiTheme="minorEastAsia" w:eastAsiaTheme="minorEastAsia" w:cstheme="minorEastAsia"/>
              </w:rPr>
              <w:t>相应证明文件</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szCs w:val="21"/>
              </w:rPr>
              <w:t>必须提供，否则响应文件按无效响应处理</w:t>
            </w:r>
            <w:r>
              <w:rPr>
                <w:rFonts w:hint="eastAsia" w:asciiTheme="minorEastAsia" w:hAnsiTheme="minorEastAsia" w:eastAsiaTheme="minorEastAsia" w:cstheme="minorEastAsia"/>
                <w:szCs w:val="21"/>
              </w:rPr>
              <w:t>）</w:t>
            </w:r>
          </w:p>
          <w:p w14:paraId="3EBD09AB">
            <w:pPr>
              <w:spacing w:line="360" w:lineRule="auto"/>
              <w:contextualSpacing/>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4. 供应商财务状况报告（</w:t>
            </w:r>
            <w:r>
              <w:rPr>
                <w:rFonts w:hint="eastAsia" w:asciiTheme="minorEastAsia" w:hAnsiTheme="minorEastAsia" w:eastAsiaTheme="minorEastAsia" w:cstheme="minorEastAsia"/>
                <w:color w:val="auto"/>
                <w:sz w:val="21"/>
                <w:szCs w:val="21"/>
                <w:highlight w:val="none"/>
                <w:u w:val="single"/>
                <w:lang w:val="en-US" w:eastAsia="zh-CN"/>
              </w:rPr>
              <w:t>2024</w:t>
            </w:r>
            <w:r>
              <w:rPr>
                <w:rFonts w:hint="eastAsia" w:asciiTheme="minorEastAsia" w:hAnsiTheme="minorEastAsia" w:eastAsiaTheme="minorEastAsia" w:cstheme="minorEastAsia"/>
                <w:color w:val="auto"/>
                <w:sz w:val="21"/>
                <w:szCs w:val="21"/>
                <w:highlight w:val="none"/>
                <w:u w:val="single"/>
              </w:rPr>
              <w:t>年</w:t>
            </w:r>
            <w:r>
              <w:rPr>
                <w:rFonts w:hint="eastAsia" w:asciiTheme="minorEastAsia" w:hAnsiTheme="minorEastAsia" w:eastAsiaTheme="minorEastAsia" w:cstheme="minorEastAsia"/>
                <w:color w:val="auto"/>
                <w:sz w:val="21"/>
                <w:szCs w:val="21"/>
                <w:highlight w:val="none"/>
                <w:u w:val="single"/>
                <w:lang w:val="en-US" w:eastAsia="zh-CN"/>
              </w:rPr>
              <w:t>或2025年</w:t>
            </w:r>
            <w:r>
              <w:rPr>
                <w:rFonts w:hint="eastAsia" w:asciiTheme="minorEastAsia" w:hAnsiTheme="minorEastAsia" w:eastAsiaTheme="minorEastAsia" w:cstheme="minorEastAsia"/>
                <w:color w:val="auto"/>
                <w:sz w:val="21"/>
                <w:szCs w:val="21"/>
                <w:highlight w:val="none"/>
                <w:u w:val="single"/>
              </w:rPr>
              <w:t>度</w:t>
            </w:r>
            <w:r>
              <w:rPr>
                <w:rFonts w:hint="eastAsia" w:asciiTheme="minorEastAsia" w:hAnsiTheme="minorEastAsia" w:eastAsiaTheme="minorEastAsia" w:cstheme="minorEastAsia"/>
                <w:szCs w:val="21"/>
              </w:rPr>
              <w:t>财务报表复印件或者银行出具的资信证明；供应商属于</w:t>
            </w:r>
            <w:r>
              <w:rPr>
                <w:rFonts w:hint="eastAsia" w:asciiTheme="minorEastAsia" w:hAnsiTheme="minorEastAsia" w:eastAsiaTheme="minorEastAsia" w:cstheme="minorEastAsia"/>
              </w:rPr>
              <w:t>成立时间</w:t>
            </w:r>
            <w:r>
              <w:rPr>
                <w:rFonts w:hint="eastAsia" w:asciiTheme="minorEastAsia" w:hAnsiTheme="minorEastAsia" w:eastAsiaTheme="minorEastAsia" w:cstheme="minorEastAsia"/>
                <w:kern w:val="0"/>
              </w:rPr>
              <w:t>在规定年度之后</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szCs w:val="21"/>
              </w:rPr>
              <w:t>法人或其他组织</w:t>
            </w:r>
            <w:r>
              <w:rPr>
                <w:rFonts w:hint="eastAsia" w:asciiTheme="minorEastAsia" w:hAnsiTheme="minorEastAsia" w:eastAsiaTheme="minorEastAsia" w:cstheme="minorEastAsia"/>
              </w:rPr>
              <w:t>，需提供成立之日起至响应文件提交截止时间前的月报表</w:t>
            </w:r>
            <w:r>
              <w:rPr>
                <w:rFonts w:hint="eastAsia" w:asciiTheme="minorEastAsia" w:hAnsiTheme="minorEastAsia" w:eastAsiaTheme="minorEastAsia" w:cstheme="minorEastAsia"/>
                <w:szCs w:val="21"/>
              </w:rPr>
              <w:t>或银行出具的资信证明；资信证明应在有效期内，未注明有效期的，银行出具时间至响应文件提交截止时间不超过一年）；</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
                <w:szCs w:val="21"/>
              </w:rPr>
              <w:t>除自然人外必须提供，否则响应文件按无效响应处理</w:t>
            </w:r>
            <w:r>
              <w:rPr>
                <w:rFonts w:hint="eastAsia" w:asciiTheme="minorEastAsia" w:hAnsiTheme="minorEastAsia" w:eastAsiaTheme="minorEastAsia" w:cstheme="minorEastAsia"/>
                <w:bCs/>
                <w:szCs w:val="21"/>
              </w:rPr>
              <w:t>）</w:t>
            </w:r>
          </w:p>
          <w:p w14:paraId="61BC19F5">
            <w:pPr>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5.供应商直接控股、管理关系信息表（格式后附）；</w:t>
            </w:r>
            <w:bookmarkStart w:id="116" w:name="_GoBack"/>
            <w:bookmarkEnd w:id="116"/>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szCs w:val="21"/>
              </w:rPr>
              <w:t>必须提供，否则响应文件按无效响应处理</w:t>
            </w:r>
            <w:r>
              <w:rPr>
                <w:rFonts w:hint="eastAsia" w:asciiTheme="minorEastAsia" w:hAnsiTheme="minorEastAsia" w:eastAsiaTheme="minorEastAsia" w:cstheme="minorEastAsia"/>
                <w:szCs w:val="21"/>
              </w:rPr>
              <w:t>）</w:t>
            </w:r>
          </w:p>
          <w:p w14:paraId="055AAE78">
            <w:pPr>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6.竞标声明（格式后附）；（</w:t>
            </w:r>
            <w:r>
              <w:rPr>
                <w:rFonts w:hint="eastAsia" w:asciiTheme="minorEastAsia" w:hAnsiTheme="minorEastAsia" w:eastAsiaTheme="minorEastAsia" w:cstheme="minorEastAsia"/>
                <w:b/>
                <w:szCs w:val="21"/>
              </w:rPr>
              <w:t>必须提供，否则响应文件按无效响应处理</w:t>
            </w:r>
            <w:r>
              <w:rPr>
                <w:rFonts w:hint="eastAsia" w:asciiTheme="minorEastAsia" w:hAnsiTheme="minorEastAsia" w:eastAsiaTheme="minorEastAsia" w:cstheme="minorEastAsia"/>
                <w:szCs w:val="21"/>
              </w:rPr>
              <w:t>）</w:t>
            </w:r>
          </w:p>
          <w:p w14:paraId="4C801474">
            <w:pPr>
              <w:snapToGrid w:val="0"/>
              <w:spacing w:line="360" w:lineRule="auto"/>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7.</w:t>
            </w:r>
            <w:r>
              <w:rPr>
                <w:rFonts w:hint="eastAsia" w:asciiTheme="minorEastAsia" w:hAnsiTheme="minorEastAsia" w:eastAsiaTheme="minorEastAsia" w:cstheme="minorEastAsia"/>
                <w:color w:val="000000"/>
                <w:szCs w:val="21"/>
                <w:highlight w:val="none"/>
              </w:rPr>
              <w:t>中小企业声明函或者残疾人福利性单位声明函或者竞标人属于监狱企业的证明材料；（</w:t>
            </w:r>
            <w:r>
              <w:rPr>
                <w:rFonts w:hint="eastAsia" w:asciiTheme="minorEastAsia" w:hAnsiTheme="minorEastAsia" w:eastAsiaTheme="minorEastAsia" w:cstheme="minorEastAsia"/>
                <w:b/>
                <w:color w:val="000000"/>
                <w:szCs w:val="21"/>
                <w:highlight w:val="none"/>
              </w:rPr>
              <w:t>本项目如为专门面向中小企业（或者小型、微型企业）采购时必须提供，否则响应文件作无效处理</w:t>
            </w:r>
            <w:r>
              <w:rPr>
                <w:rFonts w:hint="eastAsia" w:asciiTheme="minorEastAsia" w:hAnsiTheme="minorEastAsia" w:eastAsiaTheme="minorEastAsia" w:cstheme="minorEastAsia"/>
                <w:color w:val="000000"/>
                <w:szCs w:val="21"/>
                <w:highlight w:val="none"/>
              </w:rPr>
              <w:t>）</w:t>
            </w:r>
          </w:p>
          <w:p w14:paraId="4A346317">
            <w:pPr>
              <w:snapToGrid w:val="0"/>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val="0"/>
                <w:bCs/>
                <w:color w:val="auto"/>
                <w:highlight w:val="none"/>
                <w:lang w:val="en-US" w:eastAsia="zh-CN"/>
              </w:rPr>
              <w:t>8.</w:t>
            </w:r>
            <w:r>
              <w:rPr>
                <w:rFonts w:hint="eastAsia" w:asciiTheme="minorEastAsia" w:hAnsiTheme="minorEastAsia" w:eastAsiaTheme="minorEastAsia" w:cstheme="minorEastAsia"/>
                <w:szCs w:val="21"/>
              </w:rPr>
              <w:t>除磋商文件规定必须提供以外，供应商认为需要提供的其他证明材料；</w:t>
            </w:r>
          </w:p>
          <w:p w14:paraId="6429CD7C">
            <w:pPr>
              <w:snapToGrid w:val="0"/>
              <w:spacing w:line="360" w:lineRule="auto"/>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w:t>
            </w:r>
          </w:p>
          <w:p w14:paraId="727DA7A5">
            <w:pPr>
              <w:snapToGrid w:val="0"/>
              <w:spacing w:line="360" w:lineRule="auto"/>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1．以上标明“必须提供”材料复印件的，必须加盖供应商CA签章，否则电子响应文件作无效处理。</w:t>
            </w:r>
          </w:p>
          <w:p w14:paraId="4AA06CBE">
            <w:pPr>
              <w:snapToGrid w:val="0"/>
              <w:spacing w:line="360" w:lineRule="auto"/>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电子响应文件中所须加盖公章部分均采用CA签章。若竞争性谈判文件中有专门标注的某关联点，并要求供应商在电子投标系统中作出谈判响应的，如供应商未对关联点进行响应或者在电子响应文件其它内容进行描述，造成电子评审不能查询的责任由供应商自行承担。</w:t>
            </w:r>
          </w:p>
          <w:p w14:paraId="12EA67F2">
            <w:pPr>
              <w:snapToGrid w:val="0"/>
              <w:spacing w:line="360" w:lineRule="auto"/>
              <w:ind w:firstLine="422"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3．以上材料未附格式的，由供应商自行拟定。</w:t>
            </w:r>
          </w:p>
        </w:tc>
      </w:tr>
      <w:tr w14:paraId="5E571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940" w:type="dxa"/>
            <w:vAlign w:val="center"/>
          </w:tcPr>
          <w:p w14:paraId="51DC8BE7">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12.1.2</w:t>
            </w:r>
          </w:p>
        </w:tc>
        <w:tc>
          <w:tcPr>
            <w:tcW w:w="8220" w:type="dxa"/>
            <w:vAlign w:val="center"/>
          </w:tcPr>
          <w:p w14:paraId="2B27AEDE">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报价文件</w:t>
            </w:r>
          </w:p>
          <w:p w14:paraId="10BC2722">
            <w:pPr>
              <w:wordWrap w:val="0"/>
              <w:spacing w:line="360" w:lineRule="auto"/>
              <w:ind w:left="15" w:hanging="14" w:hangingChars="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1.响应函；</w:t>
            </w:r>
            <w:r>
              <w:rPr>
                <w:rFonts w:hint="eastAsia" w:asciiTheme="minorEastAsia" w:hAnsiTheme="minorEastAsia" w:eastAsiaTheme="minorEastAsia" w:cstheme="minorEastAsia"/>
                <w:b/>
                <w:bCs/>
                <w:szCs w:val="21"/>
              </w:rPr>
              <w:t>（必须提供，否则响应文件按无效响应处理）</w:t>
            </w:r>
          </w:p>
          <w:p w14:paraId="3E1371A6">
            <w:pPr>
              <w:wordWrap w:val="0"/>
              <w:spacing w:line="360" w:lineRule="auto"/>
              <w:ind w:left="15" w:hanging="14" w:hangingChars="7"/>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2.响应报价表；</w:t>
            </w:r>
            <w:r>
              <w:rPr>
                <w:rFonts w:hint="eastAsia" w:asciiTheme="minorEastAsia" w:hAnsiTheme="minorEastAsia" w:eastAsiaTheme="minorEastAsia" w:cstheme="minorEastAsia"/>
                <w:b/>
                <w:bCs/>
                <w:szCs w:val="21"/>
              </w:rPr>
              <w:t>（必须提供，否则响应文件按无效响应处理）</w:t>
            </w:r>
          </w:p>
          <w:p w14:paraId="6BC63456">
            <w:pPr>
              <w:snapToGrid w:val="0"/>
              <w:spacing w:line="360" w:lineRule="auto"/>
              <w:jc w:val="left"/>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 xml:space="preserve">注： </w:t>
            </w:r>
          </w:p>
          <w:p w14:paraId="141E5807">
            <w:pPr>
              <w:snapToGrid w:val="0"/>
              <w:spacing w:line="360" w:lineRule="auto"/>
              <w:ind w:firstLine="211" w:firstLineChars="100"/>
              <w:jc w:val="left"/>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1</w:t>
            </w:r>
            <w:r>
              <w:rPr>
                <w:rFonts w:hint="eastAsia" w:asciiTheme="minorEastAsia" w:hAnsiTheme="minorEastAsia" w:eastAsiaTheme="minorEastAsia" w:cstheme="minorEastAsia"/>
                <w:color w:val="000000"/>
                <w:szCs w:val="21"/>
                <w:highlight w:val="none"/>
              </w:rPr>
              <w:t>．</w:t>
            </w:r>
            <w:r>
              <w:rPr>
                <w:rFonts w:hint="eastAsia" w:asciiTheme="minorEastAsia" w:hAnsiTheme="minorEastAsia" w:eastAsiaTheme="minorEastAsia" w:cstheme="minorEastAsia"/>
                <w:b/>
                <w:color w:val="000000"/>
                <w:szCs w:val="21"/>
                <w:highlight w:val="none"/>
              </w:rPr>
              <w:t>以上标明“必须提供”材料复印件的，必须加盖供应商CA签章，否则电子响应文件作无效处理。</w:t>
            </w:r>
          </w:p>
          <w:p w14:paraId="2B5AFBB8">
            <w:pPr>
              <w:snapToGrid w:val="0"/>
              <w:spacing w:line="360" w:lineRule="auto"/>
              <w:ind w:firstLine="211" w:firstLineChars="100"/>
              <w:jc w:val="left"/>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2</w:t>
            </w:r>
            <w:r>
              <w:rPr>
                <w:rFonts w:hint="eastAsia" w:asciiTheme="minorEastAsia" w:hAnsiTheme="minorEastAsia" w:eastAsiaTheme="minorEastAsia" w:cstheme="minorEastAsia"/>
                <w:color w:val="000000"/>
                <w:szCs w:val="21"/>
                <w:highlight w:val="none"/>
              </w:rPr>
              <w:t>．</w:t>
            </w:r>
            <w:r>
              <w:rPr>
                <w:rFonts w:hint="eastAsia" w:asciiTheme="minorEastAsia" w:hAnsiTheme="minorEastAsia" w:eastAsiaTheme="minorEastAsia" w:cstheme="minorEastAsia"/>
                <w:b/>
                <w:color w:val="000000"/>
                <w:szCs w:val="21"/>
                <w:highlight w:val="none"/>
              </w:rPr>
              <w:t>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p w14:paraId="09762DAF">
            <w:pPr>
              <w:wordWrap w:val="0"/>
              <w:spacing w:line="360" w:lineRule="auto"/>
              <w:ind w:left="15" w:hanging="15" w:hangingChars="7"/>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color w:val="000000"/>
                <w:szCs w:val="21"/>
                <w:highlight w:val="none"/>
              </w:rPr>
              <w:t>3</w:t>
            </w:r>
            <w:r>
              <w:rPr>
                <w:rFonts w:hint="eastAsia" w:asciiTheme="minorEastAsia" w:hAnsiTheme="minorEastAsia" w:eastAsiaTheme="minorEastAsia" w:cstheme="minorEastAsia"/>
                <w:color w:val="000000"/>
                <w:szCs w:val="21"/>
                <w:highlight w:val="none"/>
              </w:rPr>
              <w:t>．</w:t>
            </w:r>
            <w:r>
              <w:rPr>
                <w:rFonts w:hint="eastAsia" w:asciiTheme="minorEastAsia" w:hAnsiTheme="minorEastAsia" w:eastAsiaTheme="minorEastAsia" w:cstheme="minorEastAsia"/>
                <w:b/>
                <w:color w:val="000000"/>
                <w:szCs w:val="21"/>
                <w:highlight w:val="none"/>
              </w:rPr>
              <w:t>以上材料未附格式的，由供应商自行拟定。</w:t>
            </w:r>
          </w:p>
        </w:tc>
      </w:tr>
      <w:tr w14:paraId="60E1A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940" w:type="dxa"/>
            <w:vAlign w:val="center"/>
          </w:tcPr>
          <w:p w14:paraId="46CEECC9">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12.1.3</w:t>
            </w:r>
          </w:p>
        </w:tc>
        <w:tc>
          <w:tcPr>
            <w:tcW w:w="8220" w:type="dxa"/>
            <w:vAlign w:val="center"/>
          </w:tcPr>
          <w:p w14:paraId="09ADD621">
            <w:pPr>
              <w:spacing w:line="360" w:lineRule="auto"/>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商务文件</w:t>
            </w:r>
          </w:p>
          <w:p w14:paraId="6678C73F">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1.无串通竞标行为的承诺函（格式后附）；（</w:t>
            </w:r>
            <w:r>
              <w:rPr>
                <w:rFonts w:hint="eastAsia" w:asciiTheme="minorEastAsia" w:hAnsiTheme="minorEastAsia" w:eastAsiaTheme="minorEastAsia" w:cstheme="minorEastAsia"/>
                <w:b/>
                <w:szCs w:val="21"/>
              </w:rPr>
              <w:t>必须提供，否则响应文件按无效响应处理</w:t>
            </w:r>
            <w:r>
              <w:rPr>
                <w:rFonts w:hint="eastAsia" w:asciiTheme="minorEastAsia" w:hAnsiTheme="minorEastAsia" w:eastAsiaTheme="minorEastAsia" w:cstheme="minorEastAsia"/>
                <w:szCs w:val="21"/>
              </w:rPr>
              <w:t>）</w:t>
            </w:r>
          </w:p>
          <w:p w14:paraId="027EF305">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2.法定代表人身份证明书及法定代表人有效身份证正反面复印件（格式后附）；（</w:t>
            </w:r>
            <w:r>
              <w:rPr>
                <w:rFonts w:hint="eastAsia" w:asciiTheme="minorEastAsia" w:hAnsiTheme="minorEastAsia" w:eastAsiaTheme="minorEastAsia" w:cstheme="minorEastAsia"/>
                <w:b/>
                <w:bCs/>
                <w:szCs w:val="21"/>
              </w:rPr>
              <w:t>除自然人竞标外</w:t>
            </w:r>
            <w:r>
              <w:rPr>
                <w:rFonts w:hint="eastAsia" w:asciiTheme="minorEastAsia" w:hAnsiTheme="minorEastAsia" w:eastAsiaTheme="minorEastAsia" w:cstheme="minorEastAsia"/>
                <w:b/>
                <w:szCs w:val="21"/>
              </w:rPr>
              <w:t>必须提供，否则响应文件按无效响应处理</w:t>
            </w:r>
            <w:r>
              <w:rPr>
                <w:rFonts w:hint="eastAsia" w:asciiTheme="minorEastAsia" w:hAnsiTheme="minorEastAsia" w:eastAsiaTheme="minorEastAsia" w:cstheme="minorEastAsia"/>
                <w:szCs w:val="21"/>
              </w:rPr>
              <w:t>）</w:t>
            </w:r>
          </w:p>
          <w:p w14:paraId="0D9A9EB8">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3.法人授权委托书及委托代理人有效身份证正反面复印件（格式后附）；（</w:t>
            </w:r>
            <w:r>
              <w:rPr>
                <w:rFonts w:hint="eastAsia" w:asciiTheme="minorEastAsia" w:hAnsiTheme="minorEastAsia" w:eastAsiaTheme="minorEastAsia" w:cstheme="minorEastAsia"/>
                <w:b/>
                <w:szCs w:val="21"/>
              </w:rPr>
              <w:t>委托时必须提供，否则响应文件按无效响应处理</w:t>
            </w:r>
            <w:r>
              <w:rPr>
                <w:rFonts w:hint="eastAsia" w:asciiTheme="minorEastAsia" w:hAnsiTheme="minorEastAsia" w:eastAsiaTheme="minorEastAsia" w:cstheme="minorEastAsia"/>
                <w:szCs w:val="21"/>
              </w:rPr>
              <w:t>）</w:t>
            </w:r>
          </w:p>
          <w:p w14:paraId="1A08C9D6">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4.商务条款偏离表（格式后附）；（</w:t>
            </w:r>
            <w:r>
              <w:rPr>
                <w:rFonts w:hint="eastAsia" w:asciiTheme="minorEastAsia" w:hAnsiTheme="minorEastAsia" w:eastAsiaTheme="minorEastAsia" w:cstheme="minorEastAsia"/>
                <w:b/>
                <w:szCs w:val="21"/>
              </w:rPr>
              <w:t>必须提供，否则响应文件按无效响应处理</w:t>
            </w:r>
            <w:r>
              <w:rPr>
                <w:rFonts w:hint="eastAsia" w:asciiTheme="minorEastAsia" w:hAnsiTheme="minorEastAsia" w:eastAsiaTheme="minorEastAsia" w:cstheme="minorEastAsia"/>
                <w:szCs w:val="21"/>
              </w:rPr>
              <w:t>）</w:t>
            </w:r>
          </w:p>
          <w:p w14:paraId="7EA82C42">
            <w:pPr>
              <w:spacing w:line="360" w:lineRule="auto"/>
              <w:jc w:val="left"/>
              <w:rPr>
                <w:rFonts w:hint="eastAsia" w:asciiTheme="minorEastAsia" w:hAnsiTheme="minorEastAsia" w:eastAsiaTheme="minorEastAsia" w:cstheme="minorEastAsia"/>
                <w:szCs w:val="21"/>
              </w:rPr>
            </w:pPr>
            <w:ins w:id="0" w:author="tao" w:date="2025-11-03T18:16:10Z">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5</w:t>
              </w:r>
            </w:ins>
            <w:r>
              <w:rPr>
                <w:rFonts w:hint="eastAsia" w:asciiTheme="minorEastAsia" w:hAnsiTheme="minorEastAsia" w:eastAsiaTheme="minorEastAsia" w:cstheme="minorEastAsia"/>
                <w:color w:val="000000" w:themeColor="text1"/>
                <w:szCs w:val="21"/>
                <w14:textFill>
                  <w14:solidFill>
                    <w14:schemeClr w14:val="tx1"/>
                  </w14:solidFill>
                </w14:textFill>
              </w:rPr>
              <w:t>.供</w:t>
            </w:r>
            <w:r>
              <w:rPr>
                <w:rFonts w:hint="eastAsia" w:asciiTheme="minorEastAsia" w:hAnsiTheme="minorEastAsia" w:eastAsiaTheme="minorEastAsia" w:cstheme="minorEastAsia"/>
                <w:szCs w:val="21"/>
              </w:rPr>
              <w:t>应商认为需要提供的其他有关资料。</w:t>
            </w:r>
          </w:p>
          <w:p w14:paraId="48B7B619">
            <w:pPr>
              <w:snapToGrid w:val="0"/>
              <w:spacing w:line="360" w:lineRule="auto"/>
              <w:jc w:val="left"/>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 xml:space="preserve">注： </w:t>
            </w:r>
          </w:p>
          <w:p w14:paraId="1FF3E94F">
            <w:pPr>
              <w:snapToGrid w:val="0"/>
              <w:spacing w:line="360" w:lineRule="auto"/>
              <w:ind w:firstLine="211" w:firstLineChars="100"/>
              <w:jc w:val="left"/>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1</w:t>
            </w:r>
            <w:r>
              <w:rPr>
                <w:rFonts w:hint="eastAsia" w:asciiTheme="minorEastAsia" w:hAnsiTheme="minorEastAsia" w:eastAsiaTheme="minorEastAsia" w:cstheme="minorEastAsia"/>
                <w:color w:val="000000"/>
                <w:szCs w:val="21"/>
                <w:highlight w:val="none"/>
              </w:rPr>
              <w:t>．</w:t>
            </w:r>
            <w:r>
              <w:rPr>
                <w:rFonts w:hint="eastAsia" w:asciiTheme="minorEastAsia" w:hAnsiTheme="minorEastAsia" w:eastAsiaTheme="minorEastAsia" w:cstheme="minorEastAsia"/>
                <w:b/>
                <w:color w:val="000000"/>
                <w:szCs w:val="21"/>
                <w:highlight w:val="none"/>
              </w:rPr>
              <w:t>以上标明“必须提供”材料复印件的，必须加盖供应商CA签章，否则电子响应文件作无效处理。</w:t>
            </w:r>
          </w:p>
          <w:p w14:paraId="1276E760">
            <w:pPr>
              <w:snapToGrid w:val="0"/>
              <w:spacing w:line="360" w:lineRule="auto"/>
              <w:ind w:firstLine="211" w:firstLineChars="100"/>
              <w:jc w:val="left"/>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2</w:t>
            </w:r>
            <w:r>
              <w:rPr>
                <w:rFonts w:hint="eastAsia" w:asciiTheme="minorEastAsia" w:hAnsiTheme="minorEastAsia" w:eastAsiaTheme="minorEastAsia" w:cstheme="minorEastAsia"/>
                <w:color w:val="000000"/>
                <w:szCs w:val="21"/>
                <w:highlight w:val="none"/>
              </w:rPr>
              <w:t>．</w:t>
            </w:r>
            <w:r>
              <w:rPr>
                <w:rFonts w:hint="eastAsia" w:asciiTheme="minorEastAsia" w:hAnsiTheme="minorEastAsia" w:eastAsiaTheme="minorEastAsia" w:cstheme="minorEastAsia"/>
                <w:b/>
                <w:color w:val="000000"/>
                <w:szCs w:val="21"/>
                <w:highlight w:val="none"/>
              </w:rPr>
              <w:t>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p w14:paraId="6A55FD23">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color w:val="000000"/>
                <w:szCs w:val="21"/>
                <w:highlight w:val="none"/>
              </w:rPr>
              <w:t>3</w:t>
            </w:r>
            <w:r>
              <w:rPr>
                <w:rFonts w:hint="eastAsia" w:asciiTheme="minorEastAsia" w:hAnsiTheme="minorEastAsia" w:eastAsiaTheme="minorEastAsia" w:cstheme="minorEastAsia"/>
                <w:color w:val="000000"/>
                <w:szCs w:val="21"/>
                <w:highlight w:val="none"/>
              </w:rPr>
              <w:t>．</w:t>
            </w:r>
            <w:r>
              <w:rPr>
                <w:rFonts w:hint="eastAsia" w:asciiTheme="minorEastAsia" w:hAnsiTheme="minorEastAsia" w:eastAsiaTheme="minorEastAsia" w:cstheme="minorEastAsia"/>
                <w:b/>
                <w:color w:val="000000"/>
                <w:szCs w:val="21"/>
                <w:highlight w:val="none"/>
              </w:rPr>
              <w:t>以上材料未附格式的，由供应商自行拟定。</w:t>
            </w:r>
          </w:p>
        </w:tc>
      </w:tr>
      <w:tr w14:paraId="47D6B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40" w:type="dxa"/>
            <w:vAlign w:val="center"/>
          </w:tcPr>
          <w:p w14:paraId="318D1177">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12.1.4</w:t>
            </w:r>
          </w:p>
        </w:tc>
        <w:tc>
          <w:tcPr>
            <w:tcW w:w="8220" w:type="dxa"/>
            <w:vAlign w:val="center"/>
          </w:tcPr>
          <w:p w14:paraId="71B2C339">
            <w:pPr>
              <w:spacing w:line="360" w:lineRule="auto"/>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技术文件</w:t>
            </w:r>
          </w:p>
          <w:p w14:paraId="29AA229F">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1.技术需求偏离表（格式后附）；（</w:t>
            </w:r>
            <w:r>
              <w:rPr>
                <w:rFonts w:hint="eastAsia" w:asciiTheme="minorEastAsia" w:hAnsiTheme="minorEastAsia" w:eastAsiaTheme="minorEastAsia" w:cstheme="minorEastAsia"/>
                <w:b/>
                <w:szCs w:val="21"/>
              </w:rPr>
              <w:t>必须提供，否则响应文件按无效响应处理</w:t>
            </w:r>
            <w:r>
              <w:rPr>
                <w:rFonts w:hint="eastAsia" w:asciiTheme="minorEastAsia" w:hAnsiTheme="minorEastAsia" w:eastAsiaTheme="minorEastAsia" w:cstheme="minorEastAsia"/>
                <w:szCs w:val="21"/>
              </w:rPr>
              <w:t>）</w:t>
            </w:r>
          </w:p>
          <w:p w14:paraId="168D0F09">
            <w:pPr>
              <w:spacing w:line="360" w:lineRule="auto"/>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2.</w:t>
            </w:r>
            <w:r>
              <w:rPr>
                <w:rFonts w:hint="eastAsia" w:asciiTheme="minorEastAsia" w:hAnsiTheme="minorEastAsia" w:eastAsiaTheme="minorEastAsia" w:cstheme="minorEastAsia"/>
                <w:color w:val="000000"/>
                <w:szCs w:val="21"/>
                <w:highlight w:val="none"/>
              </w:rPr>
              <w:t>项目技术方案（格式自拟）；（</w:t>
            </w:r>
            <w:r>
              <w:rPr>
                <w:rFonts w:hint="eastAsia" w:asciiTheme="minorEastAsia" w:hAnsiTheme="minorEastAsia" w:eastAsiaTheme="minorEastAsia" w:cstheme="minorEastAsia"/>
                <w:b/>
                <w:color w:val="000000"/>
                <w:szCs w:val="21"/>
                <w:highlight w:val="none"/>
              </w:rPr>
              <w:t>必须提供，否则响应文件按无效响应处理</w:t>
            </w:r>
            <w:r>
              <w:rPr>
                <w:rFonts w:hint="eastAsia" w:asciiTheme="minorEastAsia" w:hAnsiTheme="minorEastAsia" w:eastAsiaTheme="minorEastAsia" w:cstheme="minorEastAsia"/>
                <w:color w:val="000000"/>
                <w:szCs w:val="21"/>
                <w:highlight w:val="none"/>
              </w:rPr>
              <w:t>）</w:t>
            </w:r>
          </w:p>
          <w:p w14:paraId="63788671">
            <w:pPr>
              <w:spacing w:line="360" w:lineRule="auto"/>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3</w:t>
            </w:r>
            <w:r>
              <w:rPr>
                <w:rFonts w:hint="eastAsia" w:asciiTheme="minorEastAsia" w:hAnsiTheme="minorEastAsia" w:eastAsiaTheme="minorEastAsia" w:cstheme="minorEastAsia"/>
                <w:color w:val="000000"/>
                <w:szCs w:val="21"/>
                <w:highlight w:val="none"/>
              </w:rPr>
              <w:t>．项目服务方案（格式自拟）；（</w:t>
            </w:r>
            <w:r>
              <w:rPr>
                <w:rFonts w:hint="eastAsia" w:asciiTheme="minorEastAsia" w:hAnsiTheme="minorEastAsia" w:eastAsiaTheme="minorEastAsia" w:cstheme="minorEastAsia"/>
                <w:b/>
                <w:color w:val="000000"/>
                <w:szCs w:val="21"/>
                <w:highlight w:val="none"/>
              </w:rPr>
              <w:t>必须提供，否则响应文件按无效响应处理</w:t>
            </w:r>
            <w:r>
              <w:rPr>
                <w:rFonts w:hint="eastAsia" w:asciiTheme="minorEastAsia" w:hAnsiTheme="minorEastAsia" w:eastAsiaTheme="minorEastAsia" w:cstheme="minorEastAsia"/>
                <w:color w:val="000000"/>
                <w:szCs w:val="21"/>
                <w:highlight w:val="none"/>
              </w:rPr>
              <w:t>）</w:t>
            </w:r>
          </w:p>
          <w:p w14:paraId="436FCD56">
            <w:pPr>
              <w:spacing w:line="360" w:lineRule="auto"/>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4</w:t>
            </w:r>
            <w:r>
              <w:rPr>
                <w:rFonts w:hint="eastAsia" w:asciiTheme="minorEastAsia" w:hAnsiTheme="minorEastAsia" w:eastAsiaTheme="minorEastAsia" w:cstheme="minorEastAsia"/>
                <w:color w:val="000000"/>
                <w:szCs w:val="21"/>
                <w:highlight w:val="none"/>
              </w:rPr>
              <w:t>．服务需求偏离表（格式后附）；（</w:t>
            </w:r>
            <w:r>
              <w:rPr>
                <w:rFonts w:hint="eastAsia" w:asciiTheme="minorEastAsia" w:hAnsiTheme="minorEastAsia" w:eastAsiaTheme="minorEastAsia" w:cstheme="minorEastAsia"/>
                <w:b/>
                <w:color w:val="000000"/>
                <w:szCs w:val="21"/>
                <w:highlight w:val="none"/>
              </w:rPr>
              <w:t>必须提供，否则响应文件按无效响应处理</w:t>
            </w:r>
            <w:r>
              <w:rPr>
                <w:rFonts w:hint="eastAsia" w:asciiTheme="minorEastAsia" w:hAnsiTheme="minorEastAsia" w:eastAsiaTheme="minorEastAsia" w:cstheme="minorEastAsia"/>
                <w:color w:val="000000"/>
                <w:szCs w:val="21"/>
                <w:highlight w:val="none"/>
              </w:rPr>
              <w:t>）</w:t>
            </w:r>
          </w:p>
          <w:p w14:paraId="5287410A">
            <w:pPr>
              <w:spacing w:line="360" w:lineRule="auto"/>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5</w:t>
            </w:r>
            <w:r>
              <w:rPr>
                <w:rFonts w:hint="eastAsia" w:asciiTheme="minorEastAsia" w:hAnsiTheme="minorEastAsia" w:eastAsiaTheme="minorEastAsia" w:cstheme="minorEastAsia"/>
                <w:color w:val="000000"/>
                <w:szCs w:val="21"/>
                <w:highlight w:val="none"/>
              </w:rPr>
              <w:t>．</w:t>
            </w:r>
            <w:r>
              <w:rPr>
                <w:rFonts w:hint="eastAsia" w:asciiTheme="minorEastAsia" w:hAnsiTheme="minorEastAsia" w:eastAsiaTheme="minorEastAsia" w:cstheme="minorEastAsia"/>
                <w:bCs/>
                <w:color w:val="000000"/>
                <w:szCs w:val="21"/>
                <w:highlight w:val="none"/>
              </w:rPr>
              <w:t>拟投入</w:t>
            </w:r>
            <w:r>
              <w:rPr>
                <w:rFonts w:hint="eastAsia" w:asciiTheme="minorEastAsia" w:hAnsiTheme="minorEastAsia" w:eastAsiaTheme="minorEastAsia" w:cstheme="minorEastAsia"/>
                <w:color w:val="000000"/>
                <w:szCs w:val="21"/>
                <w:highlight w:val="none"/>
              </w:rPr>
              <w:t>项目实施人员一览表（格式自拟）；（</w:t>
            </w:r>
            <w:r>
              <w:rPr>
                <w:rFonts w:hint="eastAsia" w:asciiTheme="minorEastAsia" w:hAnsiTheme="minorEastAsia" w:eastAsiaTheme="minorEastAsia" w:cstheme="minorEastAsia"/>
                <w:b/>
                <w:color w:val="000000"/>
                <w:szCs w:val="21"/>
                <w:highlight w:val="none"/>
              </w:rPr>
              <w:t>必须提供，否则响应文件按无效响应处理</w:t>
            </w:r>
            <w:r>
              <w:rPr>
                <w:rFonts w:hint="eastAsia" w:asciiTheme="minorEastAsia" w:hAnsiTheme="minorEastAsia" w:eastAsiaTheme="minorEastAsia" w:cstheme="minorEastAsia"/>
                <w:color w:val="000000"/>
                <w:szCs w:val="21"/>
                <w:highlight w:val="none"/>
              </w:rPr>
              <w:t>）</w:t>
            </w:r>
          </w:p>
          <w:p w14:paraId="0A5133FB">
            <w:pPr>
              <w:spacing w:line="360" w:lineRule="auto"/>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6</w:t>
            </w:r>
            <w:r>
              <w:rPr>
                <w:rFonts w:hint="eastAsia" w:asciiTheme="minorEastAsia" w:hAnsiTheme="minorEastAsia" w:eastAsiaTheme="minorEastAsia" w:cstheme="minorEastAsia"/>
                <w:color w:val="000000"/>
                <w:szCs w:val="21"/>
                <w:highlight w:val="none"/>
              </w:rPr>
              <w:t>．对应“第三章 采购内容及要求”</w:t>
            </w:r>
            <w:r>
              <w:rPr>
                <w:rFonts w:hint="eastAsia" w:asciiTheme="minorEastAsia" w:hAnsiTheme="minorEastAsia" w:eastAsiaTheme="minorEastAsia" w:cstheme="minorEastAsia"/>
                <w:color w:val="000000"/>
                <w:szCs w:val="21"/>
                <w:highlight w:val="none"/>
                <w:lang w:eastAsia="zh-CN"/>
              </w:rPr>
              <w:t>和</w:t>
            </w:r>
            <w:r>
              <w:rPr>
                <w:rFonts w:hint="eastAsia" w:asciiTheme="minorEastAsia" w:hAnsiTheme="minorEastAsia" w:eastAsiaTheme="minorEastAsia" w:cstheme="minorEastAsia"/>
                <w:color w:val="000000"/>
                <w:szCs w:val="21"/>
                <w:highlight w:val="none"/>
              </w:rPr>
              <w:t>“</w:t>
            </w:r>
            <w:r>
              <w:rPr>
                <w:rFonts w:hint="eastAsia" w:asciiTheme="minorEastAsia" w:hAnsiTheme="minorEastAsia" w:eastAsiaTheme="minorEastAsia" w:cstheme="minorEastAsia"/>
                <w:color w:val="000000"/>
                <w:szCs w:val="21"/>
                <w:highlight w:val="none"/>
                <w:lang w:eastAsia="zh-CN"/>
              </w:rPr>
              <w:t>第四章</w:t>
            </w:r>
            <w:r>
              <w:rPr>
                <w:rFonts w:hint="eastAsia" w:asciiTheme="minorEastAsia" w:hAnsiTheme="minorEastAsia" w:eastAsiaTheme="minorEastAsia" w:cstheme="minorEastAsia"/>
                <w:color w:val="000000"/>
                <w:szCs w:val="21"/>
                <w:highlight w:val="none"/>
              </w:rPr>
              <w:t>评审程序、评审方法和评审标准”</w:t>
            </w:r>
            <w:r>
              <w:rPr>
                <w:rFonts w:hint="eastAsia" w:asciiTheme="minorEastAsia" w:hAnsiTheme="minorEastAsia" w:eastAsiaTheme="minorEastAsia" w:cstheme="minorEastAsia"/>
                <w:color w:val="000000"/>
                <w:szCs w:val="21"/>
                <w:highlight w:val="none"/>
                <w:lang w:eastAsia="zh-CN"/>
              </w:rPr>
              <w:t>提供</w:t>
            </w:r>
            <w:r>
              <w:rPr>
                <w:rFonts w:hint="eastAsia" w:asciiTheme="minorEastAsia" w:hAnsiTheme="minorEastAsia" w:eastAsiaTheme="minorEastAsia" w:cstheme="minorEastAsia"/>
                <w:color w:val="000000"/>
                <w:szCs w:val="21"/>
                <w:highlight w:val="none"/>
              </w:rPr>
              <w:t>的其他文件资料；</w:t>
            </w:r>
          </w:p>
          <w:p w14:paraId="29D80707">
            <w:pPr>
              <w:spacing w:line="360" w:lineRule="auto"/>
              <w:jc w:val="left"/>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7</w:t>
            </w:r>
            <w:r>
              <w:rPr>
                <w:rFonts w:hint="eastAsia" w:asciiTheme="minorEastAsia" w:hAnsiTheme="minorEastAsia" w:eastAsiaTheme="minorEastAsia" w:cstheme="minorEastAsia"/>
                <w:color w:val="000000"/>
                <w:szCs w:val="21"/>
                <w:highlight w:val="none"/>
              </w:rPr>
              <w:t>．供应商认为需要提供的其他有关资料。</w:t>
            </w:r>
          </w:p>
          <w:p w14:paraId="29B68585">
            <w:pPr>
              <w:spacing w:line="360" w:lineRule="auto"/>
              <w:jc w:val="left"/>
              <w:rPr>
                <w:rFonts w:hint="eastAsia"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Cs w:val="21"/>
                <w:highlight w:val="none"/>
              </w:rPr>
              <w:t xml:space="preserve">注： </w:t>
            </w:r>
          </w:p>
          <w:p w14:paraId="6C2FEC19">
            <w:pPr>
              <w:spacing w:line="360" w:lineRule="auto"/>
              <w:jc w:val="left"/>
              <w:rPr>
                <w:rFonts w:hint="eastAsia"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Cs w:val="21"/>
                <w:highlight w:val="none"/>
              </w:rPr>
              <w:t>1．以上标明“必须提供”材料复印件的，必须加盖供应商CA签章，否则电子响应文件作无效处理。</w:t>
            </w:r>
          </w:p>
          <w:p w14:paraId="46DCE1F2">
            <w:pPr>
              <w:spacing w:line="360" w:lineRule="auto"/>
              <w:jc w:val="left"/>
              <w:rPr>
                <w:rFonts w:hint="eastAsia"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Cs w:val="21"/>
                <w:highlight w:val="none"/>
              </w:rPr>
              <w:t>2．电子响应文件中所须加盖公章部分均采用CA签章。若竞争性谈判文件中有专门标注的某关联点，并要求供应商在电子投标系统中作出谈判响应的，如供应商未对关联点进行响应或者在电子响应文件其它内容进行描述，造成电子评审不能查询的责任由供应商自行承担。</w:t>
            </w:r>
          </w:p>
          <w:p w14:paraId="0D950A0B">
            <w:pPr>
              <w:spacing w:line="360" w:lineRule="auto"/>
              <w:jc w:val="left"/>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b/>
                <w:bCs/>
                <w:color w:val="000000"/>
                <w:szCs w:val="21"/>
                <w:highlight w:val="none"/>
              </w:rPr>
              <w:t>3．以上材料未附格式的，由供应商自行拟定。</w:t>
            </w:r>
          </w:p>
        </w:tc>
      </w:tr>
      <w:tr w14:paraId="07A2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940" w:type="dxa"/>
            <w:vAlign w:val="center"/>
          </w:tcPr>
          <w:p w14:paraId="6B78DB2A">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12.2</w:t>
            </w:r>
          </w:p>
        </w:tc>
        <w:tc>
          <w:tcPr>
            <w:tcW w:w="8220" w:type="dxa"/>
            <w:vAlign w:val="center"/>
          </w:tcPr>
          <w:p w14:paraId="2540F3CE">
            <w:pPr>
              <w:spacing w:line="360" w:lineRule="auto"/>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响应文件电子版要求：</w:t>
            </w:r>
          </w:p>
          <w:p w14:paraId="62B22931">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1.响应文件电子版要求：按照本采购文件“第五章 响应文件格式”编写（第五章未附格式的，由供应商自行拟定），不可涂改并在规定加盖公章处加盖电子公章，否则响应文件按无效响应处理。</w:t>
            </w:r>
          </w:p>
          <w:p w14:paraId="70945544">
            <w:pPr>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2.响应文件电子版密封方式：电子响应文件通过平台有效CA加密后在“广西政府采购云平台”投送。</w:t>
            </w:r>
          </w:p>
        </w:tc>
      </w:tr>
      <w:tr w14:paraId="1B64F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40" w:type="dxa"/>
            <w:vAlign w:val="center"/>
          </w:tcPr>
          <w:p w14:paraId="4397C1D7">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16.2</w:t>
            </w:r>
          </w:p>
        </w:tc>
        <w:tc>
          <w:tcPr>
            <w:tcW w:w="8220" w:type="dxa"/>
            <w:vAlign w:val="center"/>
          </w:tcPr>
          <w:p w14:paraId="0BF86554">
            <w:pPr>
              <w:pStyle w:val="11"/>
              <w:widowControl w:val="0"/>
              <w:tabs>
                <w:tab w:val="clear" w:pos="454"/>
              </w:tabs>
              <w:spacing w:after="0" w:afterLines="0" w:line="360" w:lineRule="auto"/>
              <w:ind w:left="283" w:hanging="283" w:hangingChars="135"/>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竞标有效期：自首次响应文件提交截止之日起</w:t>
            </w:r>
            <w:r>
              <w:rPr>
                <w:rFonts w:hint="eastAsia" w:asciiTheme="minorEastAsia" w:hAnsiTheme="minorEastAsia" w:eastAsiaTheme="minorEastAsia" w:cstheme="minorEastAsia"/>
                <w:kern w:val="2"/>
                <w:sz w:val="21"/>
                <w:szCs w:val="21"/>
                <w:u w:val="single"/>
              </w:rPr>
              <w:t>60</w:t>
            </w:r>
            <w:r>
              <w:rPr>
                <w:rFonts w:hint="eastAsia" w:asciiTheme="minorEastAsia" w:hAnsiTheme="minorEastAsia" w:eastAsiaTheme="minorEastAsia" w:cstheme="minorEastAsia"/>
                <w:kern w:val="2"/>
                <w:sz w:val="21"/>
                <w:szCs w:val="21"/>
              </w:rPr>
              <w:t>日。</w:t>
            </w:r>
          </w:p>
        </w:tc>
      </w:tr>
      <w:tr w14:paraId="15C2A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5FC43A43">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17.1</w:t>
            </w:r>
          </w:p>
        </w:tc>
        <w:tc>
          <w:tcPr>
            <w:tcW w:w="8220" w:type="dxa"/>
            <w:vAlign w:val="center"/>
          </w:tcPr>
          <w:p w14:paraId="109E0A13">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本项目不收取磋商保证金。</w:t>
            </w:r>
          </w:p>
          <w:p w14:paraId="7F87AF88">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本项目收取磋商保证金，具体规定如下：</w:t>
            </w:r>
          </w:p>
          <w:p w14:paraId="401AAB44">
            <w:pPr>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b/>
                <w:bCs/>
                <w:szCs w:val="21"/>
              </w:rPr>
              <w:t>磋商保证金：</w:t>
            </w:r>
            <w:r>
              <w:rPr>
                <w:rFonts w:hint="eastAsia" w:asciiTheme="minorEastAsia" w:hAnsiTheme="minorEastAsia" w:eastAsiaTheme="minorEastAsia" w:cstheme="minorEastAsia"/>
                <w:color w:val="000000"/>
                <w:szCs w:val="21"/>
                <w:lang w:val="en-US" w:eastAsia="zh-CN"/>
              </w:rPr>
              <w:t>/</w:t>
            </w:r>
          </w:p>
          <w:p w14:paraId="79798864">
            <w:pPr>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磋商保证金的交纳方式：</w:t>
            </w:r>
            <w:r>
              <w:rPr>
                <w:rFonts w:hint="eastAsia" w:asciiTheme="minorEastAsia" w:hAnsiTheme="minorEastAsia" w:eastAsiaTheme="minorEastAsia" w:cstheme="minorEastAsia"/>
                <w:kern w:val="0"/>
                <w:szCs w:val="21"/>
              </w:rPr>
              <w:t>银行转账、支票、汇票、本票或者金融、担保机构出具的保函，禁止采用现钞方式。采用银行转账方式的，在首次响应文件提交截止时间前交至采购人指定账户并且到账（开户银行：</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，开户名称：</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，银行账号：</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）；采用支票、汇票、本票或者保函等方式的，在首次响应文件提交截止时间前，供应商必须提交单独密封的支票、汇票、本票或者保函原件，否则视为无效磋商保证金。</w:t>
            </w:r>
          </w:p>
          <w:p w14:paraId="054BC37C">
            <w:pPr>
              <w:pStyle w:val="19"/>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1"/>
                <w:u w:val="single"/>
              </w:rPr>
              <w:t>转账内容备注：供应商请在转账单备注栏上注明：“投标项目名称或项目编号”，以免产生不必要的失误。</w:t>
            </w:r>
          </w:p>
          <w:p w14:paraId="7021629F">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备注：</w:t>
            </w:r>
          </w:p>
          <w:p w14:paraId="00E75D0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磋商保证金采用银行转账交纳方式的，在响应文件提交截止时间前交至采购代理机构指定账户并且到账，供应商应将银行转账底单的复印件作为磋商保证金提交凭证，放置于报价商务技术文件中，否则响应文件按无效响应处理。</w:t>
            </w:r>
          </w:p>
          <w:p w14:paraId="4F7CDDC8">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磋商保证金采用支票、汇票、本票或者银行、保险机构出具的保函交纳方式的，供应商应将支票、汇票、本票或者银行、保险机构出具的保函的复印件作为磋商保证金提交凭证，放置于报价商务技术文件中，否则竞标无效。</w:t>
            </w:r>
          </w:p>
          <w:p w14:paraId="286F4BB9">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3.磋商保证金在响应文件提交截止时间后提交的，或者不按规定交纳方式交纳的，或者未足额交纳的（包含保函额度不足的），视为无效磋商保证金。</w:t>
            </w:r>
          </w:p>
          <w:p w14:paraId="77009B1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4.供应商采用现钞方式或者从个人账户（自然人竞标除外）转出的磋商保证金，视为无效磋商保证金。</w:t>
            </w:r>
          </w:p>
          <w:p w14:paraId="120E68D8">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5.支票、汇票或者本票出现无效或者背书情形的，视为无效磋商保证金。</w:t>
            </w:r>
          </w:p>
          <w:p w14:paraId="14103F4B">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6.保函有效期低于竞标有效期的，视为无效磋商保证金。</w:t>
            </w:r>
          </w:p>
          <w:p w14:paraId="5AFD9F3D">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7.采用银行、保险机构出具保函的，必须为无条件保函，否则视为无效磋商保证金。</w:t>
            </w:r>
          </w:p>
          <w:p w14:paraId="0D262884">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8.不是成交候选供应商——成交公告之日起2个工作日内由采购人或采购代理机构统一出具退款函，送交易中心财务室在4个工作日内原路退付到各投标人的账户。</w:t>
            </w:r>
          </w:p>
          <w:p w14:paraId="66A78950">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9.成交候选供应商——采购人或采购代理机构在成交供应商缴纳履约保证金后2个工作日内出具退款函，送交易中心财务室在4个工作日内原路退付到各投标人的账户。</w:t>
            </w:r>
          </w:p>
          <w:p w14:paraId="6A17B0E8">
            <w:pPr>
              <w:spacing w:line="360" w:lineRule="auto"/>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en-GB"/>
              </w:rPr>
              <w:t>供应商有下列情形之一的，</w:t>
            </w:r>
            <w:r>
              <w:rPr>
                <w:rFonts w:hint="eastAsia" w:asciiTheme="minorEastAsia" w:hAnsiTheme="minorEastAsia" w:eastAsiaTheme="minorEastAsia" w:cstheme="minorEastAsia"/>
                <w:szCs w:val="21"/>
              </w:rPr>
              <w:t>磋商保证金</w:t>
            </w:r>
            <w:r>
              <w:rPr>
                <w:rFonts w:hint="eastAsia" w:asciiTheme="minorEastAsia" w:hAnsiTheme="minorEastAsia" w:eastAsiaTheme="minorEastAsia" w:cstheme="minorEastAsia"/>
                <w:szCs w:val="21"/>
                <w:lang w:val="en-GB"/>
              </w:rPr>
              <w:t>不予退还，采购人没收的</w:t>
            </w:r>
            <w:r>
              <w:rPr>
                <w:rFonts w:hint="eastAsia" w:asciiTheme="minorEastAsia" w:hAnsiTheme="minorEastAsia" w:eastAsiaTheme="minorEastAsia" w:cstheme="minorEastAsia"/>
                <w:szCs w:val="21"/>
              </w:rPr>
              <w:t>磋商保证金</w:t>
            </w:r>
            <w:r>
              <w:rPr>
                <w:rFonts w:hint="eastAsia" w:asciiTheme="minorEastAsia" w:hAnsiTheme="minorEastAsia" w:eastAsiaTheme="minorEastAsia" w:cstheme="minorEastAsia"/>
                <w:szCs w:val="21"/>
                <w:lang w:val="en-GB"/>
              </w:rPr>
              <w:t>后上缴县级财政国库：</w:t>
            </w:r>
          </w:p>
          <w:p w14:paraId="503816D5">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①除因不可抗力或者谈判文件认可的情形以外，成交供应商未能在成交通知书发出之日起7个工作日内办理签订合同手续的；</w:t>
            </w:r>
          </w:p>
          <w:p w14:paraId="5B5C77A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②供应商在提交响应文件截止时间后撤回响应文件的；</w:t>
            </w:r>
          </w:p>
          <w:p w14:paraId="6EC3C81B">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w:t>
            </w:r>
            <w:r>
              <w:rPr>
                <w:rFonts w:hint="eastAsia" w:asciiTheme="minorEastAsia" w:hAnsiTheme="minorEastAsia" w:eastAsiaTheme="minorEastAsia" w:cstheme="minorEastAsia"/>
                <w:szCs w:val="21"/>
                <w:lang w:val="en-GB"/>
              </w:rPr>
              <w:t>未按竞争性磋商文件要求提交履约担保的</w:t>
            </w:r>
            <w:r>
              <w:rPr>
                <w:rFonts w:hint="eastAsia" w:asciiTheme="minorEastAsia" w:hAnsiTheme="minorEastAsia" w:eastAsiaTheme="minorEastAsia" w:cstheme="minorEastAsia"/>
                <w:szCs w:val="21"/>
              </w:rPr>
              <w:t>；</w:t>
            </w:r>
          </w:p>
          <w:p w14:paraId="48499E98">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④供应商在响应文件中提供虚假材料的；</w:t>
            </w:r>
          </w:p>
          <w:p w14:paraId="73B91E9F">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⑤供应商与采购人、其他供应商或者采购代理机构恶意串通的；</w:t>
            </w:r>
          </w:p>
          <w:p w14:paraId="7C828C55">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⑥将成交项目转让给他人，或者在响应文件中未说明，且未经采购人同意，违反磋商文件规定，将成交项目分包给他人的；</w:t>
            </w:r>
          </w:p>
          <w:p w14:paraId="086AE984">
            <w:pPr>
              <w:pStyle w:val="19"/>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⑦法律法规规定的其他情形。</w:t>
            </w:r>
          </w:p>
        </w:tc>
      </w:tr>
      <w:tr w14:paraId="6FE8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31A421E3">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20.1</w:t>
            </w:r>
          </w:p>
        </w:tc>
        <w:tc>
          <w:tcPr>
            <w:tcW w:w="8220" w:type="dxa"/>
            <w:vAlign w:val="center"/>
          </w:tcPr>
          <w:p w14:paraId="697E7535">
            <w:pPr>
              <w:spacing w:line="360" w:lineRule="auto"/>
              <w:contextualSpacing/>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响应文件提交截止时间：详见竞争性磋商公告。</w:t>
            </w:r>
          </w:p>
          <w:p w14:paraId="7953C8CE">
            <w:pPr>
              <w:spacing w:line="360" w:lineRule="auto"/>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响应文件提交地点：详见竞争性磋商公告。</w:t>
            </w:r>
          </w:p>
        </w:tc>
      </w:tr>
      <w:tr w14:paraId="59F51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525C403D">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24.1</w:t>
            </w:r>
          </w:p>
        </w:tc>
        <w:tc>
          <w:tcPr>
            <w:tcW w:w="8220" w:type="dxa"/>
            <w:vAlign w:val="center"/>
          </w:tcPr>
          <w:p w14:paraId="5413294B">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磋商小组的人数：</w:t>
            </w:r>
            <w:r>
              <w:rPr>
                <w:rFonts w:hint="eastAsia" w:asciiTheme="minorEastAsia" w:hAnsiTheme="minorEastAsia" w:eastAsiaTheme="minorEastAsia" w:cstheme="minorEastAsia"/>
                <w:szCs w:val="21"/>
                <w:u w:val="single"/>
              </w:rPr>
              <w:t xml:space="preserve"> 3 </w:t>
            </w:r>
            <w:r>
              <w:rPr>
                <w:rFonts w:hint="eastAsia" w:asciiTheme="minorEastAsia" w:hAnsiTheme="minorEastAsia" w:eastAsiaTheme="minorEastAsia" w:cstheme="minorEastAsia"/>
                <w:szCs w:val="21"/>
              </w:rPr>
              <w:t>人，其中评审专家2人，采购人代表1人。</w:t>
            </w:r>
          </w:p>
        </w:tc>
      </w:tr>
      <w:tr w14:paraId="2CCC4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529C05DB">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25.1</w:t>
            </w:r>
          </w:p>
        </w:tc>
        <w:tc>
          <w:tcPr>
            <w:tcW w:w="8220" w:type="dxa"/>
            <w:vAlign w:val="center"/>
          </w:tcPr>
          <w:p w14:paraId="3E625396">
            <w:pPr>
              <w:spacing w:line="36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首次响应文件开启时间：详见“竞争性磋商公告”</w:t>
            </w:r>
          </w:p>
          <w:p w14:paraId="16B4477F">
            <w:pPr>
              <w:spacing w:line="360" w:lineRule="auto"/>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首次响应文件解密时间：</w:t>
            </w:r>
            <w:r>
              <w:rPr>
                <w:rFonts w:hint="eastAsia" w:asciiTheme="minorEastAsia" w:hAnsiTheme="minorEastAsia" w:eastAsiaTheme="minorEastAsia" w:cstheme="minorEastAsia"/>
                <w:szCs w:val="21"/>
                <w:u w:val="single"/>
              </w:rPr>
              <w:t xml:space="preserve"> 30 </w:t>
            </w:r>
            <w:r>
              <w:rPr>
                <w:rFonts w:hint="eastAsia" w:asciiTheme="minorEastAsia" w:hAnsiTheme="minorEastAsia" w:eastAsiaTheme="minorEastAsia" w:cstheme="minorEastAsia"/>
                <w:szCs w:val="21"/>
              </w:rPr>
              <w:t>分钟（注：不少于30分钟）</w:t>
            </w:r>
          </w:p>
        </w:tc>
      </w:tr>
      <w:tr w14:paraId="483E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40" w:type="dxa"/>
            <w:vMerge w:val="restart"/>
            <w:vAlign w:val="center"/>
          </w:tcPr>
          <w:p w14:paraId="0198EE2F">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w:t>
            </w:r>
          </w:p>
        </w:tc>
        <w:tc>
          <w:tcPr>
            <w:tcW w:w="8220" w:type="dxa"/>
            <w:vAlign w:val="center"/>
          </w:tcPr>
          <w:p w14:paraId="6F969FAF">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商务条款评审中允许负偏离的条款数为</w:t>
            </w:r>
            <w:r>
              <w:rPr>
                <w:rFonts w:hint="eastAsia" w:asciiTheme="minorEastAsia" w:hAnsiTheme="minorEastAsia" w:eastAsiaTheme="minorEastAsia" w:cstheme="minorEastAsia"/>
                <w:szCs w:val="21"/>
                <w:u w:val="single"/>
              </w:rPr>
              <w:t xml:space="preserve"> 0 </w:t>
            </w:r>
            <w:r>
              <w:rPr>
                <w:rFonts w:hint="eastAsia" w:asciiTheme="minorEastAsia" w:hAnsiTheme="minorEastAsia" w:eastAsiaTheme="minorEastAsia" w:cstheme="minorEastAsia"/>
                <w:szCs w:val="21"/>
              </w:rPr>
              <w:t>项。</w:t>
            </w:r>
          </w:p>
          <w:p w14:paraId="3A3AB3C5">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服务需求评审中允许负偏离的条款数为</w:t>
            </w:r>
            <w:r>
              <w:rPr>
                <w:rFonts w:hint="eastAsia" w:asciiTheme="minorEastAsia" w:hAnsiTheme="minorEastAsia" w:eastAsiaTheme="minorEastAsia" w:cstheme="minorEastAsia"/>
                <w:szCs w:val="21"/>
                <w:u w:val="single"/>
              </w:rPr>
              <w:t xml:space="preserve"> 0 </w:t>
            </w:r>
            <w:r>
              <w:rPr>
                <w:rFonts w:hint="eastAsia" w:asciiTheme="minorEastAsia" w:hAnsiTheme="minorEastAsia" w:eastAsiaTheme="minorEastAsia" w:cstheme="minorEastAsia"/>
                <w:szCs w:val="21"/>
              </w:rPr>
              <w:t>项。</w:t>
            </w:r>
          </w:p>
        </w:tc>
      </w:tr>
      <w:tr w14:paraId="7A7C5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Merge w:val="continue"/>
            <w:vAlign w:val="center"/>
          </w:tcPr>
          <w:p w14:paraId="75272F53">
            <w:pPr>
              <w:spacing w:line="360" w:lineRule="auto"/>
              <w:jc w:val="center"/>
              <w:rPr>
                <w:rFonts w:hint="eastAsia" w:asciiTheme="minorEastAsia" w:hAnsiTheme="minorEastAsia" w:eastAsiaTheme="minorEastAsia" w:cstheme="minorEastAsia"/>
                <w:szCs w:val="21"/>
              </w:rPr>
            </w:pPr>
          </w:p>
        </w:tc>
        <w:tc>
          <w:tcPr>
            <w:tcW w:w="8220" w:type="dxa"/>
            <w:vAlign w:val="center"/>
          </w:tcPr>
          <w:p w14:paraId="1690DA4D">
            <w:pPr>
              <w:spacing w:before="78" w:beforeLines="25"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磋商的顺序：☑随机排序。</w:t>
            </w:r>
          </w:p>
        </w:tc>
      </w:tr>
      <w:tr w14:paraId="5670E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3C87157B">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28.1</w:t>
            </w:r>
          </w:p>
        </w:tc>
        <w:tc>
          <w:tcPr>
            <w:tcW w:w="8220" w:type="dxa"/>
            <w:vAlign w:val="center"/>
          </w:tcPr>
          <w:p w14:paraId="618CBE3C">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履约保证金金额：本项目不收取履约保证金</w:t>
            </w:r>
          </w:p>
          <w:p w14:paraId="4466F535">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履约保证金提交方式：银行转账、支票、汇票、本票或者银行、保险机构出具的保函等非现金方式（参照磋商保证金）。</w:t>
            </w:r>
          </w:p>
          <w:p w14:paraId="3A3E0E56">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履约保证金退付方式、时间及条件：由成交供应商向履约保证金收取单位提供《广西壮族自治区政府采购项目合同验收书》（详见附件1）及《政府采购项目履约保证金退付意见书》（详见附件2），保证金收取单位在收到合格材料后4个工作日内办理退还手续（不计利息）。</w:t>
            </w:r>
          </w:p>
          <w:p w14:paraId="58D9C4D6">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履约保证金指定账户：</w:t>
            </w:r>
          </w:p>
          <w:p w14:paraId="5AC9F217">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Theme="minorEastAsia" w:hAnsiTheme="minorEastAsia" w:eastAsiaTheme="minorEastAsia" w:cstheme="minorEastAsia"/>
                <w:highlight w:val="none"/>
                <w:lang w:val="en-US"/>
              </w:rPr>
            </w:pPr>
            <w:r>
              <w:rPr>
                <w:rFonts w:hint="eastAsia" w:asciiTheme="minorEastAsia" w:hAnsiTheme="minorEastAsia" w:eastAsiaTheme="minorEastAsia" w:cstheme="minorEastAsia"/>
                <w:color w:val="auto"/>
                <w:sz w:val="21"/>
                <w:szCs w:val="21"/>
                <w:highlight w:val="none"/>
                <w:lang w:val="en-US" w:eastAsia="zh-CN"/>
              </w:rPr>
              <w:t>开户银行：</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开户名称：</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银行账号：</w:t>
            </w:r>
            <w:r>
              <w:rPr>
                <w:rFonts w:hint="eastAsia" w:asciiTheme="minorEastAsia" w:hAnsiTheme="minorEastAsia" w:eastAsiaTheme="minorEastAsia" w:cstheme="minorEastAsia"/>
                <w:kern w:val="0"/>
                <w:szCs w:val="21"/>
                <w:lang w:val="en-US" w:eastAsia="zh-CN"/>
              </w:rPr>
              <w:t>/</w:t>
            </w:r>
          </w:p>
          <w:p w14:paraId="52A756B7">
            <w:pPr>
              <w:pStyle w:val="12"/>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p w14:paraId="3FD49502">
            <w:pPr>
              <w:pStyle w:val="12"/>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 xml:space="preserve">1. </w:t>
            </w:r>
            <w:bookmarkStart w:id="3" w:name="_Hlk54170335"/>
            <w:r>
              <w:rPr>
                <w:rFonts w:hint="eastAsia" w:asciiTheme="minorEastAsia" w:hAnsiTheme="minorEastAsia" w:eastAsiaTheme="minorEastAsia" w:cstheme="minorEastAsia"/>
                <w:b/>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2%。</w:t>
            </w:r>
            <w:bookmarkEnd w:id="3"/>
          </w:p>
          <w:p w14:paraId="4A273397">
            <w:pPr>
              <w:pStyle w:val="12"/>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36238F6B">
            <w:pPr>
              <w:pStyle w:val="12"/>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3.采用银行、保险机构出具保函的，必须为无条件保函，否则视为未按规定提交履约保证金。</w:t>
            </w:r>
          </w:p>
          <w:p w14:paraId="09403584">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4.供应商为联合体的，可由联合体任意一方或者联合体各方共同提交的履约保证金，视为有效履约保证金。</w:t>
            </w:r>
          </w:p>
        </w:tc>
      </w:tr>
      <w:tr w14:paraId="46BB2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0D609502">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29.1</w:t>
            </w:r>
          </w:p>
        </w:tc>
        <w:tc>
          <w:tcPr>
            <w:tcW w:w="8220" w:type="dxa"/>
            <w:vAlign w:val="center"/>
          </w:tcPr>
          <w:p w14:paraId="125ABBD6">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签订合同携带的证明材料：</w:t>
            </w:r>
          </w:p>
          <w:p w14:paraId="4A53EC5E">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委托代理人负责签订合同的，须携带授权委托书及委托代理人身份证原件等其他资格证件。</w:t>
            </w:r>
          </w:p>
          <w:p w14:paraId="6F87A43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法定代表人负责签订合同的，须携带法定代表人身份证明原件及身份证原件等其他证明材料。</w:t>
            </w:r>
          </w:p>
        </w:tc>
      </w:tr>
      <w:tr w14:paraId="68538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281472D5">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31.2</w:t>
            </w:r>
          </w:p>
        </w:tc>
        <w:tc>
          <w:tcPr>
            <w:tcW w:w="8220" w:type="dxa"/>
            <w:vAlign w:val="center"/>
          </w:tcPr>
          <w:p w14:paraId="2EA443DB">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接收质疑函方式：以书面形式。</w:t>
            </w:r>
          </w:p>
          <w:p w14:paraId="011FC21F">
            <w:pPr>
              <w:pStyle w:val="19"/>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质疑联系部门：</w:t>
            </w:r>
          </w:p>
          <w:p w14:paraId="6BE35329">
            <w:pPr>
              <w:pStyle w:val="19"/>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lang w:eastAsia="zh-CN"/>
              </w:rPr>
              <w:t>（</w:t>
            </w:r>
            <w:r>
              <w:rPr>
                <w:rFonts w:hint="eastAsia" w:asciiTheme="minorEastAsia" w:hAnsiTheme="minorEastAsia" w:eastAsiaTheme="minorEastAsia" w:cstheme="minorEastAsia"/>
                <w:sz w:val="21"/>
                <w:lang w:val="en-US" w:eastAsia="zh-CN"/>
              </w:rPr>
              <w:t>1）</w:t>
            </w:r>
            <w:r>
              <w:rPr>
                <w:rFonts w:hint="eastAsia" w:asciiTheme="minorEastAsia" w:hAnsiTheme="minorEastAsia" w:eastAsiaTheme="minorEastAsia" w:cstheme="minorEastAsia"/>
                <w:sz w:val="21"/>
              </w:rPr>
              <w:t>广西汉昌工程咨询有限公司</w:t>
            </w:r>
          </w:p>
          <w:p w14:paraId="10FE6D88">
            <w:pPr>
              <w:pStyle w:val="19"/>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联系电话：0774-6023922</w:t>
            </w:r>
          </w:p>
          <w:p w14:paraId="293B1B33">
            <w:pPr>
              <w:pStyle w:val="19"/>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通讯地址：广西梧州市长洲区西堤三路19号国龙财富中心19层020室</w:t>
            </w:r>
          </w:p>
          <w:p w14:paraId="659086FA">
            <w:pPr>
              <w:pStyle w:val="19"/>
              <w:spacing w:line="360" w:lineRule="auto"/>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（2）苍梧县林业局；</w:t>
            </w:r>
          </w:p>
          <w:p w14:paraId="50BDE638">
            <w:pPr>
              <w:pStyle w:val="19"/>
              <w:spacing w:line="360" w:lineRule="auto"/>
              <w:rPr>
                <w:rFonts w:hint="eastAsia"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 xml:space="preserve">联系电话：0774-2692881  </w:t>
            </w:r>
          </w:p>
          <w:p w14:paraId="2C797E56">
            <w:pPr>
              <w:pStyle w:val="19"/>
              <w:spacing w:line="360" w:lineRule="auto"/>
              <w:rPr>
                <w:rFonts w:hint="default" w:asciiTheme="minorEastAsia" w:hAnsiTheme="minorEastAsia" w:eastAsiaTheme="minorEastAsia" w:cstheme="minorEastAsia"/>
                <w:sz w:val="21"/>
                <w:lang w:val="en-US" w:eastAsia="zh-CN"/>
              </w:rPr>
            </w:pPr>
            <w:r>
              <w:rPr>
                <w:rFonts w:hint="eastAsia" w:asciiTheme="minorEastAsia" w:hAnsiTheme="minorEastAsia" w:eastAsiaTheme="minorEastAsia" w:cstheme="minorEastAsia"/>
                <w:sz w:val="21"/>
                <w:lang w:val="en-US" w:eastAsia="zh-CN"/>
              </w:rPr>
              <w:t>通讯地址：</w:t>
            </w:r>
            <w:r>
              <w:rPr>
                <w:rFonts w:hint="eastAsia" w:asciiTheme="minorEastAsia" w:hAnsiTheme="minorEastAsia" w:eastAsiaTheme="minorEastAsia" w:cstheme="minorEastAsia"/>
                <w:i w:val="0"/>
                <w:iCs w:val="0"/>
                <w:caps w:val="0"/>
                <w:color w:val="000000"/>
                <w:spacing w:val="0"/>
                <w:sz w:val="21"/>
                <w:szCs w:val="21"/>
                <w:lang w:eastAsia="zh-CN"/>
              </w:rPr>
              <w:t>苍梧县石桥镇苍梧县行政中心大楼东附楼</w:t>
            </w:r>
          </w:p>
          <w:p w14:paraId="2D8659B7">
            <w:pPr>
              <w:pStyle w:val="19"/>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lang w:val="en-US" w:eastAsia="zh-CN"/>
              </w:rPr>
              <w:t>业务时间：上午8:00～12:00，下午15:00～18:00，法定节假日不办理业务。</w:t>
            </w:r>
          </w:p>
        </w:tc>
      </w:tr>
      <w:tr w14:paraId="0BE62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73C5C9F0">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32.1</w:t>
            </w:r>
          </w:p>
        </w:tc>
        <w:tc>
          <w:tcPr>
            <w:tcW w:w="8220" w:type="dxa"/>
            <w:vAlign w:val="center"/>
          </w:tcPr>
          <w:p w14:paraId="7CAAA781">
            <w:pPr>
              <w:pStyle w:val="19"/>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采购代理费收取标准：成交供应商领取成交通知书前，由项目成交服务供应商向广西汉昌工程咨询有限公司一次性付清采购代理服务费，按《广西壮族自治区物价局转发国家发展改革委关于降低部分建设项目收费标准规范收费行为等有关问题的通知》（桂价费【2011】55号）收费标准收取。</w:t>
            </w:r>
          </w:p>
        </w:tc>
      </w:tr>
      <w:tr w14:paraId="4D02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2C84FD96">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33.1</w:t>
            </w:r>
          </w:p>
        </w:tc>
        <w:tc>
          <w:tcPr>
            <w:tcW w:w="8220" w:type="dxa"/>
            <w:vAlign w:val="center"/>
          </w:tcPr>
          <w:p w14:paraId="2E5C652A">
            <w:pPr>
              <w:pStyle w:val="19"/>
              <w:spacing w:line="360" w:lineRule="auto"/>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主要条款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7A9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vAlign w:val="center"/>
          </w:tcPr>
          <w:p w14:paraId="12C03433">
            <w:pPr>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33.2</w:t>
            </w:r>
          </w:p>
        </w:tc>
        <w:tc>
          <w:tcPr>
            <w:tcW w:w="8220" w:type="dxa"/>
            <w:vAlign w:val="center"/>
          </w:tcPr>
          <w:p w14:paraId="62790636">
            <w:pPr>
              <w:pStyle w:val="19"/>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18B9C1A">
            <w:pPr>
              <w:pStyle w:val="19"/>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本磋商文件所称的“电子签章”、“电子签名”，是指经“政采云”平台认可的CA认证的电子签名数据为表现形式的印章，可用于签署电子响应文件，电子印章与实物印章具有同等法律效力，不因其采用电子化表现形式而否定其法律效力。</w:t>
            </w:r>
          </w:p>
          <w:p w14:paraId="08E7F60F">
            <w:pPr>
              <w:pStyle w:val="19"/>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24FD0CCC">
            <w:pPr>
              <w:pStyle w:val="19"/>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4.本磋商文件中描述供应商的“签字”是指供应商的法定代表人或者委托代理人亲自在文件规定签署处亲笔写上个人的名字的行为，私章、签字章、印鉴、影印等其他形式均不能代替亲笔签字。</w:t>
            </w:r>
          </w:p>
          <w:p w14:paraId="376EC1FC">
            <w:pPr>
              <w:pStyle w:val="19"/>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5.本磋商文件所称的“以上”“以下”“以内”“届满”，包括本数；所称的“不满”“超过”“以外”，不包括本数。</w:t>
            </w:r>
          </w:p>
        </w:tc>
      </w:tr>
    </w:tbl>
    <w:p w14:paraId="43A79FB7">
      <w:pPr>
        <w:spacing w:line="460" w:lineRule="exact"/>
        <w:jc w:val="center"/>
        <w:rPr>
          <w:rFonts w:ascii="宋体" w:hAnsi="宋体"/>
          <w:b/>
          <w:sz w:val="32"/>
          <w:szCs w:val="32"/>
        </w:rPr>
      </w:pPr>
      <w:r>
        <w:rPr>
          <w:rFonts w:hint="eastAsia" w:ascii="宋体" w:hAnsi="宋体"/>
          <w:b/>
          <w:sz w:val="32"/>
          <w:szCs w:val="32"/>
        </w:rPr>
        <w:t>供应商须知正文</w:t>
      </w:r>
    </w:p>
    <w:p w14:paraId="41AED207">
      <w:pPr>
        <w:spacing w:line="400" w:lineRule="exact"/>
        <w:jc w:val="center"/>
        <w:rPr>
          <w:rFonts w:ascii="宋体" w:hAnsi="宋体"/>
          <w:b/>
          <w:sz w:val="32"/>
          <w:szCs w:val="32"/>
        </w:rPr>
      </w:pPr>
    </w:p>
    <w:p w14:paraId="11F00CCB">
      <w:pPr>
        <w:spacing w:line="400" w:lineRule="exact"/>
        <w:jc w:val="center"/>
        <w:rPr>
          <w:rFonts w:ascii="宋体" w:hAnsi="宋体"/>
          <w:b/>
          <w:szCs w:val="21"/>
        </w:rPr>
      </w:pPr>
      <w:r>
        <w:rPr>
          <w:rFonts w:hint="eastAsia" w:ascii="宋体" w:hAnsi="宋体"/>
          <w:b/>
          <w:szCs w:val="21"/>
        </w:rPr>
        <w:t>一、总则</w:t>
      </w:r>
    </w:p>
    <w:p w14:paraId="3C61B6D2">
      <w:pPr>
        <w:spacing w:line="400" w:lineRule="exact"/>
        <w:rPr>
          <w:rFonts w:ascii="宋体" w:hAnsi="宋体"/>
          <w:szCs w:val="21"/>
        </w:rPr>
      </w:pPr>
    </w:p>
    <w:p w14:paraId="66CBC5D0">
      <w:pPr>
        <w:spacing w:line="400" w:lineRule="exact"/>
        <w:ind w:firstLine="278" w:firstLineChars="132"/>
        <w:rPr>
          <w:rFonts w:ascii="黑体" w:hAnsi="黑体" w:eastAsia="黑体" w:cs="宋体"/>
          <w:b/>
          <w:bCs/>
          <w:szCs w:val="21"/>
        </w:rPr>
      </w:pPr>
      <w:r>
        <w:rPr>
          <w:rFonts w:hint="eastAsia" w:ascii="黑体" w:hAnsi="黑体" w:eastAsia="黑体" w:cs="宋体"/>
          <w:b/>
          <w:bCs/>
          <w:szCs w:val="21"/>
        </w:rPr>
        <w:t>1.适用范围</w:t>
      </w:r>
    </w:p>
    <w:p w14:paraId="3B99C2BF">
      <w:pPr>
        <w:spacing w:line="400" w:lineRule="exact"/>
        <w:ind w:firstLine="420" w:firstLineChars="200"/>
        <w:rPr>
          <w:rFonts w:ascii="宋体" w:hAnsi="宋体" w:cs="宋体"/>
          <w:szCs w:val="21"/>
        </w:rPr>
      </w:pPr>
      <w:r>
        <w:rPr>
          <w:rFonts w:hint="eastAsia" w:ascii="宋体" w:hAnsi="宋体" w:cs="宋体"/>
          <w:szCs w:val="21"/>
        </w:rPr>
        <w:t>1.1 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336CC52D">
      <w:pPr>
        <w:spacing w:line="400" w:lineRule="exact"/>
        <w:ind w:firstLine="420" w:firstLineChars="200"/>
        <w:rPr>
          <w:rFonts w:ascii="宋体" w:hAnsi="宋体" w:cs="宋体"/>
          <w:szCs w:val="21"/>
        </w:rPr>
      </w:pPr>
      <w:r>
        <w:rPr>
          <w:rFonts w:hint="eastAsia" w:ascii="宋体" w:hAnsi="宋体" w:cs="宋体"/>
          <w:szCs w:val="21"/>
        </w:rPr>
        <w:t xml:space="preserve">1.2 </w:t>
      </w:r>
      <w:r>
        <w:rPr>
          <w:rFonts w:hint="eastAsia" w:ascii="宋体" w:hAnsi="宋体" w:cs="宋体"/>
          <w:spacing w:val="-6"/>
          <w:szCs w:val="21"/>
        </w:rPr>
        <w:t>本竞争性磋商文件（以下简称磋商文件）适用于本项目的所有采购程序和环节（法律、法规另有规定的，从其规定）。</w:t>
      </w:r>
    </w:p>
    <w:p w14:paraId="04659EFE">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2.定义</w:t>
      </w:r>
    </w:p>
    <w:p w14:paraId="2009BF8A">
      <w:pPr>
        <w:spacing w:line="400" w:lineRule="exact"/>
        <w:ind w:firstLine="420" w:firstLineChars="200"/>
        <w:rPr>
          <w:rFonts w:ascii="宋体" w:hAnsi="宋体" w:cs="宋体"/>
          <w:szCs w:val="21"/>
        </w:rPr>
      </w:pPr>
      <w:r>
        <w:rPr>
          <w:rFonts w:hint="eastAsia" w:ascii="宋体" w:hAnsi="宋体" w:cs="宋体"/>
          <w:szCs w:val="21"/>
        </w:rPr>
        <w:t>2.1 “采购人”是指依法进行政府采购的国家机关、事业单位、团体组织。</w:t>
      </w:r>
    </w:p>
    <w:p w14:paraId="589F544F">
      <w:pPr>
        <w:spacing w:line="400" w:lineRule="exact"/>
        <w:ind w:firstLine="420" w:firstLineChars="200"/>
        <w:rPr>
          <w:rFonts w:ascii="宋体" w:hAnsi="宋体" w:cs="宋体"/>
          <w:szCs w:val="21"/>
          <w:u w:val="single"/>
        </w:rPr>
      </w:pPr>
      <w:r>
        <w:rPr>
          <w:rFonts w:hint="eastAsia" w:ascii="宋体" w:hAnsi="宋体" w:cs="宋体"/>
          <w:szCs w:val="21"/>
        </w:rPr>
        <w:t>2.2 “采购代理机构”是指政府采购集中采购机构和集中采购机构以外的采购代理机构。</w:t>
      </w:r>
    </w:p>
    <w:p w14:paraId="4677FF52">
      <w:pPr>
        <w:spacing w:line="400" w:lineRule="exact"/>
        <w:ind w:firstLine="420" w:firstLineChars="200"/>
        <w:rPr>
          <w:rFonts w:ascii="宋体" w:hAnsi="宋体" w:cs="宋体"/>
          <w:szCs w:val="21"/>
        </w:rPr>
      </w:pPr>
      <w:r>
        <w:rPr>
          <w:rFonts w:hint="eastAsia" w:ascii="宋体" w:hAnsi="宋体" w:cs="宋体"/>
          <w:szCs w:val="21"/>
        </w:rPr>
        <w:t>2.3 “供应商”是指向采购人提供货物、工程或者服务的法人、其他组织或者自然人。</w:t>
      </w:r>
    </w:p>
    <w:p w14:paraId="2244CD0F">
      <w:pPr>
        <w:spacing w:line="400" w:lineRule="exact"/>
        <w:ind w:firstLine="420" w:firstLineChars="200"/>
        <w:rPr>
          <w:rFonts w:ascii="宋体" w:hAnsi="宋体" w:cs="宋体"/>
          <w:szCs w:val="21"/>
        </w:rPr>
      </w:pPr>
      <w:r>
        <w:rPr>
          <w:rFonts w:hint="eastAsia" w:ascii="宋体" w:hAnsi="宋体"/>
          <w:szCs w:val="21"/>
        </w:rPr>
        <w:t>2.4 “服务”是指除货物和工程以外的其他政府采购对象。</w:t>
      </w:r>
    </w:p>
    <w:p w14:paraId="651D8F8A">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 xml:space="preserve"> “竞标”是指供应商按照本项目竞争性磋商公告或者邀请函规定的方式获取磋商文件、提交响应文件并希望获得标的的行为。</w:t>
      </w:r>
    </w:p>
    <w:p w14:paraId="0E960A0D">
      <w:pPr>
        <w:spacing w:line="400" w:lineRule="exact"/>
        <w:ind w:firstLine="420" w:firstLineChars="200"/>
        <w:contextualSpacing/>
        <w:rPr>
          <w:rFonts w:ascii="宋体" w:hAnsi="宋体" w:cs="宋体"/>
          <w:szCs w:val="21"/>
        </w:rPr>
      </w:pPr>
      <w:r>
        <w:rPr>
          <w:rFonts w:hint="eastAsia" w:ascii="宋体" w:hAnsi="宋体" w:cs="宋体"/>
          <w:szCs w:val="21"/>
        </w:rPr>
        <w:t>2.6 “书面形式”是指合同书、信件和数据电文（包括电报、电传、传真、电子数据交换和电子邮件）等可以有形地表现所载内容的形式。</w:t>
      </w:r>
    </w:p>
    <w:p w14:paraId="482EBAC2">
      <w:pPr>
        <w:spacing w:line="400" w:lineRule="exact"/>
        <w:ind w:firstLine="420" w:firstLineChars="200"/>
        <w:contextualSpacing/>
        <w:rPr>
          <w:rFonts w:ascii="宋体" w:hAnsi="宋体" w:cs="宋体"/>
          <w:szCs w:val="21"/>
        </w:rPr>
      </w:pPr>
      <w:r>
        <w:rPr>
          <w:rFonts w:hint="eastAsia" w:ascii="宋体" w:hAnsi="宋体" w:cs="宋体"/>
          <w:szCs w:val="21"/>
        </w:rPr>
        <w:t>2.7 “响应文件”</w:t>
      </w:r>
      <w:r>
        <w:rPr>
          <w:rFonts w:hint="eastAsia" w:ascii="宋体" w:hAnsi="宋体" w:cs="宋体"/>
          <w:spacing w:val="-6"/>
          <w:szCs w:val="21"/>
        </w:rPr>
        <w:t>是指：供应商根据本磋商文件要求，编制包含资格证明、报价商务技术等所有内容的文件。</w:t>
      </w:r>
    </w:p>
    <w:p w14:paraId="0604C790">
      <w:pPr>
        <w:spacing w:line="400" w:lineRule="exact"/>
        <w:ind w:firstLine="420" w:firstLineChars="200"/>
        <w:contextualSpacing/>
        <w:rPr>
          <w:rFonts w:ascii="宋体" w:hAnsi="宋体" w:cs="宋体"/>
          <w:szCs w:val="21"/>
        </w:rPr>
      </w:pPr>
      <w:r>
        <w:rPr>
          <w:rFonts w:hint="eastAsia" w:ascii="宋体" w:hAnsi="宋体" w:cs="宋体"/>
          <w:szCs w:val="21"/>
        </w:rPr>
        <w:t>2.8 “实质性要求”是指磋商文件中已经指明不满足则响应文件按无效响应处理的条款，或者不能负偏离的条款，或者采购需求中带“▲”的条款。</w:t>
      </w:r>
    </w:p>
    <w:p w14:paraId="6EE75CB4">
      <w:pPr>
        <w:spacing w:line="400" w:lineRule="exact"/>
        <w:ind w:firstLine="420" w:firstLineChars="200"/>
        <w:contextualSpacing/>
        <w:rPr>
          <w:rFonts w:ascii="宋体" w:hAnsi="宋体" w:cs="宋体"/>
          <w:szCs w:val="21"/>
        </w:rPr>
      </w:pPr>
      <w:r>
        <w:rPr>
          <w:rFonts w:hint="eastAsia" w:ascii="宋体" w:hAnsi="宋体" w:cs="宋体"/>
          <w:szCs w:val="21"/>
        </w:rPr>
        <w:t>2.9 “正偏离”，是指响应文件对磋商文件“采购需求”中有关条款作出的响应优于条款要求并有利于采购人的情形。</w:t>
      </w:r>
    </w:p>
    <w:p w14:paraId="02851220">
      <w:pPr>
        <w:spacing w:line="400" w:lineRule="exact"/>
        <w:ind w:firstLine="420" w:firstLineChars="200"/>
        <w:contextualSpacing/>
        <w:rPr>
          <w:rFonts w:ascii="宋体" w:hAnsi="宋体" w:cs="宋体"/>
          <w:szCs w:val="21"/>
        </w:rPr>
      </w:pPr>
      <w:r>
        <w:rPr>
          <w:rFonts w:ascii="宋体" w:hAnsi="宋体" w:cs="宋体"/>
          <w:szCs w:val="21"/>
        </w:rPr>
        <w:t>2.</w:t>
      </w:r>
      <w:r>
        <w:rPr>
          <w:rFonts w:hint="eastAsia" w:ascii="宋体" w:hAnsi="宋体" w:cs="宋体"/>
          <w:szCs w:val="21"/>
        </w:rPr>
        <w:t>10 “负偏离”，是指响应文件对磋商文件“采购需求”中有关条款作出的响应不满足条款要求，导致采购人要求不能得到满足的情形。</w:t>
      </w:r>
    </w:p>
    <w:p w14:paraId="2DD22E45">
      <w:pPr>
        <w:spacing w:line="400" w:lineRule="exact"/>
        <w:ind w:firstLine="420" w:firstLineChars="200"/>
        <w:contextualSpacing/>
        <w:rPr>
          <w:rFonts w:ascii="宋体" w:hAnsi="宋体" w:cs="宋体"/>
          <w:szCs w:val="21"/>
        </w:rPr>
      </w:pPr>
      <w:r>
        <w:rPr>
          <w:rFonts w:hint="eastAsia" w:ascii="宋体" w:hAnsi="宋体" w:cs="宋体"/>
          <w:szCs w:val="21"/>
        </w:rPr>
        <w:t>2.11 “允许负偏离的条款”是指采购需求中的不属于“实质性要求”的条款。</w:t>
      </w:r>
    </w:p>
    <w:p w14:paraId="3ECBB51E">
      <w:pPr>
        <w:spacing w:line="400" w:lineRule="exact"/>
        <w:ind w:firstLine="420" w:firstLineChars="200"/>
        <w:contextualSpacing/>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2 “首次报价”是指供应商提交的首次响应文件中的报价。</w:t>
      </w:r>
    </w:p>
    <w:p w14:paraId="6BCEB447">
      <w:pPr>
        <w:pStyle w:val="19"/>
        <w:spacing w:line="400" w:lineRule="exact"/>
      </w:pPr>
      <w:r>
        <w:rPr>
          <w:rFonts w:hint="eastAsia" w:hAnsi="宋体" w:cs="宋体"/>
          <w:sz w:val="21"/>
        </w:rPr>
        <w:t xml:space="preserve">    2.13 “评审价”是指供应商提交的最后报价并经修正和政策功能价格扣除后的价格。</w:t>
      </w:r>
    </w:p>
    <w:p w14:paraId="2FED3358">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3.供应商的资格条件</w:t>
      </w:r>
    </w:p>
    <w:p w14:paraId="46389947">
      <w:pPr>
        <w:spacing w:line="400" w:lineRule="exact"/>
        <w:ind w:firstLine="420" w:firstLineChars="200"/>
        <w:rPr>
          <w:rFonts w:ascii="宋体" w:hAnsi="宋体" w:cs="宋体"/>
          <w:szCs w:val="21"/>
        </w:rPr>
      </w:pPr>
      <w:r>
        <w:rPr>
          <w:rFonts w:hint="eastAsia" w:ascii="宋体" w:hAnsi="宋体" w:cs="宋体"/>
          <w:szCs w:val="21"/>
        </w:rPr>
        <w:t>供应商的资格条件详见“供应商须知前附表”。</w:t>
      </w:r>
    </w:p>
    <w:p w14:paraId="712A953A">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4.竞标费用</w:t>
      </w:r>
    </w:p>
    <w:p w14:paraId="541FECCF">
      <w:pPr>
        <w:spacing w:line="400" w:lineRule="exact"/>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62F81B99">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5.联合体竞标</w:t>
      </w:r>
    </w:p>
    <w:p w14:paraId="777F4995">
      <w:pPr>
        <w:spacing w:line="400" w:lineRule="exact"/>
        <w:ind w:firstLine="420" w:firstLineChars="200"/>
        <w:rPr>
          <w:rFonts w:ascii="宋体" w:hAnsi="宋体" w:cs="宋体"/>
          <w:szCs w:val="21"/>
        </w:rPr>
      </w:pPr>
      <w:r>
        <w:rPr>
          <w:rFonts w:hint="eastAsia" w:ascii="宋体" w:hAnsi="宋体" w:cs="宋体"/>
          <w:szCs w:val="21"/>
        </w:rPr>
        <w:t>5.1 本项目是否接受联合体竞标，详见“供应商须知前附表”。</w:t>
      </w:r>
    </w:p>
    <w:p w14:paraId="3137AAB2">
      <w:pPr>
        <w:spacing w:line="400" w:lineRule="exact"/>
        <w:ind w:firstLine="420" w:firstLineChars="200"/>
        <w:rPr>
          <w:rFonts w:ascii="宋体" w:hAnsi="宋体" w:cs="宋体"/>
          <w:szCs w:val="21"/>
        </w:rPr>
      </w:pPr>
      <w:r>
        <w:rPr>
          <w:rFonts w:hint="eastAsia" w:ascii="宋体" w:hAnsi="宋体" w:cs="宋体"/>
          <w:szCs w:val="21"/>
        </w:rPr>
        <w:t xml:space="preserve">5.2 </w:t>
      </w:r>
      <w:r>
        <w:rPr>
          <w:rFonts w:hint="eastAsia" w:ascii="宋体" w:hAnsi="宋体"/>
          <w:szCs w:val="21"/>
        </w:rPr>
        <w:t>如接受联合体竞标，</w:t>
      </w:r>
      <w:r>
        <w:rPr>
          <w:rFonts w:hint="eastAsia" w:ascii="宋体" w:hAnsi="宋体" w:cs="宋体"/>
          <w:szCs w:val="21"/>
        </w:rPr>
        <w:t>联合体竞标要求详见“供应商须知前附表”。</w:t>
      </w:r>
    </w:p>
    <w:p w14:paraId="22980D71">
      <w:pPr>
        <w:spacing w:line="400" w:lineRule="exact"/>
        <w:ind w:firstLine="420" w:firstLineChars="200"/>
        <w:rPr>
          <w:rFonts w:ascii="宋体" w:hAnsi="宋体" w:cs="宋体"/>
          <w:szCs w:val="21"/>
        </w:rPr>
      </w:pPr>
      <w:r>
        <w:rPr>
          <w:rFonts w:hint="eastAsia" w:ascii="宋体" w:hAnsi="宋体" w:cs="宋体"/>
          <w:szCs w:val="21"/>
        </w:rPr>
        <w:t>5.3</w:t>
      </w:r>
      <w:bookmarkStart w:id="4" w:name="_Hlk66782192"/>
      <w:r>
        <w:rPr>
          <w:rFonts w:hint="eastAsia" w:ascii="宋体" w:hAnsi="宋体" w:cs="宋体"/>
          <w:szCs w:val="21"/>
        </w:rPr>
        <w:t xml:space="preserve"> </w:t>
      </w:r>
      <w:r>
        <w:rPr>
          <w:rFonts w:hint="eastAsia" w:ascii="宋体" w:hAnsi="宋体"/>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4"/>
    </w:p>
    <w:p w14:paraId="67AA746E">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 xml:space="preserve">6.转包与分包             </w:t>
      </w:r>
    </w:p>
    <w:p w14:paraId="3EC12923">
      <w:pPr>
        <w:pStyle w:val="6"/>
        <w:keepNext w:val="0"/>
        <w:keepLines w:val="0"/>
        <w:spacing w:before="0" w:after="0" w:line="400" w:lineRule="exact"/>
        <w:ind w:firstLine="420" w:firstLineChars="200"/>
        <w:rPr>
          <w:rFonts w:ascii="宋体" w:hAnsi="宋体"/>
          <w:b w:val="0"/>
          <w:sz w:val="21"/>
          <w:szCs w:val="21"/>
        </w:rPr>
      </w:pPr>
      <w:bookmarkStart w:id="5" w:name="_Toc254970532"/>
      <w:bookmarkStart w:id="6" w:name="_Toc254970673"/>
      <w:r>
        <w:rPr>
          <w:rFonts w:hint="eastAsia" w:ascii="宋体" w:hAnsi="宋体"/>
          <w:b w:val="0"/>
          <w:sz w:val="21"/>
          <w:szCs w:val="21"/>
        </w:rPr>
        <w:t>6.1 本项目不允许转包。</w:t>
      </w:r>
    </w:p>
    <w:p w14:paraId="4DBEFF1C">
      <w:pPr>
        <w:pStyle w:val="6"/>
        <w:keepNext w:val="0"/>
        <w:keepLines w:val="0"/>
        <w:spacing w:before="0" w:after="0" w:line="400" w:lineRule="exact"/>
        <w:ind w:firstLine="315" w:firstLineChars="150"/>
        <w:rPr>
          <w:rFonts w:ascii="宋体" w:hAnsi="宋体"/>
          <w:b w:val="0"/>
          <w:sz w:val="21"/>
          <w:szCs w:val="21"/>
        </w:rPr>
      </w:pPr>
      <w:r>
        <w:rPr>
          <w:rFonts w:hint="eastAsia" w:ascii="宋体" w:hAnsi="宋体"/>
          <w:b w:val="0"/>
          <w:sz w:val="21"/>
          <w:szCs w:val="21"/>
        </w:rPr>
        <w:t xml:space="preserve"> 6.2 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A88C036">
      <w:pPr>
        <w:pStyle w:val="6"/>
        <w:keepNext w:val="0"/>
        <w:keepLines w:val="0"/>
        <w:spacing w:before="0" w:after="0" w:line="400" w:lineRule="exact"/>
        <w:ind w:firstLine="315" w:firstLineChars="150"/>
        <w:rPr>
          <w:rFonts w:ascii="宋体" w:hAnsi="宋体"/>
          <w:b w:val="0"/>
          <w:sz w:val="21"/>
          <w:szCs w:val="21"/>
        </w:rPr>
      </w:pPr>
      <w:r>
        <w:rPr>
          <w:rFonts w:hint="eastAsia" w:ascii="宋体" w:hAnsi="宋体"/>
          <w:b w:val="0"/>
          <w:sz w:val="21"/>
          <w:szCs w:val="21"/>
        </w:rPr>
        <w:t xml:space="preserve"> 6.3 供应商根据磋商文件的规定和采购项目的实际情况，拟在成交后将成交项目的非主体、非关键性工作分包的，应当在响应文件中载明分包承担主体，分包承担主体应当具备相应资质条件且不得再次分包。</w:t>
      </w:r>
    </w:p>
    <w:p w14:paraId="0C44C449">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7.特别说明</w:t>
      </w:r>
      <w:bookmarkEnd w:id="5"/>
      <w:bookmarkEnd w:id="6"/>
    </w:p>
    <w:p w14:paraId="69ED8858">
      <w:pPr>
        <w:spacing w:line="400" w:lineRule="exact"/>
        <w:ind w:firstLine="420" w:firstLineChars="200"/>
        <w:rPr>
          <w:rFonts w:ascii="宋体" w:hAnsi="宋体" w:cs="宋体"/>
          <w:szCs w:val="21"/>
        </w:rPr>
      </w:pPr>
      <w:bookmarkStart w:id="7" w:name="_8.1提供相同品牌产品且通过资格审查、符合性审查的不同投标人参加同一合"/>
      <w:bookmarkEnd w:id="7"/>
      <w:r>
        <w:rPr>
          <w:rFonts w:hint="eastAsia" w:ascii="宋体" w:hAnsi="宋体" w:cs="宋体"/>
          <w:szCs w:val="21"/>
        </w:rPr>
        <w:t>7.</w:t>
      </w:r>
      <w:r>
        <w:rPr>
          <w:rFonts w:ascii="宋体" w:hAnsi="宋体" w:cs="宋体"/>
          <w:szCs w:val="21"/>
        </w:rPr>
        <w:t>1</w:t>
      </w:r>
      <w:bookmarkStart w:id="8" w:name="_Hlk65832145"/>
      <w:r>
        <w:rPr>
          <w:rFonts w:hint="eastAsia" w:ascii="宋体" w:hAnsi="宋体" w:cs="宋体"/>
          <w:szCs w:val="21"/>
        </w:rPr>
        <w:t xml:space="preserve"> </w:t>
      </w:r>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8"/>
    <w:p w14:paraId="6554DC09">
      <w:pPr>
        <w:spacing w:line="40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 xml:space="preserve"> 供应商应仔细阅读磋商文件的所有内容，按照磋商文件的要求提交响应文件，并对所提供的全部资料的真实性承担法律责任。</w:t>
      </w:r>
    </w:p>
    <w:p w14:paraId="160B68C2">
      <w:pPr>
        <w:spacing w:line="40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3</w:t>
      </w:r>
      <w:r>
        <w:rPr>
          <w:rFonts w:hint="eastAsia" w:ascii="宋体" w:hAnsi="宋体" w:cs="宋体"/>
          <w:szCs w:val="21"/>
        </w:rPr>
        <w:t xml:space="preserve"> 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E4B14B2">
      <w:pPr>
        <w:spacing w:line="40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在政府采购活动中，采购人员及相关人员与供应商有下列利害关系之一的，应当回避：</w:t>
      </w:r>
    </w:p>
    <w:p w14:paraId="2D792985">
      <w:pPr>
        <w:spacing w:line="400" w:lineRule="exact"/>
        <w:ind w:firstLine="420" w:firstLineChars="200"/>
        <w:rPr>
          <w:rFonts w:ascii="宋体" w:hAnsi="宋体" w:cs="宋体"/>
          <w:szCs w:val="21"/>
        </w:rPr>
      </w:pPr>
      <w:r>
        <w:rPr>
          <w:rFonts w:hint="eastAsia" w:ascii="宋体" w:hAnsi="宋体" w:cs="宋体"/>
          <w:szCs w:val="21"/>
        </w:rPr>
        <w:t>（1）参加采购活动前3年内与供应商存在劳动关系；</w:t>
      </w:r>
    </w:p>
    <w:p w14:paraId="146127CA">
      <w:pPr>
        <w:spacing w:line="400" w:lineRule="exact"/>
        <w:ind w:firstLine="420" w:firstLineChars="200"/>
        <w:rPr>
          <w:rFonts w:ascii="宋体" w:hAnsi="宋体" w:cs="宋体"/>
          <w:szCs w:val="21"/>
        </w:rPr>
      </w:pPr>
      <w:r>
        <w:rPr>
          <w:rFonts w:hint="eastAsia" w:ascii="宋体" w:hAnsi="宋体" w:cs="宋体"/>
          <w:szCs w:val="21"/>
        </w:rPr>
        <w:t>（2）参加采购活动前3年内担任供应商的董事、监事；</w:t>
      </w:r>
    </w:p>
    <w:p w14:paraId="70730455">
      <w:pPr>
        <w:spacing w:line="400" w:lineRule="exact"/>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1C5AADF6">
      <w:pPr>
        <w:spacing w:line="400" w:lineRule="exact"/>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3A7C1E73">
      <w:pPr>
        <w:spacing w:line="400" w:lineRule="exact"/>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2915ACC5">
      <w:pPr>
        <w:spacing w:line="400" w:lineRule="exact"/>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75EEF95">
      <w:pPr>
        <w:spacing w:line="40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5</w:t>
      </w:r>
      <w:r>
        <w:rPr>
          <w:rFonts w:hint="eastAsia" w:ascii="宋体" w:hAnsi="宋体" w:cs="宋体"/>
          <w:szCs w:val="21"/>
        </w:rPr>
        <w:t xml:space="preserve"> 有下列情形之一的视为供应商相互串通竞标，响应文件将被视为无效：</w:t>
      </w:r>
    </w:p>
    <w:p w14:paraId="3E572162">
      <w:pPr>
        <w:spacing w:line="400" w:lineRule="exact"/>
        <w:ind w:firstLine="420" w:firstLineChars="200"/>
        <w:rPr>
          <w:rFonts w:ascii="宋体" w:hAnsi="宋体" w:cs="宋体"/>
          <w:szCs w:val="21"/>
        </w:rPr>
      </w:pPr>
      <w:r>
        <w:rPr>
          <w:rFonts w:hint="eastAsia" w:ascii="宋体" w:hAnsi="宋体" w:cs="宋体"/>
          <w:szCs w:val="21"/>
        </w:rPr>
        <w:t xml:space="preserve">（1）不同供应商的响应文件由同一单位或者个人编制； </w:t>
      </w:r>
    </w:p>
    <w:p w14:paraId="68E815DA">
      <w:pPr>
        <w:spacing w:line="400" w:lineRule="exact"/>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74A36B05">
      <w:pPr>
        <w:spacing w:line="400" w:lineRule="exact"/>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16658CD2">
      <w:pPr>
        <w:spacing w:line="400" w:lineRule="exact"/>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30A0BB20">
      <w:pPr>
        <w:spacing w:line="400" w:lineRule="exact"/>
        <w:ind w:firstLine="420" w:firstLineChars="200"/>
        <w:rPr>
          <w:rFonts w:ascii="宋体" w:hAnsi="宋体" w:cs="宋体"/>
          <w:szCs w:val="21"/>
        </w:rPr>
      </w:pPr>
      <w:r>
        <w:rPr>
          <w:rFonts w:hint="eastAsia" w:ascii="宋体" w:hAnsi="宋体" w:cs="宋体"/>
          <w:szCs w:val="21"/>
        </w:rPr>
        <w:t>（5）不同供应商的响应文件相互混装；</w:t>
      </w:r>
    </w:p>
    <w:p w14:paraId="778C627F">
      <w:pPr>
        <w:tabs>
          <w:tab w:val="left" w:pos="6931"/>
        </w:tabs>
        <w:spacing w:line="400" w:lineRule="exact"/>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ascii="宋体" w:hAnsi="宋体" w:cs="宋体"/>
          <w:szCs w:val="21"/>
        </w:rPr>
        <w:tab/>
      </w:r>
    </w:p>
    <w:p w14:paraId="27FD03B4">
      <w:pPr>
        <w:spacing w:line="400" w:lineRule="exact"/>
        <w:ind w:firstLine="420" w:firstLineChars="200"/>
        <w:rPr>
          <w:rFonts w:ascii="宋体" w:hAnsi="宋体" w:cs="宋体"/>
          <w:szCs w:val="21"/>
        </w:rPr>
      </w:pPr>
      <w:r>
        <w:rPr>
          <w:rFonts w:hint="eastAsia" w:ascii="宋体" w:hAnsi="宋体" w:cs="宋体"/>
          <w:szCs w:val="21"/>
        </w:rPr>
        <w:t>7.</w:t>
      </w:r>
      <w:r>
        <w:rPr>
          <w:rFonts w:ascii="宋体" w:hAnsi="宋体" w:cs="宋体"/>
          <w:szCs w:val="21"/>
        </w:rPr>
        <w:t>6</w:t>
      </w:r>
      <w:r>
        <w:rPr>
          <w:rFonts w:hint="eastAsia" w:ascii="宋体" w:hAnsi="宋体" w:cs="宋体"/>
          <w:szCs w:val="21"/>
        </w:rPr>
        <w:t xml:space="preserve"> 供应商有下列情形之一的，属于恶意串通行为，将报同级监督管理部门：</w:t>
      </w:r>
    </w:p>
    <w:p w14:paraId="337FD671">
      <w:pPr>
        <w:spacing w:line="400" w:lineRule="exact"/>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46415947">
      <w:pPr>
        <w:spacing w:line="400" w:lineRule="exact"/>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66CAE524">
      <w:pPr>
        <w:spacing w:line="400" w:lineRule="exact"/>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2FC00F2B">
      <w:pPr>
        <w:spacing w:line="400" w:lineRule="exact"/>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47AF22EC">
      <w:pPr>
        <w:spacing w:line="400" w:lineRule="exact"/>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251AA5E0">
      <w:pPr>
        <w:spacing w:line="400" w:lineRule="exact"/>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69F1FC8F">
      <w:pPr>
        <w:spacing w:line="400" w:lineRule="exact"/>
        <w:ind w:firstLine="420" w:firstLineChars="200"/>
        <w:jc w:val="left"/>
        <w:rPr>
          <w:rFonts w:ascii="宋体" w:hAnsi="宋体"/>
          <w:szCs w:val="21"/>
        </w:rPr>
      </w:pPr>
      <w:r>
        <w:rPr>
          <w:rFonts w:hint="eastAsia" w:ascii="宋体" w:hAnsi="宋体" w:cs="宋体"/>
          <w:szCs w:val="21"/>
        </w:rPr>
        <w:t>（7）供应商与采购人或者采购代理机构之间、供应商相互之间，为谋求特定供应商成交或者排斥其他供应商的其他串通行为。</w:t>
      </w:r>
      <w:bookmarkStart w:id="9" w:name="_Toc254970534"/>
      <w:bookmarkStart w:id="10" w:name="_Toc254970675"/>
    </w:p>
    <w:p w14:paraId="7337ACC0">
      <w:pPr>
        <w:spacing w:line="400" w:lineRule="exact"/>
        <w:jc w:val="center"/>
        <w:rPr>
          <w:rFonts w:ascii="宋体" w:hAnsi="宋体"/>
          <w:b/>
          <w:bCs/>
          <w:szCs w:val="21"/>
        </w:rPr>
      </w:pPr>
    </w:p>
    <w:p w14:paraId="6816A07D">
      <w:pPr>
        <w:spacing w:line="400" w:lineRule="exact"/>
        <w:jc w:val="center"/>
        <w:rPr>
          <w:rFonts w:ascii="宋体" w:hAnsi="宋体"/>
          <w:szCs w:val="21"/>
        </w:rPr>
      </w:pPr>
      <w:r>
        <w:rPr>
          <w:rFonts w:hint="eastAsia" w:ascii="宋体" w:hAnsi="宋体"/>
          <w:b/>
          <w:bCs/>
          <w:szCs w:val="21"/>
        </w:rPr>
        <w:t>二、磋商文件</w:t>
      </w:r>
      <w:bookmarkEnd w:id="9"/>
      <w:bookmarkEnd w:id="10"/>
    </w:p>
    <w:p w14:paraId="59323027">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8.磋商文件的构成</w:t>
      </w:r>
    </w:p>
    <w:p w14:paraId="659288E7">
      <w:pPr>
        <w:spacing w:line="400" w:lineRule="exact"/>
        <w:ind w:firstLine="420" w:firstLineChars="200"/>
        <w:jc w:val="left"/>
        <w:rPr>
          <w:rFonts w:ascii="宋体" w:hAnsi="宋体"/>
          <w:szCs w:val="21"/>
        </w:rPr>
      </w:pPr>
      <w:r>
        <w:rPr>
          <w:rFonts w:hint="eastAsia" w:ascii="宋体" w:hAnsi="宋体"/>
          <w:szCs w:val="21"/>
        </w:rPr>
        <w:t>（1）竞争性磋商公告；</w:t>
      </w:r>
    </w:p>
    <w:p w14:paraId="759736F0">
      <w:pPr>
        <w:spacing w:line="400" w:lineRule="exact"/>
        <w:ind w:firstLine="420" w:firstLineChars="200"/>
        <w:jc w:val="left"/>
        <w:rPr>
          <w:rFonts w:ascii="宋体" w:hAnsi="宋体"/>
          <w:szCs w:val="21"/>
        </w:rPr>
      </w:pPr>
      <w:r>
        <w:rPr>
          <w:rFonts w:hint="eastAsia" w:ascii="宋体" w:hAnsi="宋体"/>
          <w:szCs w:val="21"/>
        </w:rPr>
        <w:t xml:space="preserve">（2）供应商须知； </w:t>
      </w:r>
    </w:p>
    <w:p w14:paraId="55BBD248">
      <w:pPr>
        <w:spacing w:line="400" w:lineRule="exact"/>
        <w:ind w:firstLine="420" w:firstLineChars="200"/>
        <w:jc w:val="left"/>
        <w:rPr>
          <w:rFonts w:ascii="宋体" w:hAnsi="宋体"/>
          <w:szCs w:val="21"/>
        </w:rPr>
      </w:pPr>
      <w:r>
        <w:rPr>
          <w:rFonts w:hint="eastAsia" w:ascii="宋体" w:hAnsi="宋体"/>
          <w:szCs w:val="21"/>
        </w:rPr>
        <w:t>（3）采购需求；</w:t>
      </w:r>
    </w:p>
    <w:p w14:paraId="684D6E40">
      <w:pPr>
        <w:spacing w:line="400" w:lineRule="exact"/>
        <w:ind w:firstLine="420" w:firstLineChars="200"/>
        <w:jc w:val="left"/>
        <w:rPr>
          <w:rFonts w:ascii="宋体" w:hAnsi="宋体"/>
          <w:szCs w:val="21"/>
        </w:rPr>
      </w:pPr>
      <w:r>
        <w:rPr>
          <w:rFonts w:hint="eastAsia" w:ascii="宋体" w:hAnsi="宋体"/>
          <w:szCs w:val="21"/>
        </w:rPr>
        <w:t>（4）评审程序、评审方法和评审标准；</w:t>
      </w:r>
    </w:p>
    <w:p w14:paraId="519BEA9F">
      <w:pPr>
        <w:spacing w:line="400" w:lineRule="exact"/>
        <w:ind w:firstLine="420" w:firstLineChars="200"/>
        <w:jc w:val="left"/>
        <w:rPr>
          <w:rFonts w:ascii="宋体" w:hAnsi="宋体"/>
          <w:szCs w:val="21"/>
        </w:rPr>
      </w:pPr>
      <w:r>
        <w:rPr>
          <w:rFonts w:hint="eastAsia" w:ascii="宋体" w:hAnsi="宋体"/>
          <w:szCs w:val="21"/>
        </w:rPr>
        <w:t>（5）响应文件格式；</w:t>
      </w:r>
    </w:p>
    <w:p w14:paraId="7FDAD18D">
      <w:pPr>
        <w:spacing w:line="400" w:lineRule="exact"/>
        <w:ind w:firstLine="420" w:firstLineChars="200"/>
        <w:jc w:val="left"/>
        <w:rPr>
          <w:rFonts w:ascii="宋体" w:hAnsi="宋体"/>
          <w:szCs w:val="21"/>
        </w:rPr>
      </w:pPr>
      <w:r>
        <w:rPr>
          <w:rFonts w:hint="eastAsia" w:ascii="宋体" w:hAnsi="宋体"/>
          <w:szCs w:val="21"/>
        </w:rPr>
        <w:t>（6）合同主要条款。</w:t>
      </w:r>
    </w:p>
    <w:p w14:paraId="2940F701">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9.供应商的询问</w:t>
      </w:r>
    </w:p>
    <w:p w14:paraId="5C42CB3F">
      <w:pPr>
        <w:spacing w:line="400" w:lineRule="exact"/>
        <w:ind w:firstLine="420" w:firstLineChars="200"/>
        <w:rPr>
          <w:rFonts w:ascii="宋体" w:hAnsi="宋体"/>
          <w:szCs w:val="21"/>
        </w:rPr>
      </w:pPr>
      <w:r>
        <w:rPr>
          <w:rFonts w:hint="eastAsia" w:ascii="宋体" w:hAnsi="宋体"/>
          <w:szCs w:val="21"/>
        </w:rPr>
        <w:t>供应商应认真阅读磋商文件的采购需求，如供应商对磋商文件有疑问的，如要求采购人作出澄清或者修改的，供应商尽可能在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4C071912">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10.磋商文件的澄清和修改</w:t>
      </w:r>
    </w:p>
    <w:p w14:paraId="4557C3A6">
      <w:pPr>
        <w:spacing w:line="400" w:lineRule="exact"/>
        <w:ind w:firstLine="420" w:firstLineChars="200"/>
        <w:rPr>
          <w:rFonts w:ascii="宋体" w:hAnsi="宋体"/>
          <w:szCs w:val="21"/>
        </w:rPr>
      </w:pPr>
      <w:r>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w:t>
      </w:r>
      <w:r>
        <w:rPr>
          <w:rFonts w:hint="eastAsia" w:ascii="宋体" w:hAnsi="宋体"/>
          <w:szCs w:val="21"/>
        </w:rPr>
        <w:t>时间至少5</w:t>
      </w:r>
      <w:r>
        <w:rPr>
          <w:rFonts w:ascii="宋体" w:hAnsi="宋体"/>
          <w:szCs w:val="21"/>
        </w:rPr>
        <w:t>日前，以书面形式通知所有</w:t>
      </w:r>
      <w:r>
        <w:rPr>
          <w:rFonts w:hint="eastAsia" w:ascii="宋体" w:hAnsi="宋体"/>
          <w:szCs w:val="21"/>
        </w:rPr>
        <w:t>获取</w:t>
      </w:r>
      <w:r>
        <w:rPr>
          <w:rFonts w:ascii="宋体" w:hAnsi="宋体"/>
          <w:szCs w:val="21"/>
        </w:rPr>
        <w:t>磋商文件的供应商，不</w:t>
      </w:r>
      <w:r>
        <w:rPr>
          <w:rFonts w:hint="eastAsia" w:ascii="宋体" w:hAnsi="宋体"/>
          <w:szCs w:val="21"/>
        </w:rPr>
        <w:t>足5</w:t>
      </w:r>
      <w:r>
        <w:rPr>
          <w:rFonts w:ascii="宋体" w:hAnsi="宋体"/>
          <w:szCs w:val="21"/>
        </w:rPr>
        <w:t>日的，应当顺延提交首次响应文件截止之日。</w:t>
      </w:r>
    </w:p>
    <w:p w14:paraId="0D631611">
      <w:pPr>
        <w:spacing w:line="400" w:lineRule="exact"/>
        <w:jc w:val="center"/>
        <w:rPr>
          <w:rFonts w:ascii="宋体" w:hAnsi="宋体"/>
          <w:b/>
          <w:bCs/>
          <w:szCs w:val="21"/>
        </w:rPr>
      </w:pPr>
    </w:p>
    <w:p w14:paraId="6928297C">
      <w:pPr>
        <w:spacing w:line="400" w:lineRule="exact"/>
        <w:jc w:val="center"/>
        <w:rPr>
          <w:rFonts w:ascii="宋体" w:hAnsi="宋体"/>
          <w:szCs w:val="21"/>
        </w:rPr>
      </w:pPr>
      <w:r>
        <w:rPr>
          <w:rFonts w:hint="eastAsia" w:ascii="宋体" w:hAnsi="宋体"/>
          <w:b/>
          <w:bCs/>
          <w:szCs w:val="21"/>
        </w:rPr>
        <w:t>三、响应文件的编制</w:t>
      </w:r>
    </w:p>
    <w:p w14:paraId="2687B10B">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11.响应文件的编制原则</w:t>
      </w:r>
    </w:p>
    <w:p w14:paraId="621AC8F8">
      <w:pPr>
        <w:spacing w:line="400" w:lineRule="exact"/>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46586B11">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12.响应文件的组成</w:t>
      </w:r>
    </w:p>
    <w:p w14:paraId="2FA8094E">
      <w:pPr>
        <w:spacing w:line="400" w:lineRule="exact"/>
        <w:ind w:firstLine="420" w:firstLineChars="200"/>
        <w:rPr>
          <w:rFonts w:ascii="宋体" w:hAnsi="宋体" w:cs="宋体"/>
          <w:szCs w:val="21"/>
        </w:rPr>
      </w:pPr>
      <w:r>
        <w:rPr>
          <w:rFonts w:hint="eastAsia" w:ascii="宋体" w:hAnsi="宋体" w:cs="宋体"/>
          <w:szCs w:val="21"/>
        </w:rPr>
        <w:t>12.1 响应文件由资格证明文件、报价文件、商务技术文件三部分组成。</w:t>
      </w:r>
    </w:p>
    <w:p w14:paraId="211B6AAF">
      <w:pPr>
        <w:spacing w:line="400" w:lineRule="exact"/>
        <w:ind w:left="420" w:leftChars="200"/>
        <w:rPr>
          <w:rFonts w:ascii="宋体" w:hAnsi="宋体" w:cs="宋体"/>
          <w:szCs w:val="21"/>
        </w:rPr>
      </w:pPr>
      <w:r>
        <w:rPr>
          <w:rFonts w:hint="eastAsia" w:ascii="宋体" w:hAnsi="宋体" w:cs="宋体"/>
          <w:szCs w:val="21"/>
        </w:rPr>
        <w:t>1</w:t>
      </w:r>
      <w:r>
        <w:rPr>
          <w:rFonts w:ascii="宋体" w:hAnsi="宋体" w:cs="宋体"/>
          <w:szCs w:val="21"/>
        </w:rPr>
        <w:t>2.1.1</w:t>
      </w:r>
      <w:r>
        <w:rPr>
          <w:rFonts w:hint="eastAsia" w:ascii="宋体" w:hAnsi="宋体" w:cs="宋体"/>
          <w:szCs w:val="21"/>
        </w:rPr>
        <w:t xml:space="preserve"> 资格证明文件：详见须知前附表</w:t>
      </w:r>
    </w:p>
    <w:p w14:paraId="78893D65">
      <w:pPr>
        <w:spacing w:line="400" w:lineRule="exact"/>
        <w:ind w:left="420" w:leftChars="200"/>
        <w:rPr>
          <w:rFonts w:ascii="宋体" w:hAnsi="宋体" w:cs="宋体"/>
          <w:szCs w:val="21"/>
        </w:rPr>
      </w:pPr>
      <w:r>
        <w:rPr>
          <w:rFonts w:hint="eastAsia" w:ascii="宋体" w:hAnsi="宋体" w:cs="宋体"/>
          <w:szCs w:val="21"/>
        </w:rPr>
        <w:t>12.1.2 报价文件：详见须知前附表</w:t>
      </w:r>
    </w:p>
    <w:p w14:paraId="6917AE33">
      <w:pPr>
        <w:spacing w:line="400" w:lineRule="exact"/>
        <w:ind w:left="420" w:leftChars="200"/>
        <w:rPr>
          <w:rFonts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3 商务技术文件：详见须知前附表</w:t>
      </w:r>
    </w:p>
    <w:p w14:paraId="0039FCA4">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13.计量单位</w:t>
      </w:r>
    </w:p>
    <w:p w14:paraId="725BDE67">
      <w:pPr>
        <w:spacing w:line="400" w:lineRule="exact"/>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0DE066E8">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14.竞标的风险</w:t>
      </w:r>
    </w:p>
    <w:p w14:paraId="55469582">
      <w:pPr>
        <w:spacing w:line="400" w:lineRule="exact"/>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22CDAED">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15.竞标报价</w:t>
      </w:r>
    </w:p>
    <w:p w14:paraId="18CF86E2">
      <w:pPr>
        <w:tabs>
          <w:tab w:val="left" w:pos="2492"/>
        </w:tabs>
        <w:spacing w:line="400" w:lineRule="exact"/>
        <w:ind w:firstLine="420" w:firstLineChars="200"/>
        <w:rPr>
          <w:rFonts w:ascii="宋体" w:hAnsi="宋体" w:cs="宋体"/>
          <w:szCs w:val="21"/>
        </w:rPr>
      </w:pPr>
      <w:r>
        <w:rPr>
          <w:rFonts w:hint="eastAsia" w:ascii="宋体" w:hAnsi="宋体" w:cs="宋体"/>
          <w:szCs w:val="21"/>
        </w:rPr>
        <w:t>15.1 竞标报价应按磋商文件中“磋商报价承诺表”格式填写。</w:t>
      </w:r>
    </w:p>
    <w:p w14:paraId="7EBF4B78">
      <w:pPr>
        <w:tabs>
          <w:tab w:val="left" w:pos="2492"/>
        </w:tabs>
        <w:spacing w:line="400" w:lineRule="exact"/>
        <w:ind w:firstLine="420" w:firstLineChars="200"/>
        <w:rPr>
          <w:rFonts w:ascii="宋体" w:hAnsi="宋体" w:cs="宋体"/>
          <w:szCs w:val="21"/>
        </w:rPr>
      </w:pPr>
      <w:r>
        <w:rPr>
          <w:rFonts w:hint="eastAsia" w:ascii="宋体" w:hAnsi="宋体" w:cs="宋体"/>
          <w:szCs w:val="21"/>
        </w:rPr>
        <w:t>15.2 竞标报价的内容见“供应商须知前附表”。</w:t>
      </w:r>
    </w:p>
    <w:p w14:paraId="7C331032">
      <w:pPr>
        <w:spacing w:line="400" w:lineRule="exact"/>
        <w:ind w:firstLine="420" w:firstLineChars="200"/>
        <w:rPr>
          <w:rFonts w:ascii="宋体" w:hAnsi="宋体" w:cs="宋体"/>
          <w:szCs w:val="21"/>
        </w:rPr>
      </w:pPr>
      <w:r>
        <w:rPr>
          <w:rFonts w:hint="eastAsia" w:ascii="宋体" w:hAnsi="宋体" w:cs="宋体"/>
          <w:szCs w:val="21"/>
        </w:rPr>
        <w:t>15.3 竞标报价要求</w:t>
      </w:r>
    </w:p>
    <w:p w14:paraId="5ADB1670">
      <w:pPr>
        <w:spacing w:line="40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 xml:space="preserve"> 供应商的竞标报价应符合以下要求，否则响应文件按无效响应处理：</w:t>
      </w:r>
    </w:p>
    <w:p w14:paraId="1606A391">
      <w:pPr>
        <w:spacing w:line="400" w:lineRule="exact"/>
        <w:ind w:firstLine="420" w:firstLine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29D2DE23">
      <w:pPr>
        <w:spacing w:line="400" w:lineRule="exact"/>
        <w:rPr>
          <w:rFonts w:ascii="宋体" w:hAnsi="宋体" w:cs="宋体"/>
          <w:szCs w:val="21"/>
        </w:rPr>
      </w:pPr>
      <w:r>
        <w:rPr>
          <w:rFonts w:hint="eastAsia" w:ascii="宋体" w:hAnsi="宋体" w:cs="宋体"/>
          <w:szCs w:val="21"/>
        </w:rPr>
        <w:t>不得存在漏项报价；</w:t>
      </w:r>
    </w:p>
    <w:p w14:paraId="23E9E747">
      <w:pPr>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）供应商必须就所竞标的分标的单项内容作唯一报价。</w:t>
      </w:r>
    </w:p>
    <w:p w14:paraId="38544782">
      <w:pPr>
        <w:spacing w:line="400" w:lineRule="exact"/>
        <w:ind w:firstLine="420" w:firstLineChars="200"/>
        <w:rPr>
          <w:rFonts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 xml:space="preserve"> 竞标报价（包含首次报价、最后报价）超过所竞标分标规定的采购预算金额或者最高限价的，其响应文件将作无效处理。</w:t>
      </w:r>
    </w:p>
    <w:p w14:paraId="1DFF2E90">
      <w:pPr>
        <w:spacing w:line="400" w:lineRule="exact"/>
        <w:ind w:firstLine="420" w:firstLineChars="200"/>
        <w:rPr>
          <w:rFonts w:ascii="宋体" w:hAnsi="宋体" w:cs="宋体"/>
          <w:szCs w:val="21"/>
        </w:rPr>
      </w:pPr>
      <w:r>
        <w:rPr>
          <w:rFonts w:hint="eastAsia" w:ascii="宋体" w:hAnsi="宋体" w:cs="宋体"/>
          <w:szCs w:val="21"/>
        </w:rPr>
        <w:t>15.3.</w:t>
      </w:r>
      <w:r>
        <w:rPr>
          <w:rFonts w:ascii="宋体" w:hAnsi="宋体" w:cs="宋体"/>
          <w:szCs w:val="21"/>
        </w:rPr>
        <w:t>3</w:t>
      </w:r>
      <w:bookmarkStart w:id="11" w:name="_Hlk42592874"/>
      <w:r>
        <w:rPr>
          <w:rFonts w:hint="eastAsia" w:ascii="宋体" w:hAnsi="宋体" w:cs="宋体"/>
          <w:szCs w:val="21"/>
        </w:rPr>
        <w:t xml:space="preserve"> 竞标报价（包含首次报价、最后报价）超过分项采购预算金额或者最高限价的，其响应文件将作无效处理。</w:t>
      </w:r>
    </w:p>
    <w:bookmarkEnd w:id="11"/>
    <w:p w14:paraId="2ADE5FAE">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16.竞标有效期</w:t>
      </w:r>
    </w:p>
    <w:p w14:paraId="3231CC8D">
      <w:pPr>
        <w:spacing w:line="400" w:lineRule="exact"/>
        <w:ind w:firstLine="420" w:firstLineChars="200"/>
        <w:rPr>
          <w:rFonts w:ascii="宋体" w:hAnsi="宋体" w:cs="宋体"/>
          <w:szCs w:val="21"/>
        </w:rPr>
      </w:pPr>
      <w:r>
        <w:rPr>
          <w:rFonts w:hint="eastAsia" w:ascii="宋体" w:hAnsi="宋体" w:cs="宋体"/>
          <w:szCs w:val="21"/>
        </w:rPr>
        <w:t>16.1 竞标有效期是指为保证采购人有足够的时间在提交响应文件后完成评审、确定成交供应商、合同签订等工作而要求供应商提交的响应文件在一定时间内保持有效的期限。</w:t>
      </w:r>
    </w:p>
    <w:p w14:paraId="33D20C04">
      <w:pPr>
        <w:spacing w:line="400" w:lineRule="exact"/>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0E739805">
      <w:pPr>
        <w:spacing w:line="400" w:lineRule="exact"/>
        <w:ind w:firstLine="420" w:firstLineChars="200"/>
        <w:rPr>
          <w:rFonts w:ascii="宋体" w:hAnsi="宋体" w:cs="宋体"/>
          <w:szCs w:val="21"/>
        </w:rPr>
      </w:pPr>
      <w:r>
        <w:rPr>
          <w:rFonts w:hint="eastAsia" w:ascii="宋体" w:hAnsi="宋体" w:cs="宋体"/>
          <w:szCs w:val="21"/>
        </w:rPr>
        <w:t>16.3 供应商的响应文件在竞标有效期内均保持有效。</w:t>
      </w:r>
    </w:p>
    <w:p w14:paraId="05E6683D">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17.磋商保证金</w:t>
      </w:r>
    </w:p>
    <w:p w14:paraId="0D6F200A">
      <w:pPr>
        <w:spacing w:line="400" w:lineRule="exact"/>
        <w:ind w:firstLine="420" w:firstLineChars="200"/>
        <w:rPr>
          <w:rFonts w:ascii="宋体" w:hAnsi="宋体" w:cs="宋体"/>
          <w:szCs w:val="21"/>
        </w:rPr>
      </w:pPr>
      <w:r>
        <w:rPr>
          <w:rFonts w:hint="eastAsia" w:ascii="宋体" w:hAnsi="宋体" w:cs="宋体"/>
          <w:szCs w:val="21"/>
        </w:rPr>
        <w:t>17.1 供应商须按“供应商须知前附表”的规定提交磋商保证金。</w:t>
      </w:r>
    </w:p>
    <w:p w14:paraId="71F3C2BB">
      <w:pPr>
        <w:spacing w:line="400" w:lineRule="exact"/>
        <w:ind w:firstLine="420" w:firstLineChars="200"/>
        <w:rPr>
          <w:rFonts w:ascii="宋体" w:hAnsi="宋体" w:cs="宋体"/>
          <w:szCs w:val="21"/>
        </w:rPr>
      </w:pPr>
      <w:r>
        <w:rPr>
          <w:rFonts w:hint="eastAsia" w:ascii="宋体" w:hAnsi="宋体" w:cs="宋体"/>
          <w:szCs w:val="21"/>
        </w:rPr>
        <w:t>17.2 磋商保证金的退还</w:t>
      </w:r>
    </w:p>
    <w:p w14:paraId="252389F2">
      <w:pPr>
        <w:spacing w:line="400" w:lineRule="exact"/>
        <w:ind w:firstLine="420" w:firstLineChars="200"/>
        <w:rPr>
          <w:rFonts w:ascii="宋体" w:hAnsi="宋体" w:cs="宋体"/>
          <w:szCs w:val="21"/>
        </w:rPr>
      </w:pPr>
      <w:bookmarkStart w:id="12" w:name="_Hlk66782243"/>
      <w:r>
        <w:rPr>
          <w:rFonts w:hint="eastAsia" w:ascii="宋体" w:hAnsi="宋体" w:cs="宋体"/>
          <w:szCs w:val="21"/>
        </w:rPr>
        <w:t>不是成交候选供应商的成交公告之日起2个工作日内由采购人或采购代理机构统一出具退款函，送交易中心财务室在4个工作日内原路退付到各投标人的账户。</w:t>
      </w:r>
    </w:p>
    <w:p w14:paraId="33842D30">
      <w:pPr>
        <w:spacing w:line="400" w:lineRule="exact"/>
        <w:ind w:firstLine="420" w:firstLineChars="200"/>
        <w:rPr>
          <w:rFonts w:ascii="宋体" w:hAnsi="宋体" w:cs="宋体"/>
          <w:szCs w:val="21"/>
        </w:rPr>
      </w:pPr>
      <w:r>
        <w:rPr>
          <w:rFonts w:hint="eastAsia" w:ascii="宋体" w:hAnsi="宋体" w:cs="宋体"/>
          <w:szCs w:val="21"/>
        </w:rPr>
        <w:t>成交候选供应商的采购人或采购代理机构在成交供应商缴纳履约保证金后2个工作日内出具退款函，送交易中心财务室在4个工作日内原路退付到各投标人的账户。</w:t>
      </w:r>
      <w:bookmarkEnd w:id="12"/>
      <w:r>
        <w:rPr>
          <w:rFonts w:hint="eastAsia" w:ascii="宋体" w:hAnsi="宋体" w:cs="宋体"/>
          <w:szCs w:val="21"/>
        </w:rPr>
        <w:t xml:space="preserve"> </w:t>
      </w:r>
    </w:p>
    <w:p w14:paraId="514D2C4F">
      <w:pPr>
        <w:spacing w:line="400" w:lineRule="exact"/>
        <w:ind w:firstLine="420" w:firstLineChars="200"/>
        <w:rPr>
          <w:rFonts w:ascii="宋体" w:hAnsi="宋体" w:cs="宋体"/>
          <w:szCs w:val="21"/>
        </w:rPr>
      </w:pPr>
      <w:r>
        <w:rPr>
          <w:rFonts w:hint="eastAsia" w:ascii="宋体" w:hAnsi="宋体" w:cs="宋体"/>
          <w:szCs w:val="21"/>
        </w:rPr>
        <w:t>17.3 磋商保证金不计息。</w:t>
      </w:r>
    </w:p>
    <w:p w14:paraId="74FD7CAB">
      <w:pPr>
        <w:spacing w:line="400" w:lineRule="exact"/>
        <w:ind w:firstLine="420" w:firstLineChars="200"/>
        <w:rPr>
          <w:rFonts w:ascii="宋体" w:hAnsi="宋体" w:cs="宋体"/>
          <w:szCs w:val="21"/>
        </w:rPr>
      </w:pPr>
      <w:r>
        <w:rPr>
          <w:rFonts w:hint="eastAsia" w:ascii="宋体" w:hAnsi="宋体" w:cs="宋体"/>
          <w:szCs w:val="21"/>
        </w:rPr>
        <w:t>17.4 供应商有下列情形之一的，磋商保证金将不予退还：</w:t>
      </w:r>
    </w:p>
    <w:p w14:paraId="2975DBA2">
      <w:pPr>
        <w:spacing w:line="400" w:lineRule="exact"/>
        <w:ind w:firstLine="420" w:firstLineChars="200"/>
        <w:rPr>
          <w:rFonts w:ascii="宋体" w:hAnsi="宋体" w:cs="宋体"/>
          <w:szCs w:val="21"/>
        </w:rPr>
      </w:pPr>
      <w:r>
        <w:rPr>
          <w:rFonts w:hint="eastAsia" w:ascii="宋体" w:hAnsi="宋体" w:cs="宋体"/>
          <w:szCs w:val="21"/>
        </w:rPr>
        <w:t>（1）供应商在提交响应文件截止时间后撤回响应文件的；</w:t>
      </w:r>
    </w:p>
    <w:p w14:paraId="394C139A">
      <w:pPr>
        <w:spacing w:line="400" w:lineRule="exact"/>
        <w:ind w:firstLine="420" w:firstLineChars="200"/>
        <w:rPr>
          <w:rFonts w:ascii="宋体" w:hAnsi="宋体" w:cs="宋体"/>
          <w:szCs w:val="21"/>
        </w:rPr>
      </w:pPr>
      <w:r>
        <w:rPr>
          <w:rFonts w:hint="eastAsia" w:ascii="宋体" w:hAnsi="宋体"/>
          <w:szCs w:val="21"/>
        </w:rPr>
        <w:t>（2）未按规定提交履约保证金的；</w:t>
      </w:r>
    </w:p>
    <w:p w14:paraId="53FBE974">
      <w:pPr>
        <w:spacing w:line="400" w:lineRule="exact"/>
        <w:ind w:firstLine="420" w:firstLineChars="200"/>
        <w:rPr>
          <w:rFonts w:ascii="宋体" w:hAnsi="宋体" w:cs="宋体"/>
          <w:szCs w:val="21"/>
        </w:rPr>
      </w:pPr>
      <w:r>
        <w:rPr>
          <w:rFonts w:hint="eastAsia" w:ascii="宋体" w:hAnsi="宋体" w:cs="宋体"/>
          <w:szCs w:val="21"/>
        </w:rPr>
        <w:t>（3）供应商在响应文件中提供虚假材料的；</w:t>
      </w:r>
    </w:p>
    <w:p w14:paraId="31200D61">
      <w:pPr>
        <w:spacing w:line="400" w:lineRule="exact"/>
        <w:ind w:firstLine="420" w:firstLineChars="200"/>
        <w:rPr>
          <w:rFonts w:ascii="宋体" w:hAnsi="宋体" w:cs="宋体"/>
          <w:szCs w:val="21"/>
        </w:rPr>
      </w:pPr>
      <w:r>
        <w:rPr>
          <w:rFonts w:hint="eastAsia" w:ascii="宋体" w:hAnsi="宋体" w:cs="宋体"/>
          <w:szCs w:val="21"/>
        </w:rPr>
        <w:t>（4）除因不可抗力或者谈判文件认可的情形以外，成交供应商不与采购人签订合同的；</w:t>
      </w:r>
    </w:p>
    <w:p w14:paraId="38B081AD">
      <w:pPr>
        <w:spacing w:line="400" w:lineRule="exact"/>
        <w:ind w:firstLine="420" w:firstLineChars="200"/>
        <w:rPr>
          <w:rFonts w:ascii="宋体" w:hAnsi="宋体" w:cs="宋体"/>
          <w:szCs w:val="21"/>
        </w:rPr>
      </w:pPr>
      <w:r>
        <w:rPr>
          <w:rFonts w:hint="eastAsia" w:ascii="宋体" w:hAnsi="宋体" w:cs="宋体"/>
          <w:szCs w:val="21"/>
        </w:rPr>
        <w:t>（5）供应商与采购人、其他供应商或者采购代理机构恶意串通的；</w:t>
      </w:r>
    </w:p>
    <w:p w14:paraId="35842990">
      <w:pPr>
        <w:spacing w:line="400" w:lineRule="exact"/>
        <w:ind w:firstLine="420" w:firstLineChars="200"/>
        <w:rPr>
          <w:rFonts w:ascii="宋体" w:hAnsi="宋体" w:cs="宋体"/>
          <w:szCs w:val="21"/>
        </w:rPr>
      </w:pPr>
      <w:r>
        <w:rPr>
          <w:rFonts w:hint="eastAsia" w:ascii="宋体" w:hAnsi="宋体" w:cs="宋体"/>
          <w:szCs w:val="21"/>
        </w:rPr>
        <w:t>（6）法律法规规定的其他情形。</w:t>
      </w:r>
    </w:p>
    <w:p w14:paraId="4479A449">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18.响应文件编制的要求</w:t>
      </w:r>
    </w:p>
    <w:p w14:paraId="3A94D003">
      <w:pPr>
        <w:spacing w:line="400" w:lineRule="exact"/>
        <w:ind w:firstLine="420" w:firstLineChars="200"/>
        <w:rPr>
          <w:rFonts w:ascii="宋体" w:hAnsi="宋体" w:cs="宋体"/>
          <w:szCs w:val="21"/>
        </w:rPr>
      </w:pPr>
      <w:r>
        <w:rPr>
          <w:rFonts w:hint="eastAsia" w:ascii="宋体" w:hAnsi="宋体" w:cs="宋体"/>
          <w:szCs w:val="21"/>
        </w:rPr>
        <w:t>18.1 供应商应按本磋商文件规定的格式和顺序编制、响应文件并标注页码，响应文件内容</w:t>
      </w:r>
      <w:r>
        <w:rPr>
          <w:rFonts w:hint="eastAsia" w:ascii="宋体" w:hAnsi="宋体" w:cs="宋体"/>
          <w:spacing w:val="-6"/>
          <w:szCs w:val="21"/>
        </w:rPr>
        <w:t>不完整、编排混乱导致响应文件被误读、漏读或者查找不到相关内容的，</w:t>
      </w:r>
      <w:r>
        <w:rPr>
          <w:rFonts w:hint="eastAsia" w:ascii="宋体" w:hAnsi="宋体"/>
          <w:szCs w:val="21"/>
        </w:rPr>
        <w:t>由此引发的</w:t>
      </w:r>
      <w:r>
        <w:rPr>
          <w:rFonts w:hint="eastAsia" w:ascii="宋体" w:hAnsi="宋体" w:cs="宋体"/>
          <w:spacing w:val="-6"/>
          <w:szCs w:val="21"/>
        </w:rPr>
        <w:t>后果由供应商承担。</w:t>
      </w:r>
    </w:p>
    <w:p w14:paraId="501801EF">
      <w:pPr>
        <w:spacing w:line="400" w:lineRule="exact"/>
        <w:ind w:firstLine="420" w:firstLineChars="200"/>
        <w:rPr>
          <w:rFonts w:ascii="宋体" w:hAnsi="宋体" w:cs="宋体"/>
          <w:szCs w:val="21"/>
        </w:rPr>
      </w:pPr>
      <w:r>
        <w:rPr>
          <w:rFonts w:hint="eastAsia" w:ascii="宋体" w:hAnsi="宋体" w:cs="宋体"/>
          <w:szCs w:val="21"/>
        </w:rPr>
        <w:t>18.2 响应文件应按资格证明文件、报价商务技术文件分别编制电子文件，并按“政采云”平台的要求编制、加密、上传。</w:t>
      </w:r>
    </w:p>
    <w:p w14:paraId="07D8561C">
      <w:pPr>
        <w:spacing w:line="400" w:lineRule="exact"/>
        <w:ind w:firstLine="420" w:firstLineChars="200"/>
        <w:rPr>
          <w:rFonts w:ascii="宋体" w:hAnsi="宋体" w:cs="宋体"/>
          <w:szCs w:val="21"/>
        </w:rPr>
      </w:pPr>
      <w:r>
        <w:rPr>
          <w:rFonts w:hint="eastAsia" w:ascii="宋体" w:hAnsi="宋体" w:cs="宋体"/>
          <w:szCs w:val="21"/>
        </w:rPr>
        <w:t>18.</w:t>
      </w:r>
      <w:bookmarkStart w:id="13" w:name="_Hlk65832699"/>
      <w:r>
        <w:rPr>
          <w:rFonts w:hint="eastAsia" w:ascii="宋体" w:hAnsi="宋体" w:cs="宋体"/>
          <w:szCs w:val="21"/>
        </w:rPr>
        <w:t xml:space="preserve">3 </w:t>
      </w:r>
      <w:r>
        <w:rPr>
          <w:rFonts w:hint="eastAsia" w:ascii="宋体" w:hAnsi="宋体"/>
          <w:szCs w:val="21"/>
        </w:rPr>
        <w:t>响应文件须由供应商在规定位置盖电子签章并签字</w:t>
      </w:r>
      <w:bookmarkStart w:id="14" w:name="_Hlk65832569"/>
      <w:r>
        <w:rPr>
          <w:rFonts w:hint="eastAsia" w:ascii="宋体" w:hAnsi="宋体"/>
          <w:szCs w:val="21"/>
        </w:rPr>
        <w:t>（具体以供应商须知前附表或响应文件格式规定为准）</w:t>
      </w:r>
      <w:bookmarkEnd w:id="13"/>
      <w:bookmarkEnd w:id="14"/>
      <w:r>
        <w:rPr>
          <w:rFonts w:hint="eastAsia" w:ascii="宋体" w:hAnsi="宋体" w:cs="宋体"/>
          <w:szCs w:val="21"/>
        </w:rPr>
        <w:t>，否则其响应文件按无效响应处理。</w:t>
      </w:r>
    </w:p>
    <w:p w14:paraId="167816AD">
      <w:pPr>
        <w:spacing w:line="400" w:lineRule="exact"/>
        <w:ind w:firstLine="420" w:firstLineChars="200"/>
        <w:rPr>
          <w:rFonts w:ascii="宋体" w:hAnsi="宋体" w:cs="宋体"/>
          <w:szCs w:val="21"/>
        </w:rPr>
      </w:pPr>
      <w:r>
        <w:rPr>
          <w:rFonts w:hint="eastAsia" w:ascii="宋体" w:hAnsi="宋体" w:cs="宋体"/>
          <w:szCs w:val="21"/>
        </w:rPr>
        <w:t>18.4 响应文件中标注的供应商名称应与营业执照（事业单位法人证书、执业许可证、自然人身份证）及电子签章一致，否则其响应文件按无效响应处理。</w:t>
      </w:r>
    </w:p>
    <w:p w14:paraId="0A87EBB6">
      <w:pPr>
        <w:pStyle w:val="31"/>
        <w:spacing w:line="400" w:lineRule="exact"/>
        <w:ind w:firstLineChars="200"/>
        <w:jc w:val="left"/>
        <w:rPr>
          <w:rFonts w:hAnsi="宋体" w:cs="宋体"/>
          <w:sz w:val="21"/>
        </w:rPr>
      </w:pPr>
      <w:r>
        <w:rPr>
          <w:rFonts w:hint="eastAsia" w:hAnsi="宋体" w:cs="宋体"/>
          <w:sz w:val="21"/>
        </w:rPr>
        <w:t>18.5 响应文件应尽量避免涂改、行间插字或者删除。如果出现上述情况，改动之处应由供应商的法定代表人或者其委托代理人签字或者加盖电子签章。响应文件因涂改、行间插字或者删除导致字迹潦草或者表达不清所引起的后果由供应商承担。</w:t>
      </w:r>
    </w:p>
    <w:p w14:paraId="3216647C">
      <w:pPr>
        <w:pStyle w:val="31"/>
        <w:spacing w:line="400" w:lineRule="exact"/>
        <w:ind w:firstLineChars="200"/>
        <w:jc w:val="left"/>
        <w:rPr>
          <w:sz w:val="21"/>
        </w:rPr>
      </w:pPr>
      <w:r>
        <w:rPr>
          <w:rFonts w:hint="eastAsia" w:hAnsi="宋体" w:cs="宋体"/>
          <w:sz w:val="21"/>
        </w:rPr>
        <w:t xml:space="preserve">18.6 </w:t>
      </w:r>
      <w:r>
        <w:rPr>
          <w:rFonts w:hint="eastAsia"/>
          <w:sz w:val="21"/>
        </w:rPr>
        <w:t>电子响应文件中须加盖供应商公章部分均采用CA签章，并根据“政府采购项目电子交易管理操作指南-供应商”及本磋商文件规定的格式和顺序编制电子响应文件并进行关联定位，以便评标委员会在评审时，点击评分项可直接定位到该评分项内容。如对磋商文件的某项要求，供应商的电子响应文件未能关联定位提供相应的内容与其对应，则评审委员会在评审时如做出对供应商不利的评审由供应商自行承担。电子响应文件如内容不完整、编排混乱导致响应文件被误读、漏读，或者在按磋商文件规定的部位查找不到相关内容的，由供应商自行承担。</w:t>
      </w:r>
    </w:p>
    <w:p w14:paraId="19B6AA3A">
      <w:pPr>
        <w:spacing w:line="400" w:lineRule="exact"/>
        <w:ind w:firstLine="422" w:firstLineChars="200"/>
        <w:rPr>
          <w:rFonts w:ascii="黑体" w:hAnsi="黑体" w:eastAsia="黑体" w:cs="宋体"/>
          <w:b/>
          <w:bCs/>
          <w:szCs w:val="21"/>
        </w:rPr>
      </w:pPr>
      <w:r>
        <w:rPr>
          <w:rFonts w:hint="eastAsia" w:ascii="宋体" w:hAnsi="Courier New"/>
          <w:b/>
          <w:bCs/>
          <w:szCs w:val="21"/>
        </w:rPr>
        <w:t xml:space="preserve">18.7 </w:t>
      </w:r>
      <w:r>
        <w:rPr>
          <w:rFonts w:hint="eastAsia" w:ascii="宋体" w:hAnsi="Courier New"/>
          <w:b/>
          <w:bCs/>
          <w:szCs w:val="21"/>
          <w:u w:val="single"/>
        </w:rPr>
        <w:t>CA签章上目前没有法人（负责人）或授权代表签字信息，供应商在响应文件中涉及到签字的位置线下签好字然后扫描或者拍照做成PDF的格式亦可。响应文件中涉及到签字的位置未按要求签字的，提供的材料视为无效。</w:t>
      </w:r>
    </w:p>
    <w:p w14:paraId="1BFB9284">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19.响应文件的加密、解密</w:t>
      </w:r>
    </w:p>
    <w:p w14:paraId="221E54CE">
      <w:pPr>
        <w:spacing w:line="400" w:lineRule="exact"/>
        <w:ind w:firstLine="420" w:firstLineChars="200"/>
        <w:rPr>
          <w:rFonts w:ascii="宋体" w:hAnsi="宋体" w:cs="宋体"/>
          <w:szCs w:val="21"/>
        </w:rPr>
      </w:pPr>
      <w:r>
        <w:rPr>
          <w:rFonts w:hint="eastAsia" w:ascii="宋体" w:hAnsi="宋体" w:cs="宋体"/>
          <w:szCs w:val="21"/>
        </w:rPr>
        <w:t>电子响应文件编制完成后，供应商应按“政采云”平台的要求进行加密，并在规定时间内解密，否则，由此产生的后果由供应商自行负责。</w:t>
      </w:r>
    </w:p>
    <w:p w14:paraId="0E819829">
      <w:pPr>
        <w:pStyle w:val="19"/>
        <w:spacing w:line="400" w:lineRule="exact"/>
        <w:ind w:firstLine="422" w:firstLineChars="200"/>
        <w:rPr>
          <w:rFonts w:hAnsi="宋体" w:cs="宋体"/>
          <w:sz w:val="21"/>
        </w:rPr>
      </w:pPr>
      <w:r>
        <w:rPr>
          <w:rFonts w:hint="eastAsia" w:ascii="黑体" w:hAnsi="黑体" w:eastAsia="黑体" w:cs="黑体"/>
          <w:b/>
          <w:bCs/>
          <w:sz w:val="21"/>
        </w:rPr>
        <w:t>20.响应文件的提交</w:t>
      </w:r>
    </w:p>
    <w:p w14:paraId="254663C6">
      <w:pPr>
        <w:pStyle w:val="19"/>
        <w:spacing w:line="400" w:lineRule="exact"/>
        <w:ind w:firstLine="420" w:firstLineChars="200"/>
        <w:rPr>
          <w:rFonts w:hAnsi="宋体" w:cs="宋体"/>
          <w:sz w:val="21"/>
        </w:rPr>
      </w:pPr>
      <w:r>
        <w:rPr>
          <w:rFonts w:hint="eastAsia" w:hAnsi="宋体" w:cs="宋体"/>
          <w:sz w:val="21"/>
        </w:rPr>
        <w:t>20.1 供应商必须在“供应商须知前附表”规定的时间和地点提交响应文件。</w:t>
      </w:r>
    </w:p>
    <w:p w14:paraId="1C08F371">
      <w:pPr>
        <w:pStyle w:val="19"/>
        <w:spacing w:line="400" w:lineRule="exact"/>
        <w:ind w:firstLine="420" w:firstLineChars="200"/>
        <w:rPr>
          <w:rFonts w:hAnsi="宋体" w:cs="宋体"/>
          <w:sz w:val="21"/>
        </w:rPr>
      </w:pPr>
      <w:r>
        <w:rPr>
          <w:rFonts w:hint="eastAsia" w:hAnsi="宋体" w:cs="宋体"/>
          <w:sz w:val="21"/>
        </w:rPr>
        <w:t>20.2 本项目为全流程电子化政府采购项目，通过“政采云”平台（http：//www.zcygov.cn）实行在线电子竞标，供应商应先安装“政采云电子交易客户端”（请自行前往“政采云”平台进行下载），并按照本项目竞争性磋商文件和“政采云”平台的要求编制、加密后在首次响应文件提交截止时间前通过网络上传至“政采云”平台，供应商在“政采云”平台提交电子版响应文件时，请填写参加远程开标活动经办人联系方式。</w:t>
      </w:r>
    </w:p>
    <w:p w14:paraId="1E221D3A">
      <w:pPr>
        <w:pStyle w:val="19"/>
        <w:spacing w:line="400" w:lineRule="exact"/>
        <w:ind w:firstLine="420" w:firstLineChars="200"/>
        <w:rPr>
          <w:rFonts w:hAnsi="宋体" w:cs="宋体"/>
          <w:sz w:val="21"/>
        </w:rPr>
      </w:pPr>
      <w:r>
        <w:rPr>
          <w:rFonts w:hint="eastAsia" w:hAnsi="宋体" w:cs="宋体"/>
          <w:sz w:val="21"/>
        </w:rPr>
        <w:t>20.3 未在规定时间内上传或者未按“政采云”平台的要求编制、加密的电子响应文件，“政采云”平台将拒收。</w:t>
      </w:r>
    </w:p>
    <w:p w14:paraId="10A53E1A">
      <w:pPr>
        <w:pStyle w:val="19"/>
        <w:spacing w:line="400" w:lineRule="exact"/>
        <w:ind w:firstLine="420" w:firstLineChars="200"/>
        <w:rPr>
          <w:rFonts w:hAnsi="宋体" w:cs="宋体"/>
          <w:sz w:val="21"/>
        </w:rPr>
      </w:pPr>
      <w:r>
        <w:rPr>
          <w:rFonts w:hint="eastAsia" w:hAnsi="宋体" w:cs="宋体"/>
          <w:sz w:val="21"/>
        </w:rPr>
        <w:t>20.4 电子响应文件提交方式见“竞争性磋商公告”中“四、响应文件提交”。</w:t>
      </w:r>
    </w:p>
    <w:p w14:paraId="06C767FA">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21.首次响应文件的补充、修改与撤回</w:t>
      </w:r>
    </w:p>
    <w:p w14:paraId="07EA82E4">
      <w:pPr>
        <w:spacing w:line="400" w:lineRule="exact"/>
        <w:ind w:firstLine="420" w:firstLineChars="200"/>
        <w:rPr>
          <w:rFonts w:ascii="宋体" w:hAnsi="宋体" w:cs="宋体"/>
          <w:szCs w:val="21"/>
        </w:rPr>
      </w:pPr>
      <w:r>
        <w:rPr>
          <w:rFonts w:hint="eastAsia" w:ascii="宋体" w:hAnsi="宋体" w:cs="宋体"/>
          <w:szCs w:val="21"/>
        </w:rPr>
        <w:t>供应商应当在响应文件提交截止时间前完成电子响应文件的上传、递交，响应文件提交截止时间前可以补充、修改或者撤回响应文件。补充或者修改响应文件的，应当先行撤回原文件，补充、修改后重新上传、递交。补充、修改的内容作为响应文件的组成部分。补充、修改的内容与响应文件不一致的，以补充、修改的内容为准。响应截止时间前未完成上传、递交的，视为撤回响应文件。响应文件提交截止时间以后上传递交的响应文件的，“政采云”平台将予以拒收。</w:t>
      </w:r>
    </w:p>
    <w:p w14:paraId="107A31BD">
      <w:pPr>
        <w:pStyle w:val="19"/>
        <w:spacing w:line="400" w:lineRule="exact"/>
        <w:ind w:firstLine="422" w:firstLineChars="200"/>
        <w:rPr>
          <w:sz w:val="21"/>
        </w:rPr>
      </w:pPr>
      <w:r>
        <w:rPr>
          <w:rFonts w:hint="eastAsia" w:ascii="黑体" w:hAnsi="黑体" w:eastAsia="黑体" w:cs="黑体"/>
          <w:b/>
          <w:bCs/>
          <w:sz w:val="21"/>
        </w:rPr>
        <w:t>22.首次响应文件的退回</w:t>
      </w:r>
    </w:p>
    <w:p w14:paraId="0CF4A92C">
      <w:pPr>
        <w:pStyle w:val="19"/>
        <w:spacing w:line="400" w:lineRule="exact"/>
        <w:rPr>
          <w:sz w:val="21"/>
        </w:rPr>
      </w:pPr>
      <w:r>
        <w:rPr>
          <w:rFonts w:hint="eastAsia"/>
          <w:sz w:val="21"/>
        </w:rPr>
        <w:t xml:space="preserve">    在首次响应文件提交截止时间止提交响应文件的供应商不足3家时，采购代理机构将根据“政采云”平台的操作将电子版响应文件退回，除此之外采购人和采购代理机构对已提交的电子响应文件概不退回。</w:t>
      </w:r>
    </w:p>
    <w:p w14:paraId="31377EF5">
      <w:pPr>
        <w:spacing w:line="400" w:lineRule="exact"/>
        <w:ind w:firstLine="422" w:firstLineChars="200"/>
        <w:rPr>
          <w:rFonts w:ascii="黑体" w:hAnsi="黑体" w:eastAsia="黑体" w:cs="宋体"/>
          <w:b/>
          <w:bCs/>
          <w:szCs w:val="21"/>
        </w:rPr>
      </w:pPr>
      <w:bookmarkStart w:id="15" w:name="_Hlk45702405"/>
      <w:r>
        <w:rPr>
          <w:rFonts w:hint="eastAsia" w:ascii="黑体" w:hAnsi="黑体" w:eastAsia="黑体" w:cs="宋体"/>
          <w:b/>
          <w:bCs/>
          <w:szCs w:val="21"/>
        </w:rPr>
        <w:t>23.截止时间后的撤回</w:t>
      </w:r>
    </w:p>
    <w:p w14:paraId="50089DA7">
      <w:pPr>
        <w:spacing w:line="400" w:lineRule="exact"/>
        <w:ind w:firstLine="420" w:firstLineChars="200"/>
        <w:rPr>
          <w:szCs w:val="21"/>
        </w:rPr>
      </w:pPr>
      <w:r>
        <w:rPr>
          <w:rFonts w:hint="eastAsia" w:ascii="宋体" w:hAnsi="宋体" w:cs="宋体"/>
          <w:szCs w:val="21"/>
        </w:rPr>
        <w:t>供应商在响应文件提交截止时间后向采购人、采购代理机构书面申请撤回响应文件的，将根据本须知正文17.4的规定不予退还其磋商保证金。</w:t>
      </w:r>
      <w:bookmarkEnd w:id="15"/>
    </w:p>
    <w:p w14:paraId="5D4244AB">
      <w:pPr>
        <w:spacing w:line="400" w:lineRule="exact"/>
        <w:ind w:firstLine="420"/>
        <w:jc w:val="center"/>
        <w:rPr>
          <w:rFonts w:ascii="宋体" w:hAnsi="宋体"/>
          <w:b/>
          <w:bCs/>
          <w:szCs w:val="21"/>
        </w:rPr>
      </w:pPr>
    </w:p>
    <w:p w14:paraId="168C0ADA">
      <w:pPr>
        <w:spacing w:line="400" w:lineRule="exact"/>
        <w:jc w:val="center"/>
        <w:rPr>
          <w:rFonts w:ascii="宋体" w:hAnsi="宋体"/>
          <w:szCs w:val="21"/>
        </w:rPr>
      </w:pPr>
      <w:r>
        <w:rPr>
          <w:rFonts w:hint="eastAsia" w:ascii="宋体" w:hAnsi="宋体"/>
          <w:b/>
          <w:bCs/>
          <w:szCs w:val="21"/>
        </w:rPr>
        <w:t>四、评审及磋商</w:t>
      </w:r>
    </w:p>
    <w:p w14:paraId="1E246CB6">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24.磋商小组成立</w:t>
      </w:r>
    </w:p>
    <w:p w14:paraId="49AE667E">
      <w:pPr>
        <w:spacing w:line="400" w:lineRule="exact"/>
        <w:ind w:firstLine="420" w:firstLineChars="200"/>
        <w:rPr>
          <w:rFonts w:ascii="宋体" w:hAnsi="宋体" w:cs="宋体"/>
          <w:szCs w:val="21"/>
        </w:rPr>
      </w:pPr>
      <w:r>
        <w:rPr>
          <w:rFonts w:hint="eastAsia" w:ascii="宋体" w:hAnsi="宋体" w:cs="宋体"/>
          <w:szCs w:val="21"/>
        </w:rPr>
        <w:t>24.1 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451BD38">
      <w:pPr>
        <w:spacing w:line="400" w:lineRule="exact"/>
        <w:ind w:firstLine="420" w:firstLineChars="200"/>
        <w:rPr>
          <w:rFonts w:ascii="宋体" w:hAnsi="宋体" w:cs="宋体"/>
          <w:szCs w:val="21"/>
        </w:rPr>
      </w:pPr>
      <w:r>
        <w:rPr>
          <w:rFonts w:hint="eastAsia" w:ascii="宋体" w:hAnsi="宋体" w:cs="宋体"/>
          <w:szCs w:val="21"/>
        </w:rPr>
        <w:t>24.2 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52B4D3E">
      <w:pPr>
        <w:spacing w:line="400" w:lineRule="exact"/>
        <w:ind w:firstLine="422" w:firstLineChars="200"/>
        <w:rPr>
          <w:rFonts w:ascii="黑体" w:hAnsi="黑体" w:eastAsia="黑体" w:cs="宋体"/>
          <w:b/>
          <w:bCs/>
          <w:szCs w:val="21"/>
        </w:rPr>
      </w:pPr>
      <w:r>
        <w:rPr>
          <w:rFonts w:ascii="黑体" w:hAnsi="黑体" w:eastAsia="黑体" w:cs="宋体"/>
          <w:b/>
          <w:bCs/>
          <w:szCs w:val="21"/>
        </w:rPr>
        <w:t>2</w:t>
      </w:r>
      <w:r>
        <w:rPr>
          <w:rFonts w:hint="eastAsia" w:ascii="黑体" w:hAnsi="黑体" w:eastAsia="黑体" w:cs="宋体"/>
          <w:b/>
          <w:bCs/>
          <w:szCs w:val="21"/>
        </w:rPr>
        <w:t>5</w:t>
      </w:r>
      <w:r>
        <w:rPr>
          <w:rFonts w:ascii="黑体" w:hAnsi="黑体" w:eastAsia="黑体" w:cs="宋体"/>
          <w:b/>
          <w:bCs/>
          <w:szCs w:val="21"/>
        </w:rPr>
        <w:t>.</w:t>
      </w:r>
      <w:r>
        <w:rPr>
          <w:rFonts w:hint="eastAsia" w:ascii="黑体" w:hAnsi="黑体" w:eastAsia="黑体" w:cs="宋体"/>
          <w:b/>
          <w:bCs/>
          <w:szCs w:val="21"/>
        </w:rPr>
        <w:t>首次响应文件的开启</w:t>
      </w:r>
    </w:p>
    <w:p w14:paraId="7CDFFA66">
      <w:pPr>
        <w:spacing w:line="400" w:lineRule="exact"/>
        <w:ind w:firstLine="420" w:firstLineChars="200"/>
        <w:rPr>
          <w:rFonts w:ascii="宋体" w:hAnsi="宋体" w:cs="宋体"/>
          <w:szCs w:val="21"/>
        </w:rPr>
      </w:pPr>
      <w:r>
        <w:rPr>
          <w:rFonts w:hint="eastAsia" w:ascii="宋体" w:hAnsi="宋体" w:cs="宋体"/>
          <w:szCs w:val="21"/>
        </w:rPr>
        <w:t>25.1 首次响应文件由磋商小组或者采购代理机构在“供应商须知前附表”规定的时间开启。</w:t>
      </w:r>
    </w:p>
    <w:p w14:paraId="2376FB2E">
      <w:pPr>
        <w:spacing w:line="400" w:lineRule="exact"/>
        <w:ind w:firstLine="420" w:firstLineChars="200"/>
        <w:rPr>
          <w:rFonts w:ascii="宋体" w:hAnsi="宋体" w:cs="宋体"/>
          <w:szCs w:val="21"/>
        </w:rPr>
      </w:pPr>
      <w:r>
        <w:rPr>
          <w:rFonts w:hint="eastAsia" w:ascii="宋体" w:hAnsi="宋体" w:cs="宋体"/>
          <w:szCs w:val="21"/>
        </w:rPr>
        <w:t>25.2 响应文件解密：采购代理机构将在“供应商须知前附表”规定的时间通过电子交易平台组织响应文件开启，采购代理机构依托电子交易平台发起开始解密指令，供应商的法定代表人或其委托代理人须携带加密时所用的CA锁按平台提示和采购文件的规定登录到“政采云”平台电子开标大厅签到并在发起解密指令之时起30分钟内完成对电子响应文件的在线解密。</w:t>
      </w:r>
    </w:p>
    <w:p w14:paraId="0D1E35E6">
      <w:pPr>
        <w:spacing w:line="400" w:lineRule="exact"/>
        <w:ind w:firstLine="420" w:firstLineChars="200"/>
        <w:rPr>
          <w:rFonts w:ascii="宋体" w:hAnsi="宋体" w:cs="宋体"/>
          <w:szCs w:val="21"/>
        </w:rPr>
      </w:pPr>
      <w:r>
        <w:rPr>
          <w:rFonts w:hint="eastAsia" w:ascii="宋体" w:hAnsi="宋体" w:cs="宋体"/>
          <w:szCs w:val="21"/>
        </w:rPr>
        <w:t>25.3 如成功解密供应商响应文件，但供应商未在“政采云”电子开标大厅参加磋商的，视同认可磋商过程和结果，由此产生的后果由供应商自行负责。</w:t>
      </w:r>
    </w:p>
    <w:p w14:paraId="48CAD527">
      <w:pPr>
        <w:spacing w:line="400" w:lineRule="exact"/>
        <w:ind w:firstLine="420" w:firstLineChars="200"/>
        <w:rPr>
          <w:rFonts w:ascii="宋体" w:hAnsi="宋体" w:cs="宋体"/>
          <w:szCs w:val="21"/>
        </w:rPr>
      </w:pPr>
      <w:r>
        <w:rPr>
          <w:rFonts w:hint="eastAsia" w:ascii="宋体" w:hAnsi="宋体" w:cs="宋体"/>
          <w:szCs w:val="21"/>
        </w:rPr>
        <w:t>25.4 磋商小组组建：见“供应商须知前附表”</w:t>
      </w:r>
    </w:p>
    <w:p w14:paraId="264E2CDE">
      <w:pPr>
        <w:spacing w:line="400" w:lineRule="exact"/>
        <w:ind w:firstLine="422" w:firstLineChars="200"/>
        <w:rPr>
          <w:rFonts w:ascii="黑体" w:hAnsi="黑体" w:eastAsia="黑体" w:cs="宋体"/>
          <w:b/>
          <w:bCs/>
          <w:szCs w:val="21"/>
        </w:rPr>
      </w:pPr>
      <w:r>
        <w:rPr>
          <w:rFonts w:ascii="黑体" w:hAnsi="黑体" w:eastAsia="黑体" w:cs="宋体"/>
          <w:b/>
          <w:bCs/>
          <w:szCs w:val="21"/>
        </w:rPr>
        <w:t>2</w:t>
      </w:r>
      <w:r>
        <w:rPr>
          <w:rFonts w:hint="eastAsia" w:ascii="黑体" w:hAnsi="黑体" w:eastAsia="黑体" w:cs="宋体"/>
          <w:b/>
          <w:bCs/>
          <w:szCs w:val="21"/>
        </w:rPr>
        <w:t>6.评审程序、评审方法和评审标准</w:t>
      </w:r>
    </w:p>
    <w:p w14:paraId="1088B979">
      <w:pPr>
        <w:spacing w:line="400" w:lineRule="exact"/>
        <w:ind w:firstLine="420" w:firstLineChars="200"/>
        <w:rPr>
          <w:rFonts w:ascii="宋体" w:hAnsi="宋体" w:cs="宋体"/>
          <w:szCs w:val="21"/>
        </w:rPr>
      </w:pPr>
      <w:r>
        <w:rPr>
          <w:rFonts w:hint="eastAsia" w:ascii="宋体" w:hAnsi="宋体" w:cs="宋体"/>
          <w:szCs w:val="21"/>
        </w:rPr>
        <w:t>26.1 本项目的评审方法为综合评分法。</w:t>
      </w:r>
    </w:p>
    <w:p w14:paraId="22377C1C">
      <w:pPr>
        <w:spacing w:line="4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6</w:t>
      </w:r>
      <w:r>
        <w:rPr>
          <w:rFonts w:ascii="宋体" w:hAnsi="宋体" w:cs="宋体"/>
          <w:szCs w:val="21"/>
        </w:rPr>
        <w:t>.2</w:t>
      </w:r>
      <w:r>
        <w:rPr>
          <w:rFonts w:hint="eastAsia" w:ascii="宋体" w:hAnsi="宋体" w:cs="宋体"/>
          <w:szCs w:val="21"/>
        </w:rPr>
        <w:t xml:space="preserve"> 磋商小组</w:t>
      </w:r>
      <w:r>
        <w:rPr>
          <w:rFonts w:ascii="宋体" w:hAnsi="宋体" w:cs="宋体"/>
          <w:szCs w:val="21"/>
        </w:rPr>
        <w:t>按照</w:t>
      </w:r>
      <w:r>
        <w:rPr>
          <w:rFonts w:hint="eastAsia" w:ascii="宋体" w:hAnsi="宋体" w:cs="宋体"/>
          <w:szCs w:val="21"/>
        </w:rPr>
        <w:t>“第四章 评审程序、评审方法和评审标准”</w:t>
      </w:r>
      <w:r>
        <w:rPr>
          <w:rFonts w:ascii="宋体" w:hAnsi="宋体" w:cs="宋体"/>
          <w:szCs w:val="21"/>
        </w:rPr>
        <w:t>规定的方法、评审因素、标准和程序对</w:t>
      </w:r>
      <w:r>
        <w:rPr>
          <w:rFonts w:hint="eastAsia" w:ascii="宋体" w:hAnsi="宋体" w:cs="宋体"/>
          <w:szCs w:val="21"/>
        </w:rPr>
        <w:t>响应</w:t>
      </w:r>
      <w:r>
        <w:rPr>
          <w:rFonts w:ascii="宋体" w:hAnsi="宋体" w:cs="宋体"/>
          <w:szCs w:val="21"/>
        </w:rPr>
        <w:t>文件进行评审。</w:t>
      </w:r>
    </w:p>
    <w:p w14:paraId="52ACCE95">
      <w:pPr>
        <w:spacing w:line="400" w:lineRule="exact"/>
        <w:ind w:firstLine="420" w:firstLineChars="200"/>
        <w:rPr>
          <w:rFonts w:ascii="宋体" w:hAnsi="宋体" w:cs="宋体"/>
          <w:szCs w:val="21"/>
        </w:rPr>
      </w:pPr>
      <w:r>
        <w:rPr>
          <w:rFonts w:hint="eastAsia" w:ascii="宋体" w:hAnsi="宋体" w:cs="宋体"/>
          <w:szCs w:val="21"/>
        </w:rPr>
        <w:t>26.3 电子交易活动的中止。采购过程中出现以下情形，导致电子交易平台无法正常运行，或者无法保证电子交易的公平、公正和安全时，采购机构可中止电子交易活动：</w:t>
      </w:r>
    </w:p>
    <w:p w14:paraId="29959F26">
      <w:pPr>
        <w:spacing w:line="400" w:lineRule="exact"/>
        <w:ind w:firstLine="420" w:firstLineChars="200"/>
        <w:rPr>
          <w:rFonts w:ascii="宋体" w:hAnsi="宋体" w:cs="宋体"/>
          <w:szCs w:val="21"/>
        </w:rPr>
      </w:pPr>
      <w:r>
        <w:rPr>
          <w:rFonts w:hint="eastAsia" w:ascii="宋体" w:hAnsi="宋体" w:cs="宋体"/>
          <w:szCs w:val="21"/>
        </w:rPr>
        <w:t>（1）电子交易平台发生故障而无法登录访问的；</w:t>
      </w:r>
    </w:p>
    <w:p w14:paraId="1F9604A4">
      <w:pPr>
        <w:spacing w:line="400" w:lineRule="exact"/>
        <w:ind w:firstLine="420" w:firstLineChars="200"/>
        <w:rPr>
          <w:rFonts w:ascii="宋体" w:hAnsi="宋体" w:cs="宋体"/>
          <w:szCs w:val="21"/>
        </w:rPr>
      </w:pPr>
      <w:r>
        <w:rPr>
          <w:rFonts w:hint="eastAsia" w:ascii="宋体" w:hAnsi="宋体" w:cs="宋体"/>
          <w:szCs w:val="21"/>
        </w:rPr>
        <w:t>（2）电子交易平台应用或数据库出现错误，不能进行正常操作的；</w:t>
      </w:r>
    </w:p>
    <w:p w14:paraId="2E180029">
      <w:pPr>
        <w:spacing w:line="400" w:lineRule="exact"/>
        <w:ind w:firstLine="420" w:firstLineChars="200"/>
        <w:rPr>
          <w:rFonts w:ascii="宋体" w:hAnsi="宋体" w:cs="宋体"/>
          <w:szCs w:val="21"/>
        </w:rPr>
      </w:pPr>
      <w:r>
        <w:rPr>
          <w:rFonts w:hint="eastAsia" w:ascii="宋体" w:hAnsi="宋体" w:cs="宋体"/>
          <w:szCs w:val="21"/>
        </w:rPr>
        <w:t>（3）电子交易平台发现严重安全漏洞，有潜在泄密危险的；</w:t>
      </w:r>
    </w:p>
    <w:p w14:paraId="6D24C665">
      <w:pPr>
        <w:spacing w:line="400" w:lineRule="exact"/>
        <w:ind w:firstLine="420" w:firstLineChars="200"/>
        <w:rPr>
          <w:rFonts w:ascii="宋体" w:hAnsi="宋体" w:cs="宋体"/>
          <w:szCs w:val="21"/>
        </w:rPr>
      </w:pPr>
      <w:r>
        <w:rPr>
          <w:rFonts w:hint="eastAsia" w:ascii="宋体" w:hAnsi="宋体" w:cs="宋体"/>
          <w:szCs w:val="21"/>
        </w:rPr>
        <w:t>（4）病毒发作导致不能进行正常操作的；</w:t>
      </w:r>
    </w:p>
    <w:p w14:paraId="49E26A46">
      <w:pPr>
        <w:spacing w:line="400" w:lineRule="exact"/>
        <w:ind w:firstLine="420" w:firstLineChars="200"/>
        <w:rPr>
          <w:rFonts w:ascii="宋体" w:hAnsi="宋体" w:cs="宋体"/>
          <w:szCs w:val="21"/>
        </w:rPr>
      </w:pPr>
      <w:r>
        <w:rPr>
          <w:rFonts w:hint="eastAsia" w:ascii="宋体" w:hAnsi="宋体" w:cs="宋体"/>
          <w:szCs w:val="21"/>
        </w:rPr>
        <w:t>（5）其他无法保证电子交易的公平、公正和安全的情况。</w:t>
      </w:r>
    </w:p>
    <w:p w14:paraId="081CBD91">
      <w:pPr>
        <w:pStyle w:val="19"/>
        <w:spacing w:line="400" w:lineRule="exact"/>
        <w:ind w:firstLine="420" w:firstLineChars="200"/>
      </w:pPr>
      <w:r>
        <w:rPr>
          <w:rFonts w:hint="eastAsia"/>
          <w:sz w:val="21"/>
        </w:rPr>
        <w:t>26.4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813C306">
      <w:pPr>
        <w:spacing w:line="400" w:lineRule="exact"/>
        <w:ind w:firstLine="422" w:firstLineChars="200"/>
        <w:rPr>
          <w:rFonts w:ascii="黑体" w:hAnsi="黑体" w:eastAsia="黑体" w:cs="宋体"/>
          <w:b/>
          <w:bCs/>
          <w:szCs w:val="21"/>
        </w:rPr>
      </w:pPr>
      <w:r>
        <w:rPr>
          <w:rFonts w:ascii="黑体" w:hAnsi="黑体" w:eastAsia="黑体" w:cs="宋体"/>
          <w:b/>
          <w:bCs/>
          <w:szCs w:val="21"/>
        </w:rPr>
        <w:t>2</w:t>
      </w:r>
      <w:r>
        <w:rPr>
          <w:rFonts w:hint="eastAsia" w:ascii="黑体" w:hAnsi="黑体" w:eastAsia="黑体" w:cs="宋体"/>
          <w:b/>
          <w:bCs/>
          <w:szCs w:val="21"/>
        </w:rPr>
        <w:t>7.确定成交供应商及结果公告</w:t>
      </w:r>
    </w:p>
    <w:p w14:paraId="575BF562">
      <w:pPr>
        <w:spacing w:line="4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7.1</w:t>
      </w:r>
      <w:r>
        <w:rPr>
          <w:rFonts w:hint="eastAsia" w:ascii="宋体" w:hAnsi="宋体" w:cs="宋体"/>
          <w:kern w:val="0"/>
          <w:szCs w:val="21"/>
        </w:rPr>
        <w:t xml:space="preserve"> </w:t>
      </w:r>
      <w:r>
        <w:rPr>
          <w:rFonts w:hint="eastAsia" w:ascii="宋体" w:hAnsi="宋体" w:cs="宋体"/>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C12A669">
      <w:pPr>
        <w:spacing w:line="4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7.2 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6" w:name="_Hlk66782294"/>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bookmarkEnd w:id="16"/>
    </w:p>
    <w:p w14:paraId="0AE1E162">
      <w:pPr>
        <w:spacing w:line="400" w:lineRule="exact"/>
        <w:ind w:firstLine="420" w:firstLineChars="200"/>
        <w:rPr>
          <w:rFonts w:ascii="宋体" w:hAnsi="宋体" w:cs="宋体"/>
          <w:szCs w:val="21"/>
        </w:rPr>
      </w:pPr>
      <w:r>
        <w:rPr>
          <w:rFonts w:hint="eastAsia" w:ascii="宋体" w:hAnsi="宋体" w:cs="宋体"/>
          <w:szCs w:val="21"/>
        </w:rPr>
        <w:t>27</w:t>
      </w:r>
      <w:r>
        <w:rPr>
          <w:rFonts w:ascii="宋体" w:hAnsi="宋体" w:cs="宋体"/>
          <w:szCs w:val="21"/>
        </w:rPr>
        <w:t>.3</w:t>
      </w:r>
      <w:r>
        <w:rPr>
          <w:rFonts w:hint="eastAsia" w:ascii="宋体" w:hAnsi="宋体" w:cs="宋体"/>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E78187D">
      <w:pPr>
        <w:spacing w:line="400" w:lineRule="exact"/>
        <w:ind w:firstLine="420" w:firstLineChars="200"/>
        <w:rPr>
          <w:rFonts w:ascii="宋体" w:hAnsi="宋体" w:cs="宋体"/>
          <w:szCs w:val="21"/>
        </w:rPr>
      </w:pPr>
      <w:r>
        <w:rPr>
          <w:rFonts w:ascii="宋体" w:hAnsi="宋体"/>
          <w:bCs/>
          <w:szCs w:val="21"/>
        </w:rPr>
        <w:t>2</w:t>
      </w:r>
      <w:r>
        <w:rPr>
          <w:rFonts w:hint="eastAsia" w:ascii="宋体" w:hAnsi="宋体"/>
          <w:bCs/>
          <w:szCs w:val="21"/>
        </w:rPr>
        <w:t>7</w:t>
      </w:r>
      <w:r>
        <w:rPr>
          <w:rFonts w:ascii="宋体" w:hAnsi="宋体"/>
          <w:bCs/>
          <w:szCs w:val="21"/>
        </w:rPr>
        <w:t>.4</w:t>
      </w:r>
      <w:r>
        <w:rPr>
          <w:rFonts w:hint="eastAsia" w:ascii="宋体" w:hAnsi="宋体"/>
          <w:bCs/>
          <w:szCs w:val="21"/>
        </w:rPr>
        <w:t xml:space="preserve"> 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5EF820D">
      <w:pPr>
        <w:spacing w:line="400" w:lineRule="exact"/>
        <w:ind w:firstLine="422" w:firstLineChars="200"/>
        <w:rPr>
          <w:rFonts w:ascii="黑体" w:hAnsi="黑体" w:eastAsia="黑体" w:cs="宋体"/>
          <w:b/>
          <w:bCs/>
          <w:szCs w:val="21"/>
        </w:rPr>
      </w:pPr>
      <w:r>
        <w:rPr>
          <w:rFonts w:ascii="黑体" w:hAnsi="黑体" w:eastAsia="黑体" w:cs="宋体"/>
          <w:b/>
          <w:bCs/>
          <w:szCs w:val="21"/>
        </w:rPr>
        <w:t>2</w:t>
      </w:r>
      <w:r>
        <w:rPr>
          <w:rFonts w:hint="eastAsia" w:ascii="黑体" w:hAnsi="黑体" w:eastAsia="黑体" w:cs="宋体"/>
          <w:b/>
          <w:bCs/>
          <w:szCs w:val="21"/>
        </w:rPr>
        <w:t>8.履约保证金</w:t>
      </w:r>
    </w:p>
    <w:p w14:paraId="6B272586">
      <w:pPr>
        <w:spacing w:line="400" w:lineRule="exact"/>
        <w:ind w:firstLine="424" w:firstLineChars="202"/>
        <w:rPr>
          <w:rFonts w:ascii="宋体" w:hAnsi="宋体" w:cs="宋体"/>
          <w:szCs w:val="21"/>
        </w:rPr>
      </w:pPr>
      <w:r>
        <w:rPr>
          <w:rFonts w:ascii="宋体" w:hAnsi="宋体" w:cs="宋体"/>
          <w:szCs w:val="21"/>
        </w:rPr>
        <w:t>2</w:t>
      </w:r>
      <w:r>
        <w:rPr>
          <w:rFonts w:hint="eastAsia" w:ascii="宋体" w:hAnsi="宋体" w:cs="宋体"/>
          <w:szCs w:val="21"/>
        </w:rPr>
        <w:t>8.1</w:t>
      </w:r>
      <w:r>
        <w:rPr>
          <w:rFonts w:ascii="宋体" w:hAnsi="宋体" w:cs="宋体"/>
          <w:szCs w:val="21"/>
        </w:rPr>
        <w:t xml:space="preserve"> </w:t>
      </w:r>
      <w:r>
        <w:rPr>
          <w:rFonts w:hint="eastAsia" w:ascii="宋体" w:hAnsi="宋体" w:cs="宋体"/>
          <w:szCs w:val="21"/>
        </w:rPr>
        <w:t>履约保证金的金额、提交方式、退付的时间和条件详见 “供应商须知前附表”。成交供应商未按规定提交履约保证金的，视为拒绝</w:t>
      </w:r>
      <w:r>
        <w:rPr>
          <w:rFonts w:ascii="宋体" w:hAnsi="宋体"/>
          <w:szCs w:val="21"/>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389D9CC8">
      <w:pPr>
        <w:spacing w:line="400" w:lineRule="exact"/>
        <w:ind w:firstLine="424" w:firstLineChars="202"/>
        <w:rPr>
          <w:rFonts w:ascii="宋体" w:hAnsi="宋体" w:cs="宋体"/>
          <w:szCs w:val="21"/>
        </w:rPr>
      </w:pPr>
      <w:r>
        <w:rPr>
          <w:rFonts w:ascii="宋体" w:hAnsi="宋体" w:cs="宋体"/>
          <w:szCs w:val="21"/>
        </w:rPr>
        <w:t>2</w:t>
      </w:r>
      <w:r>
        <w:rPr>
          <w:rFonts w:hint="eastAsia" w:ascii="宋体" w:hAnsi="宋体" w:cs="宋体"/>
          <w:szCs w:val="21"/>
        </w:rPr>
        <w:t>8.2 签订合同后，如成交供应商不按双方签订的合同规定履约，则没收其全部履约保证金，履约保证金不足以赔偿损失的，按实际损失赔偿。</w:t>
      </w:r>
    </w:p>
    <w:p w14:paraId="71A05B23">
      <w:pPr>
        <w:spacing w:line="400" w:lineRule="exact"/>
        <w:ind w:firstLine="424" w:firstLineChars="202"/>
        <w:rPr>
          <w:rFonts w:ascii="宋体" w:hAnsi="宋体" w:cs="宋体"/>
          <w:szCs w:val="21"/>
        </w:rPr>
      </w:pPr>
      <w:r>
        <w:rPr>
          <w:rFonts w:ascii="宋体" w:hAnsi="宋体" w:cs="宋体"/>
          <w:szCs w:val="21"/>
        </w:rPr>
        <w:t>2</w:t>
      </w:r>
      <w:r>
        <w:rPr>
          <w:rFonts w:hint="eastAsia" w:ascii="宋体" w:hAnsi="宋体" w:cs="宋体"/>
          <w:szCs w:val="21"/>
        </w:rPr>
        <w:t>8.</w:t>
      </w:r>
      <w:r>
        <w:rPr>
          <w:rFonts w:ascii="宋体" w:hAnsi="宋体" w:cs="宋体"/>
          <w:szCs w:val="21"/>
        </w:rPr>
        <w:t>3</w:t>
      </w:r>
      <w:r>
        <w:rPr>
          <w:rFonts w:hint="eastAsia" w:ascii="宋体" w:hAnsi="宋体" w:cs="宋体"/>
          <w:szCs w:val="21"/>
        </w:rPr>
        <w:t xml:space="preserve"> 在履约保证金退还日期前，若成交供应商的开户名称、开户银行、帐号有变动的，请以书面形式通知履约保证金收取单位，否则由此产生的后果由成交供应商自行承担。</w:t>
      </w:r>
    </w:p>
    <w:p w14:paraId="6D78FA91">
      <w:pPr>
        <w:spacing w:line="400" w:lineRule="exact"/>
        <w:ind w:firstLine="422" w:firstLineChars="200"/>
        <w:rPr>
          <w:rFonts w:ascii="黑体" w:hAnsi="黑体" w:eastAsia="黑体" w:cs="宋体"/>
          <w:b/>
          <w:bCs/>
          <w:szCs w:val="21"/>
        </w:rPr>
      </w:pPr>
      <w:r>
        <w:rPr>
          <w:rFonts w:ascii="黑体" w:hAnsi="黑体" w:eastAsia="黑体" w:cs="宋体"/>
          <w:b/>
          <w:bCs/>
          <w:szCs w:val="21"/>
        </w:rPr>
        <w:t>2</w:t>
      </w:r>
      <w:r>
        <w:rPr>
          <w:rFonts w:hint="eastAsia" w:ascii="黑体" w:hAnsi="黑体" w:eastAsia="黑体" w:cs="宋体"/>
          <w:b/>
          <w:bCs/>
          <w:szCs w:val="21"/>
        </w:rPr>
        <w:t>9.签订合同</w:t>
      </w:r>
    </w:p>
    <w:p w14:paraId="15E522AA">
      <w:pPr>
        <w:spacing w:line="400" w:lineRule="exact"/>
        <w:ind w:firstLine="424" w:firstLineChars="202"/>
        <w:rPr>
          <w:rFonts w:ascii="宋体" w:hAnsi="宋体" w:cs="宋体"/>
          <w:szCs w:val="21"/>
        </w:rPr>
      </w:pPr>
      <w:r>
        <w:rPr>
          <w:rFonts w:ascii="宋体" w:hAnsi="宋体" w:cs="宋体"/>
          <w:szCs w:val="21"/>
        </w:rPr>
        <w:t>2</w:t>
      </w:r>
      <w:r>
        <w:rPr>
          <w:rFonts w:hint="eastAsia" w:ascii="宋体" w:hAnsi="宋体" w:cs="宋体"/>
          <w:szCs w:val="21"/>
        </w:rPr>
        <w:t>9</w:t>
      </w:r>
      <w:r>
        <w:rPr>
          <w:rFonts w:ascii="宋体" w:hAnsi="宋体" w:cs="宋体"/>
          <w:szCs w:val="21"/>
        </w:rPr>
        <w:t>.1</w:t>
      </w:r>
      <w:r>
        <w:rPr>
          <w:rFonts w:hint="eastAsia" w:ascii="宋体" w:hAnsi="宋体" w:cs="宋体"/>
          <w:szCs w:val="21"/>
        </w:rPr>
        <w:t xml:space="preserve"> 成交供应商在收到成交通知书后，应当在签订合同时向采购人出示相关证明材料，具体内容详见“供应商须知前附表”，经采购人核验合格后方可签订合同。</w:t>
      </w:r>
    </w:p>
    <w:p w14:paraId="3412CCA6">
      <w:pPr>
        <w:spacing w:line="400" w:lineRule="exact"/>
        <w:ind w:firstLine="424" w:firstLineChars="202"/>
        <w:rPr>
          <w:rFonts w:ascii="宋体" w:hAnsi="宋体" w:cs="宋体"/>
          <w:szCs w:val="21"/>
        </w:rPr>
      </w:pPr>
      <w:r>
        <w:rPr>
          <w:rFonts w:ascii="宋体" w:hAnsi="宋体" w:cs="宋体"/>
          <w:szCs w:val="21"/>
        </w:rPr>
        <w:t>2</w:t>
      </w:r>
      <w:r>
        <w:rPr>
          <w:rFonts w:hint="eastAsia" w:ascii="宋体" w:hAnsi="宋体" w:cs="宋体"/>
          <w:szCs w:val="21"/>
        </w:rPr>
        <w:t>9.2 签订合同时间：按成交通知书规定的时间与采购人签订政府采购合同。</w:t>
      </w:r>
    </w:p>
    <w:p w14:paraId="3EA9DFE1">
      <w:pPr>
        <w:spacing w:line="400" w:lineRule="exact"/>
        <w:ind w:firstLine="424" w:firstLineChars="202"/>
        <w:rPr>
          <w:rFonts w:ascii="宋体" w:hAnsi="宋体" w:cs="宋体"/>
          <w:szCs w:val="21"/>
        </w:rPr>
      </w:pPr>
      <w:r>
        <w:rPr>
          <w:rFonts w:ascii="宋体" w:hAnsi="宋体" w:cs="宋体"/>
          <w:szCs w:val="21"/>
        </w:rPr>
        <w:t>2</w:t>
      </w:r>
      <w:r>
        <w:rPr>
          <w:rFonts w:hint="eastAsia" w:ascii="宋体" w:hAnsi="宋体" w:cs="宋体"/>
          <w:szCs w:val="21"/>
        </w:rPr>
        <w:t xml:space="preserve">9.3 </w:t>
      </w:r>
      <w:r>
        <w:rPr>
          <w:rFonts w:hint="eastAsia" w:ascii="宋体" w:hAnsi="宋体" w:cs="Courier New"/>
          <w:szCs w:val="21"/>
        </w:rPr>
        <w:t>成交供应商拒绝签订政府采购和或者放弃成交或者因不可抗力提出不能履行合同</w:t>
      </w:r>
      <w:r>
        <w:rPr>
          <w:rFonts w:hint="eastAsia" w:ascii="宋体" w:hAnsi="宋体" w:cs="宋体"/>
          <w:szCs w:val="21"/>
        </w:rPr>
        <w:t>，采购人可以按照评审报告推荐的成交候选人名单排序，确定下一候选人为成交供应商，也可以重新开展政府采购活动。拒绝签订政府采购合同的成交供应商不得参加对该合同项重新开展的采购活动。</w:t>
      </w:r>
    </w:p>
    <w:p w14:paraId="25587DA5">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30.政府采购合同公告</w:t>
      </w:r>
    </w:p>
    <w:p w14:paraId="69AB198E">
      <w:pPr>
        <w:spacing w:line="400" w:lineRule="exact"/>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6AA3BDA">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31. 询问、质疑和投诉</w:t>
      </w:r>
    </w:p>
    <w:p w14:paraId="42CD1E52">
      <w:pPr>
        <w:spacing w:line="400" w:lineRule="exact"/>
        <w:ind w:firstLine="420" w:firstLineChars="200"/>
        <w:rPr>
          <w:rFonts w:ascii="宋体" w:hAnsi="宋体" w:cs="宋体"/>
          <w:szCs w:val="21"/>
        </w:rPr>
      </w:pPr>
      <w:r>
        <w:rPr>
          <w:rFonts w:hint="eastAsia" w:ascii="宋体" w:hAnsi="宋体" w:cs="宋体"/>
          <w:szCs w:val="21"/>
        </w:rPr>
        <w:t>31.1 供应商对政府采购活动事项有疑问的，可以向采购人、采购代理机构提出询问，采购人或者采购代理机构应当在3个工作日内对供应商依法提出的询问作出答复。</w:t>
      </w:r>
    </w:p>
    <w:p w14:paraId="635ED29D">
      <w:pPr>
        <w:spacing w:line="400" w:lineRule="exact"/>
        <w:ind w:firstLine="420" w:firstLineChars="200"/>
        <w:rPr>
          <w:rFonts w:ascii="宋体" w:hAnsi="宋体" w:cs="宋体"/>
          <w:szCs w:val="21"/>
        </w:rPr>
      </w:pPr>
      <w:r>
        <w:rPr>
          <w:rFonts w:hint="eastAsia" w:ascii="宋体" w:hAnsi="宋体" w:cs="宋体"/>
          <w:szCs w:val="21"/>
        </w:rPr>
        <w:t>31.2 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zCs w:val="21"/>
          <w:shd w:val="clear" w:color="auto" w:fill="FFFFFF"/>
        </w:rPr>
        <w:t>接收质疑函的方式、联系部门、联系电话和通讯地址等信息</w:t>
      </w:r>
      <w:r>
        <w:rPr>
          <w:rFonts w:hint="eastAsia" w:ascii="宋体" w:hAnsi="宋体" w:cs="Arial"/>
          <w:szCs w:val="21"/>
          <w:shd w:val="clear" w:color="auto" w:fill="FFFFFF"/>
        </w:rPr>
        <w:t>详见</w:t>
      </w:r>
      <w:r>
        <w:rPr>
          <w:rFonts w:hint="eastAsia" w:ascii="宋体" w:hAnsi="宋体" w:cs="宋体"/>
          <w:szCs w:val="21"/>
        </w:rPr>
        <w:t>“供应商须知前附表”。具体质疑起算时间如下：</w:t>
      </w:r>
    </w:p>
    <w:p w14:paraId="5FFA089F">
      <w:pPr>
        <w:spacing w:line="400" w:lineRule="exact"/>
        <w:ind w:firstLine="420" w:firstLineChars="200"/>
        <w:rPr>
          <w:rFonts w:ascii="宋体" w:hAnsi="宋体" w:cs="宋体"/>
          <w:szCs w:val="21"/>
        </w:rPr>
      </w:pPr>
      <w:r>
        <w:rPr>
          <w:rFonts w:hint="eastAsia" w:ascii="宋体" w:hAnsi="宋体" w:cs="宋体"/>
          <w:szCs w:val="21"/>
        </w:rPr>
        <w:t>（1）对可以质疑的磋商文件提出质疑的，为收到磋商文件之日或者</w:t>
      </w:r>
      <w:r>
        <w:rPr>
          <w:rFonts w:hint="eastAsia" w:ascii="宋体" w:hAnsi="宋体"/>
          <w:szCs w:val="21"/>
        </w:rPr>
        <w:t>竞争性磋商公告期限届满之日</w:t>
      </w:r>
      <w:r>
        <w:rPr>
          <w:rFonts w:hint="eastAsia" w:ascii="宋体" w:hAnsi="宋体" w:cs="宋体"/>
          <w:szCs w:val="21"/>
        </w:rPr>
        <w:t>；</w:t>
      </w:r>
    </w:p>
    <w:p w14:paraId="4CEADD7C">
      <w:pPr>
        <w:spacing w:line="400" w:lineRule="exact"/>
        <w:ind w:firstLine="420" w:firstLineChars="200"/>
        <w:rPr>
          <w:rFonts w:ascii="宋体" w:hAnsi="宋体" w:cs="宋体"/>
          <w:szCs w:val="21"/>
        </w:rPr>
      </w:pPr>
      <w:r>
        <w:rPr>
          <w:rFonts w:hint="eastAsia" w:ascii="宋体" w:hAnsi="宋体" w:cs="宋体"/>
          <w:szCs w:val="21"/>
        </w:rPr>
        <w:t>（2）对采购过程提出质疑的，为各采购程序环节结束之日；</w:t>
      </w:r>
    </w:p>
    <w:p w14:paraId="51C6D1C0">
      <w:pPr>
        <w:spacing w:line="400" w:lineRule="exact"/>
        <w:ind w:firstLine="420" w:firstLineChars="200"/>
        <w:rPr>
          <w:rFonts w:ascii="宋体" w:hAnsi="宋体" w:cs="宋体"/>
          <w:szCs w:val="21"/>
        </w:rPr>
      </w:pPr>
      <w:r>
        <w:rPr>
          <w:rFonts w:hint="eastAsia" w:ascii="宋体" w:hAnsi="宋体" w:cs="宋体"/>
          <w:szCs w:val="21"/>
        </w:rPr>
        <w:t>（3）对成交结果提出质疑的，为成交结果公告期限届满之日。</w:t>
      </w:r>
    </w:p>
    <w:p w14:paraId="3A525F5A">
      <w:pPr>
        <w:spacing w:line="400" w:lineRule="exact"/>
        <w:ind w:firstLine="420" w:firstLineChars="200"/>
        <w:rPr>
          <w:rFonts w:ascii="宋体" w:hAnsi="宋体" w:cs="宋体"/>
          <w:szCs w:val="21"/>
        </w:rPr>
      </w:pPr>
      <w:r>
        <w:rPr>
          <w:rFonts w:hint="eastAsia" w:ascii="宋体" w:hAnsi="宋体" w:cs="宋体"/>
          <w:szCs w:val="21"/>
        </w:rPr>
        <w:t>31.3 供应商提出的询问或者质疑超出采购人对采购代理机构委托授权范围的，采购代理机构应当告知供应商向采购人提出。政府采购评审专家应当配合采购人或者采购代理机构答复供应商的询问和质疑。</w:t>
      </w:r>
    </w:p>
    <w:p w14:paraId="6BB99D10">
      <w:pPr>
        <w:spacing w:line="400" w:lineRule="exact"/>
        <w:ind w:firstLine="420" w:firstLineChars="200"/>
        <w:rPr>
          <w:rFonts w:ascii="宋体" w:hAnsi="宋体" w:cs="宋体"/>
          <w:szCs w:val="21"/>
        </w:rPr>
      </w:pPr>
      <w:r>
        <w:rPr>
          <w:rFonts w:hint="eastAsia" w:ascii="宋体" w:hAnsi="宋体" w:cs="宋体"/>
          <w:szCs w:val="21"/>
        </w:rPr>
        <w:t>31.4 供应商提出质疑应当提交质疑函和必要的证明材料，针对同一采购程序环节的质疑必须在法定质疑期内一次性提出。质疑函应当包括下列内容</w:t>
      </w:r>
      <w:r>
        <w:rPr>
          <w:rFonts w:hint="eastAsia" w:hAnsi="宋体"/>
          <w:bCs/>
          <w:szCs w:val="21"/>
        </w:rPr>
        <w:t>（质疑函格式后附）</w:t>
      </w:r>
      <w:r>
        <w:rPr>
          <w:rFonts w:hint="eastAsia" w:ascii="宋体" w:hAnsi="宋体" w:cs="宋体"/>
          <w:szCs w:val="21"/>
        </w:rPr>
        <w:t>：</w:t>
      </w:r>
    </w:p>
    <w:p w14:paraId="114BD125">
      <w:pPr>
        <w:spacing w:line="400" w:lineRule="exact"/>
        <w:ind w:firstLine="420" w:firstLineChars="200"/>
        <w:rPr>
          <w:rFonts w:ascii="宋体" w:hAnsi="宋体" w:cs="宋体"/>
          <w:szCs w:val="21"/>
        </w:rPr>
      </w:pPr>
      <w:r>
        <w:rPr>
          <w:rFonts w:hint="eastAsia" w:ascii="宋体" w:hAnsi="宋体" w:cs="宋体"/>
          <w:szCs w:val="21"/>
        </w:rPr>
        <w:t>（1）供应商的姓名或者名称、地址、邮编、联系人及联系电话；</w:t>
      </w:r>
    </w:p>
    <w:p w14:paraId="4295666D">
      <w:pPr>
        <w:spacing w:line="400" w:lineRule="exact"/>
        <w:ind w:firstLine="420" w:firstLineChars="200"/>
        <w:rPr>
          <w:rFonts w:ascii="宋体" w:hAnsi="宋体" w:cs="宋体"/>
          <w:szCs w:val="21"/>
        </w:rPr>
      </w:pPr>
      <w:r>
        <w:rPr>
          <w:rFonts w:hint="eastAsia" w:ascii="宋体" w:hAnsi="宋体" w:cs="宋体"/>
          <w:szCs w:val="21"/>
        </w:rPr>
        <w:t>（2）质疑项目的名称、编号；</w:t>
      </w:r>
    </w:p>
    <w:p w14:paraId="1D5DA3E0">
      <w:pPr>
        <w:spacing w:line="400" w:lineRule="exact"/>
        <w:ind w:firstLine="420" w:firstLineChars="200"/>
        <w:rPr>
          <w:rFonts w:ascii="宋体" w:hAnsi="宋体" w:cs="宋体"/>
          <w:szCs w:val="21"/>
        </w:rPr>
      </w:pPr>
      <w:r>
        <w:rPr>
          <w:rFonts w:hint="eastAsia" w:ascii="宋体" w:hAnsi="宋体" w:cs="宋体"/>
          <w:szCs w:val="21"/>
        </w:rPr>
        <w:t>（3）具体、明确的质疑事项和与质疑事项相关的请求；</w:t>
      </w:r>
    </w:p>
    <w:p w14:paraId="150B4C9A">
      <w:pPr>
        <w:spacing w:line="400" w:lineRule="exact"/>
        <w:ind w:firstLine="420" w:firstLineChars="200"/>
        <w:rPr>
          <w:rFonts w:ascii="宋体" w:hAnsi="宋体" w:cs="宋体"/>
          <w:szCs w:val="21"/>
        </w:rPr>
      </w:pPr>
      <w:r>
        <w:rPr>
          <w:rFonts w:hint="eastAsia" w:ascii="宋体" w:hAnsi="宋体" w:cs="宋体"/>
          <w:szCs w:val="21"/>
        </w:rPr>
        <w:t>（4）事实依据；</w:t>
      </w:r>
    </w:p>
    <w:p w14:paraId="57FF7D71">
      <w:pPr>
        <w:spacing w:line="400" w:lineRule="exact"/>
        <w:ind w:firstLine="420" w:firstLineChars="200"/>
        <w:rPr>
          <w:rFonts w:ascii="宋体" w:hAnsi="宋体" w:cs="宋体"/>
          <w:szCs w:val="21"/>
        </w:rPr>
      </w:pPr>
      <w:r>
        <w:rPr>
          <w:rFonts w:hint="eastAsia" w:ascii="宋体" w:hAnsi="宋体" w:cs="宋体"/>
          <w:szCs w:val="21"/>
        </w:rPr>
        <w:t>（5）必要的法律依据；</w:t>
      </w:r>
    </w:p>
    <w:p w14:paraId="757436BC">
      <w:pPr>
        <w:spacing w:line="400" w:lineRule="exact"/>
        <w:ind w:firstLine="420" w:firstLineChars="200"/>
        <w:rPr>
          <w:rFonts w:ascii="宋体" w:hAnsi="宋体" w:cs="宋体"/>
          <w:szCs w:val="21"/>
        </w:rPr>
      </w:pPr>
      <w:r>
        <w:rPr>
          <w:rFonts w:hint="eastAsia" w:ascii="宋体" w:hAnsi="宋体" w:cs="宋体"/>
          <w:szCs w:val="21"/>
        </w:rPr>
        <w:t>（6）提出质疑的日期。</w:t>
      </w:r>
    </w:p>
    <w:p w14:paraId="56CB6BC1">
      <w:pPr>
        <w:spacing w:line="400" w:lineRule="exact"/>
        <w:ind w:firstLine="420" w:firstLineChars="200"/>
        <w:rPr>
          <w:rFonts w:ascii="宋体" w:hAnsi="宋体" w:cs="宋体"/>
          <w:szCs w:val="21"/>
        </w:rPr>
      </w:pPr>
      <w:r>
        <w:rPr>
          <w:rFonts w:hint="eastAsia" w:ascii="宋体" w:hAnsi="宋体" w:cs="宋体"/>
          <w:szCs w:val="21"/>
        </w:rPr>
        <w:t>供应商为自然人的，应当由本人签字；供应商为法人或者其他组织的，应当由法定代表人、主要负责人，或者其委托代理人签字或者盖章，并加盖公章。</w:t>
      </w:r>
    </w:p>
    <w:p w14:paraId="4DCE6BD9">
      <w:pPr>
        <w:spacing w:line="400" w:lineRule="exact"/>
        <w:ind w:firstLine="420" w:firstLineChars="200"/>
        <w:rPr>
          <w:rFonts w:ascii="宋体" w:hAnsi="宋体" w:cs="宋体"/>
          <w:szCs w:val="21"/>
        </w:rPr>
      </w:pPr>
      <w:r>
        <w:rPr>
          <w:rFonts w:hint="eastAsia" w:ascii="宋体" w:hAnsi="宋体" w:cs="宋体"/>
          <w:szCs w:val="21"/>
        </w:rPr>
        <w:t>31</w:t>
      </w:r>
      <w:r>
        <w:rPr>
          <w:rFonts w:ascii="宋体" w:hAnsi="宋体" w:cs="宋体"/>
          <w:szCs w:val="21"/>
        </w:rPr>
        <w:t>.5</w:t>
      </w:r>
      <w:r>
        <w:rPr>
          <w:rFonts w:hint="eastAsia" w:ascii="宋体" w:hAnsi="宋体" w:cs="宋体"/>
          <w:szCs w:val="21"/>
        </w:rPr>
        <w:t xml:space="preserve"> 采购人、采购代理机构认为供应商质疑不成立，或者成立但未对成交结果构成影响的，继续开展采购活动；认为供应商质疑成立且影响或者可能影响成交结果的，按照下列情况处理：</w:t>
      </w:r>
    </w:p>
    <w:p w14:paraId="0234A178">
      <w:pPr>
        <w:spacing w:line="400" w:lineRule="exact"/>
        <w:ind w:firstLine="420" w:firstLineChars="200"/>
        <w:rPr>
          <w:rFonts w:ascii="宋体" w:hAnsi="宋体" w:cs="宋体"/>
          <w:szCs w:val="21"/>
        </w:rPr>
      </w:pPr>
      <w:r>
        <w:rPr>
          <w:rFonts w:hint="eastAsia" w:ascii="宋体" w:hAnsi="宋体" w:cs="宋体"/>
          <w:szCs w:val="21"/>
        </w:rPr>
        <w:t>（1）对采购文件提出的质疑，依法通过澄清或者修改可以继续开展采购活动的，澄清或者修改采购文件后继续开展采购活动；否则应当修改采购文件后重新开展采购活动。</w:t>
      </w:r>
    </w:p>
    <w:p w14:paraId="6C982F63">
      <w:pPr>
        <w:spacing w:line="400" w:lineRule="exact"/>
        <w:ind w:firstLine="420" w:firstLineChars="200"/>
        <w:rPr>
          <w:rFonts w:ascii="宋体" w:hAnsi="宋体" w:cs="宋体"/>
          <w:szCs w:val="21"/>
        </w:rPr>
      </w:pPr>
      <w:r>
        <w:rPr>
          <w:rFonts w:hint="eastAsia" w:ascii="宋体" w:hAnsi="宋体" w:cs="宋体"/>
          <w:szCs w:val="21"/>
        </w:rPr>
        <w:t>（2）对采购过程或者成交结果提出的质疑，合格供应商符合法定数量时，可以从合格的成交候选人中另行确定成交供应商的，应当依法另行确定成交供应商；否则应当重新开展采购活动。</w:t>
      </w:r>
    </w:p>
    <w:p w14:paraId="08E5E0BD">
      <w:pPr>
        <w:spacing w:line="400" w:lineRule="exact"/>
        <w:ind w:firstLine="420" w:firstLineChars="200"/>
        <w:rPr>
          <w:rFonts w:ascii="宋体" w:hAnsi="宋体" w:cs="宋体"/>
          <w:szCs w:val="21"/>
        </w:rPr>
      </w:pPr>
      <w:r>
        <w:rPr>
          <w:rFonts w:hint="eastAsia" w:ascii="宋体" w:hAnsi="宋体" w:cs="宋体"/>
          <w:szCs w:val="21"/>
        </w:rPr>
        <w:t>质疑答复导致成交结果改变的，采购人或者采购代理机构应当将有关情况书面报告本级财政部门。</w:t>
      </w:r>
    </w:p>
    <w:p w14:paraId="53036D72">
      <w:pPr>
        <w:spacing w:line="400" w:lineRule="exact"/>
        <w:ind w:firstLine="420" w:firstLineChars="200"/>
        <w:rPr>
          <w:rFonts w:ascii="宋体" w:hAnsi="宋体" w:cs="宋体"/>
          <w:szCs w:val="21"/>
        </w:rPr>
      </w:pPr>
      <w:r>
        <w:rPr>
          <w:rFonts w:hint="eastAsia" w:ascii="宋体" w:hAnsi="宋体" w:cs="宋体"/>
          <w:szCs w:val="21"/>
        </w:rPr>
        <w:t>31.</w:t>
      </w:r>
      <w:r>
        <w:rPr>
          <w:rFonts w:ascii="宋体" w:hAnsi="宋体" w:cs="宋体"/>
          <w:szCs w:val="21"/>
        </w:rPr>
        <w:t>6</w:t>
      </w:r>
      <w:r>
        <w:rPr>
          <w:rFonts w:hint="eastAsia" w:ascii="宋体" w:hAnsi="宋体" w:cs="宋体"/>
          <w:szCs w:val="21"/>
        </w:rPr>
        <w:t xml:space="preserve"> 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7991097">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32.其他内容</w:t>
      </w:r>
    </w:p>
    <w:p w14:paraId="226B9F16">
      <w:pPr>
        <w:tabs>
          <w:tab w:val="left" w:pos="2835"/>
        </w:tabs>
        <w:spacing w:line="400" w:lineRule="exact"/>
        <w:ind w:firstLine="420" w:firstLineChars="200"/>
        <w:rPr>
          <w:rFonts w:ascii="宋体" w:hAnsi="宋体" w:cs="宋体"/>
          <w:szCs w:val="21"/>
        </w:rPr>
      </w:pPr>
      <w:r>
        <w:rPr>
          <w:rFonts w:hint="eastAsia" w:ascii="宋体" w:hAnsi="宋体" w:cs="宋体"/>
          <w:szCs w:val="21"/>
        </w:rPr>
        <w:t>32.1 代理服务收费标准及缴费账户详见“供应商须知前附表”，供应商为联合体的，可以由联合体中的一方或者多方共同交纳代理服务费。</w:t>
      </w:r>
    </w:p>
    <w:p w14:paraId="25CFD62D">
      <w:pPr>
        <w:spacing w:line="400" w:lineRule="exact"/>
        <w:ind w:firstLine="420" w:firstLineChars="200"/>
        <w:rPr>
          <w:rFonts w:ascii="宋体" w:hAnsi="宋体" w:cs="宋体"/>
          <w:szCs w:val="21"/>
        </w:rPr>
      </w:pPr>
      <w:r>
        <w:rPr>
          <w:rFonts w:hint="eastAsia" w:ascii="宋体" w:hAnsi="宋体" w:cs="宋体"/>
          <w:szCs w:val="21"/>
        </w:rPr>
        <w:t>32</w:t>
      </w:r>
      <w:r>
        <w:rPr>
          <w:rFonts w:ascii="宋体" w:hAnsi="宋体" w:cs="宋体"/>
          <w:szCs w:val="21"/>
        </w:rPr>
        <w:t>.2</w:t>
      </w:r>
      <w:r>
        <w:rPr>
          <w:rFonts w:hint="eastAsia" w:ascii="宋体" w:hAnsi="宋体" w:cs="宋体"/>
          <w:szCs w:val="21"/>
        </w:rPr>
        <w:t xml:space="preserve"> 代理服务费收费计算标准：成交供应商领取成交通知书前，由项目成交服务供应商向广西汉昌工程咨询有限公司一次性付清采购代理服务费，</w:t>
      </w:r>
      <w:r>
        <w:rPr>
          <w:rFonts w:hint="eastAsia" w:ascii="宋体" w:hAnsi="宋体" w:cs="宋体"/>
          <w:szCs w:val="21"/>
          <w:lang w:val="en-US" w:eastAsia="zh-CN"/>
        </w:rPr>
        <w:t>按《广西壮族自治区物价局转发国家发展改革委关于降低部分建设项目收费标准规范收费行为等有关问题的通知》(桂价费【2011】55号)的收费标准计取</w:t>
      </w:r>
      <w:r>
        <w:rPr>
          <w:rFonts w:hint="eastAsia" w:ascii="宋体" w:hAnsi="宋体" w:cs="宋体"/>
          <w:szCs w:val="21"/>
        </w:rPr>
        <w:t>。</w:t>
      </w:r>
    </w:p>
    <w:p w14:paraId="567DFCB7">
      <w:pPr>
        <w:spacing w:line="400" w:lineRule="exact"/>
        <w:ind w:firstLine="422" w:firstLineChars="200"/>
        <w:rPr>
          <w:rFonts w:ascii="黑体" w:hAnsi="黑体" w:eastAsia="黑体" w:cs="宋体"/>
          <w:b/>
          <w:bCs/>
          <w:szCs w:val="21"/>
        </w:rPr>
      </w:pPr>
      <w:r>
        <w:rPr>
          <w:rFonts w:hint="eastAsia" w:ascii="黑体" w:hAnsi="黑体" w:eastAsia="黑体" w:cs="宋体"/>
          <w:b/>
          <w:bCs/>
          <w:szCs w:val="21"/>
        </w:rPr>
        <w:t>33</w:t>
      </w:r>
      <w:r>
        <w:rPr>
          <w:rFonts w:ascii="黑体" w:hAnsi="黑体" w:eastAsia="黑体" w:cs="宋体"/>
          <w:b/>
          <w:bCs/>
          <w:szCs w:val="21"/>
        </w:rPr>
        <w:t>.需要补充的其他内容</w:t>
      </w:r>
    </w:p>
    <w:p w14:paraId="68EA3E13">
      <w:pPr>
        <w:pStyle w:val="19"/>
        <w:spacing w:line="400" w:lineRule="exact"/>
        <w:ind w:firstLine="420" w:firstLineChars="200"/>
        <w:textAlignment w:val="center"/>
        <w:rPr>
          <w:rFonts w:hAnsi="宋体" w:cs="宋体"/>
          <w:kern w:val="2"/>
          <w:sz w:val="21"/>
        </w:rPr>
      </w:pPr>
      <w:r>
        <w:rPr>
          <w:rFonts w:hint="eastAsia" w:hAnsi="宋体" w:cs="宋体"/>
          <w:kern w:val="2"/>
          <w:sz w:val="21"/>
        </w:rPr>
        <w:t>33</w:t>
      </w:r>
      <w:r>
        <w:rPr>
          <w:rFonts w:hAnsi="宋体" w:cs="宋体"/>
          <w:kern w:val="2"/>
          <w:sz w:val="21"/>
        </w:rPr>
        <w:t>.1</w:t>
      </w:r>
      <w:r>
        <w:rPr>
          <w:rFonts w:hint="eastAsia" w:hAnsi="宋体" w:cs="宋体"/>
          <w:kern w:val="2"/>
          <w:sz w:val="21"/>
        </w:rPr>
        <w:t xml:space="preserve"> 本磋商文件解释规则详见“供应商须知前附表”。</w:t>
      </w:r>
    </w:p>
    <w:p w14:paraId="30C23EAA">
      <w:pPr>
        <w:pStyle w:val="19"/>
        <w:spacing w:line="400" w:lineRule="exact"/>
        <w:ind w:firstLine="420" w:firstLineChars="200"/>
        <w:textAlignment w:val="center"/>
        <w:rPr>
          <w:rFonts w:hAnsi="宋体" w:cs="宋体"/>
          <w:kern w:val="2"/>
          <w:sz w:val="21"/>
        </w:rPr>
      </w:pPr>
      <w:r>
        <w:rPr>
          <w:rFonts w:hAnsi="宋体" w:cs="宋体"/>
          <w:kern w:val="2"/>
          <w:sz w:val="21"/>
        </w:rPr>
        <w:t>3</w:t>
      </w:r>
      <w:r>
        <w:rPr>
          <w:rFonts w:hint="eastAsia" w:hAnsi="宋体" w:cs="宋体"/>
          <w:kern w:val="2"/>
          <w:sz w:val="21"/>
        </w:rPr>
        <w:t>3</w:t>
      </w:r>
      <w:r>
        <w:rPr>
          <w:rFonts w:hAnsi="宋体" w:cs="宋体"/>
          <w:kern w:val="2"/>
          <w:sz w:val="21"/>
        </w:rPr>
        <w:t>.2</w:t>
      </w:r>
      <w:r>
        <w:rPr>
          <w:rFonts w:hint="eastAsia" w:hAnsi="宋体" w:cs="宋体"/>
          <w:kern w:val="2"/>
          <w:sz w:val="21"/>
        </w:rPr>
        <w:t xml:space="preserve"> 其他事项详见“供应商须知前附表”。</w:t>
      </w:r>
    </w:p>
    <w:p w14:paraId="60C74284">
      <w:pPr>
        <w:pStyle w:val="19"/>
        <w:spacing w:line="400" w:lineRule="exact"/>
        <w:ind w:firstLine="420" w:firstLineChars="200"/>
        <w:textAlignment w:val="center"/>
        <w:rPr>
          <w:rFonts w:hAnsi="宋体" w:cs="宋体"/>
          <w:kern w:val="2"/>
          <w:sz w:val="21"/>
        </w:rPr>
      </w:pPr>
      <w:r>
        <w:rPr>
          <w:rFonts w:hint="eastAsia" w:hAnsi="宋体" w:cs="宋体"/>
          <w:kern w:val="2"/>
          <w:sz w:val="21"/>
        </w:rPr>
        <w:t>33</w:t>
      </w:r>
      <w:r>
        <w:rPr>
          <w:rFonts w:hAnsi="宋体" w:cs="宋体"/>
          <w:kern w:val="2"/>
          <w:sz w:val="21"/>
        </w:rPr>
        <w:t>.3</w:t>
      </w:r>
      <w:r>
        <w:rPr>
          <w:rFonts w:hint="eastAsia" w:hAnsi="宋体" w:cs="宋体"/>
          <w:kern w:val="2"/>
          <w:sz w:val="21"/>
        </w:rPr>
        <w:t xml:space="preserve"> 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7690EA13">
      <w:pPr>
        <w:pStyle w:val="19"/>
        <w:spacing w:line="400" w:lineRule="exact"/>
        <w:ind w:firstLine="420" w:firstLineChars="200"/>
        <w:contextualSpacing/>
        <w:rPr>
          <w:rFonts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14:paraId="7A67A2BD">
      <w:pPr>
        <w:pStyle w:val="19"/>
        <w:spacing w:line="400" w:lineRule="exact"/>
        <w:ind w:firstLine="420" w:firstLineChars="200"/>
        <w:contextualSpacing/>
        <w:rPr>
          <w:rFonts w:hAnsi="宋体"/>
          <w:sz w:val="21"/>
        </w:rPr>
      </w:pPr>
      <w:r>
        <w:rPr>
          <w:rFonts w:hint="eastAsia" w:hAnsi="宋体"/>
          <w:sz w:val="21"/>
        </w:rPr>
        <w:t>（2）在工程采购项目中，工程由中小企业承建，即工程施工单位为中小企业，不对其中涉及的货物的制造商和服务的承接商作出要求；</w:t>
      </w:r>
    </w:p>
    <w:p w14:paraId="67CC4D75">
      <w:pPr>
        <w:pStyle w:val="19"/>
        <w:spacing w:line="400" w:lineRule="exact"/>
        <w:ind w:firstLine="420" w:firstLineChars="200"/>
        <w:contextualSpacing/>
        <w:rPr>
          <w:rFonts w:hAnsi="宋体"/>
          <w:sz w:val="21"/>
        </w:rPr>
      </w:pPr>
      <w:r>
        <w:rPr>
          <w:rFonts w:hint="eastAsia" w:hAnsi="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6E7EB0A7">
      <w:pPr>
        <w:pStyle w:val="19"/>
        <w:spacing w:line="400" w:lineRule="exact"/>
        <w:ind w:firstLine="420" w:firstLineChars="200"/>
        <w:textAlignment w:val="center"/>
        <w:rPr>
          <w:rFonts w:hAnsi="宋体" w:cs="宋体"/>
          <w:kern w:val="2"/>
          <w:sz w:val="21"/>
        </w:rPr>
      </w:pPr>
      <w:r>
        <w:rPr>
          <w:rFonts w:hint="eastAsia" w:hAnsi="宋体" w:cs="宋体"/>
          <w:kern w:val="2"/>
          <w:sz w:val="21"/>
        </w:rPr>
        <w:t>（4）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DA2DF62">
      <w:pPr>
        <w:pStyle w:val="19"/>
        <w:spacing w:line="400" w:lineRule="exact"/>
        <w:ind w:firstLine="420" w:firstLineChars="200"/>
        <w:textAlignment w:val="center"/>
        <w:rPr>
          <w:rFonts w:hAnsi="宋体" w:cs="宋体"/>
          <w:kern w:val="2"/>
          <w:sz w:val="21"/>
        </w:rPr>
      </w:pPr>
      <w:r>
        <w:rPr>
          <w:rFonts w:hint="eastAsia" w:hAnsi="宋体" w:cs="宋体"/>
          <w:kern w:val="2"/>
          <w:sz w:val="21"/>
        </w:rPr>
        <w:t>（5）依据本文件规定享受扶持政策获得政府采购合同的，小微企业不得将合同分包给大中型企业，中型企业不得将合同分包给大型企业。</w:t>
      </w:r>
    </w:p>
    <w:p w14:paraId="21E4E779">
      <w:pPr>
        <w:spacing w:line="400" w:lineRule="exact"/>
        <w:rPr>
          <w:rFonts w:ascii="宋体" w:hAnsi="宋体" w:cs="宋体"/>
          <w:szCs w:val="21"/>
        </w:rPr>
      </w:pPr>
    </w:p>
    <w:p w14:paraId="5AC1E76D">
      <w:pPr>
        <w:pStyle w:val="19"/>
        <w:spacing w:line="400" w:lineRule="exact"/>
        <w:rPr>
          <w:rFonts w:hAnsi="宋体" w:cs="宋体"/>
          <w:sz w:val="21"/>
        </w:rPr>
      </w:pPr>
    </w:p>
    <w:p w14:paraId="0A3DE401">
      <w:pPr>
        <w:pStyle w:val="5"/>
        <w:spacing w:before="0" w:after="0"/>
        <w:rPr>
          <w:rFonts w:hAnsi="宋体"/>
          <w:b w:val="0"/>
          <w:bCs w:val="0"/>
        </w:rPr>
      </w:pPr>
      <w:r>
        <w:rPr>
          <w:rFonts w:hint="eastAsia" w:ascii="宋体" w:hAnsi="宋体" w:cs="宋体"/>
          <w:sz w:val="21"/>
          <w:szCs w:val="21"/>
        </w:rPr>
        <w:br w:type="page"/>
      </w:r>
    </w:p>
    <w:p w14:paraId="570D83BD">
      <w:pPr>
        <w:pStyle w:val="2"/>
        <w:spacing w:before="0" w:after="0" w:line="460" w:lineRule="exact"/>
        <w:jc w:val="center"/>
        <w:rPr>
          <w:sz w:val="32"/>
          <w:szCs w:val="32"/>
        </w:rPr>
      </w:pPr>
      <w:bookmarkStart w:id="17" w:name="_Toc74323458"/>
      <w:r>
        <w:rPr>
          <w:rFonts w:hint="eastAsia"/>
          <w:sz w:val="32"/>
          <w:szCs w:val="32"/>
        </w:rPr>
        <w:t>第三章 采购需求</w:t>
      </w:r>
      <w:bookmarkEnd w:id="17"/>
    </w:p>
    <w:p w14:paraId="08B98489">
      <w:pPr>
        <w:spacing w:line="400" w:lineRule="exact"/>
        <w:jc w:val="center"/>
        <w:rPr>
          <w:rFonts w:ascii="宋体" w:hAnsi="宋体" w:cs="宋体"/>
          <w:b/>
          <w:szCs w:val="21"/>
        </w:rPr>
      </w:pPr>
    </w:p>
    <w:p w14:paraId="2808F7C4">
      <w:pPr>
        <w:numPr>
          <w:ilvl w:val="0"/>
          <w:numId w:val="1"/>
        </w:numPr>
        <w:spacing w:line="560" w:lineRule="exact"/>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采购内容及要求：</w:t>
      </w:r>
    </w:p>
    <w:p w14:paraId="42619E55">
      <w:pPr>
        <w:spacing w:line="560" w:lineRule="exact"/>
        <w:ind w:firstLine="420" w:firstLineChars="200"/>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1、项目概况：</w:t>
      </w:r>
      <w:r>
        <w:rPr>
          <w:rFonts w:hint="eastAsia" w:asciiTheme="minorEastAsia" w:hAnsiTheme="minorEastAsia" w:eastAsiaTheme="minorEastAsia" w:cstheme="minorEastAsia"/>
          <w:color w:val="000000"/>
          <w:sz w:val="21"/>
          <w:szCs w:val="21"/>
          <w:highlight w:val="none"/>
          <w:lang w:eastAsia="zh-CN"/>
        </w:rPr>
        <w:t>松材线虫病是机具危险性的森林疫病，不仅传播蔓延迅速、且治理难度极大，如枯死树不及时清理，会给松材线虫病的媒介昆虫松墨天牛提供繁殖场所，加速疫情扩散。冬季是传播媒介昆虫松褐天牛幼虫越冬时期，是防治松材线虫病最佳季节，开展松材线虫病疫木除治是消除疫源的关键举措。</w:t>
      </w:r>
    </w:p>
    <w:p w14:paraId="41575DAC">
      <w:pPr>
        <w:spacing w:line="560" w:lineRule="exact"/>
        <w:ind w:firstLine="420" w:firstLineChars="20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2、标段划分及预算</w:t>
      </w:r>
    </w:p>
    <w:tbl>
      <w:tblPr>
        <w:tblStyle w:val="33"/>
        <w:tblW w:w="10377" w:type="dxa"/>
        <w:tblInd w:w="-6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3431"/>
        <w:gridCol w:w="1166"/>
        <w:gridCol w:w="1172"/>
        <w:gridCol w:w="2667"/>
        <w:gridCol w:w="828"/>
      </w:tblGrid>
      <w:tr w14:paraId="7E489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113" w:type="dxa"/>
            <w:noWrap w:val="0"/>
            <w:vAlign w:val="center"/>
          </w:tcPr>
          <w:p w14:paraId="08D891D1">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分标号</w:t>
            </w:r>
          </w:p>
        </w:tc>
        <w:tc>
          <w:tcPr>
            <w:tcW w:w="3431" w:type="dxa"/>
            <w:noWrap w:val="0"/>
            <w:vAlign w:val="center"/>
          </w:tcPr>
          <w:p w14:paraId="062F1164">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标项名称</w:t>
            </w:r>
          </w:p>
        </w:tc>
        <w:tc>
          <w:tcPr>
            <w:tcW w:w="1166" w:type="dxa"/>
            <w:noWrap w:val="0"/>
            <w:vAlign w:val="center"/>
          </w:tcPr>
          <w:p w14:paraId="637F9D05">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数量（株）</w:t>
            </w:r>
          </w:p>
        </w:tc>
        <w:tc>
          <w:tcPr>
            <w:tcW w:w="1172" w:type="dxa"/>
            <w:noWrap w:val="0"/>
            <w:vAlign w:val="center"/>
          </w:tcPr>
          <w:p w14:paraId="4A1511F1">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服务期限</w:t>
            </w:r>
          </w:p>
        </w:tc>
        <w:tc>
          <w:tcPr>
            <w:tcW w:w="2667" w:type="dxa"/>
            <w:noWrap w:val="0"/>
            <w:vAlign w:val="center"/>
          </w:tcPr>
          <w:p w14:paraId="3C097666">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服务内容</w:t>
            </w:r>
          </w:p>
        </w:tc>
        <w:tc>
          <w:tcPr>
            <w:tcW w:w="828" w:type="dxa"/>
            <w:noWrap w:val="0"/>
            <w:vAlign w:val="center"/>
          </w:tcPr>
          <w:p w14:paraId="28C770E7">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采购预算（万元）</w:t>
            </w:r>
          </w:p>
        </w:tc>
      </w:tr>
      <w:tr w14:paraId="670C4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13" w:type="dxa"/>
            <w:noWrap w:val="0"/>
            <w:vAlign w:val="center"/>
          </w:tcPr>
          <w:p w14:paraId="5850EF7D">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分标 1</w:t>
            </w:r>
          </w:p>
        </w:tc>
        <w:tc>
          <w:tcPr>
            <w:tcW w:w="3431" w:type="dxa"/>
            <w:noWrap w:val="0"/>
            <w:vAlign w:val="center"/>
          </w:tcPr>
          <w:p w14:paraId="2D8D02E7">
            <w:pPr>
              <w:spacing w:line="560" w:lineRule="exact"/>
              <w:jc w:val="both"/>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分标1：</w:t>
            </w:r>
            <w:r>
              <w:rPr>
                <w:rFonts w:hint="eastAsia" w:asciiTheme="minorEastAsia" w:hAnsiTheme="minorEastAsia" w:eastAsiaTheme="minorEastAsia" w:cstheme="minorEastAsia"/>
                <w:color w:val="000000"/>
                <w:sz w:val="21"/>
                <w:szCs w:val="21"/>
                <w:highlight w:val="none"/>
                <w:lang w:eastAsia="zh-CN"/>
              </w:rPr>
              <w:t>苍梧县2025-2026年冬春季松材线虫病疫木集中除治项目</w:t>
            </w:r>
            <w:r>
              <w:rPr>
                <w:rFonts w:hint="eastAsia" w:asciiTheme="minorEastAsia" w:hAnsiTheme="minorEastAsia" w:eastAsiaTheme="minorEastAsia" w:cstheme="minorEastAsia"/>
                <w:color w:val="000000"/>
                <w:sz w:val="21"/>
                <w:szCs w:val="21"/>
                <w:highlight w:val="none"/>
              </w:rPr>
              <w:t>（沙头镇、木双镇、六堡镇）</w:t>
            </w:r>
          </w:p>
        </w:tc>
        <w:tc>
          <w:tcPr>
            <w:tcW w:w="1166" w:type="dxa"/>
            <w:noWrap w:val="0"/>
            <w:vAlign w:val="center"/>
          </w:tcPr>
          <w:p w14:paraId="502765A6">
            <w:pPr>
              <w:spacing w:line="560" w:lineRule="exact"/>
              <w:jc w:val="center"/>
              <w:rPr>
                <w:rFonts w:hint="eastAsia" w:asciiTheme="minorEastAsia" w:hAnsiTheme="minorEastAsia" w:eastAsiaTheme="minorEastAsia" w:cstheme="minorEastAsia"/>
                <w:color w:val="000000"/>
                <w:sz w:val="21"/>
                <w:szCs w:val="21"/>
                <w:highlight w:val="none"/>
              </w:rPr>
            </w:pPr>
          </w:p>
          <w:p w14:paraId="30B1E2EE">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3280</w:t>
            </w:r>
          </w:p>
        </w:tc>
        <w:tc>
          <w:tcPr>
            <w:tcW w:w="1172" w:type="dxa"/>
            <w:noWrap w:val="0"/>
            <w:vAlign w:val="center"/>
          </w:tcPr>
          <w:p w14:paraId="376FA621">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202</w:t>
            </w:r>
            <w:r>
              <w:rPr>
                <w:rFonts w:hint="eastAsia" w:asciiTheme="minorEastAsia" w:hAnsiTheme="minorEastAsia" w:eastAsiaTheme="minorEastAsia" w:cstheme="minorEastAsia"/>
                <w:color w:val="000000"/>
                <w:sz w:val="21"/>
                <w:szCs w:val="21"/>
                <w:highlight w:val="none"/>
                <w:lang w:val="en-US" w:eastAsia="zh-CN"/>
              </w:rPr>
              <w:t>6</w:t>
            </w:r>
            <w:r>
              <w:rPr>
                <w:rFonts w:hint="eastAsia" w:asciiTheme="minorEastAsia" w:hAnsiTheme="minorEastAsia" w:eastAsiaTheme="minorEastAsia" w:cstheme="minorEastAsia"/>
                <w:color w:val="000000"/>
                <w:sz w:val="21"/>
                <w:szCs w:val="21"/>
                <w:highlight w:val="none"/>
              </w:rPr>
              <w:t>年6月30日前完成</w:t>
            </w:r>
          </w:p>
        </w:tc>
        <w:tc>
          <w:tcPr>
            <w:tcW w:w="2667" w:type="dxa"/>
            <w:noWrap w:val="0"/>
            <w:vAlign w:val="center"/>
          </w:tcPr>
          <w:p w14:paraId="00BDE59B">
            <w:pPr>
              <w:spacing w:line="560" w:lineRule="exact"/>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清理沙头镇、木双镇、六堡镇的</w:t>
            </w:r>
            <w:r>
              <w:rPr>
                <w:rFonts w:hint="eastAsia" w:asciiTheme="minorEastAsia" w:hAnsiTheme="minorEastAsia" w:eastAsiaTheme="minorEastAsia" w:cstheme="minorEastAsia"/>
                <w:color w:val="000000"/>
                <w:sz w:val="21"/>
                <w:szCs w:val="21"/>
                <w:highlight w:val="none"/>
                <w:lang w:eastAsia="zh-CN"/>
              </w:rPr>
              <w:t>松材线虫病枯死木</w:t>
            </w:r>
            <w:r>
              <w:rPr>
                <w:rFonts w:hint="eastAsia" w:asciiTheme="minorEastAsia" w:hAnsiTheme="minorEastAsia" w:eastAsiaTheme="minorEastAsia" w:cstheme="minorEastAsia"/>
                <w:color w:val="000000"/>
                <w:sz w:val="21"/>
                <w:szCs w:val="21"/>
                <w:highlight w:val="none"/>
              </w:rPr>
              <w:t>约</w:t>
            </w:r>
            <w:r>
              <w:rPr>
                <w:rFonts w:hint="eastAsia" w:asciiTheme="minorEastAsia" w:hAnsiTheme="minorEastAsia" w:eastAsiaTheme="minorEastAsia" w:cstheme="minorEastAsia"/>
                <w:color w:val="000000"/>
                <w:sz w:val="21"/>
                <w:szCs w:val="21"/>
                <w:highlight w:val="none"/>
                <w:lang w:val="en-US" w:eastAsia="zh-CN"/>
              </w:rPr>
              <w:t>3280</w:t>
            </w:r>
            <w:r>
              <w:rPr>
                <w:rFonts w:hint="eastAsia" w:asciiTheme="minorEastAsia" w:hAnsiTheme="minorEastAsia" w:eastAsiaTheme="minorEastAsia" w:cstheme="minorEastAsia"/>
                <w:color w:val="000000"/>
                <w:sz w:val="21"/>
                <w:szCs w:val="21"/>
                <w:highlight w:val="none"/>
              </w:rPr>
              <w:t>株。</w:t>
            </w:r>
          </w:p>
        </w:tc>
        <w:tc>
          <w:tcPr>
            <w:tcW w:w="828" w:type="dxa"/>
            <w:noWrap w:val="0"/>
            <w:vAlign w:val="center"/>
          </w:tcPr>
          <w:p w14:paraId="767CB783">
            <w:pPr>
              <w:spacing w:line="560" w:lineRule="exact"/>
              <w:jc w:val="center"/>
              <w:rPr>
                <w:rFonts w:hint="eastAsia" w:asciiTheme="minorEastAsia" w:hAnsiTheme="minorEastAsia" w:eastAsiaTheme="minorEastAsia" w:cstheme="minorEastAsia"/>
                <w:color w:val="000000"/>
                <w:sz w:val="21"/>
                <w:szCs w:val="21"/>
                <w:highlight w:val="none"/>
              </w:rPr>
            </w:pPr>
          </w:p>
          <w:p w14:paraId="55CA91C8">
            <w:pPr>
              <w:spacing w:line="560" w:lineRule="exact"/>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82</w:t>
            </w:r>
          </w:p>
        </w:tc>
      </w:tr>
      <w:tr w14:paraId="3E004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13" w:type="dxa"/>
            <w:noWrap w:val="0"/>
            <w:vAlign w:val="center"/>
          </w:tcPr>
          <w:p w14:paraId="5936C7BB">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分标 2</w:t>
            </w:r>
          </w:p>
        </w:tc>
        <w:tc>
          <w:tcPr>
            <w:tcW w:w="3431" w:type="dxa"/>
            <w:noWrap w:val="0"/>
            <w:vAlign w:val="center"/>
          </w:tcPr>
          <w:p w14:paraId="1E726420">
            <w:pPr>
              <w:spacing w:line="560" w:lineRule="exact"/>
              <w:jc w:val="both"/>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分标2</w:t>
            </w:r>
            <w:r>
              <w:rPr>
                <w:rFonts w:hint="eastAsia" w:asciiTheme="minorEastAsia" w:hAnsiTheme="minorEastAsia" w:eastAsiaTheme="minorEastAsia" w:cstheme="minorEastAsia"/>
                <w:b w:val="0"/>
                <w:bCs w:val="0"/>
                <w:color w:val="000000"/>
                <w:sz w:val="21"/>
                <w:szCs w:val="21"/>
                <w:highlight w:val="none"/>
              </w:rPr>
              <w:t>：</w:t>
            </w:r>
            <w:r>
              <w:rPr>
                <w:rFonts w:hint="eastAsia" w:asciiTheme="minorEastAsia" w:hAnsiTheme="minorEastAsia" w:eastAsiaTheme="minorEastAsia" w:cstheme="minorEastAsia"/>
                <w:b w:val="0"/>
                <w:bCs w:val="0"/>
                <w:color w:val="000000"/>
                <w:sz w:val="21"/>
                <w:szCs w:val="21"/>
                <w:highlight w:val="none"/>
                <w:lang w:eastAsia="zh-CN"/>
              </w:rPr>
              <w:t>苍梧县2025-2026年冬春季松材线虫病疫木集中除治项目</w:t>
            </w:r>
            <w:r>
              <w:rPr>
                <w:rFonts w:hint="eastAsia" w:asciiTheme="minorEastAsia" w:hAnsiTheme="minorEastAsia" w:eastAsiaTheme="minorEastAsia" w:cstheme="minorEastAsia"/>
                <w:b w:val="0"/>
                <w:bCs w:val="0"/>
                <w:color w:val="000000"/>
                <w:sz w:val="21"/>
                <w:szCs w:val="21"/>
                <w:highlight w:val="none"/>
              </w:rPr>
              <w:t>（旺甫镇、梨埠镇、石桥镇、岭脚镇、京南镇）</w:t>
            </w:r>
          </w:p>
        </w:tc>
        <w:tc>
          <w:tcPr>
            <w:tcW w:w="1166" w:type="dxa"/>
            <w:noWrap w:val="0"/>
            <w:vAlign w:val="center"/>
          </w:tcPr>
          <w:p w14:paraId="31F42018">
            <w:pPr>
              <w:spacing w:line="560" w:lineRule="exact"/>
              <w:jc w:val="center"/>
              <w:rPr>
                <w:rFonts w:hint="eastAsia" w:asciiTheme="minorEastAsia" w:hAnsiTheme="minorEastAsia" w:eastAsiaTheme="minorEastAsia" w:cstheme="minorEastAsia"/>
                <w:color w:val="000000"/>
                <w:sz w:val="21"/>
                <w:szCs w:val="21"/>
                <w:highlight w:val="none"/>
              </w:rPr>
            </w:pPr>
          </w:p>
          <w:p w14:paraId="1D155D3B">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7400</w:t>
            </w:r>
          </w:p>
        </w:tc>
        <w:tc>
          <w:tcPr>
            <w:tcW w:w="1172" w:type="dxa"/>
            <w:noWrap w:val="0"/>
            <w:vAlign w:val="center"/>
          </w:tcPr>
          <w:p w14:paraId="07B3AFEA">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202</w:t>
            </w:r>
            <w:r>
              <w:rPr>
                <w:rFonts w:hint="eastAsia" w:asciiTheme="minorEastAsia" w:hAnsiTheme="minorEastAsia" w:eastAsiaTheme="minorEastAsia" w:cstheme="minorEastAsia"/>
                <w:color w:val="000000"/>
                <w:sz w:val="21"/>
                <w:szCs w:val="21"/>
                <w:highlight w:val="none"/>
                <w:lang w:val="en-US" w:eastAsia="zh-CN"/>
              </w:rPr>
              <w:t>6</w:t>
            </w:r>
            <w:r>
              <w:rPr>
                <w:rFonts w:hint="eastAsia" w:asciiTheme="minorEastAsia" w:hAnsiTheme="minorEastAsia" w:eastAsiaTheme="minorEastAsia" w:cstheme="minorEastAsia"/>
                <w:color w:val="000000"/>
                <w:sz w:val="21"/>
                <w:szCs w:val="21"/>
                <w:highlight w:val="none"/>
              </w:rPr>
              <w:t>年6月30日前完成</w:t>
            </w:r>
          </w:p>
        </w:tc>
        <w:tc>
          <w:tcPr>
            <w:tcW w:w="2667" w:type="dxa"/>
            <w:noWrap w:val="0"/>
            <w:vAlign w:val="center"/>
          </w:tcPr>
          <w:p w14:paraId="3290B143">
            <w:pPr>
              <w:spacing w:line="560" w:lineRule="exact"/>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清理旺甫镇、梨埠镇、石桥镇、岭脚镇、京南镇的</w:t>
            </w:r>
            <w:r>
              <w:rPr>
                <w:rFonts w:hint="eastAsia" w:asciiTheme="minorEastAsia" w:hAnsiTheme="minorEastAsia" w:eastAsiaTheme="minorEastAsia" w:cstheme="minorEastAsia"/>
                <w:color w:val="000000"/>
                <w:sz w:val="21"/>
                <w:szCs w:val="21"/>
                <w:highlight w:val="none"/>
                <w:lang w:eastAsia="zh-CN"/>
              </w:rPr>
              <w:t>松材线虫病枯死木</w:t>
            </w:r>
            <w:r>
              <w:rPr>
                <w:rFonts w:hint="eastAsia" w:asciiTheme="minorEastAsia" w:hAnsiTheme="minorEastAsia" w:eastAsiaTheme="minorEastAsia" w:cstheme="minorEastAsia"/>
                <w:color w:val="000000"/>
                <w:sz w:val="21"/>
                <w:szCs w:val="21"/>
                <w:highlight w:val="none"/>
              </w:rPr>
              <w:t>约</w:t>
            </w:r>
            <w:r>
              <w:rPr>
                <w:rFonts w:hint="eastAsia" w:asciiTheme="minorEastAsia" w:hAnsiTheme="minorEastAsia" w:eastAsiaTheme="minorEastAsia" w:cstheme="minorEastAsia"/>
                <w:color w:val="000000"/>
                <w:sz w:val="21"/>
                <w:szCs w:val="21"/>
                <w:highlight w:val="none"/>
                <w:lang w:val="en-US" w:eastAsia="zh-CN"/>
              </w:rPr>
              <w:t>7400</w:t>
            </w:r>
            <w:r>
              <w:rPr>
                <w:rFonts w:hint="eastAsia" w:asciiTheme="minorEastAsia" w:hAnsiTheme="minorEastAsia" w:eastAsiaTheme="minorEastAsia" w:cstheme="minorEastAsia"/>
                <w:color w:val="000000"/>
                <w:sz w:val="21"/>
                <w:szCs w:val="21"/>
                <w:highlight w:val="none"/>
              </w:rPr>
              <w:t>株。</w:t>
            </w:r>
          </w:p>
        </w:tc>
        <w:tc>
          <w:tcPr>
            <w:tcW w:w="828" w:type="dxa"/>
            <w:noWrap w:val="0"/>
            <w:vAlign w:val="center"/>
          </w:tcPr>
          <w:p w14:paraId="49828E41">
            <w:pPr>
              <w:spacing w:line="560" w:lineRule="exact"/>
              <w:jc w:val="center"/>
              <w:rPr>
                <w:rFonts w:hint="eastAsia" w:asciiTheme="minorEastAsia" w:hAnsiTheme="minorEastAsia" w:eastAsiaTheme="minorEastAsia" w:cstheme="minorEastAsia"/>
                <w:color w:val="000000"/>
                <w:sz w:val="21"/>
                <w:szCs w:val="21"/>
                <w:highlight w:val="none"/>
              </w:rPr>
            </w:pPr>
          </w:p>
          <w:p w14:paraId="710352CC">
            <w:pPr>
              <w:spacing w:line="560" w:lineRule="exact"/>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185</w:t>
            </w:r>
          </w:p>
        </w:tc>
      </w:tr>
    </w:tbl>
    <w:p w14:paraId="38DF1215">
      <w:pPr>
        <w:numPr>
          <w:ilvl w:val="0"/>
          <w:numId w:val="0"/>
        </w:num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二、主要技术服务要求（适用分标</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b/>
          <w:bCs/>
          <w:color w:val="000000"/>
          <w:sz w:val="21"/>
          <w:szCs w:val="21"/>
          <w:highlight w:val="none"/>
        </w:rPr>
        <w:t>1、分标</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b/>
          <w:bCs/>
          <w:color w:val="000000"/>
          <w:sz w:val="21"/>
          <w:szCs w:val="21"/>
          <w:highlight w:val="none"/>
        </w:rPr>
        <w:t>2</w:t>
      </w:r>
      <w:r>
        <w:rPr>
          <w:rFonts w:hint="eastAsia" w:asciiTheme="minorEastAsia" w:hAnsiTheme="minorEastAsia" w:eastAsiaTheme="minorEastAsia" w:cstheme="minorEastAsia"/>
          <w:b/>
          <w:bCs/>
          <w:color w:val="000000"/>
          <w:sz w:val="21"/>
          <w:szCs w:val="21"/>
          <w:highlight w:val="none"/>
          <w:lang w:val="en-US" w:eastAsia="zh-CN"/>
        </w:rPr>
        <w:t xml:space="preserve"> </w:t>
      </w:r>
      <w:r>
        <w:rPr>
          <w:rFonts w:hint="eastAsia" w:asciiTheme="minorEastAsia" w:hAnsiTheme="minorEastAsia" w:eastAsiaTheme="minorEastAsia" w:cstheme="minorEastAsia"/>
          <w:b/>
          <w:bCs/>
          <w:color w:val="000000"/>
          <w:sz w:val="21"/>
          <w:szCs w:val="21"/>
          <w:highlight w:val="none"/>
        </w:rPr>
        <w:t>）</w:t>
      </w:r>
    </w:p>
    <w:p w14:paraId="1E59E6D7">
      <w:pPr>
        <w:spacing w:line="560" w:lineRule="exact"/>
        <w:ind w:firstLine="420" w:firstLineChars="200"/>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sz w:val="21"/>
          <w:szCs w:val="21"/>
          <w:highlight w:val="none"/>
          <w:lang w:eastAsia="zh-CN"/>
        </w:rPr>
        <w:t>松材线虫病疫木</w:t>
      </w:r>
      <w:r>
        <w:rPr>
          <w:rFonts w:hint="eastAsia" w:asciiTheme="minorEastAsia" w:hAnsiTheme="minorEastAsia" w:eastAsiaTheme="minorEastAsia" w:cstheme="minorEastAsia"/>
          <w:b w:val="0"/>
          <w:bCs w:val="0"/>
          <w:color w:val="000000"/>
          <w:sz w:val="21"/>
          <w:szCs w:val="21"/>
          <w:highlight w:val="none"/>
        </w:rPr>
        <w:t>清理服务范围为：苍梧县，其中分标 1 为沙头镇、木双镇、六堡镇；分标 2 为旺甫镇、梨埠镇、石桥镇、岭脚镇、京南镇。松材线虫病枯死树清理服务完成时间为 202</w:t>
      </w:r>
      <w:r>
        <w:rPr>
          <w:rFonts w:hint="eastAsia" w:asciiTheme="minorEastAsia" w:hAnsiTheme="minorEastAsia" w:eastAsiaTheme="minorEastAsia" w:cstheme="minorEastAsia"/>
          <w:b w:val="0"/>
          <w:bCs w:val="0"/>
          <w:color w:val="000000"/>
          <w:sz w:val="21"/>
          <w:szCs w:val="21"/>
          <w:highlight w:val="none"/>
          <w:lang w:val="en-US" w:eastAsia="zh-CN"/>
        </w:rPr>
        <w:t>6</w:t>
      </w:r>
      <w:r>
        <w:rPr>
          <w:rFonts w:hint="eastAsia" w:asciiTheme="minorEastAsia" w:hAnsiTheme="minorEastAsia" w:eastAsiaTheme="minorEastAsia" w:cstheme="minorEastAsia"/>
          <w:b w:val="0"/>
          <w:bCs w:val="0"/>
          <w:color w:val="000000"/>
          <w:sz w:val="21"/>
          <w:szCs w:val="21"/>
          <w:highlight w:val="none"/>
        </w:rPr>
        <w:t>年</w:t>
      </w:r>
      <w:r>
        <w:rPr>
          <w:rFonts w:hint="eastAsia" w:asciiTheme="minorEastAsia" w:hAnsiTheme="minorEastAsia" w:eastAsiaTheme="minorEastAsia" w:cstheme="minorEastAsia"/>
          <w:b w:val="0"/>
          <w:bCs w:val="0"/>
          <w:color w:val="000000"/>
          <w:sz w:val="21"/>
          <w:szCs w:val="21"/>
          <w:highlight w:val="none"/>
          <w:lang w:val="en-US" w:eastAsia="zh-CN"/>
        </w:rPr>
        <w:t>6</w:t>
      </w:r>
      <w:r>
        <w:rPr>
          <w:rFonts w:hint="eastAsia" w:asciiTheme="minorEastAsia" w:hAnsiTheme="minorEastAsia" w:eastAsiaTheme="minorEastAsia" w:cstheme="minorEastAsia"/>
          <w:b w:val="0"/>
          <w:bCs w:val="0"/>
          <w:color w:val="000000"/>
          <w:sz w:val="21"/>
          <w:szCs w:val="21"/>
          <w:highlight w:val="none"/>
        </w:rPr>
        <w:t>月</w:t>
      </w:r>
      <w:r>
        <w:rPr>
          <w:rFonts w:hint="eastAsia" w:asciiTheme="minorEastAsia" w:hAnsiTheme="minorEastAsia" w:eastAsiaTheme="minorEastAsia" w:cstheme="minorEastAsia"/>
          <w:b w:val="0"/>
          <w:bCs w:val="0"/>
          <w:color w:val="000000"/>
          <w:sz w:val="21"/>
          <w:szCs w:val="21"/>
          <w:highlight w:val="none"/>
          <w:lang w:val="en-US" w:eastAsia="zh-CN"/>
        </w:rPr>
        <w:t>30</w:t>
      </w:r>
      <w:r>
        <w:rPr>
          <w:rFonts w:hint="eastAsia" w:asciiTheme="minorEastAsia" w:hAnsiTheme="minorEastAsia" w:eastAsiaTheme="minorEastAsia" w:cstheme="minorEastAsia"/>
          <w:b w:val="0"/>
          <w:bCs w:val="0"/>
          <w:color w:val="000000"/>
          <w:sz w:val="21"/>
          <w:szCs w:val="21"/>
          <w:highlight w:val="none"/>
        </w:rPr>
        <w:t>日前完成。</w:t>
      </w:r>
    </w:p>
    <w:p w14:paraId="60B58558">
      <w:pPr>
        <w:spacing w:line="560" w:lineRule="exact"/>
        <w:ind w:firstLine="420" w:firstLineChars="200"/>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sz w:val="21"/>
          <w:szCs w:val="21"/>
          <w:highlight w:val="none"/>
          <w:lang w:eastAsia="zh-CN"/>
        </w:rPr>
        <w:t>松材线虫病疫木</w:t>
      </w:r>
      <w:r>
        <w:rPr>
          <w:rFonts w:hint="eastAsia" w:asciiTheme="minorEastAsia" w:hAnsiTheme="minorEastAsia" w:eastAsiaTheme="minorEastAsia" w:cstheme="minorEastAsia"/>
          <w:b w:val="0"/>
          <w:bCs w:val="0"/>
          <w:color w:val="000000"/>
          <w:sz w:val="21"/>
          <w:szCs w:val="21"/>
          <w:highlight w:val="none"/>
        </w:rPr>
        <w:t>清理服务技术指标：</w:t>
      </w:r>
    </w:p>
    <w:p w14:paraId="1E08A685">
      <w:pPr>
        <w:spacing w:line="560" w:lineRule="exact"/>
        <w:ind w:firstLine="420" w:firstLineChars="200"/>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sz w:val="21"/>
          <w:szCs w:val="21"/>
          <w:highlight w:val="none"/>
          <w:lang w:eastAsia="zh-CN"/>
        </w:rPr>
        <w:t>松材线虫病疫木</w:t>
      </w:r>
      <w:r>
        <w:rPr>
          <w:rFonts w:hint="eastAsia" w:asciiTheme="minorEastAsia" w:hAnsiTheme="minorEastAsia" w:eastAsiaTheme="minorEastAsia" w:cstheme="minorEastAsia"/>
          <w:b w:val="0"/>
          <w:bCs w:val="0"/>
          <w:color w:val="000000"/>
          <w:sz w:val="21"/>
          <w:szCs w:val="21"/>
          <w:highlight w:val="none"/>
        </w:rPr>
        <w:t>清理服务约10680株，其中分标 1 为</w:t>
      </w:r>
      <w:r>
        <w:rPr>
          <w:rFonts w:hint="eastAsia" w:asciiTheme="minorEastAsia" w:hAnsiTheme="minorEastAsia" w:eastAsiaTheme="minorEastAsia" w:cstheme="minorEastAsia"/>
          <w:color w:val="000000"/>
          <w:sz w:val="21"/>
          <w:szCs w:val="21"/>
          <w:highlight w:val="none"/>
        </w:rPr>
        <w:t>清理沙头镇、木双镇、六堡镇的</w:t>
      </w:r>
      <w:r>
        <w:rPr>
          <w:rFonts w:hint="eastAsia" w:asciiTheme="minorEastAsia" w:hAnsiTheme="minorEastAsia" w:eastAsiaTheme="minorEastAsia" w:cstheme="minorEastAsia"/>
          <w:color w:val="000000"/>
          <w:sz w:val="21"/>
          <w:szCs w:val="21"/>
          <w:highlight w:val="none"/>
          <w:lang w:eastAsia="zh-CN"/>
        </w:rPr>
        <w:t>松材线虫病枯死木</w:t>
      </w:r>
      <w:r>
        <w:rPr>
          <w:rFonts w:hint="eastAsia" w:asciiTheme="minorEastAsia" w:hAnsiTheme="minorEastAsia" w:eastAsiaTheme="minorEastAsia" w:cstheme="minorEastAsia"/>
          <w:color w:val="000000"/>
          <w:sz w:val="21"/>
          <w:szCs w:val="21"/>
          <w:highlight w:val="none"/>
        </w:rPr>
        <w:t>约</w:t>
      </w:r>
      <w:r>
        <w:rPr>
          <w:rFonts w:hint="eastAsia" w:asciiTheme="minorEastAsia" w:hAnsiTheme="minorEastAsia" w:eastAsiaTheme="minorEastAsia" w:cstheme="minorEastAsia"/>
          <w:color w:val="000000"/>
          <w:sz w:val="21"/>
          <w:szCs w:val="21"/>
          <w:highlight w:val="none"/>
          <w:lang w:val="en-US" w:eastAsia="zh-CN"/>
        </w:rPr>
        <w:t>3280</w:t>
      </w:r>
      <w:r>
        <w:rPr>
          <w:rFonts w:hint="eastAsia" w:asciiTheme="minorEastAsia" w:hAnsiTheme="minorEastAsia" w:eastAsiaTheme="minorEastAsia" w:cstheme="minorEastAsia"/>
          <w:color w:val="000000"/>
          <w:sz w:val="21"/>
          <w:szCs w:val="21"/>
          <w:highlight w:val="none"/>
        </w:rPr>
        <w:t>株</w:t>
      </w:r>
      <w:r>
        <w:rPr>
          <w:rFonts w:hint="eastAsia" w:asciiTheme="minorEastAsia" w:hAnsiTheme="minorEastAsia" w:eastAsiaTheme="minorEastAsia" w:cstheme="minorEastAsia"/>
          <w:b w:val="0"/>
          <w:bCs w:val="0"/>
          <w:color w:val="000000"/>
          <w:sz w:val="21"/>
          <w:szCs w:val="21"/>
          <w:highlight w:val="none"/>
        </w:rPr>
        <w:t>，清理合格率达到100%，伐桩、疫木、枝桠等除害处理验收打分达优秀； 分标 2 为</w:t>
      </w:r>
      <w:r>
        <w:rPr>
          <w:rFonts w:hint="eastAsia" w:asciiTheme="minorEastAsia" w:hAnsiTheme="minorEastAsia" w:eastAsiaTheme="minorEastAsia" w:cstheme="minorEastAsia"/>
          <w:color w:val="000000"/>
          <w:sz w:val="21"/>
          <w:szCs w:val="21"/>
          <w:highlight w:val="none"/>
        </w:rPr>
        <w:t>清理旺甫镇、梨埠镇、石桥镇、岭脚镇、京南镇的</w:t>
      </w:r>
      <w:r>
        <w:rPr>
          <w:rFonts w:hint="eastAsia" w:asciiTheme="minorEastAsia" w:hAnsiTheme="minorEastAsia" w:eastAsiaTheme="minorEastAsia" w:cstheme="minorEastAsia"/>
          <w:color w:val="000000"/>
          <w:sz w:val="21"/>
          <w:szCs w:val="21"/>
          <w:highlight w:val="none"/>
          <w:lang w:eastAsia="zh-CN"/>
        </w:rPr>
        <w:t>松材线虫病枯死木</w:t>
      </w:r>
      <w:r>
        <w:rPr>
          <w:rFonts w:hint="eastAsia" w:asciiTheme="minorEastAsia" w:hAnsiTheme="minorEastAsia" w:eastAsiaTheme="minorEastAsia" w:cstheme="minorEastAsia"/>
          <w:color w:val="000000"/>
          <w:sz w:val="21"/>
          <w:szCs w:val="21"/>
          <w:highlight w:val="none"/>
        </w:rPr>
        <w:t>约</w:t>
      </w:r>
      <w:r>
        <w:rPr>
          <w:rFonts w:hint="eastAsia" w:asciiTheme="minorEastAsia" w:hAnsiTheme="minorEastAsia" w:eastAsiaTheme="minorEastAsia" w:cstheme="minorEastAsia"/>
          <w:color w:val="000000"/>
          <w:sz w:val="21"/>
          <w:szCs w:val="21"/>
          <w:highlight w:val="none"/>
          <w:lang w:val="en-US" w:eastAsia="zh-CN"/>
        </w:rPr>
        <w:t>7400</w:t>
      </w:r>
      <w:r>
        <w:rPr>
          <w:rFonts w:hint="eastAsia" w:asciiTheme="minorEastAsia" w:hAnsiTheme="minorEastAsia" w:eastAsiaTheme="minorEastAsia" w:cstheme="minorEastAsia"/>
          <w:color w:val="000000"/>
          <w:sz w:val="21"/>
          <w:szCs w:val="21"/>
          <w:highlight w:val="none"/>
        </w:rPr>
        <w:t>株</w:t>
      </w:r>
      <w:r>
        <w:rPr>
          <w:rFonts w:hint="eastAsia" w:asciiTheme="minorEastAsia" w:hAnsiTheme="minorEastAsia" w:eastAsiaTheme="minorEastAsia" w:cstheme="minorEastAsia"/>
          <w:b w:val="0"/>
          <w:bCs w:val="0"/>
          <w:color w:val="000000"/>
          <w:sz w:val="21"/>
          <w:szCs w:val="21"/>
          <w:highlight w:val="none"/>
        </w:rPr>
        <w:t>。清理合格率达到 100%，伐桩、</w:t>
      </w:r>
      <w:r>
        <w:rPr>
          <w:rFonts w:hint="eastAsia" w:asciiTheme="minorEastAsia" w:hAnsiTheme="minorEastAsia" w:eastAsiaTheme="minorEastAsia" w:cstheme="minorEastAsia"/>
          <w:b w:val="0"/>
          <w:bCs w:val="0"/>
          <w:color w:val="000000"/>
          <w:sz w:val="21"/>
          <w:szCs w:val="21"/>
          <w:highlight w:val="none"/>
          <w:lang w:eastAsia="zh-CN"/>
        </w:rPr>
        <w:t>树干</w:t>
      </w:r>
      <w:r>
        <w:rPr>
          <w:rFonts w:hint="eastAsia" w:asciiTheme="minorEastAsia" w:hAnsiTheme="minorEastAsia" w:eastAsiaTheme="minorEastAsia" w:cstheme="minorEastAsia"/>
          <w:b w:val="0"/>
          <w:bCs w:val="0"/>
          <w:color w:val="000000"/>
          <w:sz w:val="21"/>
          <w:szCs w:val="21"/>
          <w:highlight w:val="none"/>
        </w:rPr>
        <w:t>、枝桠等除害处理验收打分达优秀。</w:t>
      </w:r>
    </w:p>
    <w:p w14:paraId="6080E11D">
      <w:pPr>
        <w:spacing w:line="560" w:lineRule="exact"/>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松材线虫病枯死树清理服务技术方案和工程质量要求：</w:t>
      </w:r>
    </w:p>
    <w:p w14:paraId="6F2550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1.清理松树枯死木类型</w:t>
      </w:r>
    </w:p>
    <w:p w14:paraId="53FFAC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清理松树枯死木类型按照国家林业和草原局文件《松材线虫病防治技术方案》（林生发〔202</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78</w:t>
      </w:r>
      <w:r>
        <w:rPr>
          <w:rFonts w:hint="eastAsia" w:asciiTheme="minorEastAsia" w:hAnsiTheme="minorEastAsia" w:eastAsiaTheme="minorEastAsia" w:cstheme="minorEastAsia"/>
          <w:color w:val="auto"/>
          <w:sz w:val="21"/>
          <w:szCs w:val="21"/>
          <w:highlight w:val="none"/>
        </w:rPr>
        <w:t xml:space="preserve"> 号）</w:t>
      </w:r>
      <w:r>
        <w:rPr>
          <w:rFonts w:hint="eastAsia" w:asciiTheme="minorEastAsia" w:hAnsiTheme="minorEastAsia" w:eastAsiaTheme="minorEastAsia" w:cstheme="minorEastAsia"/>
          <w:color w:val="auto"/>
          <w:sz w:val="21"/>
          <w:szCs w:val="21"/>
          <w:highlight w:val="none"/>
          <w:lang w:eastAsia="zh-CN"/>
        </w:rPr>
        <w:t>、广西林业局印发</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广西</w:t>
      </w:r>
      <w:r>
        <w:rPr>
          <w:rFonts w:hint="eastAsia" w:asciiTheme="minorEastAsia" w:hAnsiTheme="minorEastAsia" w:eastAsiaTheme="minorEastAsia" w:cstheme="minorEastAsia"/>
          <w:color w:val="auto"/>
          <w:sz w:val="21"/>
          <w:szCs w:val="21"/>
          <w:highlight w:val="none"/>
        </w:rPr>
        <w:t>松材线虫病防治技术方案》（</w:t>
      </w:r>
      <w:r>
        <w:rPr>
          <w:rFonts w:hint="eastAsia" w:asciiTheme="minorEastAsia" w:hAnsiTheme="minorEastAsia" w:eastAsiaTheme="minorEastAsia" w:cstheme="minorEastAsia"/>
          <w:color w:val="auto"/>
          <w:sz w:val="21"/>
          <w:szCs w:val="21"/>
          <w:highlight w:val="none"/>
          <w:lang w:eastAsia="zh-CN"/>
        </w:rPr>
        <w:t>桂林生发</w:t>
      </w: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 xml:space="preserve"> 号）文件规定，择伐清理对象枯死、濒死松树（不包括腐朽木、火烧引起的枯死树）。</w:t>
      </w:r>
    </w:p>
    <w:p w14:paraId="6214EE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2.清理作业量</w:t>
      </w:r>
    </w:p>
    <w:p w14:paraId="16D325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界定标准：伐桩去皮后</w:t>
      </w:r>
    </w:p>
    <w:p w14:paraId="4132C8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（1）伐桩直径小于1</w:t>
      </w:r>
      <w:r>
        <w:rPr>
          <w:rFonts w:hint="eastAsia" w:asciiTheme="minorEastAsia" w:hAnsiTheme="minorEastAsia" w:eastAsiaTheme="minorEastAsia" w:cstheme="minorEastAsia"/>
          <w:color w:val="000000"/>
          <w:sz w:val="21"/>
          <w:szCs w:val="21"/>
          <w:highlight w:val="none"/>
          <w:lang w:val="en-US" w:eastAsia="zh-CN"/>
        </w:rPr>
        <w:t>5</w:t>
      </w:r>
      <w:r>
        <w:rPr>
          <w:rFonts w:hint="eastAsia" w:asciiTheme="minorEastAsia" w:hAnsiTheme="minorEastAsia" w:eastAsiaTheme="minorEastAsia" w:cstheme="minorEastAsia"/>
          <w:color w:val="000000"/>
          <w:sz w:val="21"/>
          <w:szCs w:val="21"/>
          <w:highlight w:val="none"/>
        </w:rPr>
        <w:t>厘米的不伐，特殊情况需清理的经甲方同意后方可施工。</w:t>
      </w:r>
    </w:p>
    <w:p w14:paraId="044252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（2）伐桩直径 1</w:t>
      </w:r>
      <w:r>
        <w:rPr>
          <w:rFonts w:hint="eastAsia" w:asciiTheme="minorEastAsia" w:hAnsiTheme="minorEastAsia" w:eastAsiaTheme="minorEastAsia" w:cstheme="minorEastAsia"/>
          <w:color w:val="000000"/>
          <w:sz w:val="21"/>
          <w:szCs w:val="21"/>
          <w:highlight w:val="none"/>
          <w:lang w:val="en-US" w:eastAsia="zh-CN"/>
        </w:rPr>
        <w:t>6</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20</w:t>
      </w:r>
      <w:r>
        <w:rPr>
          <w:rFonts w:hint="eastAsia" w:asciiTheme="minorEastAsia" w:hAnsiTheme="minorEastAsia" w:eastAsiaTheme="minorEastAsia" w:cstheme="minorEastAsia"/>
          <w:color w:val="000000"/>
          <w:sz w:val="21"/>
          <w:szCs w:val="21"/>
          <w:highlight w:val="none"/>
        </w:rPr>
        <w:t>厘米，清理二株按一株计算。</w:t>
      </w:r>
    </w:p>
    <w:p w14:paraId="0FDA5B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（3）伐桩直径</w:t>
      </w:r>
      <w:r>
        <w:rPr>
          <w:rFonts w:hint="eastAsia" w:asciiTheme="minorEastAsia" w:hAnsiTheme="minorEastAsia" w:eastAsiaTheme="minorEastAsia" w:cstheme="minorEastAsia"/>
          <w:color w:val="000000"/>
          <w:sz w:val="21"/>
          <w:szCs w:val="21"/>
          <w:highlight w:val="none"/>
          <w:lang w:val="en-US" w:eastAsia="zh-CN"/>
        </w:rPr>
        <w:t>21</w:t>
      </w:r>
      <w:r>
        <w:rPr>
          <w:rFonts w:hint="eastAsia" w:asciiTheme="minorEastAsia" w:hAnsiTheme="minorEastAsia" w:eastAsiaTheme="minorEastAsia" w:cstheme="minorEastAsia"/>
          <w:color w:val="000000"/>
          <w:sz w:val="21"/>
          <w:szCs w:val="21"/>
          <w:highlight w:val="none"/>
        </w:rPr>
        <w:t>－40 厘米，清理一株按一株计算。</w:t>
      </w:r>
    </w:p>
    <w:p w14:paraId="3B07E2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（4）伐桩直径 41－50 厘米清理一株按两株计算。</w:t>
      </w:r>
    </w:p>
    <w:p w14:paraId="76F8F7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 xml:space="preserve">（5）伐桩直径 51－60 厘米清理一株按三株计，依次类推，即直径每增 10 厘米加一株。 </w:t>
      </w:r>
    </w:p>
    <w:p w14:paraId="07107D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3.时间要求</w:t>
      </w:r>
      <w:r>
        <w:rPr>
          <w:rFonts w:hint="eastAsia" w:asciiTheme="minorEastAsia" w:hAnsiTheme="minorEastAsia" w:eastAsiaTheme="minorEastAsia" w:cstheme="minorEastAsia"/>
          <w:color w:val="000000"/>
          <w:sz w:val="21"/>
          <w:szCs w:val="21"/>
          <w:highlight w:val="none"/>
          <w:lang w:eastAsia="zh-CN"/>
        </w:rPr>
        <w:t>：</w:t>
      </w:r>
      <w:r>
        <w:rPr>
          <w:rFonts w:hint="eastAsia" w:asciiTheme="minorEastAsia" w:hAnsiTheme="minorEastAsia" w:eastAsiaTheme="minorEastAsia" w:cstheme="minorEastAsia"/>
          <w:color w:val="000000"/>
          <w:sz w:val="21"/>
          <w:szCs w:val="21"/>
          <w:highlight w:val="none"/>
        </w:rPr>
        <w:t>松树枯死木清理工作必须在 202</w:t>
      </w:r>
      <w:r>
        <w:rPr>
          <w:rFonts w:hint="eastAsia" w:asciiTheme="minorEastAsia" w:hAnsiTheme="minorEastAsia" w:eastAsiaTheme="minorEastAsia" w:cstheme="minorEastAsia"/>
          <w:color w:val="000000"/>
          <w:sz w:val="21"/>
          <w:szCs w:val="21"/>
          <w:highlight w:val="none"/>
          <w:lang w:val="en-US" w:eastAsia="zh-CN"/>
        </w:rPr>
        <w:t>6</w:t>
      </w:r>
      <w:r>
        <w:rPr>
          <w:rFonts w:hint="eastAsia" w:asciiTheme="minorEastAsia" w:hAnsiTheme="minorEastAsia" w:eastAsiaTheme="minorEastAsia" w:cstheme="minorEastAsia"/>
          <w:color w:val="000000"/>
          <w:sz w:val="21"/>
          <w:szCs w:val="21"/>
          <w:highlight w:val="none"/>
        </w:rPr>
        <w:t>年</w:t>
      </w:r>
      <w:r>
        <w:rPr>
          <w:rFonts w:hint="eastAsia" w:asciiTheme="minorEastAsia" w:hAnsiTheme="minorEastAsia" w:eastAsiaTheme="minorEastAsia" w:cstheme="minorEastAsia"/>
          <w:color w:val="000000"/>
          <w:sz w:val="21"/>
          <w:szCs w:val="21"/>
          <w:highlight w:val="none"/>
          <w:lang w:val="en-US" w:eastAsia="zh-CN"/>
        </w:rPr>
        <w:t>6</w:t>
      </w:r>
      <w:r>
        <w:rPr>
          <w:rFonts w:hint="eastAsia" w:asciiTheme="minorEastAsia" w:hAnsiTheme="minorEastAsia" w:eastAsiaTheme="minorEastAsia" w:cstheme="minorEastAsia"/>
          <w:color w:val="000000"/>
          <w:sz w:val="21"/>
          <w:szCs w:val="21"/>
          <w:highlight w:val="none"/>
        </w:rPr>
        <w:t>月</w:t>
      </w:r>
      <w:r>
        <w:rPr>
          <w:rFonts w:hint="eastAsia" w:asciiTheme="minorEastAsia" w:hAnsiTheme="minorEastAsia" w:eastAsiaTheme="minorEastAsia" w:cstheme="minorEastAsia"/>
          <w:color w:val="000000"/>
          <w:sz w:val="21"/>
          <w:szCs w:val="21"/>
          <w:highlight w:val="none"/>
          <w:lang w:val="en-US" w:eastAsia="zh-CN"/>
        </w:rPr>
        <w:t>30</w:t>
      </w:r>
      <w:r>
        <w:rPr>
          <w:rFonts w:hint="eastAsia" w:asciiTheme="minorEastAsia" w:hAnsiTheme="minorEastAsia" w:eastAsiaTheme="minorEastAsia" w:cstheme="minorEastAsia"/>
          <w:color w:val="000000"/>
          <w:sz w:val="21"/>
          <w:szCs w:val="21"/>
          <w:highlight w:val="none"/>
        </w:rPr>
        <w:t>日前完成。</w:t>
      </w:r>
    </w:p>
    <w:p w14:paraId="5374F5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4.技术要求</w:t>
      </w:r>
    </w:p>
    <w:p w14:paraId="4A3C8A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（1）所有砍伐木按技术规范要求进行除害处理，伐除的松木木段及直径超过1厘米的枝条（包括 清理伐桩、树冠覆盖周围3米范围内的风折枝条）均须焚烧处理到碳化。</w:t>
      </w:r>
    </w:p>
    <w:p w14:paraId="56E197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（2）伐桩处理，在操作允许的条件下，伐桩高度不得超过 5 厘米，然后覆土踏实。</w:t>
      </w:r>
    </w:p>
    <w:p w14:paraId="54B816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（3）清理中实行全过程现场监管，并拍照片或摄像存档。</w:t>
      </w:r>
    </w:p>
    <w:p w14:paraId="0C079B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5.枯死树清理完成，要提交以下材料</w:t>
      </w:r>
    </w:p>
    <w:p w14:paraId="2EAF31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（1）清理前、后的现状林相照片。</w:t>
      </w:r>
    </w:p>
    <w:p w14:paraId="69C88B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（2）枯死树清理过程的照片。</w:t>
      </w:r>
    </w:p>
    <w:p w14:paraId="2EEF08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（3）清理株数汇总表。</w:t>
      </w:r>
    </w:p>
    <w:p w14:paraId="1A227C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（4）现场信息采集材料。</w:t>
      </w:r>
    </w:p>
    <w:p w14:paraId="628FA3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（5）总结材料，效果分析文字材料。</w:t>
      </w:r>
    </w:p>
    <w:p w14:paraId="25CFFD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（6）清理结束要及时将材料装订成册提交给甲方。</w:t>
      </w:r>
    </w:p>
    <w:p w14:paraId="4CBAA7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6.对疫木的除害处理</w:t>
      </w:r>
    </w:p>
    <w:p w14:paraId="4FD6D8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可按下面两个方法进行处理：</w:t>
      </w:r>
    </w:p>
    <w:p w14:paraId="032946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选取远离居民区、建筑物且交通方便的指定地点对砍伐清理的疫木树干、枝桠及伐桩实行焚烧处理或选一个合适的就近地点集中烧毁，以免携带松材线虫的松褐天牛逃逸造成疫情扩散蔓延。可使用易燃物引火焚烧疫木。</w:t>
      </w:r>
    </w:p>
    <w:p w14:paraId="217DE0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（2）所有清理的枯死松木及直径1厘米以上的枝桠在山场当天就地烧毁处理。为避免火灾，要注 意焚烧过程的管理，特别是余火的处理，焚烧作业时注意用火安全，避免引起森林火灾，焚烧作业前报告，焚烧时有专人监督，火熄灭后方可离开。</w:t>
      </w:r>
    </w:p>
    <w:p w14:paraId="1CD754E7">
      <w:pPr>
        <w:spacing w:line="400" w:lineRule="exact"/>
        <w:ind w:firstLine="422" w:firstLineChars="200"/>
        <w:jc w:val="left"/>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注意：在清理焚烧前，成交供应商必须向主管部门书面提出野外用火申请。</w:t>
      </w:r>
    </w:p>
    <w:p w14:paraId="5572EFAD">
      <w:pPr>
        <w:pStyle w:val="32"/>
        <w:rPr>
          <w:rFonts w:hint="eastAsia" w:asciiTheme="minorEastAsia" w:hAnsiTheme="minorEastAsia" w:eastAsiaTheme="minorEastAsia" w:cstheme="minorEastAsia"/>
          <w:b/>
          <w:bCs/>
          <w:color w:val="000000"/>
          <w:sz w:val="21"/>
          <w:szCs w:val="21"/>
          <w:highlight w:val="none"/>
        </w:rPr>
      </w:pPr>
    </w:p>
    <w:p w14:paraId="1ED219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二、</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b/>
          <w:bCs/>
          <w:color w:val="000000"/>
          <w:sz w:val="21"/>
          <w:szCs w:val="21"/>
          <w:highlight w:val="none"/>
        </w:rPr>
        <w:t>商务要求（适用分标</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b/>
          <w:bCs/>
          <w:color w:val="000000"/>
          <w:sz w:val="21"/>
          <w:szCs w:val="21"/>
          <w:highlight w:val="none"/>
        </w:rPr>
        <w:t>1 、分标2</w:t>
      </w:r>
      <w:r>
        <w:rPr>
          <w:rFonts w:hint="eastAsia" w:asciiTheme="minorEastAsia" w:hAnsiTheme="minorEastAsia" w:eastAsiaTheme="minorEastAsia" w:cstheme="minorEastAsia"/>
          <w:b/>
          <w:bCs/>
          <w:color w:val="000000"/>
          <w:sz w:val="21"/>
          <w:szCs w:val="21"/>
          <w:highlight w:val="none"/>
          <w:lang w:val="en-US" w:eastAsia="zh-CN"/>
        </w:rPr>
        <w:t xml:space="preserve"> </w:t>
      </w:r>
      <w:r>
        <w:rPr>
          <w:rFonts w:hint="eastAsia" w:asciiTheme="minorEastAsia" w:hAnsiTheme="minorEastAsia" w:eastAsiaTheme="minorEastAsia" w:cstheme="minorEastAsia"/>
          <w:b/>
          <w:bCs/>
          <w:color w:val="000000"/>
          <w:sz w:val="21"/>
          <w:szCs w:val="21"/>
          <w:highlight w:val="none"/>
        </w:rPr>
        <w:t>）</w:t>
      </w:r>
    </w:p>
    <w:tbl>
      <w:tblPr>
        <w:tblStyle w:val="33"/>
        <w:tblW w:w="9678"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2197"/>
        <w:gridCol w:w="6328"/>
      </w:tblGrid>
      <w:tr w14:paraId="2751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53" w:type="dxa"/>
            <w:noWrap/>
            <w:vAlign w:val="center"/>
          </w:tcPr>
          <w:p w14:paraId="6148F53A">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序号</w:t>
            </w:r>
          </w:p>
        </w:tc>
        <w:tc>
          <w:tcPr>
            <w:tcW w:w="2197" w:type="dxa"/>
            <w:noWrap/>
            <w:vAlign w:val="center"/>
          </w:tcPr>
          <w:p w14:paraId="290DB17B">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内容</w:t>
            </w:r>
          </w:p>
        </w:tc>
        <w:tc>
          <w:tcPr>
            <w:tcW w:w="6328" w:type="dxa"/>
            <w:noWrap/>
            <w:vAlign w:val="center"/>
          </w:tcPr>
          <w:p w14:paraId="5C771081">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要  求</w:t>
            </w:r>
          </w:p>
        </w:tc>
      </w:tr>
      <w:tr w14:paraId="5893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153" w:type="dxa"/>
            <w:noWrap/>
            <w:vAlign w:val="center"/>
          </w:tcPr>
          <w:p w14:paraId="4BDBD3C9">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2197" w:type="dxa"/>
            <w:noWrap/>
            <w:vAlign w:val="center"/>
          </w:tcPr>
          <w:p w14:paraId="3B280D1E">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报价要求</w:t>
            </w:r>
          </w:p>
        </w:tc>
        <w:tc>
          <w:tcPr>
            <w:tcW w:w="6328" w:type="dxa"/>
            <w:noWrap w:val="0"/>
            <w:vAlign w:val="center"/>
          </w:tcPr>
          <w:p w14:paraId="771034B1">
            <w:pPr>
              <w:spacing w:line="560" w:lineRule="exact"/>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包括采购内容要求的所有项目内容、组织专家费用、物资、运费、装卸费、税费、利润及政策性文件规定及合同包含的所有风险、责任等全部费用。</w:t>
            </w:r>
          </w:p>
        </w:tc>
      </w:tr>
      <w:tr w14:paraId="469C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trPr>
        <w:tc>
          <w:tcPr>
            <w:tcW w:w="1153" w:type="dxa"/>
            <w:noWrap/>
            <w:vAlign w:val="center"/>
          </w:tcPr>
          <w:p w14:paraId="0C6535F7">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2197" w:type="dxa"/>
            <w:noWrap/>
            <w:vAlign w:val="center"/>
          </w:tcPr>
          <w:p w14:paraId="4918C398">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付款要求</w:t>
            </w:r>
          </w:p>
        </w:tc>
        <w:tc>
          <w:tcPr>
            <w:tcW w:w="6328" w:type="dxa"/>
            <w:noWrap w:val="0"/>
            <w:vAlign w:val="top"/>
          </w:tcPr>
          <w:p w14:paraId="4D916F77">
            <w:p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1.本项目无预付款；</w:t>
            </w:r>
          </w:p>
          <w:p w14:paraId="62E006E7">
            <w:p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按松材线虫病枯死树清理服务验收认可的株数结算。采购人在成交供应商项目完成后七个工作日内进行验收。待项目完成验收考评后，获得优秀等级的一次支付所有费用，良好等级的扣除所有费用10%，合格等级的扣除所有费用20%，不合格等级的扣除所有费用100%。成交供应商按验收后确认的金额向采购人出具正式的税务发票后10个工作日，采购人向成交供应商支付项目款项。</w:t>
            </w:r>
          </w:p>
          <w:p w14:paraId="66FB36B9">
            <w:p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3.不合格等级的可在合同期内申请返工，然后再申请验收，重新验收费用由乙方承担，重新验收后根据验收等级兑付剩余验收通过的清理服务费。</w:t>
            </w:r>
          </w:p>
          <w:p w14:paraId="101DE55A">
            <w:p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注：结算的清理株数，按验收实际株数结算。按照验收抽样方法把抽中的清理株数、伐桩记录与施工方工作记录《</w:t>
            </w:r>
            <w:r>
              <w:rPr>
                <w:rFonts w:hint="eastAsia" w:asciiTheme="minorEastAsia" w:hAnsiTheme="minorEastAsia" w:eastAsiaTheme="minorEastAsia" w:cstheme="minorEastAsia"/>
                <w:color w:val="000000"/>
                <w:sz w:val="21"/>
                <w:szCs w:val="21"/>
                <w:highlight w:val="none"/>
                <w:lang w:eastAsia="zh-CN"/>
              </w:rPr>
              <w:t>松材线虫病枯死树清理记录表</w:t>
            </w:r>
            <w:r>
              <w:rPr>
                <w:rFonts w:hint="eastAsia" w:asciiTheme="minorEastAsia" w:hAnsiTheme="minorEastAsia" w:eastAsiaTheme="minorEastAsia" w:cstheme="minorEastAsia"/>
                <w:color w:val="000000"/>
                <w:sz w:val="21"/>
                <w:szCs w:val="21"/>
                <w:highlight w:val="none"/>
              </w:rPr>
              <w:t>》进行复核，经纬度、伐桩记录、株数100%相符，并且与质量监理第三方认定的株数相符，全部认可施工方清理的株数；如果验收的清理株数、伐桩记录、工作痕迹与施工方工作记录《</w:t>
            </w:r>
            <w:r>
              <w:rPr>
                <w:rFonts w:hint="eastAsia" w:asciiTheme="minorEastAsia" w:hAnsiTheme="minorEastAsia" w:eastAsiaTheme="minorEastAsia" w:cstheme="minorEastAsia"/>
                <w:color w:val="000000"/>
                <w:sz w:val="21"/>
                <w:szCs w:val="21"/>
                <w:highlight w:val="none"/>
                <w:lang w:eastAsia="zh-CN"/>
              </w:rPr>
              <w:t>松材线虫病枯死树清理记录表</w:t>
            </w:r>
            <w:r>
              <w:rPr>
                <w:rFonts w:hint="eastAsia" w:asciiTheme="minorEastAsia" w:hAnsiTheme="minorEastAsia" w:eastAsiaTheme="minorEastAsia" w:cstheme="minorEastAsia"/>
                <w:color w:val="000000"/>
                <w:sz w:val="21"/>
                <w:szCs w:val="21"/>
                <w:highlight w:val="none"/>
              </w:rPr>
              <w:t>》和质量监理第三方认定的株数，不相符的，按相符率乘以施工方报的总株数，得出验收认定为清理总株数。</w:t>
            </w:r>
          </w:p>
          <w:p w14:paraId="34BC1812">
            <w:p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乙方需出具正式的税务发票，本合同执行中相关的一切税费均由乙方负担。</w:t>
            </w:r>
          </w:p>
        </w:tc>
      </w:tr>
      <w:tr w14:paraId="1152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2" w:hRule="atLeast"/>
        </w:trPr>
        <w:tc>
          <w:tcPr>
            <w:tcW w:w="1153" w:type="dxa"/>
            <w:noWrap/>
            <w:vAlign w:val="center"/>
          </w:tcPr>
          <w:p w14:paraId="499A4942">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2197" w:type="dxa"/>
            <w:noWrap/>
            <w:vAlign w:val="center"/>
          </w:tcPr>
          <w:p w14:paraId="4C2B54B1">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验收标准</w:t>
            </w:r>
          </w:p>
        </w:tc>
        <w:tc>
          <w:tcPr>
            <w:tcW w:w="6328" w:type="dxa"/>
            <w:noWrap w:val="0"/>
            <w:vAlign w:val="top"/>
          </w:tcPr>
          <w:p w14:paraId="19EE0570">
            <w:pPr>
              <w:numPr>
                <w:ilvl w:val="0"/>
                <w:numId w:val="2"/>
              </w:num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验收抽样方法</w:t>
            </w:r>
            <w:r>
              <w:rPr>
                <w:rFonts w:hint="eastAsia" w:asciiTheme="minorEastAsia" w:hAnsiTheme="minorEastAsia" w:eastAsiaTheme="minorEastAsia" w:cstheme="minorEastAsia"/>
                <w:color w:val="000000"/>
                <w:sz w:val="21"/>
                <w:szCs w:val="21"/>
                <w:highlight w:val="none"/>
              </w:rPr>
              <w:br w:type="textWrapping"/>
            </w:r>
            <w:r>
              <w:rPr>
                <w:rFonts w:hint="eastAsia" w:asciiTheme="minorEastAsia" w:hAnsiTheme="minorEastAsia" w:eastAsiaTheme="minorEastAsia" w:cstheme="minorEastAsia"/>
                <w:color w:val="000000"/>
                <w:sz w:val="21"/>
                <w:szCs w:val="21"/>
                <w:highlight w:val="none"/>
              </w:rPr>
              <w:t>枯死树清理验收抽样方法按照《广西壮族自治区林业局关于印发〈广西壮族自治区松材线虫病疫木清理质量抽查评估方法〉的通知》（桂林生发〔2023〕31 号）文件规定进行抽样验收。</w:t>
            </w:r>
            <w:r>
              <w:rPr>
                <w:rFonts w:hint="eastAsia" w:asciiTheme="minorEastAsia" w:hAnsiTheme="minorEastAsia" w:eastAsiaTheme="minorEastAsia" w:cstheme="minorEastAsia"/>
                <w:color w:val="000000"/>
                <w:sz w:val="21"/>
                <w:szCs w:val="21"/>
                <w:highlight w:val="none"/>
              </w:rPr>
              <w:br w:type="textWrapping"/>
            </w:r>
            <w:r>
              <w:rPr>
                <w:rFonts w:hint="eastAsia" w:asciiTheme="minorEastAsia" w:hAnsiTheme="minorEastAsia" w:eastAsiaTheme="minorEastAsia" w:cstheme="minorEastAsia"/>
                <w:color w:val="000000"/>
                <w:sz w:val="21"/>
                <w:szCs w:val="21"/>
                <w:highlight w:val="none"/>
              </w:rPr>
              <w:t>（二）清理枯死树株数的验收按照验收抽样方法把抽中的清理株数、伐桩记录与施工方工作记录《</w:t>
            </w:r>
            <w:r>
              <w:rPr>
                <w:rFonts w:hint="eastAsia" w:asciiTheme="minorEastAsia" w:hAnsiTheme="minorEastAsia" w:eastAsiaTheme="minorEastAsia" w:cstheme="minorEastAsia"/>
                <w:color w:val="000000"/>
                <w:sz w:val="21"/>
                <w:szCs w:val="21"/>
                <w:highlight w:val="none"/>
                <w:lang w:eastAsia="zh-CN"/>
              </w:rPr>
              <w:t>松材线虫病枯死树清理记录表</w:t>
            </w:r>
            <w:r>
              <w:rPr>
                <w:rFonts w:hint="eastAsia" w:asciiTheme="minorEastAsia" w:hAnsiTheme="minorEastAsia" w:eastAsiaTheme="minorEastAsia" w:cstheme="minorEastAsia"/>
                <w:color w:val="000000"/>
                <w:sz w:val="21"/>
                <w:szCs w:val="21"/>
                <w:highlight w:val="none"/>
              </w:rPr>
              <w:t>》进行复核，经纬度、伐桩记录、株数 100% 相符，并且与质量监理第三方认定的株数相符，全部认可施工方清理的株数； 如果验收</w:t>
            </w:r>
            <w:r>
              <w:rPr>
                <w:rFonts w:hint="eastAsia" w:asciiTheme="minorEastAsia" w:hAnsiTheme="minorEastAsia" w:eastAsiaTheme="minorEastAsia" w:cstheme="minorEastAsia"/>
                <w:color w:val="auto"/>
                <w:sz w:val="21"/>
                <w:szCs w:val="21"/>
                <w:highlight w:val="none"/>
              </w:rPr>
              <w:t>的清理株数、伐桩记录、工作痕迹与施工方工作记录《松材线虫病枯死树清理记录表》和质量监理第三方认定的株数，不相符的，按相符率乘以施工方报的总株数，得出验收认定为清理总株数。</w:t>
            </w:r>
            <w:r>
              <w:rPr>
                <w:rFonts w:hint="eastAsia" w:asciiTheme="minorEastAsia" w:hAnsiTheme="minorEastAsia" w:eastAsiaTheme="minorEastAsia" w:cstheme="minorEastAsia"/>
                <w:color w:val="000000"/>
                <w:sz w:val="21"/>
                <w:szCs w:val="21"/>
                <w:highlight w:val="none"/>
              </w:rPr>
              <w:br w:type="textWrapping"/>
            </w:r>
            <w:r>
              <w:rPr>
                <w:rFonts w:hint="eastAsia" w:asciiTheme="minorEastAsia" w:hAnsiTheme="minorEastAsia" w:eastAsiaTheme="minorEastAsia" w:cstheme="minorEastAsia"/>
                <w:color w:val="000000"/>
                <w:sz w:val="21"/>
                <w:szCs w:val="21"/>
                <w:highlight w:val="none"/>
              </w:rPr>
              <w:t>（三）清理质量的验收</w:t>
            </w:r>
            <w:r>
              <w:rPr>
                <w:rFonts w:hint="eastAsia" w:asciiTheme="minorEastAsia" w:hAnsiTheme="minorEastAsia" w:eastAsiaTheme="minorEastAsia" w:cstheme="minorEastAsia"/>
                <w:color w:val="000000"/>
                <w:sz w:val="21"/>
                <w:szCs w:val="21"/>
                <w:highlight w:val="none"/>
              </w:rPr>
              <w:br w:type="textWrapping"/>
            </w:r>
            <w:r>
              <w:rPr>
                <w:rFonts w:hint="eastAsia" w:asciiTheme="minorEastAsia" w:hAnsiTheme="minorEastAsia" w:eastAsiaTheme="minorEastAsia" w:cstheme="minorEastAsia"/>
                <w:color w:val="000000"/>
                <w:sz w:val="21"/>
                <w:szCs w:val="21"/>
                <w:highlight w:val="none"/>
              </w:rPr>
              <w:t xml:space="preserve">1.除治区内残留有未经除害处理的树干，每发现一段扣 2 分。 </w:t>
            </w:r>
          </w:p>
          <w:p w14:paraId="67083178">
            <w:pPr>
              <w:numPr>
                <w:ilvl w:val="0"/>
                <w:numId w:val="0"/>
              </w:num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2.除治区内残留有1厘米以上的枝桠，每发现一处扣1分。</w:t>
            </w:r>
            <w:r>
              <w:rPr>
                <w:rFonts w:hint="eastAsia" w:asciiTheme="minorEastAsia" w:hAnsiTheme="minorEastAsia" w:eastAsiaTheme="minorEastAsia" w:cstheme="minorEastAsia"/>
                <w:color w:val="000000"/>
                <w:sz w:val="21"/>
                <w:szCs w:val="21"/>
                <w:highlight w:val="none"/>
              </w:rPr>
              <w:br w:type="textWrapping"/>
            </w:r>
            <w:r>
              <w:rPr>
                <w:rFonts w:hint="eastAsia" w:asciiTheme="minorEastAsia" w:hAnsiTheme="minorEastAsia" w:eastAsiaTheme="minorEastAsia" w:cstheme="minorEastAsia"/>
                <w:color w:val="000000"/>
                <w:sz w:val="21"/>
                <w:szCs w:val="21"/>
                <w:highlight w:val="none"/>
              </w:rPr>
              <w:t>3.焚烧处理，枝桠和树干碳化（没有活体线虫）未达到标准，每发现一处扣 2 分。</w:t>
            </w:r>
            <w:r>
              <w:rPr>
                <w:rFonts w:hint="eastAsia" w:asciiTheme="minorEastAsia" w:hAnsiTheme="minorEastAsia" w:eastAsiaTheme="minorEastAsia" w:cstheme="minorEastAsia"/>
                <w:color w:val="000000"/>
                <w:sz w:val="21"/>
                <w:szCs w:val="21"/>
                <w:highlight w:val="none"/>
              </w:rPr>
              <w:br w:type="textWrapping"/>
            </w:r>
            <w:r>
              <w:rPr>
                <w:rFonts w:hint="eastAsia" w:asciiTheme="minorEastAsia" w:hAnsiTheme="minorEastAsia" w:eastAsiaTheme="minorEastAsia" w:cstheme="minorEastAsia"/>
                <w:color w:val="000000"/>
                <w:sz w:val="21"/>
                <w:szCs w:val="21"/>
                <w:highlight w:val="none"/>
              </w:rPr>
              <w:t>4.在操作允许的条件下伐桩高度超过5cm，每发现1株扣 0.5 分；伐桩未覆土的，每发现1株扣0.5分。</w:t>
            </w:r>
            <w:r>
              <w:rPr>
                <w:rFonts w:hint="eastAsia" w:asciiTheme="minorEastAsia" w:hAnsiTheme="minorEastAsia" w:eastAsiaTheme="minorEastAsia" w:cstheme="minorEastAsia"/>
                <w:color w:val="000000"/>
                <w:sz w:val="21"/>
                <w:szCs w:val="21"/>
                <w:highlight w:val="none"/>
              </w:rPr>
              <w:br w:type="textWrapping"/>
            </w:r>
            <w:r>
              <w:rPr>
                <w:rFonts w:hint="eastAsia" w:asciiTheme="minorEastAsia" w:hAnsiTheme="minorEastAsia" w:eastAsiaTheme="minorEastAsia" w:cstheme="minorEastAsia"/>
                <w:color w:val="000000"/>
                <w:sz w:val="21"/>
                <w:szCs w:val="21"/>
                <w:highlight w:val="none"/>
              </w:rPr>
              <w:t>（四）施工方禁止将松木私自带出疫区作其他用途，每发现一次扣 10 分。</w:t>
            </w:r>
            <w:r>
              <w:rPr>
                <w:rFonts w:hint="eastAsia" w:asciiTheme="minorEastAsia" w:hAnsiTheme="minorEastAsia" w:eastAsiaTheme="minorEastAsia" w:cstheme="minorEastAsia"/>
                <w:color w:val="000000"/>
                <w:sz w:val="21"/>
                <w:szCs w:val="21"/>
                <w:highlight w:val="none"/>
              </w:rPr>
              <w:br w:type="textWrapping"/>
            </w:r>
            <w:r>
              <w:rPr>
                <w:rFonts w:hint="eastAsia" w:asciiTheme="minorEastAsia" w:hAnsiTheme="minorEastAsia" w:eastAsiaTheme="minorEastAsia" w:cstheme="minorEastAsia"/>
                <w:color w:val="000000"/>
                <w:sz w:val="21"/>
                <w:szCs w:val="21"/>
                <w:highlight w:val="none"/>
              </w:rPr>
              <w:t>（五）生产安全的验收：服务方负责民工的作业安全，对作业民工进行作业培训，并为每个作业民工购买人身保险，做到安全用火。如不培训扣 0.5 分；每个施工民工没按要求购买保险的，扣 0.5 分；</w:t>
            </w:r>
            <w:r>
              <w:rPr>
                <w:rFonts w:hint="eastAsia" w:asciiTheme="minorEastAsia" w:hAnsiTheme="minorEastAsia" w:eastAsiaTheme="minorEastAsia" w:cstheme="minorEastAsia"/>
                <w:color w:val="000000"/>
                <w:sz w:val="21"/>
                <w:szCs w:val="21"/>
                <w:highlight w:val="none"/>
                <w:lang w:eastAsia="zh-CN"/>
              </w:rPr>
              <w:t>火场无人值守，每发现一处扣</w:t>
            </w:r>
            <w:r>
              <w:rPr>
                <w:rFonts w:hint="eastAsia" w:asciiTheme="minorEastAsia" w:hAnsiTheme="minorEastAsia" w:eastAsiaTheme="minorEastAsia" w:cstheme="minorEastAsia"/>
                <w:color w:val="000000"/>
                <w:sz w:val="21"/>
                <w:szCs w:val="21"/>
                <w:highlight w:val="none"/>
                <w:lang w:val="en-US" w:eastAsia="zh-CN"/>
              </w:rPr>
              <w:t>0.5分；没有按要求配备防灭火设备，扣2分；</w:t>
            </w:r>
            <w:r>
              <w:rPr>
                <w:rFonts w:hint="eastAsia" w:asciiTheme="minorEastAsia" w:hAnsiTheme="minorEastAsia" w:eastAsiaTheme="minorEastAsia" w:cstheme="minorEastAsia"/>
                <w:color w:val="000000"/>
                <w:sz w:val="21"/>
                <w:szCs w:val="21"/>
                <w:highlight w:val="none"/>
              </w:rPr>
              <w:t>作业施工造成的一切安全责任，包括民工的重大人身安全、药品使用安全、森林防火安全及其它安 全责任事故，每发生一次上述安全责任事故的扣 3 分。</w:t>
            </w:r>
            <w:r>
              <w:rPr>
                <w:rFonts w:hint="eastAsia" w:asciiTheme="minorEastAsia" w:hAnsiTheme="minorEastAsia" w:eastAsiaTheme="minorEastAsia" w:cstheme="minorEastAsia"/>
                <w:color w:val="000000"/>
                <w:sz w:val="21"/>
                <w:szCs w:val="21"/>
                <w:highlight w:val="none"/>
              </w:rPr>
              <w:br w:type="textWrapping"/>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eastAsia="zh-CN"/>
              </w:rPr>
              <w:t>六</w:t>
            </w:r>
            <w:r>
              <w:rPr>
                <w:rFonts w:hint="eastAsia" w:asciiTheme="minorEastAsia" w:hAnsiTheme="minorEastAsia" w:eastAsiaTheme="minorEastAsia" w:cstheme="minorEastAsia"/>
                <w:color w:val="000000"/>
                <w:sz w:val="21"/>
                <w:szCs w:val="21"/>
                <w:highlight w:val="none"/>
              </w:rPr>
              <w:t>）枯死树清理结束没有及时提交装订成册的清理材料扣 3 分，提交材料不完善的扣 2 分。</w:t>
            </w:r>
            <w:r>
              <w:rPr>
                <w:rFonts w:hint="eastAsia" w:asciiTheme="minorEastAsia" w:hAnsiTheme="minorEastAsia" w:eastAsiaTheme="minorEastAsia" w:cstheme="minorEastAsia"/>
                <w:color w:val="000000"/>
                <w:sz w:val="21"/>
                <w:szCs w:val="21"/>
                <w:highlight w:val="none"/>
              </w:rPr>
              <w:br w:type="textWrapping"/>
            </w:r>
            <w:r>
              <w:rPr>
                <w:rFonts w:hint="eastAsia" w:asciiTheme="minorEastAsia" w:hAnsiTheme="minorEastAsia" w:eastAsiaTheme="minorEastAsia" w:cstheme="minorEastAsia"/>
                <w:color w:val="000000"/>
                <w:sz w:val="21"/>
                <w:szCs w:val="21"/>
                <w:highlight w:val="none"/>
              </w:rPr>
              <w:t>考评总分为 100 分,考评分数达到 90 分以上（含 90 分）为优秀，85-89 分（含 85 分）为良好，80-84 分（含 80 分）为合格，80 分以下为不合格。</w:t>
            </w:r>
          </w:p>
        </w:tc>
      </w:tr>
      <w:tr w14:paraId="1F81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53" w:type="dxa"/>
            <w:noWrap/>
            <w:vAlign w:val="center"/>
          </w:tcPr>
          <w:p w14:paraId="5212B1C8">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w:t>
            </w:r>
          </w:p>
        </w:tc>
        <w:tc>
          <w:tcPr>
            <w:tcW w:w="2197" w:type="dxa"/>
            <w:noWrap w:val="0"/>
            <w:vAlign w:val="center"/>
          </w:tcPr>
          <w:p w14:paraId="627BB952">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合同签订时间</w:t>
            </w:r>
          </w:p>
        </w:tc>
        <w:tc>
          <w:tcPr>
            <w:tcW w:w="6328" w:type="dxa"/>
            <w:noWrap/>
            <w:vAlign w:val="top"/>
          </w:tcPr>
          <w:p w14:paraId="08C66DA4">
            <w:p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自成交通知书发出之日起 10 日内签订合同</w:t>
            </w:r>
          </w:p>
        </w:tc>
      </w:tr>
      <w:tr w14:paraId="22EF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53" w:type="dxa"/>
            <w:noWrap/>
            <w:vAlign w:val="center"/>
          </w:tcPr>
          <w:p w14:paraId="10BD417A">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w:t>
            </w:r>
          </w:p>
        </w:tc>
        <w:tc>
          <w:tcPr>
            <w:tcW w:w="2197" w:type="dxa"/>
            <w:noWrap/>
            <w:vAlign w:val="center"/>
          </w:tcPr>
          <w:p w14:paraId="0ABFC468">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aps w:val="0"/>
                <w:color w:val="000000"/>
                <w:spacing w:val="0"/>
                <w:sz w:val="21"/>
                <w:szCs w:val="21"/>
                <w:shd w:val="clear" w:fill="F7F7F7"/>
              </w:rPr>
              <w:t>合同履约期限</w:t>
            </w:r>
          </w:p>
        </w:tc>
        <w:tc>
          <w:tcPr>
            <w:tcW w:w="6328" w:type="dxa"/>
            <w:noWrap/>
            <w:vAlign w:val="top"/>
          </w:tcPr>
          <w:p w14:paraId="2FF9CCDD">
            <w:pPr>
              <w:spacing w:line="560" w:lineRule="exact"/>
              <w:rPr>
                <w:rFonts w:hint="eastAsia" w:asciiTheme="minorEastAsia" w:hAnsiTheme="minorEastAsia" w:eastAsiaTheme="minorEastAsia" w:cstheme="minorEastAsia"/>
                <w:color w:val="000000"/>
                <w:sz w:val="21"/>
                <w:szCs w:val="21"/>
                <w:highlight w:val="none"/>
              </w:rPr>
            </w:pPr>
            <w:r>
              <w:rPr>
                <w:rFonts w:hint="eastAsia" w:ascii="宋体" w:hAnsi="宋体" w:eastAsia="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日前完成</w:t>
            </w:r>
          </w:p>
        </w:tc>
      </w:tr>
      <w:tr w14:paraId="6225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53" w:type="dxa"/>
            <w:noWrap/>
            <w:vAlign w:val="center"/>
          </w:tcPr>
          <w:p w14:paraId="6722E727">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6</w:t>
            </w:r>
          </w:p>
        </w:tc>
        <w:tc>
          <w:tcPr>
            <w:tcW w:w="2197" w:type="dxa"/>
            <w:noWrap/>
            <w:vAlign w:val="center"/>
          </w:tcPr>
          <w:p w14:paraId="1D21880F">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服务地点</w:t>
            </w:r>
          </w:p>
        </w:tc>
        <w:tc>
          <w:tcPr>
            <w:tcW w:w="6328" w:type="dxa"/>
            <w:noWrap/>
            <w:vAlign w:val="top"/>
          </w:tcPr>
          <w:p w14:paraId="2293F433">
            <w:p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采购人指定地点</w:t>
            </w:r>
          </w:p>
        </w:tc>
      </w:tr>
      <w:tr w14:paraId="53E9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53" w:type="dxa"/>
            <w:noWrap/>
            <w:vAlign w:val="center"/>
          </w:tcPr>
          <w:p w14:paraId="684772F2">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7</w:t>
            </w:r>
          </w:p>
        </w:tc>
        <w:tc>
          <w:tcPr>
            <w:tcW w:w="2197" w:type="dxa"/>
            <w:noWrap w:val="0"/>
            <w:vAlign w:val="center"/>
          </w:tcPr>
          <w:p w14:paraId="47648819">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采购标的所属行业</w:t>
            </w:r>
          </w:p>
        </w:tc>
        <w:tc>
          <w:tcPr>
            <w:tcW w:w="6328" w:type="dxa"/>
            <w:noWrap/>
            <w:vAlign w:val="top"/>
          </w:tcPr>
          <w:p w14:paraId="23130EAC">
            <w:p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农、林、牧、渔业</w:t>
            </w:r>
          </w:p>
        </w:tc>
      </w:tr>
      <w:tr w14:paraId="0C83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53" w:type="dxa"/>
            <w:noWrap/>
            <w:vAlign w:val="center"/>
          </w:tcPr>
          <w:p w14:paraId="3A7E0EE4">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8</w:t>
            </w:r>
          </w:p>
        </w:tc>
        <w:tc>
          <w:tcPr>
            <w:tcW w:w="2197" w:type="dxa"/>
            <w:noWrap/>
            <w:vAlign w:val="center"/>
          </w:tcPr>
          <w:p w14:paraId="0AEA7359">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其他要求</w:t>
            </w:r>
          </w:p>
        </w:tc>
        <w:tc>
          <w:tcPr>
            <w:tcW w:w="6328" w:type="dxa"/>
            <w:noWrap w:val="0"/>
            <w:vAlign w:val="top"/>
          </w:tcPr>
          <w:p w14:paraId="580B81E9">
            <w:pPr>
              <w:spacing w:line="56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供应商可选择单个分标或两个分标同时进行投标，但兼投不兼中，供应商应对本项目以分标为单位的所有服务内容进行唯一完整投标报价。</w:t>
            </w:r>
          </w:p>
        </w:tc>
      </w:tr>
    </w:tbl>
    <w:p w14:paraId="1FF0D2B7">
      <w:pPr>
        <w:pStyle w:val="32"/>
        <w:rPr>
          <w:rFonts w:hint="eastAsia" w:ascii="宋体" w:hAnsi="宋体" w:eastAsia="宋体" w:cs="宋体"/>
          <w:b/>
          <w:bCs/>
          <w:color w:val="000000"/>
          <w:sz w:val="28"/>
          <w:szCs w:val="28"/>
          <w:highlight w:val="none"/>
        </w:rPr>
      </w:pPr>
    </w:p>
    <w:p w14:paraId="37475296">
      <w:pPr>
        <w:spacing w:line="400" w:lineRule="exact"/>
        <w:rPr>
          <w:rFonts w:ascii="宋体" w:hAnsi="宋体" w:cs="宋体"/>
          <w:szCs w:val="21"/>
        </w:rPr>
      </w:pPr>
    </w:p>
    <w:p w14:paraId="41436A1B">
      <w:pPr>
        <w:spacing w:line="560" w:lineRule="exact"/>
        <w:ind w:firstLine="843" w:firstLineChars="300"/>
        <w:rPr>
          <w:rFonts w:hint="eastAsia" w:ascii="宋体" w:hAnsi="宋体" w:eastAsia="宋体" w:cs="宋体"/>
          <w:b/>
          <w:bCs/>
          <w:color w:val="000000"/>
          <w:sz w:val="28"/>
          <w:szCs w:val="28"/>
          <w:highlight w:val="none"/>
          <w:lang w:eastAsia="zh-CN"/>
        </w:rPr>
      </w:pPr>
    </w:p>
    <w:p w14:paraId="3B4DC4D5">
      <w:pPr>
        <w:spacing w:line="560" w:lineRule="exact"/>
        <w:ind w:firstLine="843" w:firstLineChars="300"/>
        <w:rPr>
          <w:rFonts w:hint="eastAsia" w:ascii="宋体" w:hAnsi="宋体" w:eastAsia="宋体" w:cs="宋体"/>
          <w:b/>
          <w:bCs/>
          <w:color w:val="000000"/>
          <w:sz w:val="28"/>
          <w:szCs w:val="28"/>
          <w:highlight w:val="none"/>
          <w:lang w:eastAsia="zh-CN"/>
        </w:rPr>
      </w:pPr>
    </w:p>
    <w:p w14:paraId="36F685CD">
      <w:pPr>
        <w:spacing w:line="560" w:lineRule="exact"/>
        <w:ind w:firstLine="843" w:firstLineChars="300"/>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highlight w:val="none"/>
          <w:lang w:eastAsia="zh-CN"/>
        </w:rPr>
        <w:t>苍梧县2025-2026年冬春季松材线虫病疫木清理</w:t>
      </w:r>
      <w:r>
        <w:rPr>
          <w:rFonts w:hint="eastAsia" w:ascii="宋体" w:hAnsi="宋体" w:eastAsia="宋体" w:cs="宋体"/>
          <w:b/>
          <w:bCs/>
          <w:color w:val="000000"/>
          <w:sz w:val="28"/>
          <w:szCs w:val="28"/>
          <w:highlight w:val="none"/>
        </w:rPr>
        <w:t>记录表</w:t>
      </w:r>
    </w:p>
    <w:tbl>
      <w:tblPr>
        <w:tblStyle w:val="33"/>
        <w:tblW w:w="9957" w:type="dxa"/>
        <w:tblInd w:w="-3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2"/>
        <w:gridCol w:w="1198"/>
        <w:gridCol w:w="860"/>
        <w:gridCol w:w="861"/>
        <w:gridCol w:w="861"/>
        <w:gridCol w:w="860"/>
        <w:gridCol w:w="860"/>
        <w:gridCol w:w="860"/>
        <w:gridCol w:w="860"/>
        <w:gridCol w:w="1139"/>
        <w:gridCol w:w="586"/>
      </w:tblGrid>
      <w:tr w14:paraId="5EFB1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46" w:hRule="atLeast"/>
        </w:trPr>
        <w:tc>
          <w:tcPr>
            <w:tcW w:w="1012" w:type="dxa"/>
            <w:noWrap w:val="0"/>
            <w:vAlign w:val="center"/>
          </w:tcPr>
          <w:p w14:paraId="3CDBE0CB">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序号</w:t>
            </w:r>
          </w:p>
        </w:tc>
        <w:tc>
          <w:tcPr>
            <w:tcW w:w="1198" w:type="dxa"/>
            <w:noWrap w:val="0"/>
            <w:vAlign w:val="center"/>
          </w:tcPr>
          <w:p w14:paraId="2155FD8C">
            <w:pPr>
              <w:spacing w:line="560" w:lineRule="exact"/>
              <w:ind w:firstLine="420" w:firstLineChars="200"/>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镇</w:t>
            </w:r>
          </w:p>
        </w:tc>
        <w:tc>
          <w:tcPr>
            <w:tcW w:w="860" w:type="dxa"/>
            <w:noWrap w:val="0"/>
            <w:vAlign w:val="center"/>
          </w:tcPr>
          <w:p w14:paraId="03A624A1">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村</w:t>
            </w:r>
          </w:p>
        </w:tc>
        <w:tc>
          <w:tcPr>
            <w:tcW w:w="861" w:type="dxa"/>
            <w:noWrap w:val="0"/>
            <w:vAlign w:val="center"/>
          </w:tcPr>
          <w:p w14:paraId="4571A91B">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林班</w:t>
            </w:r>
          </w:p>
        </w:tc>
        <w:tc>
          <w:tcPr>
            <w:tcW w:w="861" w:type="dxa"/>
            <w:noWrap w:val="0"/>
            <w:vAlign w:val="center"/>
          </w:tcPr>
          <w:p w14:paraId="7AB0DA52">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小班</w:t>
            </w:r>
          </w:p>
        </w:tc>
        <w:tc>
          <w:tcPr>
            <w:tcW w:w="860" w:type="dxa"/>
            <w:noWrap w:val="0"/>
            <w:vAlign w:val="center"/>
          </w:tcPr>
          <w:p w14:paraId="0A5DF9AB">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经度</w:t>
            </w:r>
          </w:p>
        </w:tc>
        <w:tc>
          <w:tcPr>
            <w:tcW w:w="860" w:type="dxa"/>
            <w:noWrap w:val="0"/>
            <w:vAlign w:val="center"/>
          </w:tcPr>
          <w:p w14:paraId="1B4282D4">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纬度</w:t>
            </w:r>
          </w:p>
        </w:tc>
        <w:tc>
          <w:tcPr>
            <w:tcW w:w="860" w:type="dxa"/>
            <w:noWrap w:val="0"/>
            <w:vAlign w:val="center"/>
          </w:tcPr>
          <w:p w14:paraId="4CB1778A">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树高</w:t>
            </w:r>
          </w:p>
        </w:tc>
        <w:tc>
          <w:tcPr>
            <w:tcW w:w="860" w:type="dxa"/>
            <w:noWrap w:val="0"/>
            <w:vAlign w:val="center"/>
          </w:tcPr>
          <w:p w14:paraId="1B27765D">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地</w:t>
            </w:r>
            <w:r>
              <w:rPr>
                <w:rFonts w:hint="eastAsia" w:asciiTheme="minorEastAsia" w:hAnsiTheme="minorEastAsia" w:eastAsiaTheme="minorEastAsia" w:cstheme="minorEastAsia"/>
                <w:color w:val="000000"/>
                <w:sz w:val="21"/>
                <w:szCs w:val="21"/>
                <w:highlight w:val="none"/>
              </w:rPr>
              <w:t>径</w:t>
            </w:r>
          </w:p>
        </w:tc>
        <w:tc>
          <w:tcPr>
            <w:tcW w:w="1139" w:type="dxa"/>
            <w:noWrap w:val="0"/>
            <w:vAlign w:val="center"/>
          </w:tcPr>
          <w:p w14:paraId="151E1D26">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枯死木清理株</w:t>
            </w:r>
            <w:r>
              <w:rPr>
                <w:rFonts w:hint="eastAsia" w:asciiTheme="minorEastAsia" w:hAnsiTheme="minorEastAsia" w:eastAsiaTheme="minorEastAsia" w:cstheme="minorEastAsia"/>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rPr>
              <w:t>数</w:t>
            </w:r>
          </w:p>
        </w:tc>
        <w:tc>
          <w:tcPr>
            <w:tcW w:w="586" w:type="dxa"/>
            <w:noWrap w:val="0"/>
            <w:textDirection w:val="tbRlV"/>
            <w:vAlign w:val="center"/>
          </w:tcPr>
          <w:p w14:paraId="4117B52C">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备 注</w:t>
            </w:r>
          </w:p>
        </w:tc>
      </w:tr>
      <w:tr w14:paraId="37ABB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2" w:hRule="atLeast"/>
        </w:trPr>
        <w:tc>
          <w:tcPr>
            <w:tcW w:w="1012" w:type="dxa"/>
            <w:noWrap w:val="0"/>
            <w:vAlign w:val="top"/>
          </w:tcPr>
          <w:p w14:paraId="6391D27F">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198" w:type="dxa"/>
            <w:noWrap w:val="0"/>
            <w:vAlign w:val="top"/>
          </w:tcPr>
          <w:p w14:paraId="775540F4">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7E1BE350">
            <w:pPr>
              <w:spacing w:line="560" w:lineRule="exact"/>
              <w:rPr>
                <w:rFonts w:hint="eastAsia" w:asciiTheme="minorEastAsia" w:hAnsiTheme="minorEastAsia" w:eastAsiaTheme="minorEastAsia" w:cstheme="minorEastAsia"/>
                <w:color w:val="000000"/>
                <w:sz w:val="21"/>
                <w:szCs w:val="21"/>
                <w:highlight w:val="none"/>
              </w:rPr>
            </w:pPr>
          </w:p>
        </w:tc>
        <w:tc>
          <w:tcPr>
            <w:tcW w:w="861" w:type="dxa"/>
            <w:noWrap w:val="0"/>
            <w:vAlign w:val="top"/>
          </w:tcPr>
          <w:p w14:paraId="61171B22">
            <w:pPr>
              <w:spacing w:line="560" w:lineRule="exact"/>
              <w:rPr>
                <w:rFonts w:hint="eastAsia" w:asciiTheme="minorEastAsia" w:hAnsiTheme="minorEastAsia" w:eastAsiaTheme="minorEastAsia" w:cstheme="minorEastAsia"/>
                <w:color w:val="000000"/>
                <w:sz w:val="21"/>
                <w:szCs w:val="21"/>
                <w:highlight w:val="none"/>
              </w:rPr>
            </w:pPr>
          </w:p>
        </w:tc>
        <w:tc>
          <w:tcPr>
            <w:tcW w:w="861" w:type="dxa"/>
            <w:noWrap w:val="0"/>
            <w:vAlign w:val="top"/>
          </w:tcPr>
          <w:p w14:paraId="49256AED">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460F5370">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464FA9D3">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32696F89">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27B81F31">
            <w:pPr>
              <w:spacing w:line="560" w:lineRule="exact"/>
              <w:rPr>
                <w:rFonts w:hint="eastAsia" w:asciiTheme="minorEastAsia" w:hAnsiTheme="minorEastAsia" w:eastAsiaTheme="minorEastAsia" w:cstheme="minorEastAsia"/>
                <w:color w:val="000000"/>
                <w:sz w:val="21"/>
                <w:szCs w:val="21"/>
                <w:highlight w:val="none"/>
              </w:rPr>
            </w:pPr>
          </w:p>
        </w:tc>
        <w:tc>
          <w:tcPr>
            <w:tcW w:w="1139" w:type="dxa"/>
            <w:noWrap w:val="0"/>
            <w:vAlign w:val="top"/>
          </w:tcPr>
          <w:p w14:paraId="43CFFE9C">
            <w:pPr>
              <w:spacing w:line="560" w:lineRule="exact"/>
              <w:rPr>
                <w:rFonts w:hint="eastAsia" w:asciiTheme="minorEastAsia" w:hAnsiTheme="minorEastAsia" w:eastAsiaTheme="minorEastAsia" w:cstheme="minorEastAsia"/>
                <w:color w:val="000000"/>
                <w:sz w:val="21"/>
                <w:szCs w:val="21"/>
                <w:highlight w:val="none"/>
              </w:rPr>
            </w:pPr>
          </w:p>
        </w:tc>
        <w:tc>
          <w:tcPr>
            <w:tcW w:w="586" w:type="dxa"/>
            <w:noWrap w:val="0"/>
            <w:vAlign w:val="top"/>
          </w:tcPr>
          <w:p w14:paraId="1C54E925">
            <w:pPr>
              <w:spacing w:line="560" w:lineRule="exact"/>
              <w:rPr>
                <w:rFonts w:hint="eastAsia" w:asciiTheme="minorEastAsia" w:hAnsiTheme="minorEastAsia" w:eastAsiaTheme="minorEastAsia" w:cstheme="minorEastAsia"/>
                <w:color w:val="000000"/>
                <w:sz w:val="21"/>
                <w:szCs w:val="21"/>
                <w:highlight w:val="none"/>
              </w:rPr>
            </w:pPr>
          </w:p>
        </w:tc>
      </w:tr>
      <w:tr w14:paraId="290ED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2" w:hRule="atLeast"/>
        </w:trPr>
        <w:tc>
          <w:tcPr>
            <w:tcW w:w="1012" w:type="dxa"/>
            <w:noWrap w:val="0"/>
            <w:vAlign w:val="top"/>
          </w:tcPr>
          <w:p w14:paraId="24063352">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198" w:type="dxa"/>
            <w:noWrap w:val="0"/>
            <w:vAlign w:val="top"/>
          </w:tcPr>
          <w:p w14:paraId="34C106C7">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61CC0852">
            <w:pPr>
              <w:spacing w:line="560" w:lineRule="exact"/>
              <w:rPr>
                <w:rFonts w:hint="eastAsia" w:asciiTheme="minorEastAsia" w:hAnsiTheme="minorEastAsia" w:eastAsiaTheme="minorEastAsia" w:cstheme="minorEastAsia"/>
                <w:color w:val="000000"/>
                <w:sz w:val="21"/>
                <w:szCs w:val="21"/>
                <w:highlight w:val="none"/>
              </w:rPr>
            </w:pPr>
          </w:p>
        </w:tc>
        <w:tc>
          <w:tcPr>
            <w:tcW w:w="861" w:type="dxa"/>
            <w:noWrap w:val="0"/>
            <w:vAlign w:val="top"/>
          </w:tcPr>
          <w:p w14:paraId="260352AB">
            <w:pPr>
              <w:spacing w:line="560" w:lineRule="exact"/>
              <w:rPr>
                <w:rFonts w:hint="eastAsia" w:asciiTheme="minorEastAsia" w:hAnsiTheme="minorEastAsia" w:eastAsiaTheme="minorEastAsia" w:cstheme="minorEastAsia"/>
                <w:color w:val="000000"/>
                <w:sz w:val="21"/>
                <w:szCs w:val="21"/>
                <w:highlight w:val="none"/>
              </w:rPr>
            </w:pPr>
          </w:p>
        </w:tc>
        <w:tc>
          <w:tcPr>
            <w:tcW w:w="861" w:type="dxa"/>
            <w:noWrap w:val="0"/>
            <w:vAlign w:val="top"/>
          </w:tcPr>
          <w:p w14:paraId="306A2715">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698B2774">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45BDF924">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5FF54957">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3BB8725E">
            <w:pPr>
              <w:spacing w:line="560" w:lineRule="exact"/>
              <w:rPr>
                <w:rFonts w:hint="eastAsia" w:asciiTheme="minorEastAsia" w:hAnsiTheme="minorEastAsia" w:eastAsiaTheme="minorEastAsia" w:cstheme="minorEastAsia"/>
                <w:color w:val="000000"/>
                <w:sz w:val="21"/>
                <w:szCs w:val="21"/>
                <w:highlight w:val="none"/>
              </w:rPr>
            </w:pPr>
          </w:p>
        </w:tc>
        <w:tc>
          <w:tcPr>
            <w:tcW w:w="1139" w:type="dxa"/>
            <w:noWrap w:val="0"/>
            <w:vAlign w:val="top"/>
          </w:tcPr>
          <w:p w14:paraId="338ECF94">
            <w:pPr>
              <w:spacing w:line="560" w:lineRule="exact"/>
              <w:rPr>
                <w:rFonts w:hint="eastAsia" w:asciiTheme="minorEastAsia" w:hAnsiTheme="minorEastAsia" w:eastAsiaTheme="minorEastAsia" w:cstheme="minorEastAsia"/>
                <w:color w:val="000000"/>
                <w:sz w:val="21"/>
                <w:szCs w:val="21"/>
                <w:highlight w:val="none"/>
              </w:rPr>
            </w:pPr>
          </w:p>
        </w:tc>
        <w:tc>
          <w:tcPr>
            <w:tcW w:w="586" w:type="dxa"/>
            <w:noWrap w:val="0"/>
            <w:vAlign w:val="top"/>
          </w:tcPr>
          <w:p w14:paraId="761A273C">
            <w:pPr>
              <w:spacing w:line="560" w:lineRule="exact"/>
              <w:rPr>
                <w:rFonts w:hint="eastAsia" w:asciiTheme="minorEastAsia" w:hAnsiTheme="minorEastAsia" w:eastAsiaTheme="minorEastAsia" w:cstheme="minorEastAsia"/>
                <w:color w:val="000000"/>
                <w:sz w:val="21"/>
                <w:szCs w:val="21"/>
                <w:highlight w:val="none"/>
              </w:rPr>
            </w:pPr>
          </w:p>
        </w:tc>
      </w:tr>
      <w:tr w14:paraId="6EE0E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2" w:hRule="atLeast"/>
        </w:trPr>
        <w:tc>
          <w:tcPr>
            <w:tcW w:w="1012" w:type="dxa"/>
            <w:noWrap w:val="0"/>
            <w:vAlign w:val="top"/>
          </w:tcPr>
          <w:p w14:paraId="18D0D389">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198" w:type="dxa"/>
            <w:noWrap w:val="0"/>
            <w:vAlign w:val="top"/>
          </w:tcPr>
          <w:p w14:paraId="4F15B53E">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382DACC3">
            <w:pPr>
              <w:spacing w:line="560" w:lineRule="exact"/>
              <w:rPr>
                <w:rFonts w:hint="eastAsia" w:asciiTheme="minorEastAsia" w:hAnsiTheme="minorEastAsia" w:eastAsiaTheme="minorEastAsia" w:cstheme="minorEastAsia"/>
                <w:color w:val="000000"/>
                <w:sz w:val="21"/>
                <w:szCs w:val="21"/>
                <w:highlight w:val="none"/>
              </w:rPr>
            </w:pPr>
          </w:p>
        </w:tc>
        <w:tc>
          <w:tcPr>
            <w:tcW w:w="861" w:type="dxa"/>
            <w:noWrap w:val="0"/>
            <w:vAlign w:val="top"/>
          </w:tcPr>
          <w:p w14:paraId="5846659E">
            <w:pPr>
              <w:spacing w:line="560" w:lineRule="exact"/>
              <w:rPr>
                <w:rFonts w:hint="eastAsia" w:asciiTheme="minorEastAsia" w:hAnsiTheme="minorEastAsia" w:eastAsiaTheme="minorEastAsia" w:cstheme="minorEastAsia"/>
                <w:color w:val="000000"/>
                <w:sz w:val="21"/>
                <w:szCs w:val="21"/>
                <w:highlight w:val="none"/>
              </w:rPr>
            </w:pPr>
          </w:p>
        </w:tc>
        <w:tc>
          <w:tcPr>
            <w:tcW w:w="861" w:type="dxa"/>
            <w:noWrap w:val="0"/>
            <w:vAlign w:val="top"/>
          </w:tcPr>
          <w:p w14:paraId="5F044464">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3A7B2C87">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59C05413">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5C914BCA">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3A63EA9B">
            <w:pPr>
              <w:spacing w:line="560" w:lineRule="exact"/>
              <w:rPr>
                <w:rFonts w:hint="eastAsia" w:asciiTheme="minorEastAsia" w:hAnsiTheme="minorEastAsia" w:eastAsiaTheme="minorEastAsia" w:cstheme="minorEastAsia"/>
                <w:color w:val="000000"/>
                <w:sz w:val="21"/>
                <w:szCs w:val="21"/>
                <w:highlight w:val="none"/>
              </w:rPr>
            </w:pPr>
          </w:p>
        </w:tc>
        <w:tc>
          <w:tcPr>
            <w:tcW w:w="1139" w:type="dxa"/>
            <w:noWrap w:val="0"/>
            <w:vAlign w:val="top"/>
          </w:tcPr>
          <w:p w14:paraId="7AE6EF83">
            <w:pPr>
              <w:spacing w:line="560" w:lineRule="exact"/>
              <w:rPr>
                <w:rFonts w:hint="eastAsia" w:asciiTheme="minorEastAsia" w:hAnsiTheme="minorEastAsia" w:eastAsiaTheme="minorEastAsia" w:cstheme="minorEastAsia"/>
                <w:color w:val="000000"/>
                <w:sz w:val="21"/>
                <w:szCs w:val="21"/>
                <w:highlight w:val="none"/>
              </w:rPr>
            </w:pPr>
          </w:p>
        </w:tc>
        <w:tc>
          <w:tcPr>
            <w:tcW w:w="586" w:type="dxa"/>
            <w:noWrap w:val="0"/>
            <w:vAlign w:val="top"/>
          </w:tcPr>
          <w:p w14:paraId="7C2A3FFE">
            <w:pPr>
              <w:spacing w:line="560" w:lineRule="exact"/>
              <w:rPr>
                <w:rFonts w:hint="eastAsia" w:asciiTheme="minorEastAsia" w:hAnsiTheme="minorEastAsia" w:eastAsiaTheme="minorEastAsia" w:cstheme="minorEastAsia"/>
                <w:color w:val="000000"/>
                <w:sz w:val="21"/>
                <w:szCs w:val="21"/>
                <w:highlight w:val="none"/>
              </w:rPr>
            </w:pPr>
          </w:p>
        </w:tc>
      </w:tr>
      <w:tr w14:paraId="0A41D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2" w:hRule="atLeast"/>
        </w:trPr>
        <w:tc>
          <w:tcPr>
            <w:tcW w:w="1012" w:type="dxa"/>
            <w:noWrap w:val="0"/>
            <w:vAlign w:val="top"/>
          </w:tcPr>
          <w:p w14:paraId="06E1CEC4">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w:t>
            </w:r>
          </w:p>
        </w:tc>
        <w:tc>
          <w:tcPr>
            <w:tcW w:w="1198" w:type="dxa"/>
            <w:noWrap w:val="0"/>
            <w:vAlign w:val="top"/>
          </w:tcPr>
          <w:p w14:paraId="04601DD7">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0596D03D">
            <w:pPr>
              <w:spacing w:line="560" w:lineRule="exact"/>
              <w:rPr>
                <w:rFonts w:hint="eastAsia" w:asciiTheme="minorEastAsia" w:hAnsiTheme="minorEastAsia" w:eastAsiaTheme="minorEastAsia" w:cstheme="minorEastAsia"/>
                <w:color w:val="000000"/>
                <w:sz w:val="21"/>
                <w:szCs w:val="21"/>
                <w:highlight w:val="none"/>
              </w:rPr>
            </w:pPr>
          </w:p>
        </w:tc>
        <w:tc>
          <w:tcPr>
            <w:tcW w:w="861" w:type="dxa"/>
            <w:noWrap w:val="0"/>
            <w:vAlign w:val="top"/>
          </w:tcPr>
          <w:p w14:paraId="6AFC49B0">
            <w:pPr>
              <w:spacing w:line="560" w:lineRule="exact"/>
              <w:rPr>
                <w:rFonts w:hint="eastAsia" w:asciiTheme="minorEastAsia" w:hAnsiTheme="minorEastAsia" w:eastAsiaTheme="minorEastAsia" w:cstheme="minorEastAsia"/>
                <w:color w:val="000000"/>
                <w:sz w:val="21"/>
                <w:szCs w:val="21"/>
                <w:highlight w:val="none"/>
              </w:rPr>
            </w:pPr>
          </w:p>
        </w:tc>
        <w:tc>
          <w:tcPr>
            <w:tcW w:w="861" w:type="dxa"/>
            <w:noWrap w:val="0"/>
            <w:vAlign w:val="top"/>
          </w:tcPr>
          <w:p w14:paraId="0C0329AE">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0AB7BE7D">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7E6771F2">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25137D8D">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1CBC4B08">
            <w:pPr>
              <w:spacing w:line="560" w:lineRule="exact"/>
              <w:rPr>
                <w:rFonts w:hint="eastAsia" w:asciiTheme="minorEastAsia" w:hAnsiTheme="minorEastAsia" w:eastAsiaTheme="minorEastAsia" w:cstheme="minorEastAsia"/>
                <w:color w:val="000000"/>
                <w:sz w:val="21"/>
                <w:szCs w:val="21"/>
                <w:highlight w:val="none"/>
              </w:rPr>
            </w:pPr>
          </w:p>
        </w:tc>
        <w:tc>
          <w:tcPr>
            <w:tcW w:w="1139" w:type="dxa"/>
            <w:noWrap w:val="0"/>
            <w:vAlign w:val="top"/>
          </w:tcPr>
          <w:p w14:paraId="5C838220">
            <w:pPr>
              <w:spacing w:line="560" w:lineRule="exact"/>
              <w:rPr>
                <w:rFonts w:hint="eastAsia" w:asciiTheme="minorEastAsia" w:hAnsiTheme="minorEastAsia" w:eastAsiaTheme="minorEastAsia" w:cstheme="minorEastAsia"/>
                <w:color w:val="000000"/>
                <w:sz w:val="21"/>
                <w:szCs w:val="21"/>
                <w:highlight w:val="none"/>
              </w:rPr>
            </w:pPr>
          </w:p>
        </w:tc>
        <w:tc>
          <w:tcPr>
            <w:tcW w:w="586" w:type="dxa"/>
            <w:noWrap w:val="0"/>
            <w:vAlign w:val="top"/>
          </w:tcPr>
          <w:p w14:paraId="643020F4">
            <w:pPr>
              <w:spacing w:line="560" w:lineRule="exact"/>
              <w:rPr>
                <w:rFonts w:hint="eastAsia" w:asciiTheme="minorEastAsia" w:hAnsiTheme="minorEastAsia" w:eastAsiaTheme="minorEastAsia" w:cstheme="minorEastAsia"/>
                <w:color w:val="000000"/>
                <w:sz w:val="21"/>
                <w:szCs w:val="21"/>
                <w:highlight w:val="none"/>
              </w:rPr>
            </w:pPr>
          </w:p>
        </w:tc>
      </w:tr>
      <w:tr w14:paraId="499B0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 w:hRule="atLeast"/>
        </w:trPr>
        <w:tc>
          <w:tcPr>
            <w:tcW w:w="1012" w:type="dxa"/>
            <w:noWrap w:val="0"/>
            <w:vAlign w:val="top"/>
          </w:tcPr>
          <w:p w14:paraId="1969DCCC">
            <w:pPr>
              <w:spacing w:line="560" w:lineRule="exact"/>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w:t>
            </w:r>
          </w:p>
        </w:tc>
        <w:tc>
          <w:tcPr>
            <w:tcW w:w="1198" w:type="dxa"/>
            <w:noWrap w:val="0"/>
            <w:vAlign w:val="top"/>
          </w:tcPr>
          <w:p w14:paraId="20797132">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6F7D9722">
            <w:pPr>
              <w:spacing w:line="560" w:lineRule="exact"/>
              <w:rPr>
                <w:rFonts w:hint="eastAsia" w:asciiTheme="minorEastAsia" w:hAnsiTheme="minorEastAsia" w:eastAsiaTheme="minorEastAsia" w:cstheme="minorEastAsia"/>
                <w:color w:val="000000"/>
                <w:sz w:val="21"/>
                <w:szCs w:val="21"/>
                <w:highlight w:val="none"/>
              </w:rPr>
            </w:pPr>
          </w:p>
        </w:tc>
        <w:tc>
          <w:tcPr>
            <w:tcW w:w="861" w:type="dxa"/>
            <w:noWrap w:val="0"/>
            <w:vAlign w:val="top"/>
          </w:tcPr>
          <w:p w14:paraId="7E423D7E">
            <w:pPr>
              <w:spacing w:line="560" w:lineRule="exact"/>
              <w:rPr>
                <w:rFonts w:hint="eastAsia" w:asciiTheme="minorEastAsia" w:hAnsiTheme="minorEastAsia" w:eastAsiaTheme="minorEastAsia" w:cstheme="minorEastAsia"/>
                <w:color w:val="000000"/>
                <w:sz w:val="21"/>
                <w:szCs w:val="21"/>
                <w:highlight w:val="none"/>
              </w:rPr>
            </w:pPr>
          </w:p>
        </w:tc>
        <w:tc>
          <w:tcPr>
            <w:tcW w:w="861" w:type="dxa"/>
            <w:noWrap w:val="0"/>
            <w:vAlign w:val="top"/>
          </w:tcPr>
          <w:p w14:paraId="624149F4">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7891C0FE">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794B60DF">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26137934">
            <w:pPr>
              <w:spacing w:line="560" w:lineRule="exact"/>
              <w:rPr>
                <w:rFonts w:hint="eastAsia" w:asciiTheme="minorEastAsia" w:hAnsiTheme="minorEastAsia" w:eastAsiaTheme="minorEastAsia" w:cstheme="minorEastAsia"/>
                <w:color w:val="000000"/>
                <w:sz w:val="21"/>
                <w:szCs w:val="21"/>
                <w:highlight w:val="none"/>
              </w:rPr>
            </w:pPr>
          </w:p>
        </w:tc>
        <w:tc>
          <w:tcPr>
            <w:tcW w:w="860" w:type="dxa"/>
            <w:noWrap w:val="0"/>
            <w:vAlign w:val="top"/>
          </w:tcPr>
          <w:p w14:paraId="77E406F9">
            <w:pPr>
              <w:spacing w:line="560" w:lineRule="exact"/>
              <w:rPr>
                <w:rFonts w:hint="eastAsia" w:asciiTheme="minorEastAsia" w:hAnsiTheme="minorEastAsia" w:eastAsiaTheme="minorEastAsia" w:cstheme="minorEastAsia"/>
                <w:color w:val="000000"/>
                <w:sz w:val="21"/>
                <w:szCs w:val="21"/>
                <w:highlight w:val="none"/>
              </w:rPr>
            </w:pPr>
          </w:p>
        </w:tc>
        <w:tc>
          <w:tcPr>
            <w:tcW w:w="1139" w:type="dxa"/>
            <w:noWrap w:val="0"/>
            <w:vAlign w:val="top"/>
          </w:tcPr>
          <w:p w14:paraId="1A4251C5">
            <w:pPr>
              <w:spacing w:line="560" w:lineRule="exact"/>
              <w:rPr>
                <w:rFonts w:hint="eastAsia" w:asciiTheme="minorEastAsia" w:hAnsiTheme="minorEastAsia" w:eastAsiaTheme="minorEastAsia" w:cstheme="minorEastAsia"/>
                <w:color w:val="000000"/>
                <w:sz w:val="21"/>
                <w:szCs w:val="21"/>
                <w:highlight w:val="none"/>
              </w:rPr>
            </w:pPr>
          </w:p>
        </w:tc>
        <w:tc>
          <w:tcPr>
            <w:tcW w:w="586" w:type="dxa"/>
            <w:noWrap w:val="0"/>
            <w:vAlign w:val="top"/>
          </w:tcPr>
          <w:p w14:paraId="59ADB742">
            <w:pPr>
              <w:spacing w:line="560" w:lineRule="exact"/>
              <w:rPr>
                <w:rFonts w:hint="eastAsia" w:asciiTheme="minorEastAsia" w:hAnsiTheme="minorEastAsia" w:eastAsiaTheme="minorEastAsia" w:cstheme="minorEastAsia"/>
                <w:color w:val="000000"/>
                <w:sz w:val="21"/>
                <w:szCs w:val="21"/>
                <w:highlight w:val="none"/>
              </w:rPr>
            </w:pPr>
          </w:p>
        </w:tc>
      </w:tr>
    </w:tbl>
    <w:p w14:paraId="7A3C2FA8">
      <w:pPr>
        <w:pStyle w:val="19"/>
        <w:spacing w:line="400" w:lineRule="exact"/>
        <w:ind w:firstLine="422" w:firstLineChars="200"/>
        <w:rPr>
          <w:rFonts w:hAnsi="宋体" w:cs="宋体"/>
          <w:b/>
          <w:bCs/>
          <w:sz w:val="21"/>
        </w:rPr>
      </w:pPr>
    </w:p>
    <w:p w14:paraId="7D00C80D">
      <w:pPr>
        <w:spacing w:line="400" w:lineRule="exact"/>
      </w:pPr>
    </w:p>
    <w:p w14:paraId="58919310">
      <w:pPr>
        <w:pStyle w:val="5"/>
        <w:spacing w:before="0" w:after="0"/>
        <w:rPr>
          <w:rFonts w:hAnsi="宋体"/>
          <w:b w:val="0"/>
          <w:bCs w:val="0"/>
        </w:rPr>
      </w:pPr>
      <w:r>
        <w:rPr>
          <w:rFonts w:hint="eastAsia" w:ascii="宋体" w:hAnsi="宋体" w:cs="宋体"/>
          <w:b w:val="0"/>
          <w:bCs w:val="0"/>
          <w:sz w:val="21"/>
          <w:szCs w:val="21"/>
        </w:rPr>
        <w:br w:type="page"/>
      </w:r>
    </w:p>
    <w:p w14:paraId="00B500A9">
      <w:pPr>
        <w:pStyle w:val="19"/>
        <w:jc w:val="left"/>
        <w:rPr>
          <w:rFonts w:hAnsi="宋体" w:cs="Arial Unicode MS"/>
          <w:sz w:val="30"/>
          <w:szCs w:val="30"/>
        </w:rPr>
      </w:pPr>
      <w:r>
        <w:rPr>
          <w:rFonts w:hint="eastAsia" w:hAnsi="宋体" w:cs="微软雅黑"/>
          <w:sz w:val="30"/>
          <w:szCs w:val="30"/>
        </w:rPr>
        <w:t>附件：</w:t>
      </w:r>
    </w:p>
    <w:p w14:paraId="5FFAE1B9">
      <w:pPr>
        <w:spacing w:line="528" w:lineRule="exact"/>
        <w:jc w:val="center"/>
        <w:rPr>
          <w:rFonts w:ascii="宋体" w:hAnsi="宋体" w:cs="Arial Unicode MS"/>
          <w:sz w:val="40"/>
          <w:szCs w:val="40"/>
        </w:rPr>
      </w:pPr>
      <w:r>
        <w:rPr>
          <w:rFonts w:hint="eastAsia" w:ascii="宋体" w:hAnsi="宋体" w:cs="微软雅黑"/>
          <w:sz w:val="30"/>
          <w:szCs w:val="30"/>
        </w:rPr>
        <w:t>中小微企业划型标准</w:t>
      </w:r>
    </w:p>
    <w:tbl>
      <w:tblPr>
        <w:tblStyle w:val="33"/>
        <w:tblW w:w="9150" w:type="dxa"/>
        <w:tblInd w:w="140" w:type="dxa"/>
        <w:tblLayout w:type="fixed"/>
        <w:tblCellMar>
          <w:top w:w="0" w:type="dxa"/>
          <w:left w:w="108" w:type="dxa"/>
          <w:bottom w:w="0" w:type="dxa"/>
          <w:right w:w="108" w:type="dxa"/>
        </w:tblCellMar>
      </w:tblPr>
      <w:tblGrid>
        <w:gridCol w:w="2040"/>
        <w:gridCol w:w="1545"/>
        <w:gridCol w:w="1155"/>
        <w:gridCol w:w="1845"/>
        <w:gridCol w:w="1605"/>
        <w:gridCol w:w="960"/>
      </w:tblGrid>
      <w:tr w14:paraId="2D0C5CA6">
        <w:tblPrEx>
          <w:tblCellMar>
            <w:top w:w="0" w:type="dxa"/>
            <w:left w:w="108" w:type="dxa"/>
            <w:bottom w:w="0" w:type="dxa"/>
            <w:right w:w="108" w:type="dxa"/>
          </w:tblCellMar>
        </w:tblPrEx>
        <w:trPr>
          <w:trHeight w:val="285" w:hRule="atLeast"/>
        </w:trPr>
        <w:tc>
          <w:tcPr>
            <w:tcW w:w="2040" w:type="dxa"/>
            <w:tcBorders>
              <w:top w:val="single" w:color="auto" w:sz="4" w:space="0"/>
              <w:left w:val="single" w:color="auto" w:sz="4" w:space="0"/>
              <w:bottom w:val="single" w:color="auto" w:sz="4" w:space="0"/>
              <w:right w:val="single" w:color="auto" w:sz="4" w:space="0"/>
            </w:tcBorders>
            <w:vAlign w:val="center"/>
          </w:tcPr>
          <w:p w14:paraId="348F4473">
            <w:pPr>
              <w:widowControl/>
              <w:jc w:val="center"/>
              <w:rPr>
                <w:rFonts w:ascii="宋体" w:hAnsi="宋体" w:cs="宋体"/>
                <w:b/>
                <w:kern w:val="0"/>
                <w:szCs w:val="21"/>
              </w:rPr>
            </w:pPr>
            <w:r>
              <w:rPr>
                <w:rFonts w:hint="eastAsia" w:ascii="宋体" w:hAnsi="宋体" w:cs="宋体"/>
                <w:b/>
                <w:kern w:val="0"/>
                <w:szCs w:val="21"/>
              </w:rPr>
              <w:t>行业名称</w:t>
            </w:r>
          </w:p>
        </w:tc>
        <w:tc>
          <w:tcPr>
            <w:tcW w:w="1545" w:type="dxa"/>
            <w:tcBorders>
              <w:top w:val="single" w:color="auto" w:sz="4" w:space="0"/>
              <w:left w:val="nil"/>
              <w:bottom w:val="single" w:color="auto" w:sz="4" w:space="0"/>
              <w:right w:val="single" w:color="auto" w:sz="4" w:space="0"/>
            </w:tcBorders>
            <w:vAlign w:val="center"/>
          </w:tcPr>
          <w:p w14:paraId="2431C68A">
            <w:pPr>
              <w:widowControl/>
              <w:jc w:val="center"/>
              <w:rPr>
                <w:rFonts w:ascii="宋体" w:hAnsi="宋体" w:cs="宋体"/>
                <w:b/>
                <w:kern w:val="0"/>
                <w:szCs w:val="21"/>
              </w:rPr>
            </w:pPr>
            <w:r>
              <w:rPr>
                <w:rFonts w:hint="eastAsia" w:ascii="宋体" w:hAnsi="宋体" w:cs="宋体"/>
                <w:b/>
                <w:kern w:val="0"/>
                <w:szCs w:val="21"/>
              </w:rPr>
              <w:t>指标名称</w:t>
            </w:r>
          </w:p>
        </w:tc>
        <w:tc>
          <w:tcPr>
            <w:tcW w:w="1155" w:type="dxa"/>
            <w:tcBorders>
              <w:top w:val="single" w:color="auto" w:sz="4" w:space="0"/>
              <w:left w:val="nil"/>
              <w:bottom w:val="single" w:color="auto" w:sz="4" w:space="0"/>
              <w:right w:val="single" w:color="auto" w:sz="4" w:space="0"/>
            </w:tcBorders>
            <w:vAlign w:val="center"/>
          </w:tcPr>
          <w:p w14:paraId="6B4CECC9">
            <w:pPr>
              <w:widowControl/>
              <w:jc w:val="center"/>
              <w:rPr>
                <w:rFonts w:ascii="宋体" w:hAnsi="宋体" w:cs="宋体"/>
                <w:b/>
                <w:kern w:val="0"/>
                <w:szCs w:val="21"/>
              </w:rPr>
            </w:pPr>
            <w:r>
              <w:rPr>
                <w:rFonts w:hint="eastAsia" w:ascii="宋体" w:hAnsi="宋体" w:cs="宋体"/>
                <w:b/>
                <w:kern w:val="0"/>
                <w:szCs w:val="21"/>
              </w:rPr>
              <w:t>计量单位</w:t>
            </w:r>
          </w:p>
        </w:tc>
        <w:tc>
          <w:tcPr>
            <w:tcW w:w="1845" w:type="dxa"/>
            <w:tcBorders>
              <w:top w:val="single" w:color="auto" w:sz="4" w:space="0"/>
              <w:left w:val="nil"/>
              <w:bottom w:val="single" w:color="auto" w:sz="4" w:space="0"/>
              <w:right w:val="single" w:color="auto" w:sz="4" w:space="0"/>
            </w:tcBorders>
            <w:vAlign w:val="center"/>
          </w:tcPr>
          <w:p w14:paraId="4F3FE7E4">
            <w:pPr>
              <w:widowControl/>
              <w:jc w:val="center"/>
              <w:rPr>
                <w:rFonts w:ascii="宋体" w:hAnsi="宋体" w:cs="宋体"/>
                <w:b/>
                <w:kern w:val="0"/>
                <w:szCs w:val="21"/>
              </w:rPr>
            </w:pPr>
            <w:r>
              <w:rPr>
                <w:rFonts w:hint="eastAsia" w:ascii="宋体" w:hAnsi="宋体" w:cs="宋体"/>
                <w:b/>
                <w:kern w:val="0"/>
                <w:szCs w:val="21"/>
              </w:rPr>
              <w:t>中型</w:t>
            </w:r>
          </w:p>
        </w:tc>
        <w:tc>
          <w:tcPr>
            <w:tcW w:w="1605" w:type="dxa"/>
            <w:tcBorders>
              <w:top w:val="single" w:color="auto" w:sz="4" w:space="0"/>
              <w:left w:val="nil"/>
              <w:bottom w:val="single" w:color="auto" w:sz="4" w:space="0"/>
              <w:right w:val="single" w:color="auto" w:sz="4" w:space="0"/>
            </w:tcBorders>
            <w:vAlign w:val="center"/>
          </w:tcPr>
          <w:p w14:paraId="525327CF">
            <w:pPr>
              <w:widowControl/>
              <w:jc w:val="center"/>
              <w:rPr>
                <w:rFonts w:ascii="宋体" w:hAnsi="宋体" w:cs="宋体"/>
                <w:b/>
                <w:kern w:val="0"/>
                <w:szCs w:val="21"/>
              </w:rPr>
            </w:pPr>
            <w:r>
              <w:rPr>
                <w:rFonts w:hint="eastAsia" w:ascii="宋体" w:hAnsi="宋体" w:cs="宋体"/>
                <w:b/>
                <w:kern w:val="0"/>
                <w:szCs w:val="21"/>
              </w:rPr>
              <w:t>小型</w:t>
            </w:r>
          </w:p>
        </w:tc>
        <w:tc>
          <w:tcPr>
            <w:tcW w:w="960" w:type="dxa"/>
            <w:tcBorders>
              <w:top w:val="single" w:color="auto" w:sz="4" w:space="0"/>
              <w:left w:val="nil"/>
              <w:bottom w:val="single" w:color="auto" w:sz="4" w:space="0"/>
              <w:right w:val="single" w:color="auto" w:sz="4" w:space="0"/>
            </w:tcBorders>
            <w:vAlign w:val="center"/>
          </w:tcPr>
          <w:p w14:paraId="10731525">
            <w:pPr>
              <w:widowControl/>
              <w:jc w:val="center"/>
              <w:rPr>
                <w:rFonts w:ascii="宋体" w:hAnsi="宋体" w:cs="宋体"/>
                <w:b/>
                <w:kern w:val="0"/>
                <w:szCs w:val="21"/>
              </w:rPr>
            </w:pPr>
            <w:r>
              <w:rPr>
                <w:rFonts w:hint="eastAsia" w:ascii="宋体" w:hAnsi="宋体" w:cs="宋体"/>
                <w:b/>
                <w:kern w:val="0"/>
                <w:szCs w:val="21"/>
              </w:rPr>
              <w:t>微型</w:t>
            </w:r>
          </w:p>
        </w:tc>
      </w:tr>
      <w:tr w14:paraId="1ABB54CE">
        <w:tblPrEx>
          <w:tblCellMar>
            <w:top w:w="0" w:type="dxa"/>
            <w:left w:w="108" w:type="dxa"/>
            <w:bottom w:w="0" w:type="dxa"/>
            <w:right w:w="108" w:type="dxa"/>
          </w:tblCellMar>
        </w:tblPrEx>
        <w:trPr>
          <w:trHeight w:val="225" w:hRule="atLeast"/>
        </w:trPr>
        <w:tc>
          <w:tcPr>
            <w:tcW w:w="2040" w:type="dxa"/>
            <w:tcBorders>
              <w:top w:val="nil"/>
              <w:left w:val="single" w:color="auto" w:sz="4" w:space="0"/>
              <w:bottom w:val="single" w:color="auto" w:sz="4" w:space="0"/>
              <w:right w:val="single" w:color="auto" w:sz="4" w:space="0"/>
            </w:tcBorders>
            <w:vAlign w:val="bottom"/>
          </w:tcPr>
          <w:p w14:paraId="6928CFBF">
            <w:pPr>
              <w:widowControl/>
              <w:jc w:val="center"/>
              <w:rPr>
                <w:rFonts w:ascii="宋体" w:hAnsi="宋体" w:cs="宋体"/>
                <w:b/>
                <w:bCs/>
                <w:kern w:val="0"/>
                <w:szCs w:val="21"/>
              </w:rPr>
            </w:pPr>
            <w:r>
              <w:rPr>
                <w:rFonts w:hint="eastAsia" w:ascii="宋体" w:hAnsi="宋体" w:cs="宋体"/>
                <w:b/>
                <w:bCs/>
                <w:kern w:val="0"/>
                <w:szCs w:val="21"/>
              </w:rPr>
              <w:t>农、林、牧、渔</w:t>
            </w:r>
          </w:p>
        </w:tc>
        <w:tc>
          <w:tcPr>
            <w:tcW w:w="1545" w:type="dxa"/>
            <w:tcBorders>
              <w:top w:val="nil"/>
              <w:left w:val="nil"/>
              <w:bottom w:val="single" w:color="auto" w:sz="4" w:space="0"/>
              <w:right w:val="single" w:color="auto" w:sz="4" w:space="0"/>
            </w:tcBorders>
            <w:vAlign w:val="center"/>
          </w:tcPr>
          <w:p w14:paraId="14609F10">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0FC9049D">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1A2EF81E">
            <w:pPr>
              <w:widowControl/>
              <w:jc w:val="left"/>
              <w:rPr>
                <w:rFonts w:ascii="宋体" w:hAnsi="宋体" w:cs="宋体"/>
                <w:kern w:val="0"/>
                <w:szCs w:val="21"/>
              </w:rPr>
            </w:pPr>
            <w:r>
              <w:rPr>
                <w:rFonts w:hint="eastAsia" w:ascii="宋体" w:hAnsi="宋体" w:cs="宋体"/>
                <w:kern w:val="0"/>
                <w:szCs w:val="21"/>
              </w:rPr>
              <w:t>500≤Y＜20000</w:t>
            </w:r>
          </w:p>
        </w:tc>
        <w:tc>
          <w:tcPr>
            <w:tcW w:w="1605" w:type="dxa"/>
            <w:tcBorders>
              <w:top w:val="nil"/>
              <w:left w:val="nil"/>
              <w:bottom w:val="single" w:color="auto" w:sz="4" w:space="0"/>
              <w:right w:val="single" w:color="auto" w:sz="4" w:space="0"/>
            </w:tcBorders>
            <w:vAlign w:val="center"/>
          </w:tcPr>
          <w:p w14:paraId="5CC2D19F">
            <w:pPr>
              <w:widowControl/>
              <w:jc w:val="left"/>
              <w:rPr>
                <w:rFonts w:ascii="宋体" w:hAnsi="宋体" w:cs="宋体"/>
                <w:kern w:val="0"/>
                <w:szCs w:val="21"/>
              </w:rPr>
            </w:pPr>
            <w:r>
              <w:rPr>
                <w:rFonts w:hint="eastAsia" w:ascii="宋体" w:hAnsi="宋体" w:cs="宋体"/>
                <w:kern w:val="0"/>
                <w:szCs w:val="21"/>
              </w:rPr>
              <w:t>50≤Y＜500</w:t>
            </w:r>
          </w:p>
        </w:tc>
        <w:tc>
          <w:tcPr>
            <w:tcW w:w="960" w:type="dxa"/>
            <w:tcBorders>
              <w:top w:val="nil"/>
              <w:left w:val="nil"/>
              <w:bottom w:val="single" w:color="auto" w:sz="4" w:space="0"/>
              <w:right w:val="single" w:color="auto" w:sz="4" w:space="0"/>
            </w:tcBorders>
            <w:vAlign w:val="center"/>
          </w:tcPr>
          <w:p w14:paraId="546166F9">
            <w:pPr>
              <w:widowControl/>
              <w:jc w:val="left"/>
              <w:rPr>
                <w:rFonts w:ascii="宋体" w:hAnsi="宋体" w:cs="宋体"/>
                <w:kern w:val="0"/>
                <w:szCs w:val="21"/>
              </w:rPr>
            </w:pPr>
            <w:r>
              <w:rPr>
                <w:rFonts w:hint="eastAsia" w:ascii="宋体" w:hAnsi="宋体" w:cs="宋体"/>
                <w:kern w:val="0"/>
                <w:szCs w:val="21"/>
              </w:rPr>
              <w:t>Y＜50</w:t>
            </w:r>
          </w:p>
        </w:tc>
      </w:tr>
      <w:tr w14:paraId="5FAEEDE0">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14A8708F">
            <w:pPr>
              <w:widowControl/>
              <w:jc w:val="center"/>
              <w:rPr>
                <w:rFonts w:ascii="宋体" w:hAnsi="宋体" w:cs="宋体"/>
                <w:b/>
                <w:bCs/>
                <w:kern w:val="0"/>
                <w:szCs w:val="21"/>
              </w:rPr>
            </w:pPr>
            <w:r>
              <w:rPr>
                <w:rFonts w:hint="eastAsia" w:ascii="宋体" w:hAnsi="宋体" w:cs="宋体"/>
                <w:b/>
                <w:bCs/>
                <w:kern w:val="0"/>
                <w:szCs w:val="21"/>
              </w:rPr>
              <w:t>工业</w:t>
            </w:r>
          </w:p>
        </w:tc>
        <w:tc>
          <w:tcPr>
            <w:tcW w:w="1545" w:type="dxa"/>
            <w:tcBorders>
              <w:top w:val="nil"/>
              <w:left w:val="nil"/>
              <w:bottom w:val="single" w:color="auto" w:sz="4" w:space="0"/>
              <w:right w:val="single" w:color="auto" w:sz="4" w:space="0"/>
            </w:tcBorders>
            <w:vAlign w:val="center"/>
          </w:tcPr>
          <w:p w14:paraId="1886784F">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05A5F7F4">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261B75C8">
            <w:pPr>
              <w:widowControl/>
              <w:jc w:val="left"/>
              <w:rPr>
                <w:rFonts w:ascii="宋体" w:hAnsi="宋体" w:cs="宋体"/>
                <w:kern w:val="0"/>
                <w:szCs w:val="21"/>
              </w:rPr>
            </w:pPr>
            <w:r>
              <w:rPr>
                <w:rFonts w:hint="eastAsia" w:ascii="宋体" w:hAnsi="宋体" w:cs="宋体"/>
                <w:kern w:val="0"/>
                <w:szCs w:val="21"/>
              </w:rPr>
              <w:t>300≤X＜1000</w:t>
            </w:r>
          </w:p>
        </w:tc>
        <w:tc>
          <w:tcPr>
            <w:tcW w:w="1605" w:type="dxa"/>
            <w:tcBorders>
              <w:top w:val="nil"/>
              <w:left w:val="nil"/>
              <w:bottom w:val="single" w:color="auto" w:sz="4" w:space="0"/>
              <w:right w:val="single" w:color="auto" w:sz="4" w:space="0"/>
            </w:tcBorders>
            <w:vAlign w:val="center"/>
          </w:tcPr>
          <w:p w14:paraId="011FA308">
            <w:pPr>
              <w:widowControl/>
              <w:jc w:val="left"/>
              <w:rPr>
                <w:rFonts w:ascii="宋体" w:hAnsi="宋体" w:cs="宋体"/>
                <w:kern w:val="0"/>
                <w:szCs w:val="21"/>
              </w:rPr>
            </w:pPr>
            <w:r>
              <w:rPr>
                <w:rFonts w:hint="eastAsia" w:ascii="宋体" w:hAnsi="宋体" w:cs="宋体"/>
                <w:kern w:val="0"/>
                <w:szCs w:val="21"/>
              </w:rPr>
              <w:t>20≤X＜300</w:t>
            </w:r>
          </w:p>
        </w:tc>
        <w:tc>
          <w:tcPr>
            <w:tcW w:w="960" w:type="dxa"/>
            <w:tcBorders>
              <w:top w:val="nil"/>
              <w:left w:val="nil"/>
              <w:bottom w:val="single" w:color="auto" w:sz="4" w:space="0"/>
              <w:right w:val="single" w:color="auto" w:sz="4" w:space="0"/>
            </w:tcBorders>
            <w:vAlign w:val="center"/>
          </w:tcPr>
          <w:p w14:paraId="43610D89">
            <w:pPr>
              <w:widowControl/>
              <w:jc w:val="left"/>
              <w:rPr>
                <w:rFonts w:ascii="宋体" w:hAnsi="宋体" w:cs="宋体"/>
                <w:kern w:val="0"/>
                <w:szCs w:val="21"/>
              </w:rPr>
            </w:pPr>
            <w:r>
              <w:rPr>
                <w:rFonts w:hint="eastAsia" w:ascii="宋体" w:hAnsi="宋体" w:cs="宋体"/>
                <w:kern w:val="0"/>
                <w:szCs w:val="21"/>
              </w:rPr>
              <w:t>X＜20</w:t>
            </w:r>
          </w:p>
        </w:tc>
      </w:tr>
      <w:tr w14:paraId="4DCD1D87">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3C543843">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211E3125">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3A930DF4">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0E05162E">
            <w:pPr>
              <w:widowControl/>
              <w:jc w:val="left"/>
              <w:rPr>
                <w:rFonts w:ascii="宋体" w:hAnsi="宋体" w:cs="宋体"/>
                <w:kern w:val="0"/>
                <w:szCs w:val="21"/>
              </w:rPr>
            </w:pPr>
            <w:r>
              <w:rPr>
                <w:rFonts w:hint="eastAsia" w:ascii="宋体" w:hAnsi="宋体" w:cs="宋体"/>
                <w:kern w:val="0"/>
                <w:szCs w:val="21"/>
              </w:rPr>
              <w:t>2000≤Y＜40000</w:t>
            </w:r>
          </w:p>
        </w:tc>
        <w:tc>
          <w:tcPr>
            <w:tcW w:w="1605" w:type="dxa"/>
            <w:tcBorders>
              <w:top w:val="nil"/>
              <w:left w:val="nil"/>
              <w:bottom w:val="single" w:color="auto" w:sz="4" w:space="0"/>
              <w:right w:val="single" w:color="auto" w:sz="4" w:space="0"/>
            </w:tcBorders>
            <w:vAlign w:val="center"/>
          </w:tcPr>
          <w:p w14:paraId="06B02A28">
            <w:pPr>
              <w:widowControl/>
              <w:jc w:val="left"/>
              <w:rPr>
                <w:rFonts w:ascii="宋体" w:hAnsi="宋体" w:cs="宋体"/>
                <w:kern w:val="0"/>
                <w:szCs w:val="21"/>
              </w:rPr>
            </w:pPr>
            <w:r>
              <w:rPr>
                <w:rFonts w:hint="eastAsia" w:ascii="宋体" w:hAnsi="宋体" w:cs="宋体"/>
                <w:kern w:val="0"/>
                <w:szCs w:val="21"/>
              </w:rPr>
              <w:t>300≤Y＜2000</w:t>
            </w:r>
          </w:p>
        </w:tc>
        <w:tc>
          <w:tcPr>
            <w:tcW w:w="960" w:type="dxa"/>
            <w:tcBorders>
              <w:top w:val="nil"/>
              <w:left w:val="nil"/>
              <w:bottom w:val="single" w:color="auto" w:sz="4" w:space="0"/>
              <w:right w:val="single" w:color="auto" w:sz="4" w:space="0"/>
            </w:tcBorders>
            <w:vAlign w:val="center"/>
          </w:tcPr>
          <w:p w14:paraId="5C51D361">
            <w:pPr>
              <w:widowControl/>
              <w:jc w:val="left"/>
              <w:rPr>
                <w:rFonts w:ascii="宋体" w:hAnsi="宋体" w:cs="宋体"/>
                <w:kern w:val="0"/>
                <w:szCs w:val="21"/>
              </w:rPr>
            </w:pPr>
            <w:r>
              <w:rPr>
                <w:rFonts w:hint="eastAsia" w:ascii="宋体" w:hAnsi="宋体" w:cs="宋体"/>
                <w:kern w:val="0"/>
                <w:szCs w:val="21"/>
              </w:rPr>
              <w:t>Y＜300</w:t>
            </w:r>
          </w:p>
        </w:tc>
      </w:tr>
      <w:tr w14:paraId="4CB9DECB">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4AEC8153">
            <w:pPr>
              <w:widowControl/>
              <w:jc w:val="center"/>
              <w:rPr>
                <w:rFonts w:ascii="宋体" w:hAnsi="宋体" w:cs="宋体"/>
                <w:b/>
                <w:bCs/>
                <w:kern w:val="0"/>
                <w:szCs w:val="21"/>
              </w:rPr>
            </w:pPr>
            <w:r>
              <w:rPr>
                <w:rFonts w:hint="eastAsia" w:ascii="宋体" w:hAnsi="宋体" w:cs="宋体"/>
                <w:b/>
                <w:bCs/>
                <w:kern w:val="0"/>
                <w:szCs w:val="21"/>
              </w:rPr>
              <w:t>建筑业</w:t>
            </w:r>
          </w:p>
        </w:tc>
        <w:tc>
          <w:tcPr>
            <w:tcW w:w="1545" w:type="dxa"/>
            <w:tcBorders>
              <w:top w:val="nil"/>
              <w:left w:val="nil"/>
              <w:bottom w:val="single" w:color="auto" w:sz="4" w:space="0"/>
              <w:right w:val="single" w:color="auto" w:sz="4" w:space="0"/>
            </w:tcBorders>
            <w:vAlign w:val="center"/>
          </w:tcPr>
          <w:p w14:paraId="790AF225">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25F68381">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61D2BC51">
            <w:pPr>
              <w:widowControl/>
              <w:jc w:val="left"/>
              <w:rPr>
                <w:rFonts w:ascii="宋体" w:hAnsi="宋体" w:cs="宋体"/>
                <w:kern w:val="0"/>
                <w:szCs w:val="21"/>
              </w:rPr>
            </w:pPr>
            <w:r>
              <w:rPr>
                <w:rFonts w:hint="eastAsia" w:ascii="宋体" w:hAnsi="宋体" w:cs="宋体"/>
                <w:kern w:val="0"/>
                <w:szCs w:val="21"/>
              </w:rPr>
              <w:t>6000≤Y＜80000</w:t>
            </w:r>
          </w:p>
        </w:tc>
        <w:tc>
          <w:tcPr>
            <w:tcW w:w="1605" w:type="dxa"/>
            <w:tcBorders>
              <w:top w:val="nil"/>
              <w:left w:val="nil"/>
              <w:bottom w:val="single" w:color="auto" w:sz="4" w:space="0"/>
              <w:right w:val="single" w:color="auto" w:sz="4" w:space="0"/>
            </w:tcBorders>
            <w:vAlign w:val="center"/>
          </w:tcPr>
          <w:p w14:paraId="468C5B5A">
            <w:pPr>
              <w:widowControl/>
              <w:jc w:val="left"/>
              <w:rPr>
                <w:rFonts w:ascii="宋体" w:hAnsi="宋体" w:cs="宋体"/>
                <w:kern w:val="0"/>
                <w:szCs w:val="21"/>
              </w:rPr>
            </w:pPr>
            <w:r>
              <w:rPr>
                <w:rFonts w:hint="eastAsia" w:ascii="宋体" w:hAnsi="宋体" w:cs="宋体"/>
                <w:kern w:val="0"/>
                <w:szCs w:val="21"/>
              </w:rPr>
              <w:t>300≤Y＜6000</w:t>
            </w:r>
          </w:p>
        </w:tc>
        <w:tc>
          <w:tcPr>
            <w:tcW w:w="960" w:type="dxa"/>
            <w:tcBorders>
              <w:top w:val="nil"/>
              <w:left w:val="nil"/>
              <w:bottom w:val="single" w:color="auto" w:sz="4" w:space="0"/>
              <w:right w:val="single" w:color="auto" w:sz="4" w:space="0"/>
            </w:tcBorders>
            <w:vAlign w:val="center"/>
          </w:tcPr>
          <w:p w14:paraId="5E79D35B">
            <w:pPr>
              <w:widowControl/>
              <w:jc w:val="left"/>
              <w:rPr>
                <w:rFonts w:ascii="宋体" w:hAnsi="宋体" w:cs="宋体"/>
                <w:kern w:val="0"/>
                <w:szCs w:val="21"/>
              </w:rPr>
            </w:pPr>
            <w:r>
              <w:rPr>
                <w:rFonts w:hint="eastAsia" w:ascii="宋体" w:hAnsi="宋体" w:cs="宋体"/>
                <w:kern w:val="0"/>
                <w:szCs w:val="21"/>
              </w:rPr>
              <w:t>Y＜300</w:t>
            </w:r>
          </w:p>
        </w:tc>
      </w:tr>
      <w:tr w14:paraId="187A0519">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55A86D76">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46EAE309">
            <w:pPr>
              <w:widowControl/>
              <w:jc w:val="left"/>
              <w:rPr>
                <w:rFonts w:ascii="宋体" w:hAnsi="宋体" w:cs="宋体"/>
                <w:kern w:val="0"/>
                <w:szCs w:val="21"/>
              </w:rPr>
            </w:pPr>
            <w:r>
              <w:rPr>
                <w:rFonts w:hint="eastAsia" w:ascii="宋体" w:hAnsi="宋体" w:cs="宋体"/>
                <w:kern w:val="0"/>
                <w:szCs w:val="21"/>
              </w:rPr>
              <w:t>资产总额（Z）</w:t>
            </w:r>
          </w:p>
        </w:tc>
        <w:tc>
          <w:tcPr>
            <w:tcW w:w="1155" w:type="dxa"/>
            <w:tcBorders>
              <w:top w:val="nil"/>
              <w:left w:val="nil"/>
              <w:bottom w:val="single" w:color="auto" w:sz="4" w:space="0"/>
              <w:right w:val="single" w:color="auto" w:sz="4" w:space="0"/>
            </w:tcBorders>
            <w:vAlign w:val="center"/>
          </w:tcPr>
          <w:p w14:paraId="5CBB320E">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4527371E">
            <w:pPr>
              <w:widowControl/>
              <w:jc w:val="left"/>
              <w:rPr>
                <w:rFonts w:ascii="宋体" w:hAnsi="宋体" w:cs="宋体"/>
                <w:kern w:val="0"/>
                <w:szCs w:val="21"/>
              </w:rPr>
            </w:pPr>
            <w:r>
              <w:rPr>
                <w:rFonts w:hint="eastAsia" w:ascii="宋体" w:hAnsi="宋体" w:cs="宋体"/>
                <w:kern w:val="0"/>
                <w:szCs w:val="21"/>
              </w:rPr>
              <w:t>5000≤Z＜80000</w:t>
            </w:r>
          </w:p>
        </w:tc>
        <w:tc>
          <w:tcPr>
            <w:tcW w:w="1605" w:type="dxa"/>
            <w:tcBorders>
              <w:top w:val="nil"/>
              <w:left w:val="nil"/>
              <w:bottom w:val="single" w:color="auto" w:sz="4" w:space="0"/>
              <w:right w:val="single" w:color="auto" w:sz="4" w:space="0"/>
            </w:tcBorders>
            <w:vAlign w:val="center"/>
          </w:tcPr>
          <w:p w14:paraId="30EEA1D2">
            <w:pPr>
              <w:widowControl/>
              <w:jc w:val="left"/>
              <w:rPr>
                <w:rFonts w:ascii="宋体" w:hAnsi="宋体" w:cs="宋体"/>
                <w:kern w:val="0"/>
                <w:szCs w:val="21"/>
              </w:rPr>
            </w:pPr>
            <w:r>
              <w:rPr>
                <w:rFonts w:hint="eastAsia" w:ascii="宋体" w:hAnsi="宋体" w:cs="宋体"/>
                <w:kern w:val="0"/>
                <w:szCs w:val="21"/>
              </w:rPr>
              <w:t>300≤Z＜5000</w:t>
            </w:r>
          </w:p>
        </w:tc>
        <w:tc>
          <w:tcPr>
            <w:tcW w:w="960" w:type="dxa"/>
            <w:tcBorders>
              <w:top w:val="nil"/>
              <w:left w:val="nil"/>
              <w:bottom w:val="single" w:color="auto" w:sz="4" w:space="0"/>
              <w:right w:val="single" w:color="auto" w:sz="4" w:space="0"/>
            </w:tcBorders>
            <w:vAlign w:val="center"/>
          </w:tcPr>
          <w:p w14:paraId="73259E40">
            <w:pPr>
              <w:widowControl/>
              <w:jc w:val="left"/>
              <w:rPr>
                <w:rFonts w:ascii="宋体" w:hAnsi="宋体" w:cs="宋体"/>
                <w:kern w:val="0"/>
                <w:szCs w:val="21"/>
              </w:rPr>
            </w:pPr>
            <w:r>
              <w:rPr>
                <w:rFonts w:hint="eastAsia" w:ascii="宋体" w:hAnsi="宋体" w:cs="宋体"/>
                <w:kern w:val="0"/>
                <w:szCs w:val="21"/>
              </w:rPr>
              <w:t>Z＜300</w:t>
            </w:r>
          </w:p>
        </w:tc>
      </w:tr>
      <w:tr w14:paraId="3925A982">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72D9E5E0">
            <w:pPr>
              <w:widowControl/>
              <w:jc w:val="center"/>
              <w:rPr>
                <w:rFonts w:ascii="宋体" w:hAnsi="宋体" w:cs="宋体"/>
                <w:b/>
                <w:bCs/>
                <w:kern w:val="0"/>
                <w:szCs w:val="21"/>
              </w:rPr>
            </w:pPr>
            <w:r>
              <w:rPr>
                <w:rFonts w:hint="eastAsia" w:ascii="宋体" w:hAnsi="宋体" w:cs="宋体"/>
                <w:b/>
                <w:bCs/>
                <w:kern w:val="0"/>
                <w:szCs w:val="21"/>
              </w:rPr>
              <w:t>批发业</w:t>
            </w:r>
          </w:p>
        </w:tc>
        <w:tc>
          <w:tcPr>
            <w:tcW w:w="1545" w:type="dxa"/>
            <w:tcBorders>
              <w:top w:val="nil"/>
              <w:left w:val="nil"/>
              <w:bottom w:val="single" w:color="auto" w:sz="4" w:space="0"/>
              <w:right w:val="single" w:color="auto" w:sz="4" w:space="0"/>
            </w:tcBorders>
            <w:vAlign w:val="center"/>
          </w:tcPr>
          <w:p w14:paraId="3160266A">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1B57F4C0">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543CBFA2">
            <w:pPr>
              <w:widowControl/>
              <w:jc w:val="left"/>
              <w:rPr>
                <w:rFonts w:ascii="宋体" w:hAnsi="宋体" w:cs="宋体"/>
                <w:kern w:val="0"/>
                <w:szCs w:val="21"/>
              </w:rPr>
            </w:pPr>
            <w:r>
              <w:rPr>
                <w:rFonts w:hint="eastAsia" w:ascii="宋体" w:hAnsi="宋体" w:cs="宋体"/>
                <w:kern w:val="0"/>
                <w:szCs w:val="21"/>
              </w:rPr>
              <w:t>20≤X＜200</w:t>
            </w:r>
          </w:p>
        </w:tc>
        <w:tc>
          <w:tcPr>
            <w:tcW w:w="1605" w:type="dxa"/>
            <w:tcBorders>
              <w:top w:val="nil"/>
              <w:left w:val="nil"/>
              <w:bottom w:val="single" w:color="auto" w:sz="4" w:space="0"/>
              <w:right w:val="single" w:color="auto" w:sz="4" w:space="0"/>
            </w:tcBorders>
            <w:vAlign w:val="center"/>
          </w:tcPr>
          <w:p w14:paraId="624ED563">
            <w:pPr>
              <w:widowControl/>
              <w:jc w:val="left"/>
              <w:rPr>
                <w:rFonts w:ascii="宋体" w:hAnsi="宋体" w:cs="宋体"/>
                <w:kern w:val="0"/>
                <w:szCs w:val="21"/>
              </w:rPr>
            </w:pPr>
            <w:r>
              <w:rPr>
                <w:rFonts w:hint="eastAsia" w:ascii="宋体" w:hAnsi="宋体" w:cs="宋体"/>
                <w:kern w:val="0"/>
                <w:szCs w:val="21"/>
              </w:rPr>
              <w:t>5≤X＜20</w:t>
            </w:r>
          </w:p>
        </w:tc>
        <w:tc>
          <w:tcPr>
            <w:tcW w:w="960" w:type="dxa"/>
            <w:tcBorders>
              <w:top w:val="nil"/>
              <w:left w:val="nil"/>
              <w:bottom w:val="single" w:color="auto" w:sz="4" w:space="0"/>
              <w:right w:val="single" w:color="auto" w:sz="4" w:space="0"/>
            </w:tcBorders>
            <w:vAlign w:val="center"/>
          </w:tcPr>
          <w:p w14:paraId="1C9DD30B">
            <w:pPr>
              <w:widowControl/>
              <w:jc w:val="left"/>
              <w:rPr>
                <w:rFonts w:ascii="宋体" w:hAnsi="宋体" w:cs="宋体"/>
                <w:kern w:val="0"/>
                <w:szCs w:val="21"/>
              </w:rPr>
            </w:pPr>
            <w:r>
              <w:rPr>
                <w:rFonts w:hint="eastAsia" w:ascii="宋体" w:hAnsi="宋体" w:cs="宋体"/>
                <w:kern w:val="0"/>
                <w:szCs w:val="21"/>
              </w:rPr>
              <w:t>X＜5</w:t>
            </w:r>
          </w:p>
        </w:tc>
      </w:tr>
      <w:tr w14:paraId="3214390E">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02550240">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218BB795">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1325154D">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4F739FD7">
            <w:pPr>
              <w:widowControl/>
              <w:jc w:val="left"/>
              <w:rPr>
                <w:rFonts w:ascii="宋体" w:hAnsi="宋体" w:cs="宋体"/>
                <w:kern w:val="0"/>
                <w:szCs w:val="21"/>
              </w:rPr>
            </w:pPr>
            <w:r>
              <w:rPr>
                <w:rFonts w:hint="eastAsia" w:ascii="宋体" w:hAnsi="宋体" w:cs="宋体"/>
                <w:kern w:val="0"/>
                <w:szCs w:val="21"/>
              </w:rPr>
              <w:t>5000≤Y＜40000</w:t>
            </w:r>
          </w:p>
        </w:tc>
        <w:tc>
          <w:tcPr>
            <w:tcW w:w="1605" w:type="dxa"/>
            <w:tcBorders>
              <w:top w:val="nil"/>
              <w:left w:val="nil"/>
              <w:bottom w:val="single" w:color="auto" w:sz="4" w:space="0"/>
              <w:right w:val="single" w:color="auto" w:sz="4" w:space="0"/>
            </w:tcBorders>
            <w:vAlign w:val="center"/>
          </w:tcPr>
          <w:p w14:paraId="78255FFE">
            <w:pPr>
              <w:widowControl/>
              <w:jc w:val="left"/>
              <w:rPr>
                <w:rFonts w:ascii="宋体" w:hAnsi="宋体" w:cs="宋体"/>
                <w:kern w:val="0"/>
                <w:szCs w:val="21"/>
              </w:rPr>
            </w:pPr>
            <w:r>
              <w:rPr>
                <w:rFonts w:hint="eastAsia" w:ascii="宋体" w:hAnsi="宋体" w:cs="宋体"/>
                <w:kern w:val="0"/>
                <w:szCs w:val="21"/>
              </w:rPr>
              <w:t>1000≤Y＜5000</w:t>
            </w:r>
          </w:p>
        </w:tc>
        <w:tc>
          <w:tcPr>
            <w:tcW w:w="960" w:type="dxa"/>
            <w:tcBorders>
              <w:top w:val="nil"/>
              <w:left w:val="nil"/>
              <w:bottom w:val="single" w:color="auto" w:sz="4" w:space="0"/>
              <w:right w:val="single" w:color="auto" w:sz="4" w:space="0"/>
            </w:tcBorders>
            <w:vAlign w:val="center"/>
          </w:tcPr>
          <w:p w14:paraId="02BD21D9">
            <w:pPr>
              <w:widowControl/>
              <w:jc w:val="left"/>
              <w:rPr>
                <w:rFonts w:ascii="宋体" w:hAnsi="宋体" w:cs="宋体"/>
                <w:kern w:val="0"/>
                <w:szCs w:val="21"/>
              </w:rPr>
            </w:pPr>
            <w:r>
              <w:rPr>
                <w:rFonts w:hint="eastAsia" w:ascii="宋体" w:hAnsi="宋体" w:cs="宋体"/>
                <w:kern w:val="0"/>
                <w:szCs w:val="21"/>
              </w:rPr>
              <w:t>Y＜1000</w:t>
            </w:r>
          </w:p>
        </w:tc>
      </w:tr>
      <w:tr w14:paraId="22F11865">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56856CDA">
            <w:pPr>
              <w:widowControl/>
              <w:jc w:val="center"/>
              <w:rPr>
                <w:rFonts w:ascii="宋体" w:hAnsi="宋体" w:cs="宋体"/>
                <w:b/>
                <w:bCs/>
                <w:kern w:val="0"/>
                <w:szCs w:val="21"/>
              </w:rPr>
            </w:pPr>
            <w:r>
              <w:rPr>
                <w:rFonts w:hint="eastAsia" w:ascii="宋体" w:hAnsi="宋体" w:cs="宋体"/>
                <w:b/>
                <w:bCs/>
                <w:kern w:val="0"/>
                <w:szCs w:val="21"/>
              </w:rPr>
              <w:t>零售业</w:t>
            </w:r>
          </w:p>
        </w:tc>
        <w:tc>
          <w:tcPr>
            <w:tcW w:w="1545" w:type="dxa"/>
            <w:tcBorders>
              <w:top w:val="nil"/>
              <w:left w:val="nil"/>
              <w:bottom w:val="single" w:color="auto" w:sz="4" w:space="0"/>
              <w:right w:val="single" w:color="auto" w:sz="4" w:space="0"/>
            </w:tcBorders>
            <w:vAlign w:val="center"/>
          </w:tcPr>
          <w:p w14:paraId="6BF75D64">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77056E99">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3A7A7018">
            <w:pPr>
              <w:widowControl/>
              <w:jc w:val="left"/>
              <w:rPr>
                <w:rFonts w:ascii="宋体" w:hAnsi="宋体" w:cs="宋体"/>
                <w:kern w:val="0"/>
                <w:szCs w:val="21"/>
              </w:rPr>
            </w:pPr>
            <w:r>
              <w:rPr>
                <w:rFonts w:hint="eastAsia" w:ascii="宋体" w:hAnsi="宋体" w:cs="宋体"/>
                <w:kern w:val="0"/>
                <w:szCs w:val="21"/>
              </w:rPr>
              <w:t>50≤X＜300</w:t>
            </w:r>
          </w:p>
        </w:tc>
        <w:tc>
          <w:tcPr>
            <w:tcW w:w="1605" w:type="dxa"/>
            <w:tcBorders>
              <w:top w:val="nil"/>
              <w:left w:val="nil"/>
              <w:bottom w:val="single" w:color="auto" w:sz="4" w:space="0"/>
              <w:right w:val="single" w:color="auto" w:sz="4" w:space="0"/>
            </w:tcBorders>
            <w:vAlign w:val="center"/>
          </w:tcPr>
          <w:p w14:paraId="72642364">
            <w:pPr>
              <w:widowControl/>
              <w:jc w:val="left"/>
              <w:rPr>
                <w:rFonts w:ascii="宋体" w:hAnsi="宋体" w:cs="宋体"/>
                <w:kern w:val="0"/>
                <w:szCs w:val="21"/>
              </w:rPr>
            </w:pPr>
            <w:r>
              <w:rPr>
                <w:rFonts w:hint="eastAsia" w:ascii="宋体" w:hAnsi="宋体" w:cs="宋体"/>
                <w:kern w:val="0"/>
                <w:szCs w:val="21"/>
              </w:rPr>
              <w:t>10≤X＜50</w:t>
            </w:r>
          </w:p>
        </w:tc>
        <w:tc>
          <w:tcPr>
            <w:tcW w:w="960" w:type="dxa"/>
            <w:tcBorders>
              <w:top w:val="nil"/>
              <w:left w:val="nil"/>
              <w:bottom w:val="single" w:color="auto" w:sz="4" w:space="0"/>
              <w:right w:val="single" w:color="auto" w:sz="4" w:space="0"/>
            </w:tcBorders>
            <w:vAlign w:val="center"/>
          </w:tcPr>
          <w:p w14:paraId="5CAA40E4">
            <w:pPr>
              <w:widowControl/>
              <w:jc w:val="left"/>
              <w:rPr>
                <w:rFonts w:ascii="宋体" w:hAnsi="宋体" w:cs="宋体"/>
                <w:kern w:val="0"/>
                <w:szCs w:val="21"/>
              </w:rPr>
            </w:pPr>
            <w:r>
              <w:rPr>
                <w:rFonts w:hint="eastAsia" w:ascii="宋体" w:hAnsi="宋体" w:cs="宋体"/>
                <w:kern w:val="0"/>
                <w:szCs w:val="21"/>
              </w:rPr>
              <w:t>X＜10</w:t>
            </w:r>
          </w:p>
        </w:tc>
      </w:tr>
      <w:tr w14:paraId="3F13D6BE">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365EB891">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6EBB4FBF">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3FC8167E">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586F2830">
            <w:pPr>
              <w:widowControl/>
              <w:jc w:val="left"/>
              <w:rPr>
                <w:rFonts w:ascii="宋体" w:hAnsi="宋体" w:cs="宋体"/>
                <w:kern w:val="0"/>
                <w:szCs w:val="21"/>
              </w:rPr>
            </w:pPr>
            <w:r>
              <w:rPr>
                <w:rFonts w:hint="eastAsia" w:ascii="宋体" w:hAnsi="宋体" w:cs="宋体"/>
                <w:kern w:val="0"/>
                <w:szCs w:val="21"/>
              </w:rPr>
              <w:t>500≤Y＜20000</w:t>
            </w:r>
          </w:p>
        </w:tc>
        <w:tc>
          <w:tcPr>
            <w:tcW w:w="1605" w:type="dxa"/>
            <w:tcBorders>
              <w:top w:val="nil"/>
              <w:left w:val="nil"/>
              <w:bottom w:val="single" w:color="auto" w:sz="4" w:space="0"/>
              <w:right w:val="single" w:color="auto" w:sz="4" w:space="0"/>
            </w:tcBorders>
            <w:vAlign w:val="center"/>
          </w:tcPr>
          <w:p w14:paraId="3629777C">
            <w:pPr>
              <w:widowControl/>
              <w:jc w:val="left"/>
              <w:rPr>
                <w:rFonts w:ascii="宋体" w:hAnsi="宋体" w:cs="宋体"/>
                <w:kern w:val="0"/>
                <w:szCs w:val="21"/>
              </w:rPr>
            </w:pPr>
            <w:r>
              <w:rPr>
                <w:rFonts w:hint="eastAsia" w:ascii="宋体" w:hAnsi="宋体" w:cs="宋体"/>
                <w:kern w:val="0"/>
                <w:szCs w:val="21"/>
              </w:rPr>
              <w:t>100≤Y＜500</w:t>
            </w:r>
          </w:p>
        </w:tc>
        <w:tc>
          <w:tcPr>
            <w:tcW w:w="960" w:type="dxa"/>
            <w:tcBorders>
              <w:top w:val="nil"/>
              <w:left w:val="nil"/>
              <w:bottom w:val="single" w:color="auto" w:sz="4" w:space="0"/>
              <w:right w:val="single" w:color="auto" w:sz="4" w:space="0"/>
            </w:tcBorders>
            <w:vAlign w:val="center"/>
          </w:tcPr>
          <w:p w14:paraId="4BEE5899">
            <w:pPr>
              <w:widowControl/>
              <w:jc w:val="left"/>
              <w:rPr>
                <w:rFonts w:ascii="宋体" w:hAnsi="宋体" w:cs="宋体"/>
                <w:kern w:val="0"/>
                <w:szCs w:val="21"/>
              </w:rPr>
            </w:pPr>
            <w:r>
              <w:rPr>
                <w:rFonts w:hint="eastAsia" w:ascii="宋体" w:hAnsi="宋体" w:cs="宋体"/>
                <w:kern w:val="0"/>
                <w:szCs w:val="21"/>
              </w:rPr>
              <w:t>Y＜100</w:t>
            </w:r>
          </w:p>
        </w:tc>
      </w:tr>
      <w:tr w14:paraId="18538720">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77113598">
            <w:pPr>
              <w:widowControl/>
              <w:jc w:val="center"/>
              <w:rPr>
                <w:rFonts w:ascii="宋体" w:hAnsi="宋体" w:cs="宋体"/>
                <w:b/>
                <w:bCs/>
                <w:kern w:val="0"/>
                <w:szCs w:val="21"/>
              </w:rPr>
            </w:pPr>
            <w:r>
              <w:rPr>
                <w:rFonts w:hint="eastAsia" w:ascii="宋体" w:hAnsi="宋体" w:cs="宋体"/>
                <w:b/>
                <w:bCs/>
                <w:kern w:val="0"/>
                <w:szCs w:val="21"/>
              </w:rPr>
              <w:t>交通运输业</w:t>
            </w:r>
          </w:p>
        </w:tc>
        <w:tc>
          <w:tcPr>
            <w:tcW w:w="1545" w:type="dxa"/>
            <w:tcBorders>
              <w:top w:val="nil"/>
              <w:left w:val="nil"/>
              <w:bottom w:val="single" w:color="auto" w:sz="4" w:space="0"/>
              <w:right w:val="single" w:color="auto" w:sz="4" w:space="0"/>
            </w:tcBorders>
            <w:vAlign w:val="center"/>
          </w:tcPr>
          <w:p w14:paraId="285C0478">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40EA9CE4">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0C61B0F1">
            <w:pPr>
              <w:widowControl/>
              <w:jc w:val="left"/>
              <w:rPr>
                <w:rFonts w:ascii="宋体" w:hAnsi="宋体" w:cs="宋体"/>
                <w:kern w:val="0"/>
                <w:szCs w:val="21"/>
              </w:rPr>
            </w:pPr>
            <w:r>
              <w:rPr>
                <w:rFonts w:hint="eastAsia" w:ascii="宋体" w:hAnsi="宋体" w:cs="宋体"/>
                <w:kern w:val="0"/>
                <w:szCs w:val="21"/>
              </w:rPr>
              <w:t>300≤X＜1000</w:t>
            </w:r>
          </w:p>
        </w:tc>
        <w:tc>
          <w:tcPr>
            <w:tcW w:w="1605" w:type="dxa"/>
            <w:tcBorders>
              <w:top w:val="nil"/>
              <w:left w:val="nil"/>
              <w:bottom w:val="single" w:color="auto" w:sz="4" w:space="0"/>
              <w:right w:val="single" w:color="auto" w:sz="4" w:space="0"/>
            </w:tcBorders>
            <w:vAlign w:val="center"/>
          </w:tcPr>
          <w:p w14:paraId="43F4203C">
            <w:pPr>
              <w:widowControl/>
              <w:jc w:val="left"/>
              <w:rPr>
                <w:rFonts w:ascii="宋体" w:hAnsi="宋体" w:cs="宋体"/>
                <w:kern w:val="0"/>
                <w:szCs w:val="21"/>
              </w:rPr>
            </w:pPr>
            <w:r>
              <w:rPr>
                <w:rFonts w:hint="eastAsia" w:ascii="宋体" w:hAnsi="宋体" w:cs="宋体"/>
                <w:kern w:val="0"/>
                <w:szCs w:val="21"/>
              </w:rPr>
              <w:t>20≤X＜300</w:t>
            </w:r>
          </w:p>
        </w:tc>
        <w:tc>
          <w:tcPr>
            <w:tcW w:w="960" w:type="dxa"/>
            <w:tcBorders>
              <w:top w:val="nil"/>
              <w:left w:val="nil"/>
              <w:bottom w:val="single" w:color="auto" w:sz="4" w:space="0"/>
              <w:right w:val="single" w:color="auto" w:sz="4" w:space="0"/>
            </w:tcBorders>
            <w:vAlign w:val="center"/>
          </w:tcPr>
          <w:p w14:paraId="2B5CC52B">
            <w:pPr>
              <w:widowControl/>
              <w:jc w:val="left"/>
              <w:rPr>
                <w:rFonts w:ascii="宋体" w:hAnsi="宋体" w:cs="宋体"/>
                <w:kern w:val="0"/>
                <w:szCs w:val="21"/>
              </w:rPr>
            </w:pPr>
            <w:r>
              <w:rPr>
                <w:rFonts w:hint="eastAsia" w:ascii="宋体" w:hAnsi="宋体" w:cs="宋体"/>
                <w:kern w:val="0"/>
                <w:szCs w:val="21"/>
              </w:rPr>
              <w:t>X＜20</w:t>
            </w:r>
          </w:p>
        </w:tc>
      </w:tr>
      <w:tr w14:paraId="0F2BA8C2">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5DFDC2A6">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0DFAC9A5">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1F3A3E59">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15E9E398">
            <w:pPr>
              <w:widowControl/>
              <w:jc w:val="left"/>
              <w:rPr>
                <w:rFonts w:ascii="宋体" w:hAnsi="宋体" w:cs="宋体"/>
                <w:kern w:val="0"/>
                <w:szCs w:val="21"/>
              </w:rPr>
            </w:pPr>
            <w:r>
              <w:rPr>
                <w:rFonts w:hint="eastAsia" w:ascii="宋体" w:hAnsi="宋体" w:cs="宋体"/>
                <w:kern w:val="0"/>
                <w:szCs w:val="21"/>
              </w:rPr>
              <w:t>3000≤Y＜30000</w:t>
            </w:r>
          </w:p>
        </w:tc>
        <w:tc>
          <w:tcPr>
            <w:tcW w:w="1605" w:type="dxa"/>
            <w:tcBorders>
              <w:top w:val="nil"/>
              <w:left w:val="nil"/>
              <w:bottom w:val="single" w:color="auto" w:sz="4" w:space="0"/>
              <w:right w:val="single" w:color="auto" w:sz="4" w:space="0"/>
            </w:tcBorders>
            <w:vAlign w:val="center"/>
          </w:tcPr>
          <w:p w14:paraId="0A966825">
            <w:pPr>
              <w:widowControl/>
              <w:jc w:val="left"/>
              <w:rPr>
                <w:rFonts w:ascii="宋体" w:hAnsi="宋体" w:cs="宋体"/>
                <w:kern w:val="0"/>
                <w:szCs w:val="21"/>
              </w:rPr>
            </w:pPr>
            <w:r>
              <w:rPr>
                <w:rFonts w:hint="eastAsia" w:ascii="宋体" w:hAnsi="宋体" w:cs="宋体"/>
                <w:kern w:val="0"/>
                <w:szCs w:val="21"/>
              </w:rPr>
              <w:t>200≤Y＜3000</w:t>
            </w:r>
          </w:p>
        </w:tc>
        <w:tc>
          <w:tcPr>
            <w:tcW w:w="960" w:type="dxa"/>
            <w:tcBorders>
              <w:top w:val="nil"/>
              <w:left w:val="nil"/>
              <w:bottom w:val="single" w:color="auto" w:sz="4" w:space="0"/>
              <w:right w:val="single" w:color="auto" w:sz="4" w:space="0"/>
            </w:tcBorders>
            <w:vAlign w:val="center"/>
          </w:tcPr>
          <w:p w14:paraId="2EB97159">
            <w:pPr>
              <w:widowControl/>
              <w:jc w:val="left"/>
              <w:rPr>
                <w:rFonts w:ascii="宋体" w:hAnsi="宋体" w:cs="宋体"/>
                <w:kern w:val="0"/>
                <w:szCs w:val="21"/>
              </w:rPr>
            </w:pPr>
            <w:r>
              <w:rPr>
                <w:rFonts w:hint="eastAsia" w:ascii="宋体" w:hAnsi="宋体" w:cs="宋体"/>
                <w:kern w:val="0"/>
                <w:szCs w:val="21"/>
              </w:rPr>
              <w:t>Y＜200</w:t>
            </w:r>
          </w:p>
        </w:tc>
      </w:tr>
      <w:tr w14:paraId="00530977">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52FA657D">
            <w:pPr>
              <w:widowControl/>
              <w:jc w:val="center"/>
              <w:rPr>
                <w:rFonts w:ascii="宋体" w:hAnsi="宋体" w:cs="宋体"/>
                <w:b/>
                <w:bCs/>
                <w:kern w:val="0"/>
                <w:szCs w:val="21"/>
              </w:rPr>
            </w:pPr>
            <w:r>
              <w:rPr>
                <w:rFonts w:hint="eastAsia" w:ascii="宋体" w:hAnsi="宋体" w:cs="宋体"/>
                <w:b/>
                <w:bCs/>
                <w:kern w:val="0"/>
                <w:szCs w:val="21"/>
              </w:rPr>
              <w:t>仓储业</w:t>
            </w:r>
          </w:p>
        </w:tc>
        <w:tc>
          <w:tcPr>
            <w:tcW w:w="1545" w:type="dxa"/>
            <w:tcBorders>
              <w:top w:val="nil"/>
              <w:left w:val="nil"/>
              <w:bottom w:val="single" w:color="auto" w:sz="4" w:space="0"/>
              <w:right w:val="single" w:color="auto" w:sz="4" w:space="0"/>
            </w:tcBorders>
            <w:vAlign w:val="center"/>
          </w:tcPr>
          <w:p w14:paraId="2B8395B5">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63D34BF3">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2A7D7484">
            <w:pPr>
              <w:widowControl/>
              <w:jc w:val="left"/>
              <w:rPr>
                <w:rFonts w:ascii="宋体" w:hAnsi="宋体" w:cs="宋体"/>
                <w:kern w:val="0"/>
                <w:szCs w:val="21"/>
              </w:rPr>
            </w:pPr>
            <w:r>
              <w:rPr>
                <w:rFonts w:hint="eastAsia" w:ascii="宋体" w:hAnsi="宋体" w:cs="宋体"/>
                <w:kern w:val="0"/>
                <w:szCs w:val="21"/>
              </w:rPr>
              <w:t>100≤X＜200</w:t>
            </w:r>
          </w:p>
        </w:tc>
        <w:tc>
          <w:tcPr>
            <w:tcW w:w="1605" w:type="dxa"/>
            <w:tcBorders>
              <w:top w:val="nil"/>
              <w:left w:val="nil"/>
              <w:bottom w:val="single" w:color="auto" w:sz="4" w:space="0"/>
              <w:right w:val="single" w:color="auto" w:sz="4" w:space="0"/>
            </w:tcBorders>
            <w:vAlign w:val="center"/>
          </w:tcPr>
          <w:p w14:paraId="3914A30C">
            <w:pPr>
              <w:widowControl/>
              <w:jc w:val="left"/>
              <w:rPr>
                <w:rFonts w:ascii="宋体" w:hAnsi="宋体" w:cs="宋体"/>
                <w:kern w:val="0"/>
                <w:szCs w:val="21"/>
              </w:rPr>
            </w:pPr>
            <w:r>
              <w:rPr>
                <w:rFonts w:hint="eastAsia" w:ascii="宋体" w:hAnsi="宋体" w:cs="宋体"/>
                <w:kern w:val="0"/>
                <w:szCs w:val="21"/>
              </w:rPr>
              <w:t>20≤X＜100</w:t>
            </w:r>
          </w:p>
        </w:tc>
        <w:tc>
          <w:tcPr>
            <w:tcW w:w="960" w:type="dxa"/>
            <w:tcBorders>
              <w:top w:val="nil"/>
              <w:left w:val="nil"/>
              <w:bottom w:val="single" w:color="auto" w:sz="4" w:space="0"/>
              <w:right w:val="single" w:color="auto" w:sz="4" w:space="0"/>
            </w:tcBorders>
            <w:vAlign w:val="center"/>
          </w:tcPr>
          <w:p w14:paraId="1E0BE2E6">
            <w:pPr>
              <w:widowControl/>
              <w:jc w:val="left"/>
              <w:rPr>
                <w:rFonts w:ascii="宋体" w:hAnsi="宋体" w:cs="宋体"/>
                <w:kern w:val="0"/>
                <w:szCs w:val="21"/>
              </w:rPr>
            </w:pPr>
            <w:r>
              <w:rPr>
                <w:rFonts w:hint="eastAsia" w:ascii="宋体" w:hAnsi="宋体" w:cs="宋体"/>
                <w:kern w:val="0"/>
                <w:szCs w:val="21"/>
              </w:rPr>
              <w:t>X＜20</w:t>
            </w:r>
          </w:p>
        </w:tc>
      </w:tr>
      <w:tr w14:paraId="039B79E4">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456A3C1E">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2678D432">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52D5FDA5">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3BD0C13C">
            <w:pPr>
              <w:widowControl/>
              <w:jc w:val="left"/>
              <w:rPr>
                <w:rFonts w:ascii="宋体" w:hAnsi="宋体" w:cs="宋体"/>
                <w:kern w:val="0"/>
                <w:szCs w:val="21"/>
              </w:rPr>
            </w:pPr>
            <w:r>
              <w:rPr>
                <w:rFonts w:hint="eastAsia" w:ascii="宋体" w:hAnsi="宋体" w:cs="宋体"/>
                <w:kern w:val="0"/>
                <w:szCs w:val="21"/>
              </w:rPr>
              <w:t>1000≤Y＜30000</w:t>
            </w:r>
          </w:p>
        </w:tc>
        <w:tc>
          <w:tcPr>
            <w:tcW w:w="1605" w:type="dxa"/>
            <w:tcBorders>
              <w:top w:val="nil"/>
              <w:left w:val="nil"/>
              <w:bottom w:val="single" w:color="auto" w:sz="4" w:space="0"/>
              <w:right w:val="single" w:color="auto" w:sz="4" w:space="0"/>
            </w:tcBorders>
            <w:vAlign w:val="center"/>
          </w:tcPr>
          <w:p w14:paraId="15186ECF">
            <w:pPr>
              <w:widowControl/>
              <w:jc w:val="left"/>
              <w:rPr>
                <w:rFonts w:ascii="宋体" w:hAnsi="宋体" w:cs="宋体"/>
                <w:kern w:val="0"/>
                <w:szCs w:val="21"/>
              </w:rPr>
            </w:pPr>
            <w:r>
              <w:rPr>
                <w:rFonts w:hint="eastAsia" w:ascii="宋体" w:hAnsi="宋体" w:cs="宋体"/>
                <w:kern w:val="0"/>
                <w:szCs w:val="21"/>
              </w:rPr>
              <w:t>100≤Y＜1000</w:t>
            </w:r>
          </w:p>
        </w:tc>
        <w:tc>
          <w:tcPr>
            <w:tcW w:w="960" w:type="dxa"/>
            <w:tcBorders>
              <w:top w:val="nil"/>
              <w:left w:val="nil"/>
              <w:bottom w:val="single" w:color="auto" w:sz="4" w:space="0"/>
              <w:right w:val="single" w:color="auto" w:sz="4" w:space="0"/>
            </w:tcBorders>
            <w:vAlign w:val="center"/>
          </w:tcPr>
          <w:p w14:paraId="2FEF3A17">
            <w:pPr>
              <w:widowControl/>
              <w:jc w:val="left"/>
              <w:rPr>
                <w:rFonts w:ascii="宋体" w:hAnsi="宋体" w:cs="宋体"/>
                <w:kern w:val="0"/>
                <w:szCs w:val="21"/>
              </w:rPr>
            </w:pPr>
            <w:r>
              <w:rPr>
                <w:rFonts w:hint="eastAsia" w:ascii="宋体" w:hAnsi="宋体" w:cs="宋体"/>
                <w:kern w:val="0"/>
                <w:szCs w:val="21"/>
              </w:rPr>
              <w:t>Y＜100</w:t>
            </w:r>
          </w:p>
        </w:tc>
      </w:tr>
      <w:tr w14:paraId="4999BEF0">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1974BD0A">
            <w:pPr>
              <w:widowControl/>
              <w:jc w:val="center"/>
              <w:rPr>
                <w:rFonts w:ascii="宋体" w:hAnsi="宋体" w:cs="宋体"/>
                <w:b/>
                <w:bCs/>
                <w:kern w:val="0"/>
                <w:szCs w:val="21"/>
              </w:rPr>
            </w:pPr>
            <w:r>
              <w:rPr>
                <w:rFonts w:hint="eastAsia" w:ascii="宋体" w:hAnsi="宋体" w:cs="宋体"/>
                <w:b/>
                <w:bCs/>
                <w:kern w:val="0"/>
                <w:szCs w:val="21"/>
              </w:rPr>
              <w:t>邮政业</w:t>
            </w:r>
          </w:p>
        </w:tc>
        <w:tc>
          <w:tcPr>
            <w:tcW w:w="1545" w:type="dxa"/>
            <w:tcBorders>
              <w:top w:val="nil"/>
              <w:left w:val="nil"/>
              <w:bottom w:val="single" w:color="auto" w:sz="4" w:space="0"/>
              <w:right w:val="single" w:color="auto" w:sz="4" w:space="0"/>
            </w:tcBorders>
            <w:vAlign w:val="center"/>
          </w:tcPr>
          <w:p w14:paraId="4C68DF92">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0687A932">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02740829">
            <w:pPr>
              <w:widowControl/>
              <w:jc w:val="left"/>
              <w:rPr>
                <w:rFonts w:ascii="宋体" w:hAnsi="宋体" w:cs="宋体"/>
                <w:kern w:val="0"/>
                <w:szCs w:val="21"/>
              </w:rPr>
            </w:pPr>
            <w:r>
              <w:rPr>
                <w:rFonts w:hint="eastAsia" w:ascii="宋体" w:hAnsi="宋体" w:cs="宋体"/>
                <w:kern w:val="0"/>
                <w:szCs w:val="21"/>
              </w:rPr>
              <w:t>300≤X＜1000</w:t>
            </w:r>
          </w:p>
        </w:tc>
        <w:tc>
          <w:tcPr>
            <w:tcW w:w="1605" w:type="dxa"/>
            <w:tcBorders>
              <w:top w:val="nil"/>
              <w:left w:val="nil"/>
              <w:bottom w:val="single" w:color="auto" w:sz="4" w:space="0"/>
              <w:right w:val="single" w:color="auto" w:sz="4" w:space="0"/>
            </w:tcBorders>
            <w:vAlign w:val="center"/>
          </w:tcPr>
          <w:p w14:paraId="5A027C47">
            <w:pPr>
              <w:widowControl/>
              <w:jc w:val="left"/>
              <w:rPr>
                <w:rFonts w:ascii="宋体" w:hAnsi="宋体" w:cs="宋体"/>
                <w:kern w:val="0"/>
                <w:szCs w:val="21"/>
              </w:rPr>
            </w:pPr>
            <w:r>
              <w:rPr>
                <w:rFonts w:hint="eastAsia" w:ascii="宋体" w:hAnsi="宋体" w:cs="宋体"/>
                <w:kern w:val="0"/>
                <w:szCs w:val="21"/>
              </w:rPr>
              <w:t>20≤X＜300</w:t>
            </w:r>
          </w:p>
        </w:tc>
        <w:tc>
          <w:tcPr>
            <w:tcW w:w="960" w:type="dxa"/>
            <w:tcBorders>
              <w:top w:val="nil"/>
              <w:left w:val="nil"/>
              <w:bottom w:val="single" w:color="auto" w:sz="4" w:space="0"/>
              <w:right w:val="single" w:color="auto" w:sz="4" w:space="0"/>
            </w:tcBorders>
            <w:vAlign w:val="center"/>
          </w:tcPr>
          <w:p w14:paraId="1A504C37">
            <w:pPr>
              <w:widowControl/>
              <w:jc w:val="left"/>
              <w:rPr>
                <w:rFonts w:ascii="宋体" w:hAnsi="宋体" w:cs="宋体"/>
                <w:kern w:val="0"/>
                <w:szCs w:val="21"/>
              </w:rPr>
            </w:pPr>
            <w:r>
              <w:rPr>
                <w:rFonts w:hint="eastAsia" w:ascii="宋体" w:hAnsi="宋体" w:cs="宋体"/>
                <w:kern w:val="0"/>
                <w:szCs w:val="21"/>
              </w:rPr>
              <w:t>X＜20</w:t>
            </w:r>
          </w:p>
        </w:tc>
      </w:tr>
      <w:tr w14:paraId="1D1DC0C3">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57127F3F">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0A71F55F">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7957AE92">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0BD7146B">
            <w:pPr>
              <w:widowControl/>
              <w:jc w:val="left"/>
              <w:rPr>
                <w:rFonts w:ascii="宋体" w:hAnsi="宋体" w:cs="宋体"/>
                <w:kern w:val="0"/>
                <w:szCs w:val="21"/>
              </w:rPr>
            </w:pPr>
            <w:r>
              <w:rPr>
                <w:rFonts w:hint="eastAsia" w:ascii="宋体" w:hAnsi="宋体" w:cs="宋体"/>
                <w:kern w:val="0"/>
                <w:szCs w:val="21"/>
              </w:rPr>
              <w:t>2000≤Y＜30000</w:t>
            </w:r>
          </w:p>
        </w:tc>
        <w:tc>
          <w:tcPr>
            <w:tcW w:w="1605" w:type="dxa"/>
            <w:tcBorders>
              <w:top w:val="nil"/>
              <w:left w:val="nil"/>
              <w:bottom w:val="single" w:color="auto" w:sz="4" w:space="0"/>
              <w:right w:val="single" w:color="auto" w:sz="4" w:space="0"/>
            </w:tcBorders>
            <w:vAlign w:val="center"/>
          </w:tcPr>
          <w:p w14:paraId="19EE1458">
            <w:pPr>
              <w:widowControl/>
              <w:jc w:val="left"/>
              <w:rPr>
                <w:rFonts w:ascii="宋体" w:hAnsi="宋体" w:cs="宋体"/>
                <w:kern w:val="0"/>
                <w:szCs w:val="21"/>
              </w:rPr>
            </w:pPr>
            <w:r>
              <w:rPr>
                <w:rFonts w:hint="eastAsia" w:ascii="宋体" w:hAnsi="宋体" w:cs="宋体"/>
                <w:kern w:val="0"/>
                <w:szCs w:val="21"/>
              </w:rPr>
              <w:t>100≤Y＜2000</w:t>
            </w:r>
          </w:p>
        </w:tc>
        <w:tc>
          <w:tcPr>
            <w:tcW w:w="960" w:type="dxa"/>
            <w:tcBorders>
              <w:top w:val="nil"/>
              <w:left w:val="nil"/>
              <w:bottom w:val="single" w:color="auto" w:sz="4" w:space="0"/>
              <w:right w:val="single" w:color="auto" w:sz="4" w:space="0"/>
            </w:tcBorders>
            <w:vAlign w:val="center"/>
          </w:tcPr>
          <w:p w14:paraId="386C9BCF">
            <w:pPr>
              <w:widowControl/>
              <w:jc w:val="left"/>
              <w:rPr>
                <w:rFonts w:ascii="宋体" w:hAnsi="宋体" w:cs="宋体"/>
                <w:kern w:val="0"/>
                <w:szCs w:val="21"/>
              </w:rPr>
            </w:pPr>
            <w:r>
              <w:rPr>
                <w:rFonts w:hint="eastAsia" w:ascii="宋体" w:hAnsi="宋体" w:cs="宋体"/>
                <w:kern w:val="0"/>
                <w:szCs w:val="21"/>
              </w:rPr>
              <w:t>Y＜100</w:t>
            </w:r>
          </w:p>
        </w:tc>
      </w:tr>
      <w:tr w14:paraId="692C1786">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69DAABDF">
            <w:pPr>
              <w:widowControl/>
              <w:jc w:val="center"/>
              <w:rPr>
                <w:rFonts w:ascii="宋体" w:hAnsi="宋体" w:cs="宋体"/>
                <w:b/>
                <w:bCs/>
                <w:kern w:val="0"/>
                <w:szCs w:val="21"/>
              </w:rPr>
            </w:pPr>
            <w:r>
              <w:rPr>
                <w:rFonts w:hint="eastAsia" w:ascii="宋体" w:hAnsi="宋体" w:cs="宋体"/>
                <w:b/>
                <w:bCs/>
                <w:kern w:val="0"/>
                <w:szCs w:val="21"/>
              </w:rPr>
              <w:t>住宿业</w:t>
            </w:r>
          </w:p>
        </w:tc>
        <w:tc>
          <w:tcPr>
            <w:tcW w:w="1545" w:type="dxa"/>
            <w:tcBorders>
              <w:top w:val="nil"/>
              <w:left w:val="nil"/>
              <w:bottom w:val="single" w:color="auto" w:sz="4" w:space="0"/>
              <w:right w:val="single" w:color="auto" w:sz="4" w:space="0"/>
            </w:tcBorders>
            <w:vAlign w:val="center"/>
          </w:tcPr>
          <w:p w14:paraId="56FA5407">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3F97D419">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009FD3BC">
            <w:pPr>
              <w:widowControl/>
              <w:jc w:val="left"/>
              <w:rPr>
                <w:rFonts w:ascii="宋体" w:hAnsi="宋体" w:cs="宋体"/>
                <w:kern w:val="0"/>
                <w:szCs w:val="21"/>
              </w:rPr>
            </w:pPr>
            <w:r>
              <w:rPr>
                <w:rFonts w:hint="eastAsia" w:ascii="宋体" w:hAnsi="宋体" w:cs="宋体"/>
                <w:kern w:val="0"/>
                <w:szCs w:val="21"/>
              </w:rPr>
              <w:t>100≤X＜300</w:t>
            </w:r>
          </w:p>
        </w:tc>
        <w:tc>
          <w:tcPr>
            <w:tcW w:w="1605" w:type="dxa"/>
            <w:tcBorders>
              <w:top w:val="nil"/>
              <w:left w:val="nil"/>
              <w:bottom w:val="single" w:color="auto" w:sz="4" w:space="0"/>
              <w:right w:val="single" w:color="auto" w:sz="4" w:space="0"/>
            </w:tcBorders>
            <w:vAlign w:val="center"/>
          </w:tcPr>
          <w:p w14:paraId="675B289A">
            <w:pPr>
              <w:widowControl/>
              <w:jc w:val="left"/>
              <w:rPr>
                <w:rFonts w:ascii="宋体" w:hAnsi="宋体" w:cs="宋体"/>
                <w:kern w:val="0"/>
                <w:szCs w:val="21"/>
              </w:rPr>
            </w:pPr>
            <w:r>
              <w:rPr>
                <w:rFonts w:hint="eastAsia" w:ascii="宋体" w:hAnsi="宋体" w:cs="宋体"/>
                <w:kern w:val="0"/>
                <w:szCs w:val="21"/>
              </w:rPr>
              <w:t>10≤X＜100</w:t>
            </w:r>
          </w:p>
        </w:tc>
        <w:tc>
          <w:tcPr>
            <w:tcW w:w="960" w:type="dxa"/>
            <w:tcBorders>
              <w:top w:val="nil"/>
              <w:left w:val="nil"/>
              <w:bottom w:val="single" w:color="auto" w:sz="4" w:space="0"/>
              <w:right w:val="single" w:color="auto" w:sz="4" w:space="0"/>
            </w:tcBorders>
            <w:vAlign w:val="center"/>
          </w:tcPr>
          <w:p w14:paraId="252F144D">
            <w:pPr>
              <w:widowControl/>
              <w:jc w:val="left"/>
              <w:rPr>
                <w:rFonts w:ascii="宋体" w:hAnsi="宋体" w:cs="宋体"/>
                <w:kern w:val="0"/>
                <w:szCs w:val="21"/>
              </w:rPr>
            </w:pPr>
            <w:r>
              <w:rPr>
                <w:rFonts w:hint="eastAsia" w:ascii="宋体" w:hAnsi="宋体" w:cs="宋体"/>
                <w:kern w:val="0"/>
                <w:szCs w:val="21"/>
              </w:rPr>
              <w:t>X＜10</w:t>
            </w:r>
          </w:p>
        </w:tc>
      </w:tr>
      <w:tr w14:paraId="00B3FD70">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22F1895E">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7C9CA8CE">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0A1C740B">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07F9F8D2">
            <w:pPr>
              <w:widowControl/>
              <w:jc w:val="left"/>
              <w:rPr>
                <w:rFonts w:ascii="宋体" w:hAnsi="宋体" w:cs="宋体"/>
                <w:kern w:val="0"/>
                <w:szCs w:val="21"/>
              </w:rPr>
            </w:pPr>
            <w:r>
              <w:rPr>
                <w:rFonts w:hint="eastAsia" w:ascii="宋体" w:hAnsi="宋体" w:cs="宋体"/>
                <w:kern w:val="0"/>
                <w:szCs w:val="21"/>
              </w:rPr>
              <w:t>2000≤Y＜10000</w:t>
            </w:r>
          </w:p>
        </w:tc>
        <w:tc>
          <w:tcPr>
            <w:tcW w:w="1605" w:type="dxa"/>
            <w:tcBorders>
              <w:top w:val="nil"/>
              <w:left w:val="nil"/>
              <w:bottom w:val="single" w:color="auto" w:sz="4" w:space="0"/>
              <w:right w:val="single" w:color="auto" w:sz="4" w:space="0"/>
            </w:tcBorders>
            <w:vAlign w:val="center"/>
          </w:tcPr>
          <w:p w14:paraId="7F84AE0E">
            <w:pPr>
              <w:widowControl/>
              <w:jc w:val="left"/>
              <w:rPr>
                <w:rFonts w:ascii="宋体" w:hAnsi="宋体" w:cs="宋体"/>
                <w:kern w:val="0"/>
                <w:szCs w:val="21"/>
              </w:rPr>
            </w:pPr>
            <w:r>
              <w:rPr>
                <w:rFonts w:hint="eastAsia" w:ascii="宋体" w:hAnsi="宋体" w:cs="宋体"/>
                <w:kern w:val="0"/>
                <w:szCs w:val="21"/>
              </w:rPr>
              <w:t>100≤Y＜2000</w:t>
            </w:r>
          </w:p>
        </w:tc>
        <w:tc>
          <w:tcPr>
            <w:tcW w:w="960" w:type="dxa"/>
            <w:tcBorders>
              <w:top w:val="nil"/>
              <w:left w:val="nil"/>
              <w:bottom w:val="single" w:color="auto" w:sz="4" w:space="0"/>
              <w:right w:val="single" w:color="auto" w:sz="4" w:space="0"/>
            </w:tcBorders>
            <w:vAlign w:val="center"/>
          </w:tcPr>
          <w:p w14:paraId="5078298D">
            <w:pPr>
              <w:widowControl/>
              <w:jc w:val="left"/>
              <w:rPr>
                <w:rFonts w:ascii="宋体" w:hAnsi="宋体" w:cs="宋体"/>
                <w:kern w:val="0"/>
                <w:szCs w:val="21"/>
              </w:rPr>
            </w:pPr>
            <w:r>
              <w:rPr>
                <w:rFonts w:hint="eastAsia" w:ascii="宋体" w:hAnsi="宋体" w:cs="宋体"/>
                <w:kern w:val="0"/>
                <w:szCs w:val="21"/>
              </w:rPr>
              <w:t>Y＜100</w:t>
            </w:r>
          </w:p>
        </w:tc>
      </w:tr>
      <w:tr w14:paraId="3E0444A7">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23658337">
            <w:pPr>
              <w:widowControl/>
              <w:jc w:val="center"/>
              <w:rPr>
                <w:rFonts w:ascii="宋体" w:hAnsi="宋体" w:cs="宋体"/>
                <w:b/>
                <w:bCs/>
                <w:kern w:val="0"/>
                <w:szCs w:val="21"/>
              </w:rPr>
            </w:pPr>
            <w:r>
              <w:rPr>
                <w:rFonts w:hint="eastAsia" w:ascii="宋体" w:hAnsi="宋体" w:cs="宋体"/>
                <w:b/>
                <w:bCs/>
                <w:kern w:val="0"/>
                <w:szCs w:val="21"/>
              </w:rPr>
              <w:t>餐饮业</w:t>
            </w:r>
          </w:p>
        </w:tc>
        <w:tc>
          <w:tcPr>
            <w:tcW w:w="1545" w:type="dxa"/>
            <w:tcBorders>
              <w:top w:val="nil"/>
              <w:left w:val="nil"/>
              <w:bottom w:val="single" w:color="auto" w:sz="4" w:space="0"/>
              <w:right w:val="single" w:color="auto" w:sz="4" w:space="0"/>
            </w:tcBorders>
            <w:vAlign w:val="center"/>
          </w:tcPr>
          <w:p w14:paraId="6C0A35D2">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53551163">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07674FAE">
            <w:pPr>
              <w:widowControl/>
              <w:jc w:val="left"/>
              <w:rPr>
                <w:rFonts w:ascii="宋体" w:hAnsi="宋体" w:cs="宋体"/>
                <w:kern w:val="0"/>
                <w:szCs w:val="21"/>
              </w:rPr>
            </w:pPr>
            <w:r>
              <w:rPr>
                <w:rFonts w:hint="eastAsia" w:ascii="宋体" w:hAnsi="宋体" w:cs="宋体"/>
                <w:kern w:val="0"/>
                <w:szCs w:val="21"/>
              </w:rPr>
              <w:t>100≤X＜300</w:t>
            </w:r>
          </w:p>
        </w:tc>
        <w:tc>
          <w:tcPr>
            <w:tcW w:w="1605" w:type="dxa"/>
            <w:tcBorders>
              <w:top w:val="nil"/>
              <w:left w:val="nil"/>
              <w:bottom w:val="single" w:color="auto" w:sz="4" w:space="0"/>
              <w:right w:val="single" w:color="auto" w:sz="4" w:space="0"/>
            </w:tcBorders>
            <w:vAlign w:val="center"/>
          </w:tcPr>
          <w:p w14:paraId="0C2B46D2">
            <w:pPr>
              <w:widowControl/>
              <w:jc w:val="left"/>
              <w:rPr>
                <w:rFonts w:ascii="宋体" w:hAnsi="宋体" w:cs="宋体"/>
                <w:kern w:val="0"/>
                <w:szCs w:val="21"/>
              </w:rPr>
            </w:pPr>
            <w:r>
              <w:rPr>
                <w:rFonts w:hint="eastAsia" w:ascii="宋体" w:hAnsi="宋体" w:cs="宋体"/>
                <w:kern w:val="0"/>
                <w:szCs w:val="21"/>
              </w:rPr>
              <w:t>10≤X＜100</w:t>
            </w:r>
          </w:p>
        </w:tc>
        <w:tc>
          <w:tcPr>
            <w:tcW w:w="960" w:type="dxa"/>
            <w:tcBorders>
              <w:top w:val="nil"/>
              <w:left w:val="nil"/>
              <w:bottom w:val="single" w:color="auto" w:sz="4" w:space="0"/>
              <w:right w:val="single" w:color="auto" w:sz="4" w:space="0"/>
            </w:tcBorders>
            <w:vAlign w:val="center"/>
          </w:tcPr>
          <w:p w14:paraId="198352B1">
            <w:pPr>
              <w:widowControl/>
              <w:jc w:val="left"/>
              <w:rPr>
                <w:rFonts w:ascii="宋体" w:hAnsi="宋体" w:cs="宋体"/>
                <w:kern w:val="0"/>
                <w:szCs w:val="21"/>
              </w:rPr>
            </w:pPr>
            <w:r>
              <w:rPr>
                <w:rFonts w:hint="eastAsia" w:ascii="宋体" w:hAnsi="宋体" w:cs="宋体"/>
                <w:kern w:val="0"/>
                <w:szCs w:val="21"/>
              </w:rPr>
              <w:t>X＜10</w:t>
            </w:r>
          </w:p>
        </w:tc>
      </w:tr>
      <w:tr w14:paraId="07477871">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1568B275">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06ED71A2">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3955F01F">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22BFAD30">
            <w:pPr>
              <w:widowControl/>
              <w:jc w:val="left"/>
              <w:rPr>
                <w:rFonts w:ascii="宋体" w:hAnsi="宋体" w:cs="宋体"/>
                <w:kern w:val="0"/>
                <w:szCs w:val="21"/>
              </w:rPr>
            </w:pPr>
            <w:r>
              <w:rPr>
                <w:rFonts w:hint="eastAsia" w:ascii="宋体" w:hAnsi="宋体" w:cs="宋体"/>
                <w:kern w:val="0"/>
                <w:szCs w:val="21"/>
              </w:rPr>
              <w:t>2000≤Y＜10000</w:t>
            </w:r>
          </w:p>
        </w:tc>
        <w:tc>
          <w:tcPr>
            <w:tcW w:w="1605" w:type="dxa"/>
            <w:tcBorders>
              <w:top w:val="nil"/>
              <w:left w:val="nil"/>
              <w:bottom w:val="single" w:color="auto" w:sz="4" w:space="0"/>
              <w:right w:val="single" w:color="auto" w:sz="4" w:space="0"/>
            </w:tcBorders>
            <w:vAlign w:val="center"/>
          </w:tcPr>
          <w:p w14:paraId="47E5302B">
            <w:pPr>
              <w:widowControl/>
              <w:jc w:val="left"/>
              <w:rPr>
                <w:rFonts w:ascii="宋体" w:hAnsi="宋体" w:cs="宋体"/>
                <w:kern w:val="0"/>
                <w:szCs w:val="21"/>
              </w:rPr>
            </w:pPr>
            <w:r>
              <w:rPr>
                <w:rFonts w:hint="eastAsia" w:ascii="宋体" w:hAnsi="宋体" w:cs="宋体"/>
                <w:kern w:val="0"/>
                <w:szCs w:val="21"/>
              </w:rPr>
              <w:t>100≤Y＜2000</w:t>
            </w:r>
          </w:p>
        </w:tc>
        <w:tc>
          <w:tcPr>
            <w:tcW w:w="960" w:type="dxa"/>
            <w:tcBorders>
              <w:top w:val="nil"/>
              <w:left w:val="nil"/>
              <w:bottom w:val="single" w:color="auto" w:sz="4" w:space="0"/>
              <w:right w:val="single" w:color="auto" w:sz="4" w:space="0"/>
            </w:tcBorders>
            <w:vAlign w:val="center"/>
          </w:tcPr>
          <w:p w14:paraId="11903D38">
            <w:pPr>
              <w:widowControl/>
              <w:jc w:val="left"/>
              <w:rPr>
                <w:rFonts w:ascii="宋体" w:hAnsi="宋体" w:cs="宋体"/>
                <w:kern w:val="0"/>
                <w:szCs w:val="21"/>
              </w:rPr>
            </w:pPr>
            <w:r>
              <w:rPr>
                <w:rFonts w:hint="eastAsia" w:ascii="宋体" w:hAnsi="宋体" w:cs="宋体"/>
                <w:kern w:val="0"/>
                <w:szCs w:val="21"/>
              </w:rPr>
              <w:t>Y＜100</w:t>
            </w:r>
          </w:p>
        </w:tc>
      </w:tr>
      <w:tr w14:paraId="25221C86">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6A30A332">
            <w:pPr>
              <w:widowControl/>
              <w:jc w:val="center"/>
              <w:rPr>
                <w:rFonts w:ascii="宋体" w:hAnsi="宋体" w:cs="宋体"/>
                <w:b/>
                <w:bCs/>
                <w:kern w:val="0"/>
                <w:szCs w:val="21"/>
              </w:rPr>
            </w:pPr>
            <w:r>
              <w:rPr>
                <w:rFonts w:hint="eastAsia" w:ascii="宋体" w:hAnsi="宋体" w:cs="宋体"/>
                <w:b/>
                <w:bCs/>
                <w:kern w:val="0"/>
                <w:szCs w:val="21"/>
              </w:rPr>
              <w:t>信息传输业</w:t>
            </w:r>
          </w:p>
        </w:tc>
        <w:tc>
          <w:tcPr>
            <w:tcW w:w="1545" w:type="dxa"/>
            <w:tcBorders>
              <w:top w:val="nil"/>
              <w:left w:val="nil"/>
              <w:bottom w:val="single" w:color="auto" w:sz="4" w:space="0"/>
              <w:right w:val="single" w:color="auto" w:sz="4" w:space="0"/>
            </w:tcBorders>
            <w:vAlign w:val="center"/>
          </w:tcPr>
          <w:p w14:paraId="66F03EC6">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44DD0E9E">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3C4EFBBC">
            <w:pPr>
              <w:widowControl/>
              <w:jc w:val="left"/>
              <w:rPr>
                <w:rFonts w:ascii="宋体" w:hAnsi="宋体" w:cs="宋体"/>
                <w:kern w:val="0"/>
                <w:szCs w:val="21"/>
              </w:rPr>
            </w:pPr>
            <w:r>
              <w:rPr>
                <w:rFonts w:hint="eastAsia" w:ascii="宋体" w:hAnsi="宋体" w:cs="宋体"/>
                <w:kern w:val="0"/>
                <w:szCs w:val="21"/>
              </w:rPr>
              <w:t>100≤X＜2000</w:t>
            </w:r>
          </w:p>
        </w:tc>
        <w:tc>
          <w:tcPr>
            <w:tcW w:w="1605" w:type="dxa"/>
            <w:tcBorders>
              <w:top w:val="nil"/>
              <w:left w:val="nil"/>
              <w:bottom w:val="single" w:color="auto" w:sz="4" w:space="0"/>
              <w:right w:val="single" w:color="auto" w:sz="4" w:space="0"/>
            </w:tcBorders>
            <w:vAlign w:val="center"/>
          </w:tcPr>
          <w:p w14:paraId="0BDF638B">
            <w:pPr>
              <w:widowControl/>
              <w:jc w:val="left"/>
              <w:rPr>
                <w:rFonts w:ascii="宋体" w:hAnsi="宋体" w:cs="宋体"/>
                <w:kern w:val="0"/>
                <w:szCs w:val="21"/>
              </w:rPr>
            </w:pPr>
            <w:r>
              <w:rPr>
                <w:rFonts w:hint="eastAsia" w:ascii="宋体" w:hAnsi="宋体" w:cs="宋体"/>
                <w:kern w:val="0"/>
                <w:szCs w:val="21"/>
              </w:rPr>
              <w:t>10≤X＜100</w:t>
            </w:r>
          </w:p>
        </w:tc>
        <w:tc>
          <w:tcPr>
            <w:tcW w:w="960" w:type="dxa"/>
            <w:tcBorders>
              <w:top w:val="nil"/>
              <w:left w:val="nil"/>
              <w:bottom w:val="single" w:color="auto" w:sz="4" w:space="0"/>
              <w:right w:val="single" w:color="auto" w:sz="4" w:space="0"/>
            </w:tcBorders>
            <w:vAlign w:val="center"/>
          </w:tcPr>
          <w:p w14:paraId="571C305C">
            <w:pPr>
              <w:widowControl/>
              <w:jc w:val="left"/>
              <w:rPr>
                <w:rFonts w:ascii="宋体" w:hAnsi="宋体" w:cs="宋体"/>
                <w:kern w:val="0"/>
                <w:szCs w:val="21"/>
              </w:rPr>
            </w:pPr>
            <w:r>
              <w:rPr>
                <w:rFonts w:hint="eastAsia" w:ascii="宋体" w:hAnsi="宋体" w:cs="宋体"/>
                <w:kern w:val="0"/>
                <w:szCs w:val="21"/>
              </w:rPr>
              <w:t>X＜10</w:t>
            </w:r>
          </w:p>
        </w:tc>
      </w:tr>
      <w:tr w14:paraId="461298F9">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35DF2776">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4FF69A6D">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16148EF8">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38A40351">
            <w:pPr>
              <w:widowControl/>
              <w:jc w:val="left"/>
              <w:rPr>
                <w:rFonts w:ascii="宋体" w:hAnsi="宋体" w:cs="宋体"/>
                <w:kern w:val="0"/>
                <w:szCs w:val="21"/>
              </w:rPr>
            </w:pPr>
            <w:r>
              <w:rPr>
                <w:rFonts w:hint="eastAsia" w:ascii="宋体" w:hAnsi="宋体" w:cs="宋体"/>
                <w:kern w:val="0"/>
                <w:szCs w:val="21"/>
              </w:rPr>
              <w:t>1000≤Y＜100000</w:t>
            </w:r>
          </w:p>
        </w:tc>
        <w:tc>
          <w:tcPr>
            <w:tcW w:w="1605" w:type="dxa"/>
            <w:tcBorders>
              <w:top w:val="nil"/>
              <w:left w:val="nil"/>
              <w:bottom w:val="single" w:color="auto" w:sz="4" w:space="0"/>
              <w:right w:val="single" w:color="auto" w:sz="4" w:space="0"/>
            </w:tcBorders>
            <w:vAlign w:val="center"/>
          </w:tcPr>
          <w:p w14:paraId="55D088F5">
            <w:pPr>
              <w:widowControl/>
              <w:jc w:val="left"/>
              <w:rPr>
                <w:rFonts w:ascii="宋体" w:hAnsi="宋体" w:cs="宋体"/>
                <w:kern w:val="0"/>
                <w:szCs w:val="21"/>
              </w:rPr>
            </w:pPr>
            <w:r>
              <w:rPr>
                <w:rFonts w:hint="eastAsia" w:ascii="宋体" w:hAnsi="宋体" w:cs="宋体"/>
                <w:kern w:val="0"/>
                <w:szCs w:val="21"/>
              </w:rPr>
              <w:t>100≤Y＜1000</w:t>
            </w:r>
          </w:p>
        </w:tc>
        <w:tc>
          <w:tcPr>
            <w:tcW w:w="960" w:type="dxa"/>
            <w:tcBorders>
              <w:top w:val="nil"/>
              <w:left w:val="nil"/>
              <w:bottom w:val="single" w:color="auto" w:sz="4" w:space="0"/>
              <w:right w:val="single" w:color="auto" w:sz="4" w:space="0"/>
            </w:tcBorders>
            <w:vAlign w:val="center"/>
          </w:tcPr>
          <w:p w14:paraId="0390900C">
            <w:pPr>
              <w:widowControl/>
              <w:jc w:val="left"/>
              <w:rPr>
                <w:rFonts w:ascii="宋体" w:hAnsi="宋体" w:cs="宋体"/>
                <w:kern w:val="0"/>
                <w:szCs w:val="21"/>
              </w:rPr>
            </w:pPr>
            <w:r>
              <w:rPr>
                <w:rFonts w:hint="eastAsia" w:ascii="宋体" w:hAnsi="宋体" w:cs="宋体"/>
                <w:kern w:val="0"/>
                <w:szCs w:val="21"/>
              </w:rPr>
              <w:t>Y＜100</w:t>
            </w:r>
          </w:p>
        </w:tc>
      </w:tr>
      <w:tr w14:paraId="7AE8A7E3">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3CD72AFC">
            <w:pPr>
              <w:widowControl/>
              <w:jc w:val="center"/>
              <w:rPr>
                <w:rFonts w:ascii="宋体" w:hAnsi="宋体" w:cs="宋体"/>
                <w:b/>
                <w:bCs/>
                <w:kern w:val="0"/>
                <w:szCs w:val="21"/>
              </w:rPr>
            </w:pPr>
            <w:r>
              <w:rPr>
                <w:rFonts w:hint="eastAsia" w:ascii="宋体" w:hAnsi="宋体" w:cs="宋体"/>
                <w:b/>
                <w:bCs/>
                <w:kern w:val="0"/>
                <w:szCs w:val="21"/>
              </w:rPr>
              <w:t>软件和信息技术服务业</w:t>
            </w:r>
          </w:p>
        </w:tc>
        <w:tc>
          <w:tcPr>
            <w:tcW w:w="1545" w:type="dxa"/>
            <w:tcBorders>
              <w:top w:val="nil"/>
              <w:left w:val="nil"/>
              <w:bottom w:val="single" w:color="auto" w:sz="4" w:space="0"/>
              <w:right w:val="single" w:color="auto" w:sz="4" w:space="0"/>
            </w:tcBorders>
            <w:vAlign w:val="center"/>
          </w:tcPr>
          <w:p w14:paraId="668D3DC3">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348C0998">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5D38DD69">
            <w:pPr>
              <w:widowControl/>
              <w:jc w:val="left"/>
              <w:rPr>
                <w:rFonts w:ascii="宋体" w:hAnsi="宋体" w:cs="宋体"/>
                <w:kern w:val="0"/>
                <w:szCs w:val="21"/>
              </w:rPr>
            </w:pPr>
            <w:r>
              <w:rPr>
                <w:rFonts w:hint="eastAsia" w:ascii="宋体" w:hAnsi="宋体" w:cs="宋体"/>
                <w:kern w:val="0"/>
                <w:szCs w:val="21"/>
              </w:rPr>
              <w:t>100≤X＜300</w:t>
            </w:r>
          </w:p>
        </w:tc>
        <w:tc>
          <w:tcPr>
            <w:tcW w:w="1605" w:type="dxa"/>
            <w:tcBorders>
              <w:top w:val="nil"/>
              <w:left w:val="nil"/>
              <w:bottom w:val="single" w:color="auto" w:sz="4" w:space="0"/>
              <w:right w:val="single" w:color="auto" w:sz="4" w:space="0"/>
            </w:tcBorders>
            <w:vAlign w:val="center"/>
          </w:tcPr>
          <w:p w14:paraId="7B56543C">
            <w:pPr>
              <w:widowControl/>
              <w:jc w:val="left"/>
              <w:rPr>
                <w:rFonts w:ascii="宋体" w:hAnsi="宋体" w:cs="宋体"/>
                <w:kern w:val="0"/>
                <w:szCs w:val="21"/>
              </w:rPr>
            </w:pPr>
            <w:r>
              <w:rPr>
                <w:rFonts w:hint="eastAsia" w:ascii="宋体" w:hAnsi="宋体" w:cs="宋体"/>
                <w:kern w:val="0"/>
                <w:szCs w:val="21"/>
              </w:rPr>
              <w:t>10≤X＜100</w:t>
            </w:r>
          </w:p>
        </w:tc>
        <w:tc>
          <w:tcPr>
            <w:tcW w:w="960" w:type="dxa"/>
            <w:tcBorders>
              <w:top w:val="nil"/>
              <w:left w:val="nil"/>
              <w:bottom w:val="single" w:color="auto" w:sz="4" w:space="0"/>
              <w:right w:val="single" w:color="auto" w:sz="4" w:space="0"/>
            </w:tcBorders>
            <w:vAlign w:val="center"/>
          </w:tcPr>
          <w:p w14:paraId="77F34284">
            <w:pPr>
              <w:widowControl/>
              <w:jc w:val="left"/>
              <w:rPr>
                <w:rFonts w:ascii="宋体" w:hAnsi="宋体" w:cs="宋体"/>
                <w:kern w:val="0"/>
                <w:szCs w:val="21"/>
              </w:rPr>
            </w:pPr>
            <w:r>
              <w:rPr>
                <w:rFonts w:hint="eastAsia" w:ascii="宋体" w:hAnsi="宋体" w:cs="宋体"/>
                <w:kern w:val="0"/>
                <w:szCs w:val="21"/>
              </w:rPr>
              <w:t>X＜10</w:t>
            </w:r>
          </w:p>
        </w:tc>
      </w:tr>
      <w:tr w14:paraId="2D0502CD">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62817ED6">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2F30EE04">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0F522AEB">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6F2149F1">
            <w:pPr>
              <w:widowControl/>
              <w:jc w:val="left"/>
              <w:rPr>
                <w:rFonts w:ascii="宋体" w:hAnsi="宋体" w:cs="宋体"/>
                <w:kern w:val="0"/>
                <w:szCs w:val="21"/>
              </w:rPr>
            </w:pPr>
            <w:r>
              <w:rPr>
                <w:rFonts w:hint="eastAsia" w:ascii="宋体" w:hAnsi="宋体" w:cs="宋体"/>
                <w:kern w:val="0"/>
                <w:szCs w:val="21"/>
              </w:rPr>
              <w:t>1000≤Y＜10000</w:t>
            </w:r>
          </w:p>
        </w:tc>
        <w:tc>
          <w:tcPr>
            <w:tcW w:w="1605" w:type="dxa"/>
            <w:tcBorders>
              <w:top w:val="nil"/>
              <w:left w:val="nil"/>
              <w:bottom w:val="single" w:color="auto" w:sz="4" w:space="0"/>
              <w:right w:val="single" w:color="auto" w:sz="4" w:space="0"/>
            </w:tcBorders>
            <w:vAlign w:val="center"/>
          </w:tcPr>
          <w:p w14:paraId="54CBB542">
            <w:pPr>
              <w:widowControl/>
              <w:jc w:val="left"/>
              <w:rPr>
                <w:rFonts w:ascii="宋体" w:hAnsi="宋体" w:cs="宋体"/>
                <w:kern w:val="0"/>
                <w:szCs w:val="21"/>
              </w:rPr>
            </w:pPr>
            <w:r>
              <w:rPr>
                <w:rFonts w:hint="eastAsia" w:ascii="宋体" w:hAnsi="宋体" w:cs="宋体"/>
                <w:kern w:val="0"/>
                <w:szCs w:val="21"/>
              </w:rPr>
              <w:t>50≤Y＜1000</w:t>
            </w:r>
          </w:p>
        </w:tc>
        <w:tc>
          <w:tcPr>
            <w:tcW w:w="960" w:type="dxa"/>
            <w:tcBorders>
              <w:top w:val="nil"/>
              <w:left w:val="nil"/>
              <w:bottom w:val="single" w:color="auto" w:sz="4" w:space="0"/>
              <w:right w:val="single" w:color="auto" w:sz="4" w:space="0"/>
            </w:tcBorders>
            <w:vAlign w:val="center"/>
          </w:tcPr>
          <w:p w14:paraId="4C438C63">
            <w:pPr>
              <w:widowControl/>
              <w:jc w:val="left"/>
              <w:rPr>
                <w:rFonts w:ascii="宋体" w:hAnsi="宋体" w:cs="宋体"/>
                <w:kern w:val="0"/>
                <w:szCs w:val="21"/>
              </w:rPr>
            </w:pPr>
            <w:r>
              <w:rPr>
                <w:rFonts w:hint="eastAsia" w:ascii="宋体" w:hAnsi="宋体" w:cs="宋体"/>
                <w:kern w:val="0"/>
                <w:szCs w:val="21"/>
              </w:rPr>
              <w:t>Y＜50</w:t>
            </w:r>
          </w:p>
        </w:tc>
      </w:tr>
      <w:tr w14:paraId="1509E6AE">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1F1EE93D">
            <w:pPr>
              <w:widowControl/>
              <w:jc w:val="center"/>
              <w:rPr>
                <w:rFonts w:ascii="宋体" w:hAnsi="宋体" w:cs="宋体"/>
                <w:b/>
                <w:bCs/>
                <w:kern w:val="0"/>
                <w:szCs w:val="21"/>
              </w:rPr>
            </w:pPr>
            <w:r>
              <w:rPr>
                <w:rFonts w:hint="eastAsia" w:ascii="宋体" w:hAnsi="宋体" w:cs="宋体"/>
                <w:b/>
                <w:bCs/>
                <w:kern w:val="0"/>
                <w:szCs w:val="21"/>
              </w:rPr>
              <w:t>房地产开发经营</w:t>
            </w:r>
          </w:p>
        </w:tc>
        <w:tc>
          <w:tcPr>
            <w:tcW w:w="1545" w:type="dxa"/>
            <w:tcBorders>
              <w:top w:val="nil"/>
              <w:left w:val="nil"/>
              <w:bottom w:val="single" w:color="auto" w:sz="4" w:space="0"/>
              <w:right w:val="single" w:color="auto" w:sz="4" w:space="0"/>
            </w:tcBorders>
            <w:vAlign w:val="center"/>
          </w:tcPr>
          <w:p w14:paraId="3148A7A2">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44437F76">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58AFDDFB">
            <w:pPr>
              <w:widowControl/>
              <w:jc w:val="left"/>
              <w:rPr>
                <w:rFonts w:ascii="宋体" w:hAnsi="宋体" w:cs="宋体"/>
                <w:kern w:val="0"/>
                <w:szCs w:val="21"/>
              </w:rPr>
            </w:pPr>
            <w:r>
              <w:rPr>
                <w:rFonts w:hint="eastAsia" w:ascii="宋体" w:hAnsi="宋体" w:cs="宋体"/>
                <w:kern w:val="0"/>
                <w:szCs w:val="21"/>
              </w:rPr>
              <w:t>1000≤Y＜200000</w:t>
            </w:r>
          </w:p>
        </w:tc>
        <w:tc>
          <w:tcPr>
            <w:tcW w:w="1605" w:type="dxa"/>
            <w:tcBorders>
              <w:top w:val="nil"/>
              <w:left w:val="nil"/>
              <w:bottom w:val="single" w:color="auto" w:sz="4" w:space="0"/>
              <w:right w:val="single" w:color="auto" w:sz="4" w:space="0"/>
            </w:tcBorders>
            <w:vAlign w:val="center"/>
          </w:tcPr>
          <w:p w14:paraId="4740D8BC">
            <w:pPr>
              <w:widowControl/>
              <w:jc w:val="left"/>
              <w:rPr>
                <w:rFonts w:ascii="宋体" w:hAnsi="宋体" w:cs="宋体"/>
                <w:kern w:val="0"/>
                <w:szCs w:val="21"/>
              </w:rPr>
            </w:pPr>
            <w:r>
              <w:rPr>
                <w:rFonts w:hint="eastAsia" w:ascii="宋体" w:hAnsi="宋体" w:cs="宋体"/>
                <w:kern w:val="0"/>
                <w:szCs w:val="21"/>
              </w:rPr>
              <w:t>100≤X＜1000</w:t>
            </w:r>
          </w:p>
        </w:tc>
        <w:tc>
          <w:tcPr>
            <w:tcW w:w="960" w:type="dxa"/>
            <w:tcBorders>
              <w:top w:val="nil"/>
              <w:left w:val="nil"/>
              <w:bottom w:val="single" w:color="auto" w:sz="4" w:space="0"/>
              <w:right w:val="single" w:color="auto" w:sz="4" w:space="0"/>
            </w:tcBorders>
            <w:vAlign w:val="center"/>
          </w:tcPr>
          <w:p w14:paraId="467FD61F">
            <w:pPr>
              <w:widowControl/>
              <w:jc w:val="left"/>
              <w:rPr>
                <w:rFonts w:ascii="宋体" w:hAnsi="宋体" w:cs="宋体"/>
                <w:kern w:val="0"/>
                <w:szCs w:val="21"/>
              </w:rPr>
            </w:pPr>
            <w:r>
              <w:rPr>
                <w:rFonts w:hint="eastAsia" w:ascii="宋体" w:hAnsi="宋体" w:cs="宋体"/>
                <w:kern w:val="0"/>
                <w:szCs w:val="21"/>
              </w:rPr>
              <w:t>X＜100</w:t>
            </w:r>
          </w:p>
        </w:tc>
      </w:tr>
      <w:tr w14:paraId="648A1916">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07F4631D">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32E4D72A">
            <w:pPr>
              <w:widowControl/>
              <w:jc w:val="left"/>
              <w:rPr>
                <w:rFonts w:ascii="宋体" w:hAnsi="宋体" w:cs="宋体"/>
                <w:kern w:val="0"/>
                <w:szCs w:val="21"/>
              </w:rPr>
            </w:pPr>
            <w:r>
              <w:rPr>
                <w:rFonts w:hint="eastAsia" w:ascii="宋体" w:hAnsi="宋体" w:cs="宋体"/>
                <w:kern w:val="0"/>
                <w:szCs w:val="21"/>
              </w:rPr>
              <w:t>资产总额（Z）</w:t>
            </w:r>
          </w:p>
        </w:tc>
        <w:tc>
          <w:tcPr>
            <w:tcW w:w="1155" w:type="dxa"/>
            <w:tcBorders>
              <w:top w:val="nil"/>
              <w:left w:val="nil"/>
              <w:bottom w:val="single" w:color="auto" w:sz="4" w:space="0"/>
              <w:right w:val="single" w:color="auto" w:sz="4" w:space="0"/>
            </w:tcBorders>
            <w:vAlign w:val="center"/>
          </w:tcPr>
          <w:p w14:paraId="63EB51CB">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0F3E0CDB">
            <w:pPr>
              <w:widowControl/>
              <w:jc w:val="left"/>
              <w:rPr>
                <w:rFonts w:ascii="宋体" w:hAnsi="宋体" w:cs="宋体"/>
                <w:kern w:val="0"/>
                <w:szCs w:val="21"/>
              </w:rPr>
            </w:pPr>
            <w:r>
              <w:rPr>
                <w:rFonts w:hint="eastAsia" w:ascii="宋体" w:hAnsi="宋体" w:cs="宋体"/>
                <w:kern w:val="0"/>
                <w:szCs w:val="21"/>
              </w:rPr>
              <w:t>5000≤Z＜10000</w:t>
            </w:r>
          </w:p>
        </w:tc>
        <w:tc>
          <w:tcPr>
            <w:tcW w:w="1605" w:type="dxa"/>
            <w:tcBorders>
              <w:top w:val="nil"/>
              <w:left w:val="nil"/>
              <w:bottom w:val="single" w:color="auto" w:sz="4" w:space="0"/>
              <w:right w:val="single" w:color="auto" w:sz="4" w:space="0"/>
            </w:tcBorders>
            <w:vAlign w:val="center"/>
          </w:tcPr>
          <w:p w14:paraId="4B32BF4C">
            <w:pPr>
              <w:widowControl/>
              <w:jc w:val="left"/>
              <w:rPr>
                <w:rFonts w:ascii="宋体" w:hAnsi="宋体" w:cs="宋体"/>
                <w:kern w:val="0"/>
                <w:szCs w:val="21"/>
              </w:rPr>
            </w:pPr>
            <w:r>
              <w:rPr>
                <w:rFonts w:hint="eastAsia" w:ascii="宋体" w:hAnsi="宋体" w:cs="宋体"/>
                <w:kern w:val="0"/>
                <w:szCs w:val="21"/>
              </w:rPr>
              <w:t>2000≤Y＜5000</w:t>
            </w:r>
          </w:p>
        </w:tc>
        <w:tc>
          <w:tcPr>
            <w:tcW w:w="960" w:type="dxa"/>
            <w:tcBorders>
              <w:top w:val="nil"/>
              <w:left w:val="nil"/>
              <w:bottom w:val="single" w:color="auto" w:sz="4" w:space="0"/>
              <w:right w:val="single" w:color="auto" w:sz="4" w:space="0"/>
            </w:tcBorders>
            <w:vAlign w:val="center"/>
          </w:tcPr>
          <w:p w14:paraId="7FD292DA">
            <w:pPr>
              <w:widowControl/>
              <w:jc w:val="left"/>
              <w:rPr>
                <w:rFonts w:ascii="宋体" w:hAnsi="宋体" w:cs="宋体"/>
                <w:kern w:val="0"/>
                <w:szCs w:val="21"/>
              </w:rPr>
            </w:pPr>
            <w:r>
              <w:rPr>
                <w:rFonts w:hint="eastAsia" w:ascii="宋体" w:hAnsi="宋体" w:cs="宋体"/>
                <w:kern w:val="0"/>
                <w:szCs w:val="21"/>
              </w:rPr>
              <w:t>Y＜2000</w:t>
            </w:r>
          </w:p>
        </w:tc>
      </w:tr>
      <w:tr w14:paraId="4F52B32C">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27D36473">
            <w:pPr>
              <w:widowControl/>
              <w:jc w:val="center"/>
              <w:rPr>
                <w:rFonts w:ascii="宋体" w:hAnsi="宋体" w:cs="宋体"/>
                <w:b/>
                <w:bCs/>
                <w:kern w:val="0"/>
                <w:szCs w:val="21"/>
              </w:rPr>
            </w:pPr>
            <w:r>
              <w:rPr>
                <w:rFonts w:hint="eastAsia" w:ascii="宋体" w:hAnsi="宋体" w:cs="宋体"/>
                <w:b/>
                <w:bCs/>
                <w:kern w:val="0"/>
                <w:szCs w:val="21"/>
              </w:rPr>
              <w:t>物业管理</w:t>
            </w:r>
          </w:p>
        </w:tc>
        <w:tc>
          <w:tcPr>
            <w:tcW w:w="1545" w:type="dxa"/>
            <w:tcBorders>
              <w:top w:val="nil"/>
              <w:left w:val="nil"/>
              <w:bottom w:val="single" w:color="auto" w:sz="4" w:space="0"/>
              <w:right w:val="single" w:color="auto" w:sz="4" w:space="0"/>
            </w:tcBorders>
            <w:vAlign w:val="center"/>
          </w:tcPr>
          <w:p w14:paraId="4793FD80">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489F4364">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3331B1F3">
            <w:pPr>
              <w:widowControl/>
              <w:jc w:val="left"/>
              <w:rPr>
                <w:rFonts w:ascii="宋体" w:hAnsi="宋体" w:cs="宋体"/>
                <w:kern w:val="0"/>
                <w:szCs w:val="21"/>
              </w:rPr>
            </w:pPr>
            <w:r>
              <w:rPr>
                <w:rFonts w:hint="eastAsia" w:ascii="宋体" w:hAnsi="宋体" w:cs="宋体"/>
                <w:kern w:val="0"/>
                <w:szCs w:val="21"/>
              </w:rPr>
              <w:t>300≤X＜1000</w:t>
            </w:r>
          </w:p>
        </w:tc>
        <w:tc>
          <w:tcPr>
            <w:tcW w:w="1605" w:type="dxa"/>
            <w:tcBorders>
              <w:top w:val="nil"/>
              <w:left w:val="nil"/>
              <w:bottom w:val="single" w:color="auto" w:sz="4" w:space="0"/>
              <w:right w:val="single" w:color="auto" w:sz="4" w:space="0"/>
            </w:tcBorders>
            <w:vAlign w:val="center"/>
          </w:tcPr>
          <w:p w14:paraId="703724E9">
            <w:pPr>
              <w:widowControl/>
              <w:jc w:val="left"/>
              <w:rPr>
                <w:rFonts w:ascii="宋体" w:hAnsi="宋体" w:cs="宋体"/>
                <w:kern w:val="0"/>
                <w:szCs w:val="21"/>
              </w:rPr>
            </w:pPr>
            <w:r>
              <w:rPr>
                <w:rFonts w:hint="eastAsia" w:ascii="宋体" w:hAnsi="宋体" w:cs="宋体"/>
                <w:kern w:val="0"/>
                <w:szCs w:val="21"/>
              </w:rPr>
              <w:t>100≤X＜300</w:t>
            </w:r>
          </w:p>
        </w:tc>
        <w:tc>
          <w:tcPr>
            <w:tcW w:w="960" w:type="dxa"/>
            <w:tcBorders>
              <w:top w:val="nil"/>
              <w:left w:val="nil"/>
              <w:bottom w:val="single" w:color="auto" w:sz="4" w:space="0"/>
              <w:right w:val="single" w:color="auto" w:sz="4" w:space="0"/>
            </w:tcBorders>
            <w:vAlign w:val="center"/>
          </w:tcPr>
          <w:p w14:paraId="78375C31">
            <w:pPr>
              <w:widowControl/>
              <w:jc w:val="left"/>
              <w:rPr>
                <w:rFonts w:ascii="宋体" w:hAnsi="宋体" w:cs="宋体"/>
                <w:kern w:val="0"/>
                <w:szCs w:val="21"/>
              </w:rPr>
            </w:pPr>
            <w:r>
              <w:rPr>
                <w:rFonts w:hint="eastAsia" w:ascii="宋体" w:hAnsi="宋体" w:cs="宋体"/>
                <w:kern w:val="0"/>
                <w:szCs w:val="21"/>
              </w:rPr>
              <w:t>X＜100</w:t>
            </w:r>
          </w:p>
        </w:tc>
      </w:tr>
      <w:tr w14:paraId="092F8C97">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039E4C5A">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2B6A74FA">
            <w:pPr>
              <w:widowControl/>
              <w:jc w:val="left"/>
              <w:rPr>
                <w:rFonts w:ascii="宋体" w:hAnsi="宋体" w:cs="宋体"/>
                <w:kern w:val="0"/>
                <w:szCs w:val="21"/>
              </w:rPr>
            </w:pPr>
            <w:r>
              <w:rPr>
                <w:rFonts w:hint="eastAsia" w:ascii="宋体" w:hAnsi="宋体" w:cs="宋体"/>
                <w:kern w:val="0"/>
                <w:szCs w:val="21"/>
              </w:rPr>
              <w:t>营业收入（Y）</w:t>
            </w:r>
          </w:p>
        </w:tc>
        <w:tc>
          <w:tcPr>
            <w:tcW w:w="1155" w:type="dxa"/>
            <w:tcBorders>
              <w:top w:val="nil"/>
              <w:left w:val="nil"/>
              <w:bottom w:val="single" w:color="auto" w:sz="4" w:space="0"/>
              <w:right w:val="single" w:color="auto" w:sz="4" w:space="0"/>
            </w:tcBorders>
            <w:vAlign w:val="center"/>
          </w:tcPr>
          <w:p w14:paraId="2B9FB999">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7B782024">
            <w:pPr>
              <w:widowControl/>
              <w:jc w:val="left"/>
              <w:rPr>
                <w:rFonts w:ascii="宋体" w:hAnsi="宋体" w:cs="宋体"/>
                <w:kern w:val="0"/>
                <w:szCs w:val="21"/>
              </w:rPr>
            </w:pPr>
            <w:r>
              <w:rPr>
                <w:rFonts w:hint="eastAsia" w:ascii="宋体" w:hAnsi="宋体" w:cs="宋体"/>
                <w:kern w:val="0"/>
                <w:szCs w:val="21"/>
              </w:rPr>
              <w:t>1000≤Y＜5000</w:t>
            </w:r>
          </w:p>
        </w:tc>
        <w:tc>
          <w:tcPr>
            <w:tcW w:w="1605" w:type="dxa"/>
            <w:tcBorders>
              <w:top w:val="nil"/>
              <w:left w:val="nil"/>
              <w:bottom w:val="single" w:color="auto" w:sz="4" w:space="0"/>
              <w:right w:val="single" w:color="auto" w:sz="4" w:space="0"/>
            </w:tcBorders>
            <w:vAlign w:val="center"/>
          </w:tcPr>
          <w:p w14:paraId="12F4B6E1">
            <w:pPr>
              <w:widowControl/>
              <w:jc w:val="left"/>
              <w:rPr>
                <w:rFonts w:ascii="宋体" w:hAnsi="宋体" w:cs="宋体"/>
                <w:kern w:val="0"/>
                <w:szCs w:val="21"/>
              </w:rPr>
            </w:pPr>
            <w:r>
              <w:rPr>
                <w:rFonts w:hint="eastAsia" w:ascii="宋体" w:hAnsi="宋体" w:cs="宋体"/>
                <w:kern w:val="0"/>
                <w:szCs w:val="21"/>
              </w:rPr>
              <w:t>500≤Y＜1000</w:t>
            </w:r>
          </w:p>
        </w:tc>
        <w:tc>
          <w:tcPr>
            <w:tcW w:w="960" w:type="dxa"/>
            <w:tcBorders>
              <w:top w:val="nil"/>
              <w:left w:val="nil"/>
              <w:bottom w:val="single" w:color="auto" w:sz="4" w:space="0"/>
              <w:right w:val="single" w:color="auto" w:sz="4" w:space="0"/>
            </w:tcBorders>
            <w:vAlign w:val="center"/>
          </w:tcPr>
          <w:p w14:paraId="705E1B9C">
            <w:pPr>
              <w:widowControl/>
              <w:jc w:val="left"/>
              <w:rPr>
                <w:rFonts w:ascii="宋体" w:hAnsi="宋体" w:cs="宋体"/>
                <w:kern w:val="0"/>
                <w:szCs w:val="21"/>
              </w:rPr>
            </w:pPr>
            <w:r>
              <w:rPr>
                <w:rFonts w:hint="eastAsia" w:ascii="宋体" w:hAnsi="宋体" w:cs="宋体"/>
                <w:kern w:val="0"/>
                <w:szCs w:val="21"/>
              </w:rPr>
              <w:t>Y＜500</w:t>
            </w:r>
          </w:p>
        </w:tc>
      </w:tr>
      <w:tr w14:paraId="028701BE">
        <w:tblPrEx>
          <w:tblCellMar>
            <w:top w:w="0" w:type="dxa"/>
            <w:left w:w="108" w:type="dxa"/>
            <w:bottom w:w="0" w:type="dxa"/>
            <w:right w:w="108" w:type="dxa"/>
          </w:tblCellMar>
        </w:tblPrEx>
        <w:trPr>
          <w:trHeight w:val="225" w:hRule="atLeast"/>
        </w:trPr>
        <w:tc>
          <w:tcPr>
            <w:tcW w:w="2040" w:type="dxa"/>
            <w:vMerge w:val="restart"/>
            <w:tcBorders>
              <w:top w:val="nil"/>
              <w:left w:val="single" w:color="auto" w:sz="4" w:space="0"/>
              <w:bottom w:val="single" w:color="auto" w:sz="4" w:space="0"/>
              <w:right w:val="single" w:color="auto" w:sz="4" w:space="0"/>
            </w:tcBorders>
            <w:vAlign w:val="bottom"/>
          </w:tcPr>
          <w:p w14:paraId="79F52BA3">
            <w:pPr>
              <w:widowControl/>
              <w:jc w:val="center"/>
              <w:rPr>
                <w:rFonts w:ascii="宋体" w:hAnsi="宋体" w:cs="宋体"/>
                <w:b/>
                <w:bCs/>
                <w:kern w:val="0"/>
                <w:szCs w:val="21"/>
              </w:rPr>
            </w:pPr>
            <w:r>
              <w:rPr>
                <w:rFonts w:hint="eastAsia" w:ascii="宋体" w:hAnsi="宋体" w:cs="宋体"/>
                <w:b/>
                <w:bCs/>
                <w:kern w:val="0"/>
                <w:szCs w:val="21"/>
              </w:rPr>
              <w:t>租赁和商务服务业</w:t>
            </w:r>
          </w:p>
        </w:tc>
        <w:tc>
          <w:tcPr>
            <w:tcW w:w="1545" w:type="dxa"/>
            <w:tcBorders>
              <w:top w:val="nil"/>
              <w:left w:val="nil"/>
              <w:bottom w:val="single" w:color="auto" w:sz="4" w:space="0"/>
              <w:right w:val="single" w:color="auto" w:sz="4" w:space="0"/>
            </w:tcBorders>
            <w:vAlign w:val="center"/>
          </w:tcPr>
          <w:p w14:paraId="57568EC7">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191FC95C">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694719AB">
            <w:pPr>
              <w:widowControl/>
              <w:jc w:val="left"/>
              <w:rPr>
                <w:rFonts w:ascii="宋体" w:hAnsi="宋体" w:cs="宋体"/>
                <w:kern w:val="0"/>
                <w:szCs w:val="21"/>
              </w:rPr>
            </w:pPr>
            <w:r>
              <w:rPr>
                <w:rFonts w:hint="eastAsia" w:ascii="宋体" w:hAnsi="宋体" w:cs="宋体"/>
                <w:kern w:val="0"/>
                <w:szCs w:val="21"/>
              </w:rPr>
              <w:t>100≤X＜300</w:t>
            </w:r>
          </w:p>
        </w:tc>
        <w:tc>
          <w:tcPr>
            <w:tcW w:w="1605" w:type="dxa"/>
            <w:tcBorders>
              <w:top w:val="nil"/>
              <w:left w:val="nil"/>
              <w:bottom w:val="single" w:color="auto" w:sz="4" w:space="0"/>
              <w:right w:val="single" w:color="auto" w:sz="4" w:space="0"/>
            </w:tcBorders>
            <w:vAlign w:val="center"/>
          </w:tcPr>
          <w:p w14:paraId="2EB52A34">
            <w:pPr>
              <w:widowControl/>
              <w:jc w:val="left"/>
              <w:rPr>
                <w:rFonts w:ascii="宋体" w:hAnsi="宋体" w:cs="宋体"/>
                <w:kern w:val="0"/>
                <w:szCs w:val="21"/>
              </w:rPr>
            </w:pPr>
            <w:r>
              <w:rPr>
                <w:rFonts w:hint="eastAsia" w:ascii="宋体" w:hAnsi="宋体" w:cs="宋体"/>
                <w:kern w:val="0"/>
                <w:szCs w:val="21"/>
              </w:rPr>
              <w:t>10≤X＜100</w:t>
            </w:r>
          </w:p>
        </w:tc>
        <w:tc>
          <w:tcPr>
            <w:tcW w:w="960" w:type="dxa"/>
            <w:tcBorders>
              <w:top w:val="nil"/>
              <w:left w:val="nil"/>
              <w:bottom w:val="single" w:color="auto" w:sz="4" w:space="0"/>
              <w:right w:val="single" w:color="auto" w:sz="4" w:space="0"/>
            </w:tcBorders>
            <w:vAlign w:val="center"/>
          </w:tcPr>
          <w:p w14:paraId="14DE1FFD">
            <w:pPr>
              <w:widowControl/>
              <w:jc w:val="left"/>
              <w:rPr>
                <w:rFonts w:ascii="宋体" w:hAnsi="宋体" w:cs="宋体"/>
                <w:kern w:val="0"/>
                <w:szCs w:val="21"/>
              </w:rPr>
            </w:pPr>
            <w:r>
              <w:rPr>
                <w:rFonts w:hint="eastAsia" w:ascii="宋体" w:hAnsi="宋体" w:cs="宋体"/>
                <w:kern w:val="0"/>
                <w:szCs w:val="21"/>
              </w:rPr>
              <w:t>X＜10</w:t>
            </w:r>
          </w:p>
        </w:tc>
      </w:tr>
      <w:tr w14:paraId="5590CA5A">
        <w:tblPrEx>
          <w:tblCellMar>
            <w:top w:w="0" w:type="dxa"/>
            <w:left w:w="108" w:type="dxa"/>
            <w:bottom w:w="0" w:type="dxa"/>
            <w:right w:w="108" w:type="dxa"/>
          </w:tblCellMar>
        </w:tblPrEx>
        <w:trPr>
          <w:trHeight w:val="225" w:hRule="atLeast"/>
        </w:trPr>
        <w:tc>
          <w:tcPr>
            <w:tcW w:w="2040" w:type="dxa"/>
            <w:vMerge w:val="continue"/>
            <w:tcBorders>
              <w:top w:val="nil"/>
              <w:left w:val="single" w:color="auto" w:sz="4" w:space="0"/>
              <w:bottom w:val="single" w:color="auto" w:sz="4" w:space="0"/>
              <w:right w:val="single" w:color="auto" w:sz="4" w:space="0"/>
            </w:tcBorders>
            <w:vAlign w:val="center"/>
          </w:tcPr>
          <w:p w14:paraId="4630F9FF">
            <w:pPr>
              <w:widowControl/>
              <w:jc w:val="left"/>
              <w:rPr>
                <w:rFonts w:ascii="宋体" w:hAnsi="宋体" w:cs="宋体"/>
                <w:b/>
                <w:bCs/>
                <w:kern w:val="0"/>
                <w:szCs w:val="21"/>
              </w:rPr>
            </w:pPr>
          </w:p>
        </w:tc>
        <w:tc>
          <w:tcPr>
            <w:tcW w:w="1545" w:type="dxa"/>
            <w:tcBorders>
              <w:top w:val="nil"/>
              <w:left w:val="nil"/>
              <w:bottom w:val="single" w:color="auto" w:sz="4" w:space="0"/>
              <w:right w:val="single" w:color="auto" w:sz="4" w:space="0"/>
            </w:tcBorders>
            <w:vAlign w:val="center"/>
          </w:tcPr>
          <w:p w14:paraId="07F9DECC">
            <w:pPr>
              <w:widowControl/>
              <w:jc w:val="left"/>
              <w:rPr>
                <w:rFonts w:ascii="宋体" w:hAnsi="宋体" w:cs="宋体"/>
                <w:kern w:val="0"/>
                <w:szCs w:val="21"/>
              </w:rPr>
            </w:pPr>
            <w:r>
              <w:rPr>
                <w:rFonts w:hint="eastAsia" w:ascii="宋体" w:hAnsi="宋体" w:cs="宋体"/>
                <w:kern w:val="0"/>
                <w:szCs w:val="21"/>
              </w:rPr>
              <w:t>资产总额（Z）</w:t>
            </w:r>
          </w:p>
        </w:tc>
        <w:tc>
          <w:tcPr>
            <w:tcW w:w="1155" w:type="dxa"/>
            <w:tcBorders>
              <w:top w:val="nil"/>
              <w:left w:val="nil"/>
              <w:bottom w:val="single" w:color="auto" w:sz="4" w:space="0"/>
              <w:right w:val="single" w:color="auto" w:sz="4" w:space="0"/>
            </w:tcBorders>
            <w:vAlign w:val="center"/>
          </w:tcPr>
          <w:p w14:paraId="08833A17">
            <w:pPr>
              <w:widowControl/>
              <w:jc w:val="left"/>
              <w:rPr>
                <w:rFonts w:ascii="宋体" w:hAnsi="宋体" w:cs="宋体"/>
                <w:kern w:val="0"/>
                <w:szCs w:val="21"/>
              </w:rPr>
            </w:pPr>
            <w:r>
              <w:rPr>
                <w:rFonts w:hint="eastAsia" w:ascii="宋体" w:hAnsi="宋体" w:cs="宋体"/>
                <w:kern w:val="0"/>
                <w:szCs w:val="21"/>
              </w:rPr>
              <w:t>万元</w:t>
            </w:r>
          </w:p>
        </w:tc>
        <w:tc>
          <w:tcPr>
            <w:tcW w:w="1845" w:type="dxa"/>
            <w:tcBorders>
              <w:top w:val="nil"/>
              <w:left w:val="nil"/>
              <w:bottom w:val="single" w:color="auto" w:sz="4" w:space="0"/>
              <w:right w:val="single" w:color="auto" w:sz="4" w:space="0"/>
            </w:tcBorders>
            <w:vAlign w:val="center"/>
          </w:tcPr>
          <w:p w14:paraId="2FA05CCD">
            <w:pPr>
              <w:widowControl/>
              <w:jc w:val="left"/>
              <w:rPr>
                <w:rFonts w:ascii="宋体" w:hAnsi="宋体" w:cs="宋体"/>
                <w:kern w:val="0"/>
                <w:szCs w:val="21"/>
              </w:rPr>
            </w:pPr>
            <w:r>
              <w:rPr>
                <w:rFonts w:hint="eastAsia" w:ascii="宋体" w:hAnsi="宋体" w:cs="宋体"/>
                <w:kern w:val="0"/>
                <w:szCs w:val="21"/>
              </w:rPr>
              <w:t>8000≤Z＜120000</w:t>
            </w:r>
          </w:p>
        </w:tc>
        <w:tc>
          <w:tcPr>
            <w:tcW w:w="1605" w:type="dxa"/>
            <w:tcBorders>
              <w:top w:val="nil"/>
              <w:left w:val="nil"/>
              <w:bottom w:val="single" w:color="auto" w:sz="4" w:space="0"/>
              <w:right w:val="single" w:color="auto" w:sz="4" w:space="0"/>
            </w:tcBorders>
            <w:vAlign w:val="center"/>
          </w:tcPr>
          <w:p w14:paraId="788E1609">
            <w:pPr>
              <w:widowControl/>
              <w:jc w:val="left"/>
              <w:rPr>
                <w:rFonts w:ascii="宋体" w:hAnsi="宋体" w:cs="宋体"/>
                <w:kern w:val="0"/>
                <w:szCs w:val="21"/>
              </w:rPr>
            </w:pPr>
            <w:r>
              <w:rPr>
                <w:rFonts w:hint="eastAsia" w:ascii="宋体" w:hAnsi="宋体" w:cs="宋体"/>
                <w:kern w:val="0"/>
                <w:szCs w:val="21"/>
              </w:rPr>
              <w:t>100≤Z＜8000</w:t>
            </w:r>
          </w:p>
        </w:tc>
        <w:tc>
          <w:tcPr>
            <w:tcW w:w="960" w:type="dxa"/>
            <w:tcBorders>
              <w:top w:val="nil"/>
              <w:left w:val="nil"/>
              <w:bottom w:val="single" w:color="auto" w:sz="4" w:space="0"/>
              <w:right w:val="single" w:color="auto" w:sz="4" w:space="0"/>
            </w:tcBorders>
            <w:vAlign w:val="center"/>
          </w:tcPr>
          <w:p w14:paraId="2B51601D">
            <w:pPr>
              <w:widowControl/>
              <w:jc w:val="left"/>
              <w:rPr>
                <w:rFonts w:ascii="宋体" w:hAnsi="宋体" w:cs="宋体"/>
                <w:kern w:val="0"/>
                <w:szCs w:val="21"/>
              </w:rPr>
            </w:pPr>
            <w:r>
              <w:rPr>
                <w:rFonts w:hint="eastAsia" w:ascii="宋体" w:hAnsi="宋体" w:cs="宋体"/>
                <w:kern w:val="0"/>
                <w:szCs w:val="21"/>
              </w:rPr>
              <w:t>Y＜100</w:t>
            </w:r>
          </w:p>
        </w:tc>
      </w:tr>
      <w:tr w14:paraId="7F973706">
        <w:tblPrEx>
          <w:tblCellMar>
            <w:top w:w="0" w:type="dxa"/>
            <w:left w:w="108" w:type="dxa"/>
            <w:bottom w:w="0" w:type="dxa"/>
            <w:right w:w="108" w:type="dxa"/>
          </w:tblCellMar>
        </w:tblPrEx>
        <w:trPr>
          <w:trHeight w:val="225" w:hRule="atLeast"/>
        </w:trPr>
        <w:tc>
          <w:tcPr>
            <w:tcW w:w="2040" w:type="dxa"/>
            <w:tcBorders>
              <w:top w:val="nil"/>
              <w:left w:val="single" w:color="auto" w:sz="4" w:space="0"/>
              <w:bottom w:val="single" w:color="auto" w:sz="4" w:space="0"/>
              <w:right w:val="single" w:color="auto" w:sz="4" w:space="0"/>
            </w:tcBorders>
            <w:vAlign w:val="bottom"/>
          </w:tcPr>
          <w:p w14:paraId="65681B18">
            <w:pPr>
              <w:widowControl/>
              <w:jc w:val="center"/>
              <w:rPr>
                <w:rFonts w:ascii="宋体" w:hAnsi="宋体" w:cs="宋体"/>
                <w:b/>
                <w:bCs/>
                <w:kern w:val="0"/>
                <w:szCs w:val="21"/>
              </w:rPr>
            </w:pPr>
            <w:r>
              <w:rPr>
                <w:rFonts w:hint="eastAsia" w:ascii="宋体" w:hAnsi="宋体" w:cs="宋体"/>
                <w:b/>
                <w:bCs/>
                <w:kern w:val="0"/>
                <w:szCs w:val="21"/>
              </w:rPr>
              <w:t>其他未列明行业</w:t>
            </w:r>
          </w:p>
        </w:tc>
        <w:tc>
          <w:tcPr>
            <w:tcW w:w="1545" w:type="dxa"/>
            <w:tcBorders>
              <w:top w:val="nil"/>
              <w:left w:val="nil"/>
              <w:bottom w:val="single" w:color="auto" w:sz="4" w:space="0"/>
              <w:right w:val="single" w:color="auto" w:sz="4" w:space="0"/>
            </w:tcBorders>
            <w:vAlign w:val="center"/>
          </w:tcPr>
          <w:p w14:paraId="282159D4">
            <w:pPr>
              <w:widowControl/>
              <w:jc w:val="left"/>
              <w:rPr>
                <w:rFonts w:ascii="宋体" w:hAnsi="宋体" w:cs="宋体"/>
                <w:kern w:val="0"/>
                <w:szCs w:val="21"/>
              </w:rPr>
            </w:pPr>
            <w:r>
              <w:rPr>
                <w:rFonts w:hint="eastAsia" w:ascii="宋体" w:hAnsi="宋体" w:cs="宋体"/>
                <w:kern w:val="0"/>
                <w:szCs w:val="21"/>
              </w:rPr>
              <w:t>从业人员（X）</w:t>
            </w:r>
          </w:p>
        </w:tc>
        <w:tc>
          <w:tcPr>
            <w:tcW w:w="1155" w:type="dxa"/>
            <w:tcBorders>
              <w:top w:val="nil"/>
              <w:left w:val="nil"/>
              <w:bottom w:val="single" w:color="auto" w:sz="4" w:space="0"/>
              <w:right w:val="single" w:color="auto" w:sz="4" w:space="0"/>
            </w:tcBorders>
            <w:vAlign w:val="center"/>
          </w:tcPr>
          <w:p w14:paraId="59244F1D">
            <w:pPr>
              <w:widowControl/>
              <w:jc w:val="left"/>
              <w:rPr>
                <w:rFonts w:ascii="宋体" w:hAnsi="宋体" w:cs="宋体"/>
                <w:kern w:val="0"/>
                <w:szCs w:val="21"/>
              </w:rPr>
            </w:pPr>
            <w:r>
              <w:rPr>
                <w:rFonts w:hint="eastAsia" w:ascii="宋体" w:hAnsi="宋体" w:cs="宋体"/>
                <w:kern w:val="0"/>
                <w:szCs w:val="21"/>
              </w:rPr>
              <w:t>人</w:t>
            </w:r>
          </w:p>
        </w:tc>
        <w:tc>
          <w:tcPr>
            <w:tcW w:w="1845" w:type="dxa"/>
            <w:tcBorders>
              <w:top w:val="nil"/>
              <w:left w:val="nil"/>
              <w:bottom w:val="single" w:color="auto" w:sz="4" w:space="0"/>
              <w:right w:val="single" w:color="auto" w:sz="4" w:space="0"/>
            </w:tcBorders>
            <w:vAlign w:val="center"/>
          </w:tcPr>
          <w:p w14:paraId="6419A22F">
            <w:pPr>
              <w:widowControl/>
              <w:jc w:val="left"/>
              <w:rPr>
                <w:rFonts w:ascii="宋体" w:hAnsi="宋体" w:cs="宋体"/>
                <w:kern w:val="0"/>
                <w:szCs w:val="21"/>
              </w:rPr>
            </w:pPr>
            <w:r>
              <w:rPr>
                <w:rFonts w:hint="eastAsia" w:ascii="宋体" w:hAnsi="宋体" w:cs="宋体"/>
                <w:kern w:val="0"/>
                <w:szCs w:val="21"/>
              </w:rPr>
              <w:t>100≤X＜300</w:t>
            </w:r>
          </w:p>
        </w:tc>
        <w:tc>
          <w:tcPr>
            <w:tcW w:w="1605" w:type="dxa"/>
            <w:tcBorders>
              <w:top w:val="nil"/>
              <w:left w:val="nil"/>
              <w:bottom w:val="single" w:color="auto" w:sz="4" w:space="0"/>
              <w:right w:val="single" w:color="auto" w:sz="4" w:space="0"/>
            </w:tcBorders>
            <w:vAlign w:val="center"/>
          </w:tcPr>
          <w:p w14:paraId="5460E564">
            <w:pPr>
              <w:widowControl/>
              <w:jc w:val="left"/>
              <w:rPr>
                <w:rFonts w:ascii="宋体" w:hAnsi="宋体" w:cs="宋体"/>
                <w:kern w:val="0"/>
                <w:szCs w:val="21"/>
              </w:rPr>
            </w:pPr>
            <w:r>
              <w:rPr>
                <w:rFonts w:hint="eastAsia" w:ascii="宋体" w:hAnsi="宋体" w:cs="宋体"/>
                <w:kern w:val="0"/>
                <w:szCs w:val="21"/>
              </w:rPr>
              <w:t>10≤X＜100</w:t>
            </w:r>
          </w:p>
        </w:tc>
        <w:tc>
          <w:tcPr>
            <w:tcW w:w="960" w:type="dxa"/>
            <w:tcBorders>
              <w:top w:val="nil"/>
              <w:left w:val="nil"/>
              <w:bottom w:val="single" w:color="auto" w:sz="4" w:space="0"/>
              <w:right w:val="single" w:color="auto" w:sz="4" w:space="0"/>
            </w:tcBorders>
            <w:vAlign w:val="center"/>
          </w:tcPr>
          <w:p w14:paraId="0ED49DDE">
            <w:pPr>
              <w:widowControl/>
              <w:jc w:val="left"/>
              <w:rPr>
                <w:rFonts w:ascii="宋体" w:hAnsi="宋体" w:cs="宋体"/>
                <w:kern w:val="0"/>
                <w:szCs w:val="21"/>
              </w:rPr>
            </w:pPr>
            <w:r>
              <w:rPr>
                <w:rFonts w:hint="eastAsia" w:ascii="宋体" w:hAnsi="宋体" w:cs="宋体"/>
                <w:kern w:val="0"/>
                <w:szCs w:val="21"/>
              </w:rPr>
              <w:t>X＜10</w:t>
            </w:r>
          </w:p>
        </w:tc>
      </w:tr>
    </w:tbl>
    <w:p w14:paraId="2D237186">
      <w:pPr>
        <w:spacing w:line="400" w:lineRule="exact"/>
        <w:ind w:firstLine="420" w:firstLineChars="200"/>
      </w:pPr>
      <w:r>
        <w:rPr>
          <w:rFonts w:hint="eastAsia" w:ascii="宋体"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1DBC09E">
      <w:pPr>
        <w:spacing w:line="400" w:lineRule="exact"/>
      </w:pPr>
    </w:p>
    <w:p w14:paraId="4F80A2B3">
      <w:pPr>
        <w:pStyle w:val="5"/>
        <w:spacing w:before="0" w:after="0"/>
        <w:rPr>
          <w:rFonts w:hAnsi="宋体"/>
          <w:b w:val="0"/>
          <w:bCs w:val="0"/>
        </w:rPr>
      </w:pPr>
      <w:r>
        <w:rPr>
          <w:rFonts w:hint="eastAsia" w:ascii="宋体" w:hAnsi="宋体" w:cs="宋体"/>
          <w:b w:val="0"/>
          <w:bCs w:val="0"/>
          <w:sz w:val="21"/>
          <w:szCs w:val="21"/>
        </w:rPr>
        <w:br w:type="page"/>
      </w:r>
    </w:p>
    <w:p w14:paraId="43D500B9">
      <w:pPr>
        <w:pStyle w:val="2"/>
        <w:spacing w:before="0" w:after="0" w:line="460" w:lineRule="exact"/>
        <w:jc w:val="center"/>
        <w:rPr>
          <w:rFonts w:ascii="宋体" w:hAnsi="宋体" w:cs="宋体"/>
        </w:rPr>
      </w:pPr>
      <w:bookmarkStart w:id="18" w:name="_Toc74323459"/>
      <w:r>
        <w:rPr>
          <w:rFonts w:hint="eastAsia" w:ascii="宋体" w:hAnsi="宋体" w:cs="宋体"/>
          <w:sz w:val="32"/>
          <w:szCs w:val="32"/>
        </w:rPr>
        <w:t>第四章 评审程序、评审方法和评审标准</w:t>
      </w:r>
      <w:bookmarkEnd w:id="18"/>
    </w:p>
    <w:p w14:paraId="67B3A85C">
      <w:pPr>
        <w:spacing w:line="460" w:lineRule="exact"/>
        <w:jc w:val="center"/>
        <w:rPr>
          <w:rFonts w:ascii="宋体" w:hAnsi="宋体" w:cs="宋体"/>
          <w:b/>
          <w:sz w:val="32"/>
          <w:szCs w:val="32"/>
        </w:rPr>
      </w:pPr>
      <w:r>
        <w:rPr>
          <w:rFonts w:hint="eastAsia" w:ascii="宋体" w:hAnsi="宋体" w:cs="宋体"/>
          <w:b/>
          <w:sz w:val="32"/>
          <w:szCs w:val="32"/>
        </w:rPr>
        <w:t>一、评审程序和评审方法</w:t>
      </w:r>
    </w:p>
    <w:p w14:paraId="5ECF6BFC">
      <w:pPr>
        <w:spacing w:line="400" w:lineRule="exact"/>
        <w:ind w:firstLine="422" w:firstLineChars="200"/>
        <w:jc w:val="left"/>
        <w:rPr>
          <w:rFonts w:ascii="宋体" w:hAnsi="宋体" w:cs="宋体"/>
          <w:b/>
          <w:bCs/>
          <w:szCs w:val="21"/>
        </w:rPr>
      </w:pPr>
      <w:r>
        <w:rPr>
          <w:rFonts w:hint="eastAsia" w:ascii="黑体" w:hAnsi="黑体" w:eastAsia="黑体" w:cs="黑体"/>
          <w:b/>
          <w:bCs/>
          <w:szCs w:val="21"/>
        </w:rPr>
        <w:t>1.资格审查</w:t>
      </w:r>
    </w:p>
    <w:p w14:paraId="1739281C">
      <w:pPr>
        <w:snapToGrid w:val="0"/>
        <w:spacing w:line="400" w:lineRule="exact"/>
        <w:ind w:firstLine="420" w:firstLineChars="200"/>
        <w:jc w:val="left"/>
        <w:rPr>
          <w:rFonts w:ascii="宋体" w:hAnsi="宋体" w:cs="宋体"/>
          <w:szCs w:val="21"/>
        </w:rPr>
      </w:pPr>
      <w:r>
        <w:rPr>
          <w:rFonts w:hint="eastAsia" w:ascii="宋体" w:hAnsi="宋体" w:cs="宋体"/>
          <w:szCs w:val="21"/>
        </w:rPr>
        <w:t>1.1 响应文件开启后，磋商小组依法对供应商的资格证明文件进行审查。</w:t>
      </w:r>
    </w:p>
    <w:p w14:paraId="42C35FAF">
      <w:pPr>
        <w:snapToGrid w:val="0"/>
        <w:spacing w:line="400" w:lineRule="exact"/>
        <w:ind w:firstLine="420" w:firstLineChars="200"/>
        <w:jc w:val="left"/>
        <w:rPr>
          <w:rFonts w:ascii="宋体" w:hAnsi="宋体" w:cs="宋体"/>
          <w:szCs w:val="21"/>
        </w:rPr>
      </w:pPr>
      <w:r>
        <w:rPr>
          <w:rFonts w:hint="eastAsia" w:ascii="宋体" w:hAnsi="宋体" w:cs="宋体"/>
          <w:szCs w:val="21"/>
        </w:rPr>
        <w:t>（1）查询渠道：“信用中国”网站（www.creditchina.gov.cn）、中国政府采购网（www.ccgp.gov.cn）。</w:t>
      </w:r>
    </w:p>
    <w:p w14:paraId="0DD6509A">
      <w:pPr>
        <w:snapToGrid w:val="0"/>
        <w:spacing w:line="400" w:lineRule="exact"/>
        <w:ind w:firstLine="420" w:firstLineChars="200"/>
        <w:jc w:val="left"/>
        <w:rPr>
          <w:rFonts w:ascii="宋体" w:hAnsi="宋体" w:cs="宋体"/>
          <w:szCs w:val="21"/>
        </w:rPr>
      </w:pPr>
      <w:r>
        <w:rPr>
          <w:rFonts w:hint="eastAsia" w:ascii="宋体" w:hAnsi="宋体" w:cs="宋体"/>
          <w:szCs w:val="21"/>
        </w:rPr>
        <w:t>（2）信用查询截止时点：资格审查结束前。</w:t>
      </w:r>
    </w:p>
    <w:p w14:paraId="20C48BE4">
      <w:pPr>
        <w:snapToGrid w:val="0"/>
        <w:spacing w:line="400" w:lineRule="exact"/>
        <w:ind w:firstLine="420" w:firstLineChars="200"/>
        <w:jc w:val="left"/>
        <w:rPr>
          <w:rFonts w:ascii="宋体" w:hAnsi="宋体" w:cs="宋体"/>
          <w:szCs w:val="21"/>
        </w:rPr>
      </w:pPr>
      <w:r>
        <w:rPr>
          <w:rFonts w:hint="eastAsia" w:ascii="宋体" w:hAnsi="宋体" w:cs="宋体"/>
          <w:szCs w:val="21"/>
        </w:rPr>
        <w:t>（3）查询记录和证据留存方式：在查询网站中直接打印查询记录，打印材料作为评审资料保存。</w:t>
      </w:r>
    </w:p>
    <w:p w14:paraId="0F384F6E">
      <w:pPr>
        <w:spacing w:line="400" w:lineRule="exact"/>
        <w:ind w:firstLine="420" w:firstLineChars="200"/>
        <w:jc w:val="left"/>
        <w:rPr>
          <w:rFonts w:ascii="宋体" w:hAnsi="宋体" w:cs="宋体"/>
          <w:szCs w:val="21"/>
        </w:rPr>
      </w:pPr>
      <w:r>
        <w:rPr>
          <w:rFonts w:hint="eastAsia" w:ascii="宋体" w:hAnsi="宋体" w:cs="宋体"/>
          <w:szCs w:val="21"/>
        </w:rPr>
        <w:t>（4）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AC49AA6">
      <w:pPr>
        <w:spacing w:line="400" w:lineRule="exact"/>
        <w:ind w:firstLine="420" w:firstLineChars="200"/>
        <w:jc w:val="left"/>
        <w:rPr>
          <w:rFonts w:ascii="宋体" w:hAnsi="宋体" w:cs="宋体"/>
          <w:szCs w:val="21"/>
        </w:rPr>
      </w:pPr>
      <w:r>
        <w:rPr>
          <w:rFonts w:hint="eastAsia" w:ascii="宋体" w:hAnsi="宋体" w:cs="宋体"/>
          <w:szCs w:val="21"/>
        </w:rPr>
        <w:t>1.2 资格审查标准为本磋商文件中载明对供应商资格要求的条件。资格审查采用合格制，凡符合磋商文件规定的供应商资格要求的响应文件均通过资格审查。</w:t>
      </w:r>
    </w:p>
    <w:p w14:paraId="68605849">
      <w:pPr>
        <w:spacing w:line="400" w:lineRule="exact"/>
        <w:ind w:firstLine="420" w:firstLineChars="200"/>
        <w:jc w:val="left"/>
        <w:rPr>
          <w:rFonts w:ascii="宋体" w:hAnsi="宋体" w:cs="宋体"/>
          <w:szCs w:val="21"/>
        </w:rPr>
      </w:pPr>
      <w:r>
        <w:rPr>
          <w:rFonts w:hint="eastAsia" w:ascii="宋体" w:hAnsi="宋体" w:cs="宋体"/>
          <w:szCs w:val="21"/>
        </w:rPr>
        <w:t>1.3 供应商有下列情形之一的，资格审查不通过，其响应文件按无效响应处理：</w:t>
      </w:r>
    </w:p>
    <w:p w14:paraId="581C24BB">
      <w:pPr>
        <w:snapToGrid w:val="0"/>
        <w:spacing w:line="400" w:lineRule="exact"/>
        <w:ind w:firstLine="420" w:firstLineChars="200"/>
        <w:jc w:val="left"/>
        <w:rPr>
          <w:rFonts w:ascii="宋体" w:hAnsi="宋体" w:cs="宋体"/>
          <w:szCs w:val="21"/>
        </w:rPr>
      </w:pPr>
      <w:r>
        <w:rPr>
          <w:rFonts w:hint="eastAsia" w:ascii="宋体" w:hAnsi="宋体" w:cs="宋体"/>
          <w:szCs w:val="21"/>
        </w:rPr>
        <w:t>（1）不具备磋商文件中规定的资格要求的；</w:t>
      </w:r>
    </w:p>
    <w:p w14:paraId="7FF9CB72">
      <w:pPr>
        <w:spacing w:line="400" w:lineRule="exact"/>
        <w:ind w:firstLine="420" w:firstLineChars="200"/>
        <w:jc w:val="left"/>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14:paraId="6200B4AF">
      <w:pPr>
        <w:spacing w:line="400" w:lineRule="exact"/>
        <w:ind w:firstLine="420" w:firstLineChars="200"/>
        <w:jc w:val="left"/>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482865C5">
      <w:pPr>
        <w:spacing w:line="400" w:lineRule="exact"/>
        <w:ind w:firstLine="420" w:firstLineChars="200"/>
        <w:jc w:val="left"/>
        <w:rPr>
          <w:rFonts w:ascii="宋体" w:hAnsi="宋体" w:cs="宋体"/>
          <w:szCs w:val="21"/>
        </w:rPr>
      </w:pPr>
      <w:r>
        <w:rPr>
          <w:rFonts w:hint="eastAsia" w:ascii="宋体" w:hAnsi="宋体" w:cs="宋体"/>
          <w:szCs w:val="21"/>
        </w:rPr>
        <w:t>1.4 通过资格审查的合格供应商不足3家的，不得进入符合性审查环节，采购人或者采购代理机构应当重新开展采购活动。</w:t>
      </w:r>
    </w:p>
    <w:p w14:paraId="7C14146C">
      <w:pPr>
        <w:spacing w:line="400" w:lineRule="exact"/>
        <w:ind w:firstLine="422" w:firstLineChars="200"/>
        <w:jc w:val="left"/>
        <w:rPr>
          <w:rFonts w:ascii="宋体" w:hAnsi="宋体" w:cs="宋体"/>
          <w:b/>
          <w:bCs/>
          <w:szCs w:val="21"/>
        </w:rPr>
      </w:pPr>
      <w:r>
        <w:rPr>
          <w:rFonts w:hint="eastAsia" w:ascii="黑体" w:hAnsi="黑体" w:eastAsia="黑体" w:cs="黑体"/>
          <w:b/>
          <w:bCs/>
          <w:szCs w:val="21"/>
        </w:rPr>
        <w:t>2.符合性审查</w:t>
      </w:r>
    </w:p>
    <w:p w14:paraId="1735E740">
      <w:pPr>
        <w:spacing w:line="400" w:lineRule="exact"/>
        <w:ind w:firstLine="420" w:firstLineChars="200"/>
        <w:jc w:val="left"/>
        <w:rPr>
          <w:rFonts w:ascii="宋体" w:hAnsi="宋体" w:cs="宋体"/>
          <w:szCs w:val="21"/>
        </w:rPr>
      </w:pPr>
      <w:bookmarkStart w:id="19" w:name="_Hlk42528882"/>
      <w:r>
        <w:rPr>
          <w:rFonts w:hint="eastAsia" w:ascii="宋体" w:hAnsi="宋体" w:cs="宋体"/>
          <w:szCs w:val="21"/>
        </w:rPr>
        <w:t>2.1 由磋商小组对通过资格审查的合格供应商的响应文件的竞标报价、商务、技术等实质性要求进行符合性审查，以确定其是否满足磋商文件的实质性要求。</w:t>
      </w:r>
    </w:p>
    <w:bookmarkEnd w:id="19"/>
    <w:p w14:paraId="5F9466B8">
      <w:pPr>
        <w:spacing w:line="400" w:lineRule="exact"/>
        <w:ind w:firstLine="420" w:firstLineChars="200"/>
        <w:jc w:val="left"/>
        <w:rPr>
          <w:rFonts w:ascii="宋体" w:hAnsi="宋体" w:cs="宋体"/>
          <w:szCs w:val="21"/>
        </w:rPr>
      </w:pPr>
      <w:r>
        <w:rPr>
          <w:rFonts w:hint="eastAsia" w:ascii="宋体" w:hAnsi="宋体" w:cs="宋体"/>
          <w:szCs w:val="21"/>
        </w:rPr>
        <w:t>2.2 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89FFA6">
      <w:pPr>
        <w:spacing w:line="400" w:lineRule="exact"/>
        <w:ind w:firstLine="420" w:firstLineChars="200"/>
        <w:jc w:val="left"/>
        <w:rPr>
          <w:rFonts w:ascii="宋体" w:hAnsi="宋体" w:cs="宋体"/>
          <w:spacing w:val="-6"/>
          <w:szCs w:val="21"/>
        </w:rPr>
      </w:pPr>
      <w:r>
        <w:rPr>
          <w:rFonts w:hint="eastAsia" w:ascii="宋体" w:hAnsi="宋体" w:cs="宋体"/>
          <w:szCs w:val="21"/>
        </w:rPr>
        <w:t>2.3 磋商小组要求供应商澄清、说明或者更正响应文件。供应商的澄清、说明或者更正应当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szCs w:val="21"/>
        </w:rPr>
        <w:t>若委托代理人不是响应文件中授权的委托代理人时，必须同时出示有效的法定代表人授权委托书复印件</w:t>
      </w:r>
      <w:r>
        <w:rPr>
          <w:rFonts w:hint="eastAsia" w:ascii="宋体" w:hAnsi="宋体" w:cs="宋体"/>
          <w:spacing w:val="-6"/>
          <w:szCs w:val="21"/>
        </w:rPr>
        <w:t>。供应商为自然人的，必须由本人签字并附身份证明。</w:t>
      </w:r>
    </w:p>
    <w:p w14:paraId="287ED316">
      <w:pPr>
        <w:spacing w:line="400" w:lineRule="exact"/>
        <w:ind w:firstLine="396" w:firstLineChars="200"/>
        <w:jc w:val="left"/>
        <w:rPr>
          <w:rFonts w:ascii="宋体" w:hAnsi="宋体" w:cs="宋体"/>
          <w:szCs w:val="21"/>
        </w:rPr>
      </w:pPr>
      <w:r>
        <w:rPr>
          <w:rFonts w:hint="eastAsia" w:ascii="宋体" w:hAnsi="宋体" w:cs="宋体"/>
          <w:spacing w:val="-6"/>
          <w:szCs w:val="21"/>
        </w:rPr>
        <w:t xml:space="preserve">2.4 </w:t>
      </w:r>
      <w:r>
        <w:rPr>
          <w:rFonts w:hint="eastAsia" w:ascii="宋体" w:hAnsi="宋体" w:cs="宋体"/>
          <w:szCs w:val="21"/>
        </w:rPr>
        <w:t xml:space="preserve">首次响应文件报价出现前后不一致的，按照下列规定修正： </w:t>
      </w:r>
    </w:p>
    <w:p w14:paraId="30FB2BE7">
      <w:pPr>
        <w:spacing w:line="400" w:lineRule="exact"/>
        <w:ind w:firstLine="420" w:firstLineChars="200"/>
        <w:jc w:val="left"/>
        <w:rPr>
          <w:rFonts w:ascii="宋体" w:hAnsi="宋体" w:cs="宋体"/>
          <w:szCs w:val="21"/>
        </w:rPr>
      </w:pPr>
      <w:r>
        <w:rPr>
          <w:rFonts w:hint="eastAsia" w:ascii="宋体" w:hAnsi="宋体" w:cs="宋体"/>
          <w:szCs w:val="21"/>
        </w:rPr>
        <w:t>（1）响应文件中报价表内容与响应文件中相应内容不一致的，以报价表为准；</w:t>
      </w:r>
    </w:p>
    <w:p w14:paraId="40173F45">
      <w:pPr>
        <w:spacing w:line="400" w:lineRule="exact"/>
        <w:ind w:firstLine="420" w:firstLineChars="200"/>
        <w:jc w:val="left"/>
        <w:rPr>
          <w:rFonts w:ascii="宋体" w:hAnsi="宋体" w:cs="宋体"/>
          <w:szCs w:val="21"/>
        </w:rPr>
      </w:pPr>
      <w:r>
        <w:rPr>
          <w:rFonts w:hint="eastAsia" w:ascii="宋体" w:hAnsi="宋体" w:cs="宋体"/>
          <w:szCs w:val="21"/>
        </w:rPr>
        <w:t>（2）大写金额和小写金额不一致的，以大写金额为准；</w:t>
      </w:r>
    </w:p>
    <w:p w14:paraId="03866547">
      <w:pPr>
        <w:spacing w:line="400" w:lineRule="exact"/>
        <w:ind w:firstLine="420" w:firstLineChars="200"/>
        <w:jc w:val="left"/>
        <w:rPr>
          <w:rFonts w:ascii="宋体" w:hAnsi="宋体" w:cs="宋体"/>
          <w:szCs w:val="21"/>
        </w:rPr>
      </w:pPr>
      <w:r>
        <w:rPr>
          <w:rFonts w:hint="eastAsia" w:ascii="宋体" w:hAnsi="宋体" w:cs="宋体"/>
          <w:szCs w:val="21"/>
        </w:rPr>
        <w:t>（3）单价金额小数点或者百分比有明显错位的，以报价表的总价为准，并修改单价；</w:t>
      </w:r>
    </w:p>
    <w:p w14:paraId="5CE79D67">
      <w:pPr>
        <w:spacing w:line="400" w:lineRule="exact"/>
        <w:ind w:firstLine="420" w:firstLineChars="200"/>
        <w:jc w:val="left"/>
        <w:rPr>
          <w:rFonts w:ascii="宋体" w:hAnsi="宋体" w:cs="宋体"/>
          <w:szCs w:val="21"/>
        </w:rPr>
      </w:pPr>
      <w:r>
        <w:rPr>
          <w:rFonts w:hint="eastAsia" w:ascii="宋体" w:hAnsi="宋体" w:cs="宋体"/>
          <w:szCs w:val="21"/>
        </w:rPr>
        <w:t>（4）总价金额与按单价汇总金额不一致的，以单价金额计算结果为准。</w:t>
      </w:r>
    </w:p>
    <w:p w14:paraId="00BE7CDE">
      <w:pPr>
        <w:spacing w:line="400" w:lineRule="exact"/>
        <w:ind w:firstLine="420" w:firstLineChars="200"/>
        <w:jc w:val="left"/>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0DA169A8">
      <w:pPr>
        <w:spacing w:line="400" w:lineRule="exact"/>
        <w:ind w:firstLine="420" w:firstLineChars="200"/>
        <w:jc w:val="left"/>
        <w:rPr>
          <w:rFonts w:ascii="宋体" w:hAnsi="宋体" w:cs="宋体"/>
          <w:szCs w:val="21"/>
        </w:rPr>
      </w:pPr>
      <w:r>
        <w:rPr>
          <w:rFonts w:hint="eastAsia" w:ascii="宋体" w:hAnsi="宋体" w:cs="宋体"/>
          <w:szCs w:val="21"/>
        </w:rPr>
        <w:t>2.5 商务技术报价评审</w:t>
      </w:r>
    </w:p>
    <w:p w14:paraId="3A2D6653">
      <w:pPr>
        <w:spacing w:line="400" w:lineRule="exact"/>
        <w:ind w:firstLine="420" w:firstLineChars="200"/>
        <w:jc w:val="left"/>
        <w:rPr>
          <w:rFonts w:ascii="宋体" w:hAnsi="宋体" w:cs="宋体"/>
          <w:szCs w:val="21"/>
        </w:rPr>
      </w:pPr>
      <w:r>
        <w:rPr>
          <w:rFonts w:hint="eastAsia" w:ascii="宋体" w:hAnsi="宋体" w:cs="宋体"/>
          <w:szCs w:val="21"/>
        </w:rPr>
        <w:t>在评审时，如发现下列情形之一的，将被视为响应文件无效处理：</w:t>
      </w:r>
    </w:p>
    <w:p w14:paraId="116DBA47">
      <w:pPr>
        <w:spacing w:line="400" w:lineRule="exact"/>
        <w:ind w:firstLine="420" w:firstLineChars="200"/>
        <w:jc w:val="left"/>
        <w:rPr>
          <w:rFonts w:ascii="宋体" w:hAnsi="宋体" w:cs="宋体"/>
          <w:szCs w:val="21"/>
        </w:rPr>
      </w:pPr>
      <w:r>
        <w:rPr>
          <w:rFonts w:hint="eastAsia" w:ascii="宋体" w:hAnsi="宋体" w:cs="宋体"/>
          <w:szCs w:val="21"/>
        </w:rPr>
        <w:t>（1）商务技术评审</w:t>
      </w:r>
    </w:p>
    <w:p w14:paraId="4B5D5757">
      <w:pPr>
        <w:spacing w:line="400" w:lineRule="exact"/>
        <w:ind w:firstLine="420" w:firstLineChars="200"/>
        <w:jc w:val="left"/>
        <w:rPr>
          <w:rFonts w:ascii="宋体" w:hAnsi="宋体" w:cs="宋体"/>
          <w:szCs w:val="21"/>
        </w:rPr>
      </w:pPr>
      <w:r>
        <w:rPr>
          <w:rFonts w:hint="eastAsia" w:ascii="宋体" w:hAnsi="宋体" w:cs="宋体"/>
          <w:szCs w:val="21"/>
        </w:rPr>
        <w:t>1）响应文件未按磋商文件要求签署、盖章；</w:t>
      </w:r>
    </w:p>
    <w:p w14:paraId="5BA74181">
      <w:pPr>
        <w:spacing w:line="400" w:lineRule="exact"/>
        <w:ind w:firstLine="420" w:firstLineChars="200"/>
        <w:jc w:val="left"/>
        <w:rPr>
          <w:rFonts w:ascii="宋体" w:hAnsi="宋体" w:cs="宋体"/>
          <w:szCs w:val="21"/>
        </w:rPr>
      </w:pPr>
      <w:r>
        <w:rPr>
          <w:rFonts w:hint="eastAsia" w:ascii="宋体" w:hAnsi="宋体" w:cs="宋体"/>
          <w:szCs w:val="21"/>
        </w:rPr>
        <w:t>2）委托代理人未能出具有效身份证明或者出具的身份证明与授权委托书中的信息不符；</w:t>
      </w:r>
    </w:p>
    <w:p w14:paraId="6846126B">
      <w:pPr>
        <w:spacing w:line="400" w:lineRule="exact"/>
        <w:ind w:firstLine="420" w:firstLineChars="200"/>
        <w:jc w:val="left"/>
        <w:rPr>
          <w:rFonts w:ascii="宋体" w:hAnsi="宋体" w:cs="宋体"/>
          <w:szCs w:val="21"/>
        </w:rPr>
      </w:pPr>
      <w:r>
        <w:rPr>
          <w:rFonts w:hint="eastAsia" w:ascii="宋体" w:hAnsi="宋体" w:cs="宋体"/>
          <w:szCs w:val="21"/>
        </w:rPr>
        <w:t>3）提交的磋商保证金无效的或者未按照磋商文件的规定提交磋商保证金；</w:t>
      </w:r>
    </w:p>
    <w:p w14:paraId="4D732E7B">
      <w:pPr>
        <w:spacing w:line="400" w:lineRule="exact"/>
        <w:ind w:firstLine="420" w:firstLineChars="200"/>
        <w:jc w:val="left"/>
        <w:rPr>
          <w:rFonts w:ascii="宋体" w:hAnsi="宋体" w:cs="宋体"/>
          <w:szCs w:val="21"/>
        </w:rPr>
      </w:pPr>
      <w:r>
        <w:rPr>
          <w:rFonts w:hint="eastAsia" w:ascii="宋体" w:hAnsi="宋体" w:cs="宋体"/>
          <w:szCs w:val="21"/>
        </w:rPr>
        <w:t>4）响应文件未提供任一项“供应商须知前附表”报价商务技术文件中“必须提供”或者“委托时必须提供”的文件资料；响应文件提供的报价商务技术文件出现任一项不符合“供应商须知前附表”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432C7794">
      <w:pPr>
        <w:spacing w:line="400" w:lineRule="exact"/>
        <w:ind w:firstLine="420" w:firstLineChars="200"/>
        <w:jc w:val="left"/>
        <w:rPr>
          <w:rFonts w:ascii="宋体" w:hAnsi="宋体" w:cs="宋体"/>
          <w:szCs w:val="21"/>
        </w:rPr>
      </w:pPr>
      <w:r>
        <w:rPr>
          <w:rFonts w:hint="eastAsia" w:ascii="宋体" w:hAnsi="宋体" w:cs="宋体"/>
          <w:szCs w:val="21"/>
        </w:rPr>
        <w:t>5）商务条款中标“▲”的条款发生负偏离的或者允许负偏离的条款数超过“供应商须知前附表”规定项数的或者标明实质性的要求发生负偏离；</w:t>
      </w:r>
    </w:p>
    <w:p w14:paraId="40CAAEC0">
      <w:pPr>
        <w:spacing w:line="400" w:lineRule="exact"/>
        <w:ind w:firstLine="420" w:firstLineChars="200"/>
        <w:jc w:val="left"/>
        <w:rPr>
          <w:rFonts w:ascii="宋体" w:hAnsi="宋体" w:cs="宋体"/>
          <w:szCs w:val="21"/>
        </w:rPr>
      </w:pPr>
      <w:r>
        <w:rPr>
          <w:rFonts w:hint="eastAsia" w:ascii="宋体" w:hAnsi="宋体" w:cs="宋体"/>
          <w:szCs w:val="21"/>
        </w:rPr>
        <w:t>6）未对竞标有效期作出响应或者响应文件承诺的竞标有效期不满足磋商文件要求；</w:t>
      </w:r>
    </w:p>
    <w:p w14:paraId="511B2A70">
      <w:pPr>
        <w:spacing w:line="400" w:lineRule="exact"/>
        <w:ind w:firstLine="420" w:firstLineChars="200"/>
        <w:jc w:val="left"/>
        <w:rPr>
          <w:rFonts w:ascii="宋体" w:hAnsi="宋体" w:cs="宋体"/>
          <w:szCs w:val="21"/>
        </w:rPr>
      </w:pPr>
      <w:r>
        <w:rPr>
          <w:rFonts w:hint="eastAsia" w:ascii="宋体" w:hAnsi="宋体" w:cs="宋体"/>
          <w:szCs w:val="21"/>
        </w:rPr>
        <w:t>7）响应文件的实质性内容未使用中文表述、使用计量单位不符合磋商文件要求；</w:t>
      </w:r>
    </w:p>
    <w:p w14:paraId="7DD15AAC">
      <w:pPr>
        <w:spacing w:line="400" w:lineRule="exact"/>
        <w:ind w:firstLine="420" w:firstLineChars="200"/>
        <w:jc w:val="left"/>
        <w:rPr>
          <w:rFonts w:ascii="宋体" w:hAnsi="宋体" w:cs="宋体"/>
          <w:szCs w:val="21"/>
        </w:rPr>
      </w:pPr>
      <w:r>
        <w:rPr>
          <w:rFonts w:hint="eastAsia" w:ascii="宋体" w:hAnsi="宋体" w:cs="宋体"/>
          <w:szCs w:val="21"/>
        </w:rPr>
        <w:t>8）响应文件中的文件资料因填写不齐全或者内容虚假或者出现其他情形而导致被磋商小组认定无效；</w:t>
      </w:r>
    </w:p>
    <w:p w14:paraId="1A68F9EC">
      <w:pPr>
        <w:spacing w:line="400" w:lineRule="exact"/>
        <w:ind w:firstLine="420" w:firstLineChars="200"/>
        <w:jc w:val="left"/>
        <w:rPr>
          <w:rFonts w:ascii="宋体" w:hAnsi="宋体" w:cs="宋体"/>
          <w:szCs w:val="21"/>
        </w:rPr>
      </w:pPr>
      <w:r>
        <w:rPr>
          <w:rFonts w:hint="eastAsia" w:ascii="宋体" w:hAnsi="宋体" w:cs="宋体"/>
          <w:szCs w:val="21"/>
        </w:rPr>
        <w:t>9）响应文件含有采购人不能接受的附加条件；</w:t>
      </w:r>
    </w:p>
    <w:p w14:paraId="20C6D69A">
      <w:pPr>
        <w:spacing w:line="400" w:lineRule="exact"/>
        <w:ind w:firstLine="420" w:firstLineChars="200"/>
        <w:jc w:val="left"/>
        <w:rPr>
          <w:rFonts w:ascii="宋体" w:hAnsi="宋体" w:cs="宋体"/>
          <w:szCs w:val="21"/>
        </w:rPr>
      </w:pPr>
      <w:r>
        <w:rPr>
          <w:rFonts w:hint="eastAsia" w:ascii="宋体" w:hAnsi="宋体" w:cs="宋体"/>
          <w:szCs w:val="21"/>
        </w:rPr>
        <w:t>10）属于“供应商须知正文”第7.5条情形；</w:t>
      </w:r>
    </w:p>
    <w:p w14:paraId="746B081A">
      <w:pPr>
        <w:spacing w:line="400" w:lineRule="exact"/>
        <w:ind w:firstLine="420" w:firstLineChars="200"/>
        <w:jc w:val="left"/>
        <w:rPr>
          <w:rFonts w:ascii="宋体" w:hAnsi="宋体" w:cs="宋体"/>
          <w:szCs w:val="21"/>
        </w:rPr>
      </w:pPr>
      <w:r>
        <w:rPr>
          <w:rFonts w:hint="eastAsia" w:ascii="宋体" w:hAnsi="宋体" w:cs="宋体"/>
          <w:szCs w:val="21"/>
        </w:rPr>
        <w:t>11）技术需求允许负偏离的条款数超过“供应商须知前附表”规定项数；</w:t>
      </w:r>
    </w:p>
    <w:p w14:paraId="1582AE05">
      <w:pPr>
        <w:spacing w:line="400" w:lineRule="exact"/>
        <w:ind w:firstLine="420" w:firstLineChars="200"/>
        <w:jc w:val="left"/>
        <w:rPr>
          <w:rFonts w:ascii="宋体" w:hAnsi="宋体" w:cs="宋体"/>
          <w:szCs w:val="21"/>
        </w:rPr>
      </w:pPr>
      <w:r>
        <w:rPr>
          <w:rFonts w:hint="eastAsia" w:ascii="宋体" w:hAnsi="宋体" w:cs="宋体"/>
          <w:szCs w:val="21"/>
        </w:rPr>
        <w:t>12）虚假竞标，或者出现其他情形而导致被磋商小组认定无效；</w:t>
      </w:r>
    </w:p>
    <w:p w14:paraId="216E8029">
      <w:pPr>
        <w:spacing w:line="400" w:lineRule="exact"/>
        <w:ind w:firstLine="420" w:firstLineChars="200"/>
        <w:jc w:val="left"/>
        <w:rPr>
          <w:rFonts w:ascii="宋体" w:hAnsi="宋体" w:cs="宋体"/>
          <w:szCs w:val="21"/>
        </w:rPr>
      </w:pPr>
      <w:r>
        <w:rPr>
          <w:rFonts w:hint="eastAsia" w:ascii="宋体" w:hAnsi="宋体" w:cs="宋体"/>
          <w:szCs w:val="21"/>
        </w:rPr>
        <w:t>13）</w:t>
      </w:r>
      <w:bookmarkStart w:id="20" w:name="_Hlk71704147"/>
      <w:r>
        <w:rPr>
          <w:rFonts w:hint="eastAsia" w:ascii="宋体" w:hAnsi="宋体" w:cs="宋体"/>
          <w:szCs w:val="21"/>
        </w:rPr>
        <w:t>磋商文件未载明允许提供备选（替代）竞标方案或明确不允许提供备选（替代）竞标方案时，供应商提供了备选（替代）竞标方案的；</w:t>
      </w:r>
      <w:bookmarkEnd w:id="20"/>
    </w:p>
    <w:p w14:paraId="278C3FA2">
      <w:pPr>
        <w:spacing w:line="400" w:lineRule="exact"/>
        <w:ind w:firstLine="420" w:firstLineChars="200"/>
        <w:jc w:val="left"/>
        <w:rPr>
          <w:rFonts w:ascii="宋体" w:hAnsi="宋体" w:cs="宋体"/>
          <w:szCs w:val="21"/>
        </w:rPr>
      </w:pPr>
      <w:r>
        <w:rPr>
          <w:rFonts w:hint="eastAsia" w:ascii="宋体" w:hAnsi="宋体" w:cs="宋体"/>
          <w:szCs w:val="21"/>
        </w:rPr>
        <w:t>14）响应文件标注的项目名称或者项目编号与磋商文件标注的项目名称或者项目编号不一致的；</w:t>
      </w:r>
    </w:p>
    <w:p w14:paraId="41944C8D">
      <w:pPr>
        <w:spacing w:line="400" w:lineRule="exact"/>
        <w:ind w:firstLine="420" w:firstLineChars="200"/>
        <w:jc w:val="left"/>
        <w:rPr>
          <w:rFonts w:ascii="宋体" w:hAnsi="宋体" w:cs="宋体"/>
          <w:szCs w:val="21"/>
        </w:rPr>
      </w:pPr>
      <w:r>
        <w:rPr>
          <w:rFonts w:hint="eastAsia" w:ascii="宋体" w:hAnsi="宋体" w:cs="宋体"/>
          <w:szCs w:val="21"/>
        </w:rPr>
        <w:t>15）未响应磋商文件实质性要求；</w:t>
      </w:r>
    </w:p>
    <w:p w14:paraId="7E88869B">
      <w:pPr>
        <w:spacing w:line="400" w:lineRule="exact"/>
        <w:ind w:firstLine="420" w:firstLineChars="200"/>
        <w:jc w:val="left"/>
        <w:rPr>
          <w:rFonts w:ascii="宋体" w:hAnsi="宋体" w:cs="宋体"/>
          <w:szCs w:val="21"/>
        </w:rPr>
      </w:pPr>
      <w:r>
        <w:rPr>
          <w:rFonts w:hint="eastAsia" w:ascii="宋体" w:hAnsi="宋体" w:cs="宋体"/>
          <w:szCs w:val="21"/>
        </w:rPr>
        <w:t>16）法律、法规和磋商文件规定的其他无效情形。</w:t>
      </w:r>
    </w:p>
    <w:p w14:paraId="3F1B6B24">
      <w:pPr>
        <w:spacing w:line="400" w:lineRule="exact"/>
        <w:ind w:firstLine="420" w:firstLineChars="200"/>
        <w:jc w:val="left"/>
        <w:rPr>
          <w:rFonts w:ascii="宋体" w:hAnsi="宋体" w:cs="宋体"/>
          <w:szCs w:val="21"/>
        </w:rPr>
      </w:pPr>
      <w:r>
        <w:rPr>
          <w:rFonts w:hint="eastAsia" w:ascii="宋体" w:hAnsi="宋体" w:cs="宋体"/>
          <w:szCs w:val="21"/>
        </w:rPr>
        <w:t>（2）报价评审</w:t>
      </w:r>
    </w:p>
    <w:p w14:paraId="18B669D2">
      <w:pPr>
        <w:spacing w:line="400" w:lineRule="exact"/>
        <w:ind w:firstLine="420" w:firstLineChars="200"/>
        <w:jc w:val="left"/>
        <w:rPr>
          <w:rFonts w:ascii="宋体" w:hAnsi="宋体" w:cs="宋体"/>
          <w:szCs w:val="21"/>
        </w:rPr>
      </w:pPr>
      <w:r>
        <w:rPr>
          <w:rFonts w:hint="eastAsia" w:ascii="宋体" w:hAnsi="宋体" w:cs="宋体"/>
          <w:szCs w:val="21"/>
        </w:rPr>
        <w:t>1）响应文件未提供“供应商须知前附表” 报价商务技术文件中规定的“磋商报价承诺表”；</w:t>
      </w:r>
    </w:p>
    <w:p w14:paraId="10F53790">
      <w:pPr>
        <w:spacing w:line="400" w:lineRule="exact"/>
        <w:ind w:firstLine="420" w:firstLineChars="200"/>
        <w:jc w:val="left"/>
        <w:rPr>
          <w:rFonts w:ascii="宋体" w:hAnsi="宋体" w:cs="宋体"/>
          <w:szCs w:val="21"/>
        </w:rPr>
      </w:pPr>
      <w:r>
        <w:rPr>
          <w:rFonts w:hint="eastAsia" w:ascii="宋体" w:hAnsi="宋体" w:cs="宋体"/>
          <w:szCs w:val="21"/>
        </w:rPr>
        <w:t>2）未采用人民币报价或者未按照磋商文件标明的币种报价；</w:t>
      </w:r>
    </w:p>
    <w:p w14:paraId="2866196F">
      <w:pPr>
        <w:spacing w:line="400" w:lineRule="exact"/>
        <w:ind w:firstLine="420" w:firstLineChars="200"/>
        <w:jc w:val="left"/>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821E62C">
      <w:pPr>
        <w:spacing w:line="400" w:lineRule="exact"/>
        <w:ind w:firstLine="420" w:firstLineChars="200"/>
        <w:jc w:val="left"/>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21" w:name="_Hlk42596405"/>
      <w:r>
        <w:rPr>
          <w:rFonts w:hint="eastAsia" w:ascii="宋体" w:hAnsi="宋体" w:cs="宋体"/>
          <w:szCs w:val="21"/>
        </w:rPr>
        <w:t>竞标报价（包含首次报价、最后报价）</w:t>
      </w:r>
      <w:bookmarkEnd w:id="21"/>
      <w:bookmarkStart w:id="22" w:name="_Hlk42596276"/>
      <w:r>
        <w:rPr>
          <w:rFonts w:hint="eastAsia" w:ascii="宋体" w:hAnsi="宋体" w:cs="宋体"/>
          <w:szCs w:val="21"/>
        </w:rPr>
        <w:t>超过磋商文件分项采购预算金额或者最高限价的</w:t>
      </w:r>
      <w:bookmarkEnd w:id="22"/>
      <w:r>
        <w:rPr>
          <w:rFonts w:hint="eastAsia" w:ascii="宋体" w:hAnsi="宋体" w:cs="宋体"/>
          <w:szCs w:val="21"/>
        </w:rPr>
        <w:t>（如本项目公布了最高限价）；</w:t>
      </w:r>
    </w:p>
    <w:p w14:paraId="31EDACB2">
      <w:pPr>
        <w:spacing w:line="400" w:lineRule="exact"/>
        <w:ind w:firstLine="420" w:firstLineChars="200"/>
        <w:jc w:val="left"/>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093F9AC1">
      <w:pPr>
        <w:spacing w:line="400" w:lineRule="exact"/>
        <w:ind w:firstLine="420" w:firstLineChars="200"/>
        <w:jc w:val="left"/>
        <w:rPr>
          <w:rFonts w:ascii="宋体" w:hAnsi="宋体" w:cs="宋体"/>
          <w:szCs w:val="21"/>
        </w:rPr>
      </w:pPr>
      <w:r>
        <w:rPr>
          <w:rFonts w:hint="eastAsia" w:ascii="宋体" w:hAnsi="宋体" w:cs="宋体"/>
          <w:szCs w:val="21"/>
        </w:rPr>
        <w:t>6）响应文件响应的标的数量及单位与竞争性磋商采购文件要求实质性不一致的。</w:t>
      </w:r>
    </w:p>
    <w:p w14:paraId="4A9F2053">
      <w:pPr>
        <w:spacing w:line="400" w:lineRule="exact"/>
        <w:ind w:firstLine="420" w:firstLineChars="200"/>
        <w:jc w:val="left"/>
        <w:rPr>
          <w:rFonts w:ascii="宋体" w:hAnsi="宋体" w:cs="宋体"/>
          <w:szCs w:val="21"/>
        </w:rPr>
      </w:pPr>
      <w:r>
        <w:rPr>
          <w:rFonts w:hint="eastAsia" w:ascii="宋体" w:hAnsi="宋体" w:cs="宋体"/>
          <w:szCs w:val="21"/>
        </w:rPr>
        <w:t>2.6 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3E10790">
      <w:pPr>
        <w:spacing w:line="400" w:lineRule="exact"/>
        <w:ind w:firstLine="420" w:firstLineChars="200"/>
        <w:jc w:val="left"/>
        <w:rPr>
          <w:rFonts w:ascii="宋体" w:hAnsi="宋体" w:cs="宋体"/>
          <w:szCs w:val="21"/>
        </w:rPr>
      </w:pPr>
      <w:r>
        <w:rPr>
          <w:rFonts w:hint="eastAsia" w:ascii="宋体" w:hAnsi="宋体" w:cs="宋体"/>
          <w:szCs w:val="21"/>
        </w:rPr>
        <w:t>2.7 通过符合性审查的合格供应商不足3家的，不得进入磋商环节，采购人或者采购代理机构应当重新开展采购活动。</w:t>
      </w:r>
    </w:p>
    <w:p w14:paraId="4FDD32A0">
      <w:pPr>
        <w:spacing w:line="400" w:lineRule="exact"/>
        <w:ind w:firstLine="422" w:firstLineChars="200"/>
        <w:jc w:val="left"/>
        <w:rPr>
          <w:rFonts w:ascii="宋体" w:hAnsi="宋体" w:cs="宋体"/>
          <w:b/>
          <w:bCs/>
          <w:szCs w:val="21"/>
        </w:rPr>
      </w:pPr>
      <w:r>
        <w:rPr>
          <w:rFonts w:hint="eastAsia" w:ascii="黑体" w:hAnsi="黑体" w:eastAsia="黑体" w:cs="黑体"/>
          <w:b/>
          <w:bCs/>
          <w:szCs w:val="21"/>
        </w:rPr>
        <w:t>3.磋商程序</w:t>
      </w:r>
    </w:p>
    <w:p w14:paraId="43327FF6">
      <w:pPr>
        <w:spacing w:line="400" w:lineRule="exact"/>
        <w:ind w:firstLine="420" w:firstLineChars="200"/>
        <w:jc w:val="left"/>
        <w:rPr>
          <w:rFonts w:ascii="宋体" w:hAnsi="宋体" w:cs="宋体"/>
          <w:kern w:val="0"/>
          <w:szCs w:val="21"/>
        </w:rPr>
      </w:pPr>
      <w:r>
        <w:rPr>
          <w:rFonts w:hint="eastAsia" w:ascii="宋体" w:hAnsi="宋体" w:cs="宋体"/>
          <w:kern w:val="0"/>
          <w:szCs w:val="21"/>
        </w:rPr>
        <w:t>3.1 磋商小组按照“供应商须知前附表”确定的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EC1132C">
      <w:pPr>
        <w:spacing w:line="400" w:lineRule="exact"/>
        <w:ind w:firstLine="420" w:firstLineChars="200"/>
        <w:jc w:val="left"/>
        <w:rPr>
          <w:rFonts w:ascii="宋体" w:hAnsi="宋体" w:cs="宋体"/>
          <w:szCs w:val="21"/>
        </w:rPr>
      </w:pPr>
      <w:r>
        <w:rPr>
          <w:rFonts w:hint="eastAsia" w:ascii="宋体" w:hAnsi="宋体" w:cs="宋体"/>
          <w:szCs w:val="21"/>
        </w:rPr>
        <w:t>3.2 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CF73DD8">
      <w:pPr>
        <w:spacing w:line="400" w:lineRule="exact"/>
        <w:ind w:firstLine="420" w:firstLineChars="200"/>
        <w:jc w:val="left"/>
        <w:rPr>
          <w:rFonts w:ascii="宋体" w:hAnsi="宋体" w:cs="宋体"/>
          <w:szCs w:val="21"/>
        </w:rPr>
      </w:pPr>
      <w:r>
        <w:rPr>
          <w:rFonts w:hint="eastAsia" w:ascii="宋体" w:hAnsi="宋体" w:cs="宋体"/>
          <w:szCs w:val="21"/>
        </w:rPr>
        <w:t>3.3 对磋商文件作出的实质性变动是磋商文件的有效组成部分，由磋商小组及时以书面形式同时通知所有参加磋商的供应商。</w:t>
      </w:r>
    </w:p>
    <w:p w14:paraId="7B842CE6">
      <w:pPr>
        <w:spacing w:line="400" w:lineRule="exact"/>
        <w:ind w:firstLine="420" w:firstLineChars="200"/>
        <w:jc w:val="left"/>
        <w:rPr>
          <w:rFonts w:ascii="宋体" w:hAnsi="宋体" w:cs="宋体"/>
          <w:szCs w:val="21"/>
        </w:rPr>
      </w:pPr>
      <w:r>
        <w:rPr>
          <w:rFonts w:hint="eastAsia" w:ascii="宋体" w:hAnsi="宋体" w:cs="宋体"/>
          <w:szCs w:val="21"/>
        </w:rPr>
        <w:t>3.4 供应商必须按照磋商文件的变动情况和磋商小组的要求重新提交响应文件，并由其法定代表人或者授权代表签字或者加盖公章。由委托代理人签字的，</w:t>
      </w:r>
      <w:r>
        <w:rPr>
          <w:rFonts w:hint="eastAsia" w:ascii="宋体" w:hAnsi="宋体" w:cs="宋体"/>
          <w:bCs/>
          <w:szCs w:val="21"/>
        </w:rPr>
        <w:t>若委托代理人不是响应文件中授权的委托代理人时，必须同时出示有效的法定代表人授权委托书复印件</w:t>
      </w:r>
      <w:r>
        <w:rPr>
          <w:rFonts w:hint="eastAsia" w:ascii="宋体" w:hAnsi="宋体" w:cs="宋体"/>
          <w:szCs w:val="21"/>
        </w:rPr>
        <w:t>。供应商为自然人的，必须由本人签字并附身份证明。参加磋商的供应商未在规定时间内重新提交响应文件的，视同退出磋商。</w:t>
      </w:r>
    </w:p>
    <w:p w14:paraId="273A6BEA">
      <w:pPr>
        <w:spacing w:line="400" w:lineRule="exact"/>
        <w:ind w:firstLine="420" w:firstLineChars="200"/>
        <w:jc w:val="left"/>
        <w:rPr>
          <w:rFonts w:ascii="宋体" w:hAnsi="宋体" w:cs="宋体"/>
          <w:szCs w:val="21"/>
        </w:rPr>
      </w:pPr>
      <w:r>
        <w:rPr>
          <w:rFonts w:hint="eastAsia" w:ascii="宋体" w:hAnsi="宋体" w:cs="宋体"/>
          <w:szCs w:val="21"/>
        </w:rPr>
        <w:t>3.5 磋商中，</w:t>
      </w:r>
      <w:r>
        <w:rPr>
          <w:rFonts w:hint="eastAsia" w:ascii="宋体" w:hAnsi="宋体" w:cs="宋体"/>
          <w:spacing w:val="-6"/>
          <w:szCs w:val="21"/>
        </w:rPr>
        <w:t>磋商的任何一方不得透露与磋商有关的其他供应商的技术资料、价格和其他信息。</w:t>
      </w:r>
    </w:p>
    <w:p w14:paraId="3ED169C3">
      <w:pPr>
        <w:widowControl/>
        <w:tabs>
          <w:tab w:val="left" w:pos="540"/>
        </w:tabs>
        <w:spacing w:line="400" w:lineRule="exact"/>
        <w:ind w:firstLine="420" w:firstLineChars="200"/>
        <w:jc w:val="left"/>
        <w:rPr>
          <w:rFonts w:ascii="宋体" w:hAnsi="宋体" w:cs="宋体"/>
          <w:szCs w:val="21"/>
        </w:rPr>
      </w:pPr>
      <w:r>
        <w:rPr>
          <w:rFonts w:hint="eastAsia" w:ascii="宋体" w:hAnsi="宋体" w:cs="宋体"/>
          <w:szCs w:val="21"/>
        </w:rPr>
        <w:t>3.6 采购代理机构对磋商过程和重要磋商内容进行记录，磋商双方在记录上签字确认。</w:t>
      </w:r>
    </w:p>
    <w:p w14:paraId="605CF370">
      <w:pPr>
        <w:widowControl/>
        <w:tabs>
          <w:tab w:val="left" w:pos="540"/>
        </w:tabs>
        <w:spacing w:line="400" w:lineRule="exact"/>
        <w:ind w:firstLine="420" w:firstLineChars="200"/>
        <w:jc w:val="left"/>
        <w:rPr>
          <w:rFonts w:ascii="宋体" w:hAnsi="宋体" w:cs="宋体"/>
          <w:szCs w:val="21"/>
        </w:rPr>
      </w:pPr>
      <w:r>
        <w:rPr>
          <w:rFonts w:hint="eastAsia" w:ascii="宋体" w:hAnsi="宋体" w:cs="宋体"/>
          <w:szCs w:val="21"/>
        </w:rPr>
        <w:t>3.7 磋商过程中重新提交的响应文件，供应商可以在开启前补充、修改。</w:t>
      </w:r>
    </w:p>
    <w:p w14:paraId="54E62FB5">
      <w:pPr>
        <w:tabs>
          <w:tab w:val="left" w:pos="2835"/>
        </w:tabs>
        <w:spacing w:line="400" w:lineRule="exact"/>
        <w:ind w:firstLine="420" w:firstLineChars="200"/>
        <w:jc w:val="left"/>
        <w:rPr>
          <w:rFonts w:ascii="宋体" w:hAnsi="宋体" w:cs="宋体"/>
          <w:szCs w:val="21"/>
        </w:rPr>
      </w:pPr>
      <w:r>
        <w:rPr>
          <w:rFonts w:hint="eastAsia" w:ascii="宋体" w:hAnsi="宋体" w:cs="宋体"/>
          <w:szCs w:val="21"/>
        </w:rPr>
        <w:t>3.8 对磋商过程提交的响应文件进行有效性、完整性和响应程度审查，通过审查的合格供应商不足3家的，采购人或者采购代理机构应当重新开展采购活动。</w:t>
      </w:r>
    </w:p>
    <w:p w14:paraId="5E80C38E">
      <w:pPr>
        <w:spacing w:line="400" w:lineRule="exact"/>
        <w:ind w:firstLine="422" w:firstLineChars="200"/>
        <w:jc w:val="left"/>
        <w:rPr>
          <w:rFonts w:ascii="宋体" w:hAnsi="宋体" w:cs="宋体"/>
          <w:szCs w:val="21"/>
        </w:rPr>
      </w:pPr>
      <w:r>
        <w:rPr>
          <w:rFonts w:hint="eastAsia" w:ascii="黑体" w:hAnsi="黑体" w:eastAsia="黑体" w:cs="黑体"/>
          <w:b/>
          <w:bCs/>
          <w:szCs w:val="21"/>
        </w:rPr>
        <w:t>4.最后报价</w:t>
      </w:r>
    </w:p>
    <w:p w14:paraId="38EC4765">
      <w:pPr>
        <w:spacing w:line="400" w:lineRule="exact"/>
        <w:ind w:firstLine="420" w:firstLineChars="200"/>
        <w:jc w:val="left"/>
        <w:rPr>
          <w:rFonts w:ascii="宋体" w:hAnsi="宋体" w:cs="宋体"/>
          <w:szCs w:val="21"/>
        </w:rPr>
      </w:pPr>
      <w:r>
        <w:rPr>
          <w:rFonts w:hint="eastAsia" w:ascii="宋体" w:hAnsi="宋体" w:cs="宋体"/>
          <w:szCs w:val="21"/>
        </w:rPr>
        <w:t>4.1 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60DE7568">
      <w:pPr>
        <w:spacing w:line="400" w:lineRule="exact"/>
        <w:ind w:firstLine="420" w:firstLineChars="200"/>
        <w:jc w:val="left"/>
        <w:rPr>
          <w:rFonts w:ascii="宋体" w:hAnsi="宋体" w:cs="宋体"/>
          <w:szCs w:val="21"/>
        </w:rPr>
      </w:pPr>
      <w:r>
        <w:rPr>
          <w:rFonts w:hint="eastAsia" w:ascii="宋体" w:hAnsi="宋体" w:cs="宋体"/>
          <w:szCs w:val="21"/>
        </w:rPr>
        <w:t>4.2 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10219A6">
      <w:pPr>
        <w:spacing w:line="400" w:lineRule="exact"/>
        <w:ind w:firstLine="420" w:firstLineChars="200"/>
        <w:jc w:val="left"/>
        <w:rPr>
          <w:rFonts w:ascii="宋体" w:hAnsi="宋体" w:cs="宋体"/>
          <w:szCs w:val="21"/>
        </w:rPr>
      </w:pPr>
      <w:r>
        <w:rPr>
          <w:rFonts w:hint="eastAsia" w:ascii="宋体" w:hAnsi="宋体" w:cs="宋体"/>
          <w:szCs w:val="21"/>
        </w:rPr>
        <w:t>4.3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A4343FA">
      <w:pPr>
        <w:spacing w:line="400" w:lineRule="exact"/>
        <w:ind w:firstLine="420" w:firstLineChars="200"/>
        <w:jc w:val="left"/>
        <w:rPr>
          <w:rFonts w:ascii="宋体" w:hAnsi="宋体" w:cs="宋体"/>
          <w:szCs w:val="21"/>
        </w:rPr>
      </w:pPr>
      <w:r>
        <w:rPr>
          <w:rFonts w:hint="eastAsia" w:ascii="宋体" w:hAnsi="宋体" w:cs="宋体"/>
          <w:szCs w:val="21"/>
        </w:rPr>
        <w:t>4.4 已经提交响应文件的供应商，在提交最后报价之前，可以根据磋商情况退出磋商，退出磋商的供应商的响应文件按无效响应处理。采购人、采购代理机构将退还退出磋商的供应商的保证金。</w:t>
      </w:r>
    </w:p>
    <w:p w14:paraId="5CC31ADD">
      <w:pPr>
        <w:spacing w:line="400" w:lineRule="exact"/>
        <w:ind w:firstLine="420" w:firstLineChars="200"/>
        <w:jc w:val="left"/>
        <w:rPr>
          <w:rFonts w:ascii="宋体" w:hAnsi="宋体" w:cs="宋体"/>
          <w:szCs w:val="21"/>
        </w:rPr>
      </w:pPr>
      <w:r>
        <w:rPr>
          <w:rFonts w:hint="eastAsia" w:ascii="宋体" w:hAnsi="宋体" w:cs="宋体"/>
          <w:szCs w:val="21"/>
        </w:rPr>
        <w:t>4.5 供应商未在规定时间内提交最后报价的，视同退出磋商。</w:t>
      </w:r>
    </w:p>
    <w:p w14:paraId="1511E41D">
      <w:pPr>
        <w:spacing w:line="400" w:lineRule="exact"/>
        <w:ind w:firstLine="420" w:firstLineChars="200"/>
        <w:jc w:val="left"/>
        <w:rPr>
          <w:rFonts w:ascii="宋体" w:hAnsi="宋体" w:cs="宋体"/>
          <w:szCs w:val="21"/>
        </w:rPr>
      </w:pPr>
      <w:r>
        <w:rPr>
          <w:rFonts w:hint="eastAsia" w:ascii="宋体" w:hAnsi="宋体" w:cs="宋体"/>
          <w:szCs w:val="21"/>
        </w:rPr>
        <w:t>4.6 磋商小组收齐某一分标最后报价后统一开启，磋商小组对最后报价进行有效性、完整性和响应程度的审查。</w:t>
      </w:r>
    </w:p>
    <w:p w14:paraId="60B22EBC">
      <w:pPr>
        <w:spacing w:line="400" w:lineRule="exact"/>
        <w:ind w:firstLine="420" w:firstLineChars="200"/>
        <w:jc w:val="left"/>
        <w:rPr>
          <w:rFonts w:ascii="宋体" w:hAnsi="宋体" w:cs="宋体"/>
          <w:szCs w:val="21"/>
        </w:rPr>
      </w:pPr>
      <w:r>
        <w:rPr>
          <w:rFonts w:hint="eastAsia" w:ascii="宋体" w:hAnsi="宋体" w:cs="宋体"/>
          <w:szCs w:val="21"/>
        </w:rPr>
        <w:t xml:space="preserve">4.7 响应文件最后报价出现前后不一致的，按照本章第2.4条的规定修正。 </w:t>
      </w:r>
    </w:p>
    <w:p w14:paraId="6AF01D51">
      <w:pPr>
        <w:spacing w:line="400" w:lineRule="exact"/>
        <w:ind w:firstLine="420" w:firstLineChars="200"/>
        <w:jc w:val="left"/>
        <w:rPr>
          <w:rFonts w:ascii="宋体" w:hAnsi="宋体" w:cs="宋体"/>
          <w:szCs w:val="21"/>
        </w:rPr>
      </w:pPr>
      <w:r>
        <w:rPr>
          <w:rFonts w:hint="eastAsia" w:ascii="宋体" w:hAnsi="宋体" w:cs="宋体"/>
          <w:szCs w:val="21"/>
        </w:rPr>
        <w:t>4.8 修正后的报价出现下列情形的，按无效响应处理：</w:t>
      </w:r>
    </w:p>
    <w:p w14:paraId="59D3B0D4">
      <w:pPr>
        <w:spacing w:line="400" w:lineRule="exact"/>
        <w:ind w:firstLine="420" w:firstLineChars="200"/>
        <w:jc w:val="left"/>
        <w:rPr>
          <w:rFonts w:ascii="宋体" w:hAnsi="宋体" w:cs="宋体"/>
          <w:szCs w:val="21"/>
        </w:rPr>
      </w:pPr>
      <w:r>
        <w:rPr>
          <w:rFonts w:hint="eastAsia" w:ascii="宋体" w:hAnsi="宋体" w:cs="宋体"/>
          <w:szCs w:val="21"/>
        </w:rPr>
        <w:t>（1）供应商不确认的；</w:t>
      </w:r>
    </w:p>
    <w:p w14:paraId="3B9F1D26">
      <w:pPr>
        <w:spacing w:line="400" w:lineRule="exact"/>
        <w:ind w:firstLine="420" w:firstLineChars="200"/>
        <w:jc w:val="left"/>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600B3D2C">
      <w:pPr>
        <w:spacing w:line="400" w:lineRule="exact"/>
        <w:ind w:firstLine="420" w:firstLineChars="200"/>
        <w:jc w:val="left"/>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7F1EC6AA">
      <w:pPr>
        <w:spacing w:line="400" w:lineRule="exact"/>
        <w:ind w:firstLine="420" w:firstLineChars="200"/>
        <w:jc w:val="left"/>
        <w:rPr>
          <w:rFonts w:ascii="宋体" w:hAnsi="宋体" w:cs="宋体"/>
          <w:szCs w:val="21"/>
        </w:rPr>
      </w:pPr>
      <w:r>
        <w:rPr>
          <w:rFonts w:hint="eastAsia" w:ascii="宋体" w:hAnsi="宋体" w:cs="宋体"/>
          <w:szCs w:val="21"/>
        </w:rPr>
        <w:t>4.9 经供应商确认修正后的最后报价作为评审及签订合同的依据。</w:t>
      </w:r>
    </w:p>
    <w:p w14:paraId="720332A4">
      <w:pPr>
        <w:spacing w:line="400" w:lineRule="exact"/>
        <w:ind w:firstLine="420" w:firstLineChars="200"/>
        <w:jc w:val="left"/>
        <w:rPr>
          <w:rFonts w:ascii="宋体" w:hAnsi="宋体" w:cs="宋体"/>
          <w:szCs w:val="21"/>
        </w:rPr>
      </w:pPr>
      <w:r>
        <w:rPr>
          <w:rFonts w:hint="eastAsia" w:ascii="宋体" w:hAnsi="宋体" w:cs="宋体"/>
          <w:szCs w:val="21"/>
        </w:rPr>
        <w:t>4.10 供应商出现最后报价按无效响应处理或者响应文件按无效处理时，磋商小组应当告知有关供应商。</w:t>
      </w:r>
    </w:p>
    <w:p w14:paraId="07292E26">
      <w:pPr>
        <w:spacing w:line="400" w:lineRule="exact"/>
        <w:ind w:firstLine="420" w:firstLineChars="200"/>
        <w:jc w:val="left"/>
        <w:rPr>
          <w:rFonts w:ascii="宋体" w:hAnsi="宋体" w:cs="宋体"/>
          <w:szCs w:val="21"/>
        </w:rPr>
      </w:pPr>
      <w:r>
        <w:rPr>
          <w:rFonts w:hint="eastAsia" w:ascii="宋体" w:hAnsi="宋体" w:cs="宋体"/>
          <w:szCs w:val="21"/>
        </w:rPr>
        <w:t>4.11 最后报价结束后，磋商小组不得再与供应商进行任何形式的商谈。</w:t>
      </w:r>
    </w:p>
    <w:p w14:paraId="7DD80A82">
      <w:pPr>
        <w:spacing w:line="400" w:lineRule="exact"/>
        <w:ind w:firstLine="422" w:firstLineChars="200"/>
        <w:jc w:val="left"/>
        <w:rPr>
          <w:rFonts w:ascii="宋体" w:hAnsi="宋体" w:cs="宋体"/>
          <w:b/>
          <w:bCs/>
          <w:szCs w:val="21"/>
        </w:rPr>
      </w:pPr>
      <w:r>
        <w:rPr>
          <w:rFonts w:hint="eastAsia" w:ascii="黑体" w:hAnsi="黑体" w:eastAsia="黑体" w:cs="黑体"/>
          <w:b/>
          <w:bCs/>
          <w:szCs w:val="21"/>
        </w:rPr>
        <w:t>5.比较与评价</w:t>
      </w:r>
    </w:p>
    <w:p w14:paraId="07A4285F">
      <w:pPr>
        <w:spacing w:line="400" w:lineRule="exact"/>
        <w:ind w:firstLine="420" w:firstLineChars="200"/>
        <w:jc w:val="left"/>
        <w:rPr>
          <w:rFonts w:ascii="宋体" w:hAnsi="宋体" w:cs="宋体"/>
          <w:szCs w:val="21"/>
        </w:rPr>
      </w:pPr>
      <w:r>
        <w:rPr>
          <w:rFonts w:hint="eastAsia" w:ascii="宋体" w:hAnsi="宋体" w:cs="宋体"/>
          <w:szCs w:val="21"/>
        </w:rPr>
        <w:t>5.1 评审方法：综合评分法。</w:t>
      </w:r>
    </w:p>
    <w:p w14:paraId="6064AA3A">
      <w:pPr>
        <w:spacing w:line="400" w:lineRule="exact"/>
        <w:ind w:firstLine="420" w:firstLineChars="200"/>
        <w:jc w:val="left"/>
        <w:rPr>
          <w:rFonts w:ascii="宋体" w:hAnsi="宋体" w:cs="宋体"/>
          <w:szCs w:val="21"/>
        </w:rPr>
      </w:pPr>
      <w:r>
        <w:rPr>
          <w:rFonts w:hint="eastAsia" w:ascii="宋体" w:hAnsi="宋体" w:cs="宋体"/>
          <w:szCs w:val="21"/>
        </w:rPr>
        <w:t>5.2 经磋商确定最终采购需求和提交最后报价的供应商后，由磋商小组采用综合评分法对提交最后报价的供应商的响应文件和最后报价进行综合评分。</w:t>
      </w:r>
    </w:p>
    <w:p w14:paraId="51222AAC">
      <w:pPr>
        <w:spacing w:line="400" w:lineRule="exact"/>
        <w:ind w:firstLine="420" w:firstLineChars="200"/>
        <w:jc w:val="left"/>
        <w:rPr>
          <w:rFonts w:ascii="宋体" w:hAnsi="宋体" w:cs="宋体"/>
          <w:szCs w:val="21"/>
        </w:rPr>
      </w:pPr>
      <w:r>
        <w:rPr>
          <w:rFonts w:hint="eastAsia" w:ascii="宋体" w:hAnsi="宋体" w:cs="宋体"/>
          <w:szCs w:val="21"/>
        </w:rPr>
        <w:t>5.3 评审时，磋商小组各成员应当独立对每个有效响应的文件进行评价、打分，然后汇总每个供应商每项评分因素的得分。评审时对供应商响应内容以及偏离内容作出复核，对项目实际需求未能实质性响应、响应内容与项目实际情况存在明显背离、未实质性优于采购文件需求或者对项目实施无实质性帮助的内容，不予计入加分及得分。</w:t>
      </w:r>
    </w:p>
    <w:p w14:paraId="77D5B1F2">
      <w:pPr>
        <w:spacing w:line="400" w:lineRule="exact"/>
        <w:ind w:firstLine="420" w:firstLineChars="200"/>
        <w:jc w:val="left"/>
        <w:rPr>
          <w:rFonts w:ascii="宋体" w:hAnsi="宋体" w:cs="宋体"/>
          <w:szCs w:val="21"/>
        </w:rPr>
      </w:pPr>
      <w:r>
        <w:rPr>
          <w:rFonts w:hint="eastAsia" w:ascii="宋体" w:hAnsi="宋体" w:cs="宋体"/>
          <w:szCs w:val="21"/>
        </w:rPr>
        <w:t>（1）磋商小组按照磋商文件中规定的评审标准计算各供应商的报价得分。项目评审过程中，不得去掉最后报价中的最高报价和最低报价。</w:t>
      </w:r>
    </w:p>
    <w:p w14:paraId="7E149EB8">
      <w:pPr>
        <w:spacing w:line="400" w:lineRule="exact"/>
        <w:ind w:firstLine="420" w:firstLineChars="200"/>
        <w:jc w:val="left"/>
        <w:rPr>
          <w:rFonts w:ascii="宋体" w:hAnsi="宋体" w:cs="宋体"/>
          <w:szCs w:val="21"/>
        </w:rPr>
      </w:pPr>
      <w:r>
        <w:rPr>
          <w:rFonts w:hint="eastAsia" w:ascii="宋体" w:hAnsi="宋体" w:cs="宋体"/>
          <w:szCs w:val="21"/>
        </w:rPr>
        <w:t>（2）各供应商的得分为磋商小组所有成员的有效评分的算术平均数。</w:t>
      </w:r>
    </w:p>
    <w:p w14:paraId="4C0038E1">
      <w:pPr>
        <w:spacing w:line="400" w:lineRule="exact"/>
        <w:ind w:firstLine="420" w:firstLineChars="200"/>
        <w:jc w:val="left"/>
        <w:rPr>
          <w:rFonts w:ascii="宋体" w:hAnsi="宋体" w:cs="宋体"/>
          <w:szCs w:val="21"/>
        </w:rPr>
      </w:pPr>
      <w:r>
        <w:rPr>
          <w:rFonts w:hint="eastAsia" w:ascii="宋体" w:hAnsi="宋体" w:cs="宋体"/>
          <w:szCs w:val="21"/>
        </w:rPr>
        <w:t>5.4 评审价为供应商的最后报价进行政策性扣除后的价格，评审价只是作为评审时使用。最终成交供应商的成交金额等于最后报价（如有修正，以确认修正后的最后报价为准）。</w:t>
      </w:r>
    </w:p>
    <w:p w14:paraId="5A3D97F4">
      <w:pPr>
        <w:spacing w:line="400" w:lineRule="exact"/>
        <w:ind w:firstLine="420" w:firstLineChars="200"/>
        <w:jc w:val="left"/>
        <w:rPr>
          <w:rFonts w:ascii="宋体" w:hAnsi="宋体" w:cs="宋体"/>
          <w:kern w:val="0"/>
          <w:szCs w:val="21"/>
        </w:rPr>
      </w:pPr>
      <w:r>
        <w:rPr>
          <w:rFonts w:hint="eastAsia" w:ascii="宋体" w:hAnsi="宋体" w:cs="宋体"/>
          <w:szCs w:val="21"/>
        </w:rPr>
        <w:t>5.5 由磋商小组根据综合评分情况，按照评审得分由高到低顺序推荐3名以上成交候选供应商，并编写评</w:t>
      </w:r>
      <w:r>
        <w:rPr>
          <w:rFonts w:hint="eastAsia" w:ascii="宋体" w:hAnsi="宋体" w:cs="宋体"/>
          <w:kern w:val="0"/>
          <w:szCs w:val="21"/>
        </w:rPr>
        <w:t>审报告。符合本章第4.3条情形的，可以推荐2家成交候选供应商。评审得分相同的，按照最后报价由低到高的顺序推荐。评审得分且最后报价相同的，按照技术指标优劣顺序推荐。</w:t>
      </w:r>
    </w:p>
    <w:p w14:paraId="65F4C901">
      <w:pPr>
        <w:spacing w:line="400" w:lineRule="exact"/>
        <w:ind w:firstLine="420" w:firstLineChars="200"/>
        <w:jc w:val="left"/>
        <w:rPr>
          <w:rFonts w:ascii="宋体" w:hAnsi="宋体" w:cs="宋体"/>
          <w:kern w:val="0"/>
          <w:szCs w:val="21"/>
        </w:rPr>
      </w:pPr>
      <w:r>
        <w:rPr>
          <w:rFonts w:hint="eastAsia" w:ascii="宋体" w:hAnsi="宋体" w:cs="宋体"/>
          <w:kern w:val="0"/>
          <w:szCs w:val="21"/>
        </w:rPr>
        <w:t>5.6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9972E06">
      <w:pPr>
        <w:pStyle w:val="19"/>
        <w:spacing w:line="400" w:lineRule="exact"/>
        <w:rPr>
          <w:rFonts w:hAnsi="宋体" w:cs="宋体"/>
          <w:sz w:val="21"/>
        </w:rPr>
      </w:pPr>
    </w:p>
    <w:p w14:paraId="198A3A12">
      <w:pPr>
        <w:spacing w:line="400" w:lineRule="exact"/>
        <w:rPr>
          <w:rFonts w:ascii="宋体" w:hAnsi="宋体" w:cs="宋体"/>
          <w:kern w:val="0"/>
          <w:szCs w:val="21"/>
        </w:rPr>
      </w:pPr>
    </w:p>
    <w:p w14:paraId="0383BE90">
      <w:pPr>
        <w:pStyle w:val="7"/>
        <w:spacing w:before="0" w:after="0" w:line="400" w:lineRule="exact"/>
        <w:rPr>
          <w:sz w:val="21"/>
          <w:szCs w:val="21"/>
        </w:rPr>
      </w:pPr>
    </w:p>
    <w:p w14:paraId="1DF2D646">
      <w:pPr>
        <w:pStyle w:val="19"/>
        <w:spacing w:line="400" w:lineRule="exact"/>
        <w:rPr>
          <w:sz w:val="21"/>
        </w:rPr>
      </w:pPr>
    </w:p>
    <w:p w14:paraId="76E4F2F7">
      <w:pPr>
        <w:rPr>
          <w:rFonts w:hint="eastAsia" w:ascii="宋体" w:hAnsi="宋体" w:cs="宋体"/>
          <w:b/>
          <w:sz w:val="32"/>
          <w:szCs w:val="32"/>
        </w:rPr>
      </w:pPr>
      <w:r>
        <w:rPr>
          <w:rFonts w:hint="eastAsia" w:ascii="宋体" w:hAnsi="宋体" w:cs="宋体"/>
          <w:b/>
          <w:sz w:val="32"/>
          <w:szCs w:val="32"/>
        </w:rPr>
        <w:br w:type="page"/>
      </w:r>
    </w:p>
    <w:p w14:paraId="168EA27F">
      <w:pPr>
        <w:spacing w:line="460" w:lineRule="exact"/>
        <w:jc w:val="center"/>
        <w:rPr>
          <w:rFonts w:ascii="宋体" w:hAnsi="宋体" w:cs="宋体"/>
          <w:b/>
          <w:szCs w:val="21"/>
        </w:rPr>
      </w:pPr>
      <w:r>
        <w:rPr>
          <w:rFonts w:hint="eastAsia" w:ascii="宋体" w:hAnsi="宋体" w:cs="宋体"/>
          <w:b/>
          <w:sz w:val="32"/>
          <w:szCs w:val="32"/>
        </w:rPr>
        <w:t>二、评审标准</w:t>
      </w:r>
    </w:p>
    <w:p w14:paraId="782EBDBB">
      <w:pPr>
        <w:spacing w:line="360" w:lineRule="auto"/>
        <w:ind w:firstLine="420" w:firstLineChars="200"/>
      </w:pPr>
      <w:r>
        <w:rPr>
          <w:rFonts w:hint="eastAsia" w:ascii="宋体" w:hAnsi="宋体" w:cs="宋体"/>
          <w:bCs/>
          <w:szCs w:val="21"/>
        </w:rPr>
        <w:t>磋商小组将以磋商响应文件为评审依据，对供应商的报价、技术、商务等方面内容按百分制打分。（计分方法按四舍五入取至百分位）</w:t>
      </w:r>
    </w:p>
    <w:p w14:paraId="661EC73F"/>
    <w:tbl>
      <w:tblPr>
        <w:tblStyle w:val="33"/>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03"/>
        <w:gridCol w:w="1701"/>
        <w:gridCol w:w="5660"/>
      </w:tblGrid>
      <w:tr w14:paraId="59DC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44" w:type="dxa"/>
            <w:noWrap w:val="0"/>
            <w:vAlign w:val="center"/>
          </w:tcPr>
          <w:p w14:paraId="0799D382">
            <w:pPr>
              <w:adjustRightInd w:val="0"/>
              <w:spacing w:line="360" w:lineRule="auto"/>
              <w:jc w:val="center"/>
              <w:textAlignment w:val="baseline"/>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rPr>
              <w:t>序号</w:t>
            </w:r>
          </w:p>
        </w:tc>
        <w:tc>
          <w:tcPr>
            <w:tcW w:w="1503" w:type="dxa"/>
            <w:noWrap w:val="0"/>
            <w:vAlign w:val="center"/>
          </w:tcPr>
          <w:p w14:paraId="06166DD1">
            <w:pPr>
              <w:adjustRightInd w:val="0"/>
              <w:spacing w:line="360" w:lineRule="auto"/>
              <w:jc w:val="center"/>
              <w:textAlignment w:val="baseline"/>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评分项目</w:t>
            </w:r>
          </w:p>
        </w:tc>
        <w:tc>
          <w:tcPr>
            <w:tcW w:w="1701" w:type="dxa"/>
            <w:noWrap w:val="0"/>
            <w:vAlign w:val="center"/>
          </w:tcPr>
          <w:p w14:paraId="5EBAC6AB">
            <w:pPr>
              <w:adjustRightInd w:val="0"/>
              <w:spacing w:line="360" w:lineRule="auto"/>
              <w:jc w:val="center"/>
              <w:textAlignment w:val="baseline"/>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分值</w:t>
            </w:r>
          </w:p>
        </w:tc>
        <w:tc>
          <w:tcPr>
            <w:tcW w:w="5660" w:type="dxa"/>
            <w:noWrap w:val="0"/>
            <w:vAlign w:val="center"/>
          </w:tcPr>
          <w:p w14:paraId="2A915399">
            <w:pPr>
              <w:adjustRightInd w:val="0"/>
              <w:spacing w:line="360" w:lineRule="auto"/>
              <w:jc w:val="center"/>
              <w:textAlignment w:val="baseline"/>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rPr>
              <w:t>评标标准</w:t>
            </w:r>
          </w:p>
        </w:tc>
      </w:tr>
      <w:tr w14:paraId="6074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noWrap w:val="0"/>
            <w:vAlign w:val="center"/>
          </w:tcPr>
          <w:p w14:paraId="2DBE1675">
            <w:pPr>
              <w:adjustRightInd w:val="0"/>
              <w:spacing w:line="360" w:lineRule="auto"/>
              <w:jc w:val="center"/>
              <w:textAlignment w:val="baseline"/>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503" w:type="dxa"/>
            <w:noWrap w:val="0"/>
            <w:vAlign w:val="center"/>
          </w:tcPr>
          <w:p w14:paraId="6FA454C4">
            <w:pPr>
              <w:adjustRightInd w:val="0"/>
              <w:spacing w:line="360" w:lineRule="auto"/>
              <w:jc w:val="center"/>
              <w:textAlignment w:val="baseline"/>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价格分</w:t>
            </w:r>
          </w:p>
          <w:p w14:paraId="5915AA31">
            <w:pPr>
              <w:adjustRightInd w:val="0"/>
              <w:spacing w:line="360" w:lineRule="auto"/>
              <w:jc w:val="center"/>
              <w:textAlignment w:val="baseline"/>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（满分</w:t>
            </w:r>
            <w:r>
              <w:rPr>
                <w:rFonts w:hint="eastAsia" w:asciiTheme="minorEastAsia" w:hAnsiTheme="minorEastAsia" w:eastAsiaTheme="minorEastAsia" w:cstheme="minorEastAsia"/>
                <w:b/>
                <w:bCs/>
                <w:color w:val="000000"/>
                <w:sz w:val="21"/>
                <w:szCs w:val="21"/>
                <w:highlight w:val="none"/>
                <w:u w:val="single"/>
              </w:rPr>
              <w:t>15</w:t>
            </w:r>
            <w:r>
              <w:rPr>
                <w:rFonts w:hint="eastAsia" w:asciiTheme="minorEastAsia" w:hAnsiTheme="minorEastAsia" w:eastAsiaTheme="minorEastAsia" w:cstheme="minorEastAsia"/>
                <w:b/>
                <w:bCs/>
                <w:color w:val="000000"/>
                <w:sz w:val="21"/>
                <w:szCs w:val="21"/>
                <w:highlight w:val="none"/>
              </w:rPr>
              <w:t>分）</w:t>
            </w:r>
          </w:p>
          <w:p w14:paraId="7C37740C">
            <w:pPr>
              <w:adjustRightInd w:val="0"/>
              <w:spacing w:line="360" w:lineRule="auto"/>
              <w:jc w:val="left"/>
              <w:textAlignment w:val="baseline"/>
              <w:rPr>
                <w:rFonts w:hint="eastAsia" w:asciiTheme="minorEastAsia" w:hAnsiTheme="minorEastAsia" w:eastAsiaTheme="minorEastAsia" w:cstheme="minorEastAsia"/>
                <w:b/>
                <w:bCs/>
                <w:color w:val="000000"/>
                <w:sz w:val="21"/>
                <w:szCs w:val="21"/>
                <w:highlight w:val="none"/>
              </w:rPr>
            </w:pPr>
          </w:p>
        </w:tc>
        <w:tc>
          <w:tcPr>
            <w:tcW w:w="1701" w:type="dxa"/>
            <w:noWrap w:val="0"/>
            <w:vAlign w:val="center"/>
          </w:tcPr>
          <w:p w14:paraId="1B5612FB">
            <w:pPr>
              <w:adjustRightInd w:val="0"/>
              <w:spacing w:line="360" w:lineRule="auto"/>
              <w:jc w:val="center"/>
              <w:textAlignment w:val="baseline"/>
              <w:rPr>
                <w:rFonts w:hint="eastAsia" w:asciiTheme="minorEastAsia" w:hAnsiTheme="minorEastAsia" w:eastAsiaTheme="minorEastAsia" w:cstheme="minorEastAsia"/>
                <w:b/>
                <w:bCs/>
                <w:color w:val="000000"/>
                <w:sz w:val="21"/>
                <w:szCs w:val="21"/>
                <w:highlight w:val="none"/>
                <w:lang w:eastAsia="zh-CN"/>
              </w:rPr>
            </w:pPr>
            <w:r>
              <w:rPr>
                <w:rFonts w:hint="eastAsia" w:asciiTheme="minorEastAsia" w:hAnsiTheme="minorEastAsia" w:eastAsiaTheme="minorEastAsia" w:cstheme="minorEastAsia"/>
                <w:b/>
                <w:bCs/>
                <w:color w:val="000000"/>
                <w:sz w:val="21"/>
                <w:szCs w:val="21"/>
                <w:highlight w:val="none"/>
              </w:rPr>
              <w:t>15</w:t>
            </w:r>
            <w:r>
              <w:rPr>
                <w:rFonts w:hint="eastAsia" w:asciiTheme="minorEastAsia" w:hAnsiTheme="minorEastAsia" w:eastAsiaTheme="minorEastAsia" w:cstheme="minorEastAsia"/>
                <w:b/>
                <w:bCs/>
                <w:color w:val="000000"/>
                <w:sz w:val="21"/>
                <w:szCs w:val="21"/>
                <w:highlight w:val="none"/>
                <w:lang w:eastAsia="zh-CN"/>
              </w:rPr>
              <w:t>分</w:t>
            </w:r>
          </w:p>
        </w:tc>
        <w:tc>
          <w:tcPr>
            <w:tcW w:w="5660" w:type="dxa"/>
            <w:noWrap w:val="0"/>
            <w:vAlign w:val="center"/>
          </w:tcPr>
          <w:p w14:paraId="6B9EC0C6">
            <w:pPr>
              <w:snapToGrid w:val="0"/>
              <w:spacing w:line="360" w:lineRule="auto"/>
              <w:ind w:firstLine="233" w:firstLineChars="111"/>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（1）评标报价为投标人的投标报价进行政策性扣除后的价格，评标报价只是作为评标时使用。最终中标人的中标金额等于投标报价。</w:t>
            </w:r>
          </w:p>
          <w:p w14:paraId="1CF217F4">
            <w:pPr>
              <w:snapToGrid w:val="0"/>
              <w:spacing w:line="360" w:lineRule="auto"/>
              <w:ind w:firstLine="233" w:firstLineChars="111"/>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（2）政策性扣除计算方法。</w:t>
            </w:r>
          </w:p>
          <w:p w14:paraId="0351D8D1">
            <w:pPr>
              <w:snapToGrid w:val="0"/>
              <w:spacing w:line="360" w:lineRule="auto"/>
              <w:ind w:firstLine="443" w:firstLineChars="211"/>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Cs/>
                <w:color w:val="000000"/>
                <w:sz w:val="21"/>
                <w:szCs w:val="21"/>
                <w:highlight w:val="none"/>
              </w:rPr>
              <w:t>根据《政府采购促进中小企业发展管理办法》（财库〔2020〕46号）的规定，投标人在其投标文件中提供《中小企业声明函》，且投标人为小微企业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Theme="minorEastAsia" w:hAnsiTheme="minorEastAsia" w:eastAsiaTheme="minorEastAsia" w:cstheme="minorEastAsia"/>
                <w:bCs/>
                <w:color w:val="000000"/>
                <w:sz w:val="21"/>
                <w:szCs w:val="21"/>
                <w:highlight w:val="none"/>
                <w:u w:val="single"/>
              </w:rPr>
              <w:t>2%</w:t>
            </w:r>
            <w:r>
              <w:rPr>
                <w:rFonts w:hint="eastAsia" w:asciiTheme="minorEastAsia" w:hAnsiTheme="minorEastAsia" w:eastAsiaTheme="minorEastAsia" w:cstheme="minorEastAsia"/>
                <w:bCs/>
                <w:color w:val="000000"/>
                <w:sz w:val="21"/>
                <w:szCs w:val="21"/>
                <w:highlight w:val="none"/>
              </w:rPr>
              <w:t>（范围为2%-3%）的扣除，用扣除后的价格参加评审，扣除后的价格为评标报价，即评标报价=投标报价×（1-</w:t>
            </w:r>
            <w:r>
              <w:rPr>
                <w:rFonts w:hint="eastAsia" w:asciiTheme="minorEastAsia" w:hAnsiTheme="minorEastAsia" w:eastAsiaTheme="minorEastAsia" w:cstheme="minorEastAsia"/>
                <w:bCs/>
                <w:color w:val="000000"/>
                <w:sz w:val="21"/>
                <w:szCs w:val="21"/>
                <w:highlight w:val="none"/>
                <w:u w:val="single"/>
              </w:rPr>
              <w:t xml:space="preserve"> 2%</w:t>
            </w:r>
            <w:r>
              <w:rPr>
                <w:rFonts w:hint="eastAsia" w:asciiTheme="minorEastAsia" w:hAnsiTheme="minorEastAsia" w:eastAsiaTheme="minorEastAsia" w:cstheme="minorEastAsia"/>
                <w:bCs/>
                <w:color w:val="000000"/>
                <w:sz w:val="21"/>
                <w:szCs w:val="21"/>
                <w:highlight w:val="none"/>
              </w:rPr>
              <w:t>）。除上述情况外，评标报价=投标报价。</w:t>
            </w:r>
          </w:p>
          <w:p w14:paraId="66C88E5D">
            <w:pPr>
              <w:snapToGrid w:val="0"/>
              <w:spacing w:line="360" w:lineRule="auto"/>
              <w:ind w:firstLine="233" w:firstLineChars="111"/>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Theme="minorEastAsia" w:hAnsiTheme="minorEastAsia" w:eastAsiaTheme="minorEastAsia" w:cstheme="minorEastAsia"/>
                <w:color w:val="000000"/>
                <w:sz w:val="21"/>
                <w:szCs w:val="21"/>
                <w:highlight w:val="none"/>
              </w:rPr>
              <w:t>监狱企业参加政府采购活动时，应当提供由省级以上监狱管理局、戒毒管理局(含新疆生产建设兵团)出具的属于监狱企业的证明文件。</w:t>
            </w:r>
            <w:r>
              <w:rPr>
                <w:rFonts w:hint="eastAsia" w:asciiTheme="minorEastAsia" w:hAnsiTheme="minorEastAsia" w:eastAsiaTheme="minorEastAsia" w:cstheme="minorEastAsia"/>
                <w:bCs/>
                <w:color w:val="000000"/>
                <w:sz w:val="21"/>
                <w:szCs w:val="21"/>
                <w:highlight w:val="none"/>
              </w:rPr>
              <w:t>不重复享受政策。</w:t>
            </w:r>
          </w:p>
          <w:p w14:paraId="0D3B6408">
            <w:pPr>
              <w:snapToGrid w:val="0"/>
              <w:spacing w:line="360" w:lineRule="auto"/>
              <w:ind w:firstLine="233" w:firstLineChars="111"/>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color w:val="000000"/>
                <w:sz w:val="21"/>
                <w:szCs w:val="21"/>
                <w:highlight w:val="none"/>
              </w:rPr>
              <w:t>（4）按照</w:t>
            </w:r>
            <w:r>
              <w:rPr>
                <w:rFonts w:hint="eastAsia" w:asciiTheme="minorEastAsia" w:hAnsiTheme="minorEastAsia" w:eastAsiaTheme="minorEastAsia" w:cstheme="minorEastAsia"/>
                <w:bCs/>
                <w:color w:val="000000"/>
                <w:sz w:val="21"/>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Theme="minorEastAsia" w:hAnsiTheme="minorEastAsia" w:eastAsiaTheme="minorEastAsia" w:cstheme="minorEastAsia"/>
                <w:color w:val="000000"/>
                <w:sz w:val="21"/>
                <w:szCs w:val="21"/>
                <w:highlight w:val="none"/>
              </w:rPr>
              <w:t>残疾人福利性单位参加政府采购活动时，应当提供该通知规定的《残疾人福利性单位声明函》，并对声明的真实性负责。</w:t>
            </w:r>
            <w:r>
              <w:rPr>
                <w:rFonts w:hint="eastAsia" w:asciiTheme="minorEastAsia" w:hAnsiTheme="minorEastAsia" w:eastAsiaTheme="minorEastAsia" w:cstheme="minorEastAsia"/>
                <w:bCs/>
                <w:color w:val="000000"/>
                <w:sz w:val="21"/>
                <w:szCs w:val="21"/>
                <w:highlight w:val="none"/>
              </w:rPr>
              <w:t>残疾人福利性单位属于小型、微型企业的，不重复享受政策。</w:t>
            </w:r>
          </w:p>
          <w:p w14:paraId="6DE81A35">
            <w:pPr>
              <w:snapToGrid w:val="0"/>
              <w:spacing w:line="360" w:lineRule="auto"/>
              <w:ind w:firstLine="233" w:firstLineChars="111"/>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（5）满足招标文件要求且评标报价最低的评标报价为评标基准价，其价格分为满分。</w:t>
            </w:r>
          </w:p>
          <w:p w14:paraId="29D68EA9">
            <w:pPr>
              <w:spacing w:line="360" w:lineRule="auto"/>
              <w:ind w:firstLine="233" w:firstLineChars="111"/>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 xml:space="preserve">（6）价格分计算公式：        </w:t>
            </w:r>
          </w:p>
          <w:p w14:paraId="5115ED03">
            <w:pPr>
              <w:spacing w:line="360" w:lineRule="auto"/>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bCs/>
                <w:color w:val="000000"/>
                <w:sz w:val="21"/>
                <w:szCs w:val="21"/>
                <w:highlight w:val="none"/>
              </w:rPr>
              <w:t>价格分=(评标基准价／评标报价)×</w:t>
            </w:r>
            <w:r>
              <w:rPr>
                <w:rFonts w:hint="eastAsia" w:asciiTheme="minorEastAsia" w:hAnsiTheme="minorEastAsia" w:eastAsiaTheme="minorEastAsia" w:cstheme="minorEastAsia"/>
                <w:bCs/>
                <w:color w:val="000000"/>
                <w:sz w:val="21"/>
                <w:szCs w:val="21"/>
                <w:highlight w:val="none"/>
                <w:u w:val="single"/>
              </w:rPr>
              <w:t>15</w:t>
            </w:r>
            <w:r>
              <w:rPr>
                <w:rFonts w:hint="eastAsia" w:asciiTheme="minorEastAsia" w:hAnsiTheme="minorEastAsia" w:eastAsiaTheme="minorEastAsia" w:cstheme="minorEastAsia"/>
                <w:bCs/>
                <w:color w:val="000000"/>
                <w:sz w:val="21"/>
                <w:szCs w:val="21"/>
                <w:highlight w:val="none"/>
              </w:rPr>
              <w:t>分</w:t>
            </w:r>
          </w:p>
          <w:p w14:paraId="7D046FEB">
            <w:pPr>
              <w:pStyle w:val="82"/>
              <w:spacing w:line="360"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color w:val="000000"/>
                <w:sz w:val="21"/>
                <w:szCs w:val="21"/>
                <w:highlight w:val="none"/>
              </w:rPr>
              <w:t>（最后报价政策性扣除计算方法：本项目为专门面向中小企业采购项目，不享受价格扣除政策。）</w:t>
            </w:r>
          </w:p>
        </w:tc>
      </w:tr>
      <w:tr w14:paraId="4D5A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Merge w:val="restart"/>
            <w:noWrap w:val="0"/>
            <w:vAlign w:val="center"/>
          </w:tcPr>
          <w:p w14:paraId="60D44FE7">
            <w:pPr>
              <w:adjustRightInd w:val="0"/>
              <w:snapToGrid w:val="0"/>
              <w:spacing w:line="360" w:lineRule="auto"/>
              <w:jc w:val="center"/>
              <w:textAlignment w:val="baseline"/>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503" w:type="dxa"/>
            <w:vMerge w:val="restart"/>
            <w:noWrap w:val="0"/>
            <w:vAlign w:val="center"/>
          </w:tcPr>
          <w:p w14:paraId="2BB100F0">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color w:val="000000"/>
                <w:spacing w:val="-18"/>
                <w:sz w:val="21"/>
                <w:szCs w:val="21"/>
                <w:highlight w:val="none"/>
              </w:rPr>
            </w:pPr>
            <w:r>
              <w:rPr>
                <w:rFonts w:hint="eastAsia" w:asciiTheme="minorEastAsia" w:hAnsiTheme="minorEastAsia" w:eastAsiaTheme="minorEastAsia" w:cstheme="minorEastAsia"/>
                <w:b/>
                <w:color w:val="000000"/>
                <w:kern w:val="0"/>
                <w:sz w:val="21"/>
                <w:szCs w:val="21"/>
                <w:highlight w:val="none"/>
              </w:rPr>
              <w:t>项目技术分满分</w:t>
            </w:r>
            <w:r>
              <w:rPr>
                <w:rFonts w:hint="eastAsia" w:asciiTheme="minorEastAsia" w:hAnsiTheme="minorEastAsia" w:eastAsiaTheme="minorEastAsia" w:cstheme="minorEastAsia"/>
                <w:b/>
                <w:color w:val="000000"/>
                <w:kern w:val="0"/>
                <w:sz w:val="21"/>
                <w:szCs w:val="21"/>
                <w:highlight w:val="none"/>
                <w:u w:val="single"/>
              </w:rPr>
              <w:t>77</w:t>
            </w:r>
            <w:r>
              <w:rPr>
                <w:rFonts w:hint="eastAsia" w:asciiTheme="minorEastAsia" w:hAnsiTheme="minorEastAsia" w:eastAsiaTheme="minorEastAsia" w:cstheme="minorEastAsia"/>
                <w:b/>
                <w:color w:val="000000"/>
                <w:kern w:val="0"/>
                <w:sz w:val="21"/>
                <w:szCs w:val="21"/>
                <w:highlight w:val="none"/>
              </w:rPr>
              <w:t>分）</w:t>
            </w:r>
          </w:p>
        </w:tc>
        <w:tc>
          <w:tcPr>
            <w:tcW w:w="1701" w:type="dxa"/>
            <w:noWrap w:val="0"/>
            <w:vAlign w:val="center"/>
          </w:tcPr>
          <w:p w14:paraId="2622E94C">
            <w:pPr>
              <w:snapToGrid w:val="0"/>
              <w:spacing w:line="360" w:lineRule="auto"/>
              <w:jc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45</w:t>
            </w:r>
            <w:r>
              <w:rPr>
                <w:rFonts w:hint="eastAsia" w:asciiTheme="minorEastAsia" w:hAnsiTheme="minorEastAsia" w:eastAsiaTheme="minorEastAsia" w:cstheme="minorEastAsia"/>
                <w:color w:val="000000"/>
                <w:sz w:val="21"/>
                <w:szCs w:val="21"/>
                <w:highlight w:val="none"/>
                <w:lang w:eastAsia="zh-CN"/>
              </w:rPr>
              <w:t>分</w:t>
            </w:r>
          </w:p>
        </w:tc>
        <w:tc>
          <w:tcPr>
            <w:tcW w:w="5660" w:type="dxa"/>
            <w:noWrap w:val="0"/>
            <w:vAlign w:val="center"/>
          </w:tcPr>
          <w:p w14:paraId="54384645">
            <w:pPr>
              <w:widowControl/>
              <w:spacing w:line="360" w:lineRule="auto"/>
              <w:ind w:firstLine="738"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工作实施方案</w:t>
            </w:r>
          </w:p>
          <w:p w14:paraId="515CC232">
            <w:pPr>
              <w:widowControl/>
              <w:spacing w:line="360" w:lineRule="auto"/>
              <w:ind w:firstLine="738"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1、针对本项目的实施背景、范围、要求（具体内容详见第三章），</w:t>
            </w:r>
            <w:r>
              <w:rPr>
                <w:rFonts w:hint="eastAsia" w:asciiTheme="minorEastAsia" w:hAnsiTheme="minorEastAsia" w:eastAsiaTheme="minorEastAsia" w:cstheme="minorEastAsia"/>
                <w:color w:val="000000"/>
                <w:kern w:val="0"/>
                <w:sz w:val="21"/>
                <w:szCs w:val="21"/>
                <w:highlight w:val="none"/>
              </w:rPr>
              <w:t xml:space="preserve"> </w:t>
            </w:r>
            <w:r>
              <w:rPr>
                <w:rFonts w:hint="eastAsia" w:asciiTheme="minorEastAsia" w:hAnsiTheme="minorEastAsia" w:eastAsiaTheme="minorEastAsia" w:cstheme="minorEastAsia"/>
                <w:b/>
                <w:bCs/>
                <w:color w:val="000000"/>
                <w:kern w:val="0"/>
                <w:sz w:val="21"/>
                <w:szCs w:val="21"/>
                <w:highlight w:val="none"/>
              </w:rPr>
              <w:t>能够把握本项目的工作技术重点、难点：</w:t>
            </w:r>
          </w:p>
          <w:p w14:paraId="6016B748">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①提出对疫木的清理方案；</w:t>
            </w:r>
          </w:p>
          <w:p w14:paraId="5E56963A">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②提出应急响应措施；</w:t>
            </w:r>
          </w:p>
          <w:p w14:paraId="4CEF81E8">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③针对松材线虫病提出的预防方案；</w:t>
            </w:r>
          </w:p>
          <w:p w14:paraId="0733124F">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④提出配合本项目的安全措施；</w:t>
            </w:r>
          </w:p>
          <w:p w14:paraId="71615423">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⑤提出保障项目顺利完成建立的工作制度。</w:t>
            </w:r>
          </w:p>
          <w:p w14:paraId="0A3D5BF8">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(1)依据①-⑤每项内容为评分标准（每项最高得 3 分，各项合计15分），缺项（0分）、内容完整且完全满足采购文件要求（得3分）。</w:t>
            </w:r>
          </w:p>
          <w:p w14:paraId="1E477EEF">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(2)在(1)基础上，提供有针对本项目建设性、创新性建议或合理补充的一项得1分，最多得5分；</w:t>
            </w:r>
          </w:p>
          <w:p w14:paraId="53F569CB">
            <w:pPr>
              <w:widowControl/>
              <w:spacing w:line="360" w:lineRule="auto"/>
              <w:ind w:firstLine="738"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2、能结合当地实际服务情况和本项目要求做出项目实施</w:t>
            </w:r>
            <w:r>
              <w:rPr>
                <w:rFonts w:hint="eastAsia" w:asciiTheme="minorEastAsia" w:hAnsiTheme="minorEastAsia" w:eastAsiaTheme="minorEastAsia" w:cstheme="minorEastAsia"/>
                <w:color w:val="000000"/>
                <w:kern w:val="0"/>
                <w:sz w:val="21"/>
                <w:szCs w:val="21"/>
                <w:highlight w:val="none"/>
              </w:rPr>
              <w:t>计划</w:t>
            </w:r>
          </w:p>
          <w:p w14:paraId="49BB0F1D">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①提出服务实施有科学的时间规划；</w:t>
            </w:r>
          </w:p>
          <w:p w14:paraId="285FE775">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②对工作进度有把控措施；</w:t>
            </w:r>
          </w:p>
          <w:p w14:paraId="3EA3CCD4">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③提出对服务路线分配计划；</w:t>
            </w:r>
          </w:p>
          <w:p w14:paraId="7CAE25DE">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④提供对本项目的质量保障措施；</w:t>
            </w:r>
          </w:p>
          <w:p w14:paraId="6539254C">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⑤人员配备及分配计划</w:t>
            </w:r>
          </w:p>
          <w:p w14:paraId="40E69253">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(1)依据①-⑤每项内容为评分标准（每项最高得 3 分，各项合计15分），缺项（0分）、内容完整且完全满足采购文件要求（得3分）。</w:t>
            </w:r>
          </w:p>
          <w:p w14:paraId="38BF8FE7">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(2)在(1)基础上，提供有针对本项目建设性、创新性建议或合 理补充的一项得1分，最多得5分；</w:t>
            </w:r>
          </w:p>
          <w:p w14:paraId="2E9EFBA7">
            <w:pPr>
              <w:widowControl/>
              <w:spacing w:line="360" w:lineRule="auto"/>
              <w:ind w:firstLine="738"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3、项目服务中配备使用施工设备</w:t>
            </w:r>
            <w:r>
              <w:rPr>
                <w:rFonts w:hint="eastAsia" w:asciiTheme="minorEastAsia" w:hAnsiTheme="minorEastAsia" w:eastAsiaTheme="minorEastAsia" w:cstheme="minorEastAsia"/>
                <w:color w:val="000000"/>
                <w:kern w:val="0"/>
                <w:sz w:val="21"/>
                <w:szCs w:val="21"/>
                <w:highlight w:val="none"/>
              </w:rPr>
              <w:t>（包括砍伐工</w:t>
            </w:r>
            <w:r>
              <w:rPr>
                <w:rFonts w:hint="eastAsia" w:asciiTheme="minorEastAsia" w:hAnsiTheme="minorEastAsia" w:eastAsiaTheme="minorEastAsia" w:cstheme="minorEastAsia"/>
                <w:color w:val="auto"/>
                <w:kern w:val="0"/>
                <w:sz w:val="21"/>
                <w:szCs w:val="21"/>
                <w:highlight w:val="none"/>
              </w:rPr>
              <w:t>具、灭火</w:t>
            </w:r>
            <w:r>
              <w:rPr>
                <w:rFonts w:hint="eastAsia" w:asciiTheme="minorEastAsia" w:hAnsiTheme="minorEastAsia" w:eastAsiaTheme="minorEastAsia" w:cstheme="minorEastAsia"/>
                <w:color w:val="auto"/>
                <w:kern w:val="0"/>
                <w:sz w:val="21"/>
                <w:szCs w:val="21"/>
                <w:highlight w:val="none"/>
                <w:lang w:eastAsia="zh-CN"/>
              </w:rPr>
              <w:t>设备、</w:t>
            </w:r>
            <w:r>
              <w:rPr>
                <w:rFonts w:hint="eastAsia" w:asciiTheme="minorEastAsia" w:hAnsiTheme="minorEastAsia" w:eastAsiaTheme="minorEastAsia" w:cstheme="minorEastAsia"/>
                <w:color w:val="auto"/>
                <w:kern w:val="0"/>
                <w:sz w:val="21"/>
                <w:szCs w:val="21"/>
                <w:highlight w:val="none"/>
              </w:rPr>
              <w:t>摄像和拍照工具、望远镜或无人机</w:t>
            </w:r>
            <w:r>
              <w:rPr>
                <w:rFonts w:hint="eastAsia" w:asciiTheme="minorEastAsia" w:hAnsiTheme="minorEastAsia" w:eastAsiaTheme="minorEastAsia" w:cstheme="minorEastAsia"/>
                <w:color w:val="auto"/>
                <w:kern w:val="0"/>
                <w:sz w:val="21"/>
                <w:szCs w:val="21"/>
                <w:highlight w:val="none"/>
                <w:lang w:eastAsia="zh-CN"/>
              </w:rPr>
              <w:t>、数据采集和定位工具</w:t>
            </w:r>
            <w:r>
              <w:rPr>
                <w:rFonts w:hint="eastAsia" w:asciiTheme="minorEastAsia" w:hAnsiTheme="minorEastAsia" w:eastAsiaTheme="minorEastAsia" w:cstheme="minorEastAsia"/>
                <w:color w:val="000000"/>
                <w:kern w:val="0"/>
                <w:sz w:val="21"/>
                <w:szCs w:val="21"/>
                <w:highlight w:val="none"/>
              </w:rPr>
              <w:t>）每提供一样工具或设备的得1分，满分5分。（需提供投入本项目施工工具或设备的彩图扫描件并 CA 电子签章。）</w:t>
            </w:r>
          </w:p>
          <w:p w14:paraId="06E275D1">
            <w:pPr>
              <w:widowControl/>
              <w:spacing w:line="360" w:lineRule="auto"/>
              <w:ind w:firstLine="735" w:firstLineChars="350"/>
              <w:outlineLvl w:val="0"/>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注：以上如有要求提供的资料不提供或提供的不符合上述要求 的本项不计分）</w:t>
            </w:r>
          </w:p>
        </w:tc>
      </w:tr>
      <w:tr w14:paraId="0488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dxa"/>
            <w:vMerge w:val="continue"/>
            <w:noWrap w:val="0"/>
            <w:vAlign w:val="top"/>
          </w:tcPr>
          <w:p w14:paraId="08F4BC34">
            <w:pPr>
              <w:adjustRightInd w:val="0"/>
              <w:snapToGrid w:val="0"/>
              <w:spacing w:line="360" w:lineRule="auto"/>
              <w:jc w:val="center"/>
              <w:textAlignment w:val="baseline"/>
              <w:rPr>
                <w:rFonts w:hint="eastAsia" w:asciiTheme="minorEastAsia" w:hAnsiTheme="minorEastAsia" w:eastAsiaTheme="minorEastAsia" w:cstheme="minorEastAsia"/>
                <w:color w:val="000000"/>
                <w:sz w:val="21"/>
                <w:szCs w:val="21"/>
                <w:highlight w:val="none"/>
              </w:rPr>
            </w:pPr>
          </w:p>
        </w:tc>
        <w:tc>
          <w:tcPr>
            <w:tcW w:w="1503" w:type="dxa"/>
            <w:vMerge w:val="continue"/>
            <w:noWrap w:val="0"/>
            <w:vAlign w:val="top"/>
          </w:tcPr>
          <w:p w14:paraId="37301687">
            <w:pPr>
              <w:adjustRightInd w:val="0"/>
              <w:snapToGrid w:val="0"/>
              <w:spacing w:line="360" w:lineRule="auto"/>
              <w:jc w:val="center"/>
              <w:textAlignment w:val="baseline"/>
              <w:rPr>
                <w:rFonts w:hint="eastAsia" w:asciiTheme="minorEastAsia" w:hAnsiTheme="minorEastAsia" w:eastAsiaTheme="minorEastAsia" w:cstheme="minorEastAsia"/>
                <w:color w:val="000000"/>
                <w:sz w:val="21"/>
                <w:szCs w:val="21"/>
                <w:highlight w:val="none"/>
              </w:rPr>
            </w:pPr>
          </w:p>
        </w:tc>
        <w:tc>
          <w:tcPr>
            <w:tcW w:w="1701" w:type="dxa"/>
            <w:noWrap w:val="0"/>
            <w:tcMar>
              <w:left w:w="57" w:type="dxa"/>
              <w:right w:w="57" w:type="dxa"/>
            </w:tcMar>
            <w:vAlign w:val="center"/>
          </w:tcPr>
          <w:p w14:paraId="26300E7E">
            <w:pPr>
              <w:widowControl/>
              <w:snapToGrid w:val="0"/>
              <w:spacing w:line="360" w:lineRule="auto"/>
              <w:jc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32</w:t>
            </w:r>
            <w:r>
              <w:rPr>
                <w:rFonts w:hint="eastAsia" w:asciiTheme="minorEastAsia" w:hAnsiTheme="minorEastAsia" w:eastAsiaTheme="minorEastAsia" w:cstheme="minorEastAsia"/>
                <w:color w:val="000000"/>
                <w:sz w:val="21"/>
                <w:szCs w:val="21"/>
                <w:highlight w:val="none"/>
                <w:lang w:eastAsia="zh-CN"/>
              </w:rPr>
              <w:t>分</w:t>
            </w:r>
          </w:p>
        </w:tc>
        <w:tc>
          <w:tcPr>
            <w:tcW w:w="5660" w:type="dxa"/>
            <w:noWrap w:val="0"/>
            <w:vAlign w:val="center"/>
          </w:tcPr>
          <w:p w14:paraId="2B0E85D8">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售后服务方案</w:t>
            </w:r>
          </w:p>
          <w:p w14:paraId="3CF700A7">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对各供应商提供的服务方案进行评审，并由投标小组根据内容进行评分：</w:t>
            </w:r>
          </w:p>
          <w:p w14:paraId="5DC10B25">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（1）方案各部分内容（包含但不限于服务巡查期、技术服务、技术培训、服务的内容和措施、响应时间、到达现场时间等）</w:t>
            </w:r>
          </w:p>
          <w:p w14:paraId="163C358E">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具有针对性，方案思路合理的；</w:t>
            </w:r>
          </w:p>
          <w:p w14:paraId="69B95A0D">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（2）供应商响应文件能清晰描述、分析本次项目的处理疫情 思路和需要解决的问题的；</w:t>
            </w:r>
          </w:p>
          <w:p w14:paraId="66B4C307">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（3）做出长期的规划，符合疫情发展趋势的；</w:t>
            </w:r>
          </w:p>
          <w:p w14:paraId="7FBFC70E">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（4）有专业维护人员安排；</w:t>
            </w:r>
          </w:p>
          <w:p w14:paraId="63EE71E6">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（5）提出应急措施（包括但不限于服务过程中的质量控制、人员管理，对服务期内疫木非正常暴增情况的处理，突发异常天气紧急情况的处理）；</w:t>
            </w:r>
          </w:p>
          <w:p w14:paraId="406F8622">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（6）根据项目情况提供服务承诺；</w:t>
            </w:r>
          </w:p>
          <w:p w14:paraId="46E22051">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（7）对本项目的工作重点与难点问题判断准确，贴合实际的；</w:t>
            </w:r>
          </w:p>
          <w:p w14:paraId="63E78376">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（8）对本项目的合理化建议和改进措施</w:t>
            </w:r>
          </w:p>
          <w:p w14:paraId="26709450">
            <w:pPr>
              <w:pStyle w:val="19"/>
              <w:spacing w:line="360" w:lineRule="auto"/>
              <w:ind w:right="267" w:rightChars="127" w:firstLine="420"/>
              <w:outlineLvl w:val="0"/>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以上（1）-（8）项基础分评分标准（每项最高得 4 分，合计满分32分）:缺项（0分）、内容完整（1分）、有针对性（1分）、 按照采购人实际需求制定（1）、满足投标文件要求（ 1分）。</w:t>
            </w:r>
          </w:p>
        </w:tc>
      </w:tr>
      <w:tr w14:paraId="1C6F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44" w:type="dxa"/>
            <w:noWrap w:val="0"/>
            <w:vAlign w:val="center"/>
          </w:tcPr>
          <w:p w14:paraId="327DB651">
            <w:pPr>
              <w:snapToGrid w:val="0"/>
              <w:spacing w:line="360"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503" w:type="dxa"/>
            <w:noWrap w:val="0"/>
            <w:vAlign w:val="center"/>
          </w:tcPr>
          <w:p w14:paraId="4765A59C">
            <w:pPr>
              <w:snapToGrid w:val="0"/>
              <w:spacing w:line="360"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color w:val="000000"/>
                <w:sz w:val="21"/>
                <w:szCs w:val="21"/>
                <w:highlight w:val="none"/>
              </w:rPr>
              <w:t>商务分（满分8分）</w:t>
            </w:r>
          </w:p>
        </w:tc>
        <w:tc>
          <w:tcPr>
            <w:tcW w:w="1701" w:type="dxa"/>
            <w:noWrap w:val="0"/>
            <w:vAlign w:val="center"/>
          </w:tcPr>
          <w:p w14:paraId="71E3ED0D">
            <w:pPr>
              <w:snapToGrid w:val="0"/>
              <w:spacing w:line="360" w:lineRule="auto"/>
              <w:jc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rPr>
              <w:t>8</w:t>
            </w:r>
            <w:r>
              <w:rPr>
                <w:rFonts w:hint="eastAsia" w:asciiTheme="minorEastAsia" w:hAnsiTheme="minorEastAsia" w:eastAsiaTheme="minorEastAsia" w:cstheme="minorEastAsia"/>
                <w:color w:val="000000"/>
                <w:sz w:val="21"/>
                <w:szCs w:val="21"/>
                <w:highlight w:val="none"/>
                <w:lang w:eastAsia="zh-CN"/>
              </w:rPr>
              <w:t>分</w:t>
            </w:r>
          </w:p>
        </w:tc>
        <w:tc>
          <w:tcPr>
            <w:tcW w:w="5660" w:type="dxa"/>
            <w:noWrap w:val="0"/>
            <w:vAlign w:val="top"/>
          </w:tcPr>
          <w:p w14:paraId="5A9FFE98">
            <w:pPr>
              <w:adjustRightInd w:val="0"/>
              <w:spacing w:line="360" w:lineRule="auto"/>
              <w:ind w:firstLine="371" w:firstLineChars="177"/>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供应商投入负责人1人，作业民工满10人得分4 分 ；作业民工满20人得分6分，作业民工满30人得分8分；负责人需在响应文件提交截止日期前半年内任意一个月或一个季度供应商为其缴纳的社会养老保险证明扫描件（如为新入职员工请提供入职证明材料），作业民工需提供聘用合同及身份证扫描件并CA 电子签章，不提供或提供的不符合上述要求的本项不计分。）</w:t>
            </w:r>
          </w:p>
        </w:tc>
      </w:tr>
      <w:tr w14:paraId="128B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noWrap w:val="0"/>
            <w:vAlign w:val="center"/>
          </w:tcPr>
          <w:p w14:paraId="47EEE40A">
            <w:pPr>
              <w:pStyle w:val="19"/>
              <w:snapToGrid w:val="0"/>
              <w:spacing w:line="360" w:lineRule="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总得分=1+2+3</w:t>
            </w:r>
          </w:p>
        </w:tc>
      </w:tr>
    </w:tbl>
    <w:p w14:paraId="0533EE8B"/>
    <w:p w14:paraId="7438D3AF">
      <w:pPr>
        <w:spacing w:line="400" w:lineRule="exact"/>
        <w:ind w:firstLine="422" w:firstLineChars="200"/>
        <w:rPr>
          <w:rFonts w:ascii="宋体" w:hAnsi="宋体" w:cs="宋体"/>
          <w:bCs/>
          <w:szCs w:val="21"/>
        </w:rPr>
      </w:pPr>
      <w:r>
        <w:rPr>
          <w:rFonts w:hint="eastAsia" w:ascii="宋体" w:hAnsi="宋体" w:cs="宋体"/>
          <w:b/>
          <w:szCs w:val="21"/>
        </w:rPr>
        <w:t>7.中标候选人推荐原则</w:t>
      </w:r>
    </w:p>
    <w:p w14:paraId="55B80574">
      <w:pPr>
        <w:spacing w:line="360" w:lineRule="auto"/>
        <w:ind w:firstLine="420" w:firstLineChars="200"/>
        <w:rPr>
          <w:rFonts w:ascii="宋体" w:hAnsi="宋体" w:cs="宋体"/>
          <w:bCs/>
          <w:szCs w:val="21"/>
        </w:rPr>
      </w:pPr>
      <w:r>
        <w:rPr>
          <w:rFonts w:hint="eastAsia" w:ascii="宋体" w:hAnsi="宋体" w:cs="宋体"/>
          <w:bCs/>
          <w:szCs w:val="21"/>
        </w:rPr>
        <w:t>（1）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5B0935F1">
      <w:pPr>
        <w:spacing w:line="360" w:lineRule="auto"/>
      </w:pPr>
      <w:r>
        <w:rPr>
          <w:rFonts w:hint="eastAsia" w:ascii="宋体" w:hAnsi="宋体" w:cs="宋体"/>
        </w:rPr>
        <w:t>（2）供应商可对本项目多个标段进行磋商（竞标），但最多只能成交1个标段。（若出现某供应商在多个标段均为第一成交候选人的情况，则按评标顺序排列，在该供应商于第1个标段成为第一成交候选人后，由第二成交候选人替补，以此类推。</w:t>
      </w:r>
    </w:p>
    <w:p w14:paraId="22EA2E62"/>
    <w:p w14:paraId="3A2A8970"/>
    <w:p w14:paraId="7BBA6657"/>
    <w:p w14:paraId="0C66D832"/>
    <w:p w14:paraId="5A3CC126"/>
    <w:p w14:paraId="7D5D6633">
      <w:pPr>
        <w:rPr>
          <w:rFonts w:hint="eastAsia"/>
          <w:sz w:val="32"/>
          <w:szCs w:val="32"/>
        </w:rPr>
      </w:pPr>
      <w:bookmarkStart w:id="23" w:name="_Toc74323460"/>
      <w:r>
        <w:rPr>
          <w:rFonts w:hint="eastAsia"/>
          <w:sz w:val="32"/>
          <w:szCs w:val="32"/>
        </w:rPr>
        <w:br w:type="page"/>
      </w:r>
    </w:p>
    <w:p w14:paraId="0A7027B3">
      <w:pPr>
        <w:pStyle w:val="2"/>
        <w:spacing w:before="0" w:after="0" w:line="460" w:lineRule="exact"/>
        <w:jc w:val="center"/>
      </w:pPr>
      <w:r>
        <w:rPr>
          <w:rFonts w:hint="eastAsia"/>
          <w:sz w:val="32"/>
          <w:szCs w:val="32"/>
        </w:rPr>
        <w:t>第五章 响应文件格式</w:t>
      </w:r>
      <w:bookmarkEnd w:id="23"/>
    </w:p>
    <w:p w14:paraId="0C52B606">
      <w:pPr>
        <w:spacing w:line="240" w:lineRule="atLeast"/>
        <w:rPr>
          <w:rFonts w:ascii="宋体" w:hAnsi="宋体"/>
          <w:b/>
          <w:sz w:val="32"/>
          <w:szCs w:val="32"/>
        </w:rPr>
      </w:pPr>
    </w:p>
    <w:p w14:paraId="1889D36C">
      <w:pPr>
        <w:pStyle w:val="2"/>
        <w:spacing w:before="0" w:after="0" w:line="400" w:lineRule="exact"/>
        <w:rPr>
          <w:rFonts w:ascii="宋体" w:hAnsi="宋体" w:cs="宋体"/>
          <w:sz w:val="21"/>
          <w:szCs w:val="21"/>
        </w:rPr>
      </w:pPr>
      <w:r>
        <w:rPr>
          <w:rFonts w:hint="eastAsia" w:ascii="宋体" w:hAnsi="宋体" w:cs="宋体"/>
          <w:sz w:val="21"/>
          <w:szCs w:val="21"/>
        </w:rPr>
        <w:br w:type="page"/>
      </w:r>
    </w:p>
    <w:p w14:paraId="0AD7ECE3">
      <w:pPr>
        <w:spacing w:line="460" w:lineRule="exact"/>
        <w:rPr>
          <w:b/>
          <w:sz w:val="32"/>
          <w:szCs w:val="32"/>
        </w:rPr>
      </w:pPr>
      <w:bookmarkStart w:id="24" w:name="_Toc71365925"/>
      <w:bookmarkStart w:id="25" w:name="_Toc35611516"/>
      <w:bookmarkStart w:id="26" w:name="_Toc35611438"/>
      <w:bookmarkStart w:id="27" w:name="_Toc31723070"/>
      <w:bookmarkStart w:id="28" w:name="_Toc44229899"/>
      <w:bookmarkStart w:id="29" w:name="_Toc31728084"/>
      <w:r>
        <w:rPr>
          <w:rFonts w:hint="eastAsia"/>
          <w:b/>
          <w:sz w:val="32"/>
          <w:szCs w:val="32"/>
        </w:rPr>
        <w:t>一、资格证明文件格式</w:t>
      </w:r>
      <w:bookmarkEnd w:id="24"/>
      <w:bookmarkEnd w:id="25"/>
      <w:bookmarkEnd w:id="26"/>
      <w:bookmarkEnd w:id="27"/>
      <w:bookmarkEnd w:id="28"/>
      <w:bookmarkEnd w:id="29"/>
    </w:p>
    <w:p w14:paraId="7E97B052">
      <w:pPr>
        <w:snapToGrid w:val="0"/>
        <w:spacing w:line="460" w:lineRule="exact"/>
        <w:jc w:val="left"/>
        <w:rPr>
          <w:rFonts w:ascii="宋体" w:hAnsi="宋体"/>
          <w:b/>
          <w:sz w:val="24"/>
        </w:rPr>
      </w:pPr>
      <w:r>
        <w:rPr>
          <w:rFonts w:hint="eastAsia" w:ascii="宋体" w:hAnsi="宋体"/>
          <w:b/>
          <w:sz w:val="32"/>
          <w:szCs w:val="32"/>
        </w:rPr>
        <w:t>1.资格证明文件封面格式：</w:t>
      </w:r>
      <w:r>
        <w:rPr>
          <w:rFonts w:hint="eastAsia" w:ascii="宋体" w:hAnsi="宋体"/>
          <w:b/>
          <w:sz w:val="24"/>
        </w:rPr>
        <w:t xml:space="preserve"> </w:t>
      </w:r>
    </w:p>
    <w:p w14:paraId="214A2DE7">
      <w:pPr>
        <w:snapToGrid w:val="0"/>
        <w:spacing w:before="156" w:beforeLines="50" w:after="50"/>
        <w:rPr>
          <w:rFonts w:ascii="宋体" w:hAnsi="宋体"/>
          <w:bCs/>
          <w:sz w:val="32"/>
          <w:szCs w:val="20"/>
        </w:rPr>
      </w:pPr>
      <w:r>
        <w:rPr>
          <w:rFonts w:hint="eastAsia" w:ascii="宋体" w:hAnsi="宋体"/>
          <w:sz w:val="24"/>
        </w:rPr>
        <w:t xml:space="preserve">                                                   </w:t>
      </w:r>
    </w:p>
    <w:p w14:paraId="402CA7ED">
      <w:pPr>
        <w:snapToGrid w:val="0"/>
        <w:spacing w:before="156" w:beforeLines="50" w:after="50"/>
        <w:rPr>
          <w:rFonts w:ascii="宋体" w:hAnsi="宋体"/>
          <w:sz w:val="24"/>
          <w:szCs w:val="20"/>
        </w:rPr>
      </w:pPr>
    </w:p>
    <w:p w14:paraId="0F6C2AA5">
      <w:pPr>
        <w:snapToGrid w:val="0"/>
        <w:spacing w:before="156" w:beforeLines="50" w:after="50"/>
        <w:rPr>
          <w:rFonts w:ascii="宋体" w:hAnsi="宋体"/>
          <w:sz w:val="24"/>
          <w:szCs w:val="20"/>
        </w:rPr>
      </w:pPr>
    </w:p>
    <w:p w14:paraId="36160301">
      <w:pPr>
        <w:snapToGrid w:val="0"/>
        <w:spacing w:before="156"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146B7760">
      <w:pPr>
        <w:snapToGrid w:val="0"/>
        <w:spacing w:before="156" w:beforeLines="50" w:after="50"/>
        <w:rPr>
          <w:rFonts w:ascii="宋体" w:hAnsi="宋体"/>
          <w:bCs/>
          <w:sz w:val="24"/>
          <w:szCs w:val="20"/>
        </w:rPr>
      </w:pPr>
    </w:p>
    <w:p w14:paraId="05C66212">
      <w:pPr>
        <w:snapToGrid w:val="0"/>
        <w:spacing w:before="156" w:beforeLines="50" w:after="50"/>
        <w:rPr>
          <w:rFonts w:ascii="宋体" w:hAnsi="宋体"/>
          <w:bCs/>
          <w:sz w:val="24"/>
          <w:szCs w:val="20"/>
        </w:rPr>
      </w:pPr>
    </w:p>
    <w:p w14:paraId="24357095">
      <w:pPr>
        <w:snapToGrid w:val="0"/>
        <w:spacing w:before="156" w:beforeLines="50" w:after="50"/>
        <w:rPr>
          <w:rFonts w:ascii="宋体" w:hAnsi="宋体"/>
          <w:bCs/>
          <w:sz w:val="24"/>
          <w:szCs w:val="20"/>
        </w:rPr>
      </w:pPr>
    </w:p>
    <w:p w14:paraId="46E8130F">
      <w:pPr>
        <w:snapToGrid w:val="0"/>
        <w:spacing w:before="156" w:beforeLines="50" w:after="50"/>
        <w:rPr>
          <w:rFonts w:ascii="宋体" w:hAnsi="宋体"/>
          <w:bCs/>
          <w:sz w:val="24"/>
          <w:szCs w:val="20"/>
        </w:rPr>
      </w:pPr>
    </w:p>
    <w:p w14:paraId="2779753C">
      <w:pPr>
        <w:snapToGrid w:val="0"/>
        <w:spacing w:before="156" w:beforeLines="50" w:after="50"/>
        <w:rPr>
          <w:rFonts w:ascii="宋体" w:hAnsi="宋体"/>
          <w:bCs/>
          <w:sz w:val="24"/>
          <w:szCs w:val="20"/>
        </w:rPr>
      </w:pPr>
    </w:p>
    <w:p w14:paraId="09D668FC">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64F04CC6">
      <w:pPr>
        <w:snapToGrid w:val="0"/>
        <w:spacing w:before="156" w:beforeLines="50" w:after="50"/>
        <w:ind w:firstLine="720" w:firstLineChars="225"/>
        <w:rPr>
          <w:rFonts w:ascii="宋体" w:hAnsi="宋体" w:cs="仿宋_GB2312"/>
          <w:bCs/>
          <w:sz w:val="32"/>
          <w:szCs w:val="32"/>
        </w:rPr>
      </w:pPr>
    </w:p>
    <w:p w14:paraId="18A7887E">
      <w:pPr>
        <w:snapToGrid w:val="0"/>
        <w:spacing w:before="156" w:beforeLines="50" w:after="50"/>
        <w:ind w:firstLine="720" w:firstLineChars="225"/>
        <w:rPr>
          <w:rFonts w:ascii="宋体" w:hAnsi="宋体" w:cs="仿宋_GB2312"/>
          <w:bCs/>
          <w:sz w:val="32"/>
          <w:szCs w:val="32"/>
        </w:rPr>
      </w:pPr>
      <w:r>
        <w:rPr>
          <w:rFonts w:hint="eastAsia" w:ascii="宋体" w:hAnsi="宋体" w:cs="仿宋_GB2312"/>
          <w:bCs/>
          <w:sz w:val="32"/>
          <w:szCs w:val="32"/>
        </w:rPr>
        <w:t>项目编号：</w:t>
      </w:r>
    </w:p>
    <w:p w14:paraId="6DC4E40E">
      <w:pPr>
        <w:snapToGrid w:val="0"/>
        <w:spacing w:before="156"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14:paraId="3A1BAF98">
      <w:pPr>
        <w:snapToGrid w:val="0"/>
        <w:spacing w:before="156" w:beforeLines="50" w:after="50"/>
        <w:ind w:firstLine="720" w:firstLineChars="225"/>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4A854153">
      <w:pPr>
        <w:snapToGrid w:val="0"/>
        <w:spacing w:before="156" w:beforeLines="50" w:after="50"/>
        <w:ind w:firstLine="720" w:firstLineChars="225"/>
        <w:rPr>
          <w:rFonts w:ascii="宋体" w:hAnsi="宋体" w:cs="仿宋_GB2312"/>
          <w:bCs/>
          <w:sz w:val="32"/>
          <w:szCs w:val="32"/>
        </w:rPr>
      </w:pPr>
    </w:p>
    <w:p w14:paraId="33111225">
      <w:pPr>
        <w:pStyle w:val="8"/>
        <w:snapToGrid w:val="0"/>
        <w:spacing w:before="50" w:after="50"/>
        <w:ind w:firstLine="720" w:firstLineChars="225"/>
        <w:rPr>
          <w:rFonts w:ascii="宋体" w:hAnsi="宋体" w:cs="仿宋_GB2312"/>
          <w:bCs/>
          <w:sz w:val="32"/>
          <w:szCs w:val="32"/>
        </w:rPr>
      </w:pPr>
      <w:r>
        <w:rPr>
          <w:rFonts w:hint="eastAsia" w:ascii="宋体" w:hAnsi="宋体" w:cs="仿宋_GB2312"/>
          <w:bCs/>
          <w:sz w:val="32"/>
          <w:szCs w:val="32"/>
        </w:rPr>
        <w:t>供应商名称：</w:t>
      </w:r>
    </w:p>
    <w:p w14:paraId="166B4622">
      <w:pPr>
        <w:pStyle w:val="8"/>
        <w:snapToGrid w:val="0"/>
        <w:spacing w:before="50" w:after="50"/>
        <w:ind w:firstLine="720" w:firstLineChars="225"/>
        <w:rPr>
          <w:rFonts w:ascii="宋体" w:hAnsi="宋体" w:cs="仿宋_GB2312"/>
          <w:bCs/>
          <w:sz w:val="32"/>
          <w:szCs w:val="32"/>
        </w:rPr>
      </w:pPr>
    </w:p>
    <w:p w14:paraId="4B8F371C">
      <w:pPr>
        <w:pStyle w:val="8"/>
        <w:snapToGrid w:val="0"/>
        <w:spacing w:before="50" w:after="50"/>
        <w:ind w:firstLine="720" w:firstLineChars="225"/>
        <w:rPr>
          <w:rFonts w:ascii="宋体" w:hAnsi="宋体" w:cs="仿宋_GB2312"/>
          <w:bCs/>
          <w:sz w:val="32"/>
          <w:szCs w:val="32"/>
        </w:rPr>
      </w:pPr>
    </w:p>
    <w:p w14:paraId="78A2A56B">
      <w:pPr>
        <w:pStyle w:val="8"/>
        <w:snapToGrid w:val="0"/>
        <w:spacing w:before="50" w:after="50"/>
        <w:ind w:firstLine="720" w:firstLineChars="225"/>
        <w:rPr>
          <w:rFonts w:ascii="宋体" w:hAnsi="宋体" w:cs="仿宋_GB2312"/>
          <w:bCs/>
          <w:sz w:val="32"/>
          <w:szCs w:val="32"/>
        </w:rPr>
      </w:pPr>
    </w:p>
    <w:p w14:paraId="539E88A2">
      <w:pPr>
        <w:pStyle w:val="8"/>
        <w:snapToGrid w:val="0"/>
        <w:spacing w:before="50" w:after="50"/>
        <w:ind w:firstLine="1280" w:firstLineChars="400"/>
        <w:rPr>
          <w:rFonts w:ascii="宋体" w:hAnsi="宋体" w:cs="仿宋_GB2312"/>
          <w:bCs/>
          <w:sz w:val="32"/>
          <w:szCs w:val="32"/>
        </w:rPr>
      </w:pPr>
    </w:p>
    <w:p w14:paraId="6E832796">
      <w:pPr>
        <w:snapToGrid w:val="0"/>
        <w:spacing w:before="156" w:beforeLines="50" w:after="50"/>
        <w:jc w:val="center"/>
        <w:rPr>
          <w:rFonts w:ascii="宋体" w:hAnsi="宋体" w:cs="仿宋_GB2312"/>
          <w:sz w:val="32"/>
          <w:szCs w:val="32"/>
        </w:rPr>
      </w:pPr>
      <w:r>
        <w:rPr>
          <w:rFonts w:hint="eastAsia" w:ascii="宋体" w:hAnsi="宋体" w:cs="仿宋_GB2312"/>
          <w:sz w:val="32"/>
          <w:szCs w:val="32"/>
        </w:rPr>
        <w:t>日  期：    年   月   日</w:t>
      </w:r>
    </w:p>
    <w:p w14:paraId="0424C9DA">
      <w:pPr>
        <w:snapToGrid w:val="0"/>
        <w:spacing w:before="156" w:beforeLines="50" w:after="50" w:line="360" w:lineRule="auto"/>
        <w:ind w:left="142"/>
        <w:jc w:val="left"/>
        <w:rPr>
          <w:rFonts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7B5BB244">
      <w:pPr>
        <w:snapToGrid w:val="0"/>
        <w:spacing w:before="156" w:beforeLines="50" w:after="50" w:line="360" w:lineRule="auto"/>
        <w:ind w:firstLine="645"/>
        <w:rPr>
          <w:rFonts w:ascii="宋体" w:hAnsi="宋体"/>
          <w:sz w:val="32"/>
          <w:szCs w:val="32"/>
        </w:rPr>
      </w:pPr>
      <w:r>
        <w:rPr>
          <w:rFonts w:hint="eastAsia" w:ascii="宋体" w:hAnsi="宋体"/>
          <w:sz w:val="32"/>
          <w:szCs w:val="32"/>
        </w:rPr>
        <w:t>根据磋商文件规定及供应商提供的材料自行编写目录（部分格式后附）。</w:t>
      </w:r>
    </w:p>
    <w:p w14:paraId="5B0D1B27">
      <w:pPr>
        <w:snapToGrid w:val="0"/>
        <w:spacing w:before="156" w:beforeLines="50" w:after="50"/>
        <w:rPr>
          <w:rFonts w:ascii="宋体" w:hAnsi="宋体"/>
          <w:sz w:val="24"/>
          <w:szCs w:val="20"/>
        </w:rPr>
      </w:pPr>
      <w:r>
        <w:rPr>
          <w:rFonts w:ascii="宋体" w:hAnsi="宋体"/>
          <w:sz w:val="24"/>
          <w:szCs w:val="20"/>
        </w:rPr>
        <w:t xml:space="preserve"> </w:t>
      </w:r>
    </w:p>
    <w:p w14:paraId="19897626">
      <w:pPr>
        <w:spacing w:line="300" w:lineRule="auto"/>
        <w:rPr>
          <w:rFonts w:ascii="宋体" w:hAnsi="宋体"/>
          <w:szCs w:val="21"/>
        </w:rPr>
      </w:pPr>
    </w:p>
    <w:p w14:paraId="3C8BB9C7">
      <w:pPr>
        <w:spacing w:line="300" w:lineRule="auto"/>
        <w:rPr>
          <w:rFonts w:ascii="宋体" w:hAnsi="宋体"/>
          <w:szCs w:val="21"/>
        </w:rPr>
      </w:pPr>
    </w:p>
    <w:p w14:paraId="02213879">
      <w:pPr>
        <w:spacing w:line="300" w:lineRule="auto"/>
        <w:rPr>
          <w:rFonts w:ascii="宋体" w:hAnsi="宋体"/>
          <w:szCs w:val="21"/>
        </w:rPr>
      </w:pPr>
    </w:p>
    <w:p w14:paraId="4DFCAA8D">
      <w:pPr>
        <w:spacing w:line="300" w:lineRule="auto"/>
        <w:rPr>
          <w:rFonts w:ascii="宋体" w:hAnsi="宋体"/>
          <w:szCs w:val="21"/>
        </w:rPr>
      </w:pPr>
    </w:p>
    <w:p w14:paraId="4AA01128">
      <w:pPr>
        <w:spacing w:line="300" w:lineRule="auto"/>
        <w:rPr>
          <w:rFonts w:ascii="宋体" w:hAnsi="宋体"/>
          <w:szCs w:val="21"/>
        </w:rPr>
      </w:pPr>
    </w:p>
    <w:p w14:paraId="49AC2296">
      <w:pPr>
        <w:spacing w:line="300" w:lineRule="auto"/>
        <w:rPr>
          <w:rFonts w:ascii="宋体" w:hAnsi="宋体"/>
          <w:szCs w:val="21"/>
        </w:rPr>
      </w:pPr>
    </w:p>
    <w:p w14:paraId="531A4DF6">
      <w:pPr>
        <w:spacing w:line="300" w:lineRule="auto"/>
        <w:rPr>
          <w:rFonts w:ascii="宋体" w:hAnsi="宋体"/>
          <w:szCs w:val="21"/>
        </w:rPr>
      </w:pPr>
    </w:p>
    <w:p w14:paraId="4BF10188">
      <w:pPr>
        <w:spacing w:line="300" w:lineRule="auto"/>
        <w:rPr>
          <w:rFonts w:ascii="宋体" w:hAnsi="宋体"/>
          <w:szCs w:val="21"/>
        </w:rPr>
      </w:pPr>
    </w:p>
    <w:p w14:paraId="54E9DA76">
      <w:pPr>
        <w:spacing w:line="300" w:lineRule="auto"/>
        <w:rPr>
          <w:rFonts w:ascii="宋体" w:hAnsi="宋体"/>
          <w:szCs w:val="21"/>
        </w:rPr>
      </w:pPr>
    </w:p>
    <w:p w14:paraId="7F8473EE">
      <w:pPr>
        <w:spacing w:line="300" w:lineRule="auto"/>
        <w:rPr>
          <w:rFonts w:ascii="宋体" w:hAnsi="宋体"/>
          <w:szCs w:val="21"/>
        </w:rPr>
      </w:pPr>
    </w:p>
    <w:p w14:paraId="755E85E2">
      <w:pPr>
        <w:spacing w:line="300" w:lineRule="auto"/>
        <w:rPr>
          <w:rFonts w:ascii="宋体" w:hAnsi="宋体"/>
          <w:szCs w:val="21"/>
        </w:rPr>
      </w:pPr>
    </w:p>
    <w:p w14:paraId="6B24BAB5">
      <w:pPr>
        <w:spacing w:line="300" w:lineRule="auto"/>
        <w:rPr>
          <w:rFonts w:ascii="宋体" w:hAnsi="宋体"/>
          <w:szCs w:val="21"/>
        </w:rPr>
      </w:pPr>
    </w:p>
    <w:p w14:paraId="57C63FAA">
      <w:pPr>
        <w:spacing w:line="300" w:lineRule="auto"/>
        <w:rPr>
          <w:rFonts w:ascii="宋体" w:hAnsi="宋体"/>
          <w:szCs w:val="21"/>
        </w:rPr>
      </w:pPr>
    </w:p>
    <w:p w14:paraId="6B7DDE30">
      <w:pPr>
        <w:spacing w:line="300" w:lineRule="auto"/>
        <w:rPr>
          <w:rFonts w:ascii="宋体" w:hAnsi="宋体"/>
          <w:szCs w:val="21"/>
        </w:rPr>
      </w:pPr>
    </w:p>
    <w:p w14:paraId="1487D96E">
      <w:pPr>
        <w:spacing w:line="300" w:lineRule="auto"/>
        <w:rPr>
          <w:rFonts w:ascii="宋体" w:hAnsi="宋体"/>
          <w:szCs w:val="21"/>
        </w:rPr>
      </w:pPr>
    </w:p>
    <w:p w14:paraId="00B6FBE8">
      <w:pPr>
        <w:spacing w:line="320" w:lineRule="exact"/>
        <w:jc w:val="center"/>
        <w:rPr>
          <w:rFonts w:hint="eastAsia" w:ascii="宋体" w:hAnsi="宋体"/>
          <w:b/>
          <w:color w:val="auto"/>
          <w:sz w:val="32"/>
          <w:szCs w:val="32"/>
          <w:highlight w:val="none"/>
        </w:rPr>
      </w:pPr>
      <w:r>
        <w:rPr>
          <w:rFonts w:ascii="宋体" w:hAnsi="宋体"/>
          <w:szCs w:val="21"/>
        </w:rPr>
        <w:br w:type="page"/>
      </w:r>
      <w:r>
        <w:rPr>
          <w:rFonts w:hint="eastAsia" w:ascii="宋体" w:hAnsi="宋体"/>
          <w:szCs w:val="21"/>
        </w:rPr>
        <w:t xml:space="preserve"> </w:t>
      </w:r>
      <w:r>
        <w:rPr>
          <w:rFonts w:hint="eastAsia" w:ascii="宋体" w:hAnsi="宋体"/>
          <w:b/>
          <w:color w:val="auto"/>
          <w:sz w:val="32"/>
          <w:szCs w:val="32"/>
          <w:highlight w:val="none"/>
        </w:rPr>
        <w:t>供应商直接控股、管理关系信息表</w:t>
      </w:r>
    </w:p>
    <w:p w14:paraId="2A690E88">
      <w:pPr>
        <w:snapToGrid w:val="0"/>
        <w:spacing w:before="156" w:beforeLines="50" w:after="50" w:line="360" w:lineRule="auto"/>
        <w:jc w:val="center"/>
        <w:rPr>
          <w:rFonts w:hint="eastAsia" w:ascii="宋体" w:hAnsi="宋体"/>
          <w:b/>
          <w:color w:val="auto"/>
          <w:sz w:val="24"/>
          <w:highlight w:val="none"/>
        </w:rPr>
      </w:pPr>
    </w:p>
    <w:p w14:paraId="77CD3C7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63C8C39C">
      <w:pPr>
        <w:spacing w:line="360" w:lineRule="auto"/>
        <w:contextualSpacing/>
        <w:jc w:val="center"/>
        <w:rPr>
          <w:rFonts w:hint="eastAsia" w:ascii="宋体" w:hAnsi="宋体"/>
          <w:b/>
          <w:color w:val="auto"/>
          <w:sz w:val="24"/>
          <w:highlight w:val="none"/>
        </w:rPr>
      </w:pPr>
    </w:p>
    <w:tbl>
      <w:tblPr>
        <w:tblStyle w:val="3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EFC6B3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F90E5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64FDC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EE486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4DF6C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5535C5">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3D1F97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0854A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CF2262">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83C62B">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CA5EE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B3225A">
            <w:pPr>
              <w:widowControl/>
              <w:spacing w:line="360" w:lineRule="auto"/>
              <w:contextualSpacing/>
              <w:jc w:val="center"/>
              <w:rPr>
                <w:rFonts w:hint="eastAsia" w:ascii="宋体" w:hAnsi="宋体" w:cs="宋体"/>
                <w:color w:val="auto"/>
                <w:kern w:val="0"/>
                <w:sz w:val="24"/>
                <w:highlight w:val="none"/>
              </w:rPr>
            </w:pPr>
          </w:p>
        </w:tc>
      </w:tr>
      <w:tr w14:paraId="318BCF2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B80715">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059867">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841D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A4FD80">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310F9C">
            <w:pPr>
              <w:widowControl/>
              <w:spacing w:line="360" w:lineRule="auto"/>
              <w:contextualSpacing/>
              <w:jc w:val="center"/>
              <w:rPr>
                <w:rFonts w:hint="eastAsia" w:ascii="宋体" w:hAnsi="宋体" w:cs="宋体"/>
                <w:color w:val="auto"/>
                <w:kern w:val="0"/>
                <w:sz w:val="24"/>
                <w:highlight w:val="none"/>
              </w:rPr>
            </w:pPr>
          </w:p>
        </w:tc>
      </w:tr>
      <w:tr w14:paraId="244243E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CD555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E8F46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B27EC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9A917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19B8D1">
            <w:pPr>
              <w:widowControl/>
              <w:spacing w:line="360" w:lineRule="auto"/>
              <w:contextualSpacing/>
              <w:jc w:val="center"/>
              <w:rPr>
                <w:rFonts w:hint="eastAsia" w:ascii="宋体" w:hAnsi="宋体" w:cs="宋体"/>
                <w:color w:val="auto"/>
                <w:kern w:val="0"/>
                <w:sz w:val="24"/>
                <w:highlight w:val="none"/>
              </w:rPr>
            </w:pPr>
          </w:p>
        </w:tc>
      </w:tr>
      <w:tr w14:paraId="0D98B1B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35292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FABF4B">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081897">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3BEE1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403A38">
            <w:pPr>
              <w:widowControl/>
              <w:spacing w:line="360" w:lineRule="auto"/>
              <w:contextualSpacing/>
              <w:jc w:val="center"/>
              <w:rPr>
                <w:rFonts w:hint="eastAsia" w:ascii="宋体" w:hAnsi="宋体" w:cs="宋体"/>
                <w:color w:val="auto"/>
                <w:kern w:val="0"/>
                <w:sz w:val="24"/>
                <w:highlight w:val="none"/>
              </w:rPr>
            </w:pPr>
          </w:p>
        </w:tc>
      </w:tr>
    </w:tbl>
    <w:p w14:paraId="0CC41E9F">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33A7727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F8C00F">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8720AE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1165BA64">
      <w:pPr>
        <w:snapToGrid w:val="0"/>
        <w:spacing w:line="360" w:lineRule="auto"/>
        <w:jc w:val="left"/>
        <w:rPr>
          <w:rFonts w:hint="eastAsia" w:ascii="宋体" w:hAnsi="宋体" w:cs="宋体"/>
          <w:color w:val="auto"/>
          <w:sz w:val="24"/>
          <w:highlight w:val="none"/>
        </w:rPr>
      </w:pPr>
    </w:p>
    <w:p w14:paraId="76FA3197">
      <w:pPr>
        <w:snapToGrid w:val="0"/>
        <w:spacing w:line="360" w:lineRule="auto"/>
        <w:jc w:val="left"/>
        <w:rPr>
          <w:rFonts w:hint="eastAsia" w:ascii="宋体" w:hAnsi="宋体" w:cs="宋体"/>
          <w:color w:val="auto"/>
          <w:sz w:val="24"/>
          <w:highlight w:val="none"/>
        </w:rPr>
      </w:pPr>
    </w:p>
    <w:p w14:paraId="729C8B0E">
      <w:pPr>
        <w:snapToGrid w:val="0"/>
        <w:spacing w:line="360" w:lineRule="auto"/>
        <w:jc w:val="left"/>
        <w:rPr>
          <w:rFonts w:hint="eastAsia" w:ascii="宋体" w:hAnsi="宋体" w:cs="宋体"/>
          <w:color w:val="auto"/>
          <w:sz w:val="24"/>
          <w:highlight w:val="none"/>
        </w:rPr>
      </w:pPr>
    </w:p>
    <w:p w14:paraId="572F358C">
      <w:pPr>
        <w:snapToGrid w:val="0"/>
        <w:spacing w:before="156" w:beforeLines="50" w:line="360" w:lineRule="auto"/>
        <w:ind w:right="480" w:firstLine="3480" w:firstLineChars="145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z w:val="24"/>
          <w:highlight w:val="none"/>
          <w:lang w:eastAsia="zh-CN"/>
        </w:rPr>
        <w:t>（签字或者电子签章）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7C5D10D4">
      <w:pPr>
        <w:snapToGrid w:val="0"/>
        <w:spacing w:before="156" w:beforeLines="50" w:after="50" w:line="360" w:lineRule="auto"/>
        <w:ind w:right="480" w:firstLine="3480" w:firstLineChars="1450"/>
        <w:rPr>
          <w:rFonts w:hint="eastAsia" w:ascii="宋体" w:hAnsi="宋体" w:cs="宋体"/>
          <w:color w:val="auto"/>
          <w:sz w:val="24"/>
          <w:highlight w:val="none"/>
          <w:u w:val="single"/>
        </w:rPr>
      </w:pPr>
      <w:r>
        <w:rPr>
          <w:rFonts w:hint="eastAsia" w:ascii="宋体" w:hAnsi="宋体" w:cs="宋体"/>
          <w:color w:val="auto"/>
          <w:sz w:val="24"/>
          <w:highlight w:val="none"/>
        </w:rPr>
        <w:t>供应商（盖公章 ）：</w:t>
      </w:r>
      <w:r>
        <w:rPr>
          <w:rFonts w:hint="eastAsia" w:ascii="宋体" w:hAnsi="宋体" w:cs="宋体"/>
          <w:color w:val="auto"/>
          <w:sz w:val="24"/>
          <w:highlight w:val="none"/>
          <w:u w:val="single"/>
        </w:rPr>
        <w:t xml:space="preserve">                           </w:t>
      </w:r>
    </w:p>
    <w:p w14:paraId="64166C34">
      <w:pPr>
        <w:snapToGrid w:val="0"/>
        <w:spacing w:before="156" w:beforeLines="50" w:after="50" w:line="360" w:lineRule="auto"/>
        <w:ind w:right="480" w:firstLine="5280" w:firstLineChars="2200"/>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53BC0CDA">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54B17972">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09B8EF1">
      <w:pPr>
        <w:snapToGrid w:val="0"/>
        <w:spacing w:line="360" w:lineRule="auto"/>
        <w:jc w:val="center"/>
        <w:rPr>
          <w:rFonts w:hint="eastAsia" w:ascii="宋体" w:hAnsi="宋体"/>
          <w:b/>
          <w:color w:val="auto"/>
          <w:sz w:val="24"/>
          <w:highlight w:val="none"/>
        </w:rPr>
      </w:pPr>
    </w:p>
    <w:tbl>
      <w:tblPr>
        <w:tblStyle w:val="3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92217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FD77F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68D1D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49803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6AA5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44A9C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2B722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3C9714">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76044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FFA6E5">
            <w:pPr>
              <w:widowControl/>
              <w:spacing w:line="360" w:lineRule="auto"/>
              <w:contextualSpacing/>
              <w:jc w:val="center"/>
              <w:rPr>
                <w:rFonts w:ascii="宋体" w:hAnsi="宋体" w:cs="宋体"/>
                <w:color w:val="auto"/>
                <w:kern w:val="0"/>
                <w:sz w:val="24"/>
                <w:highlight w:val="none"/>
              </w:rPr>
            </w:pPr>
          </w:p>
        </w:tc>
      </w:tr>
      <w:tr w14:paraId="3B647B8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CD081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9AAE95">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75F1E8">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23A789">
            <w:pPr>
              <w:widowControl/>
              <w:spacing w:line="360" w:lineRule="auto"/>
              <w:contextualSpacing/>
              <w:jc w:val="center"/>
              <w:rPr>
                <w:rFonts w:ascii="宋体" w:hAnsi="宋体" w:cs="宋体"/>
                <w:color w:val="auto"/>
                <w:kern w:val="0"/>
                <w:sz w:val="24"/>
                <w:highlight w:val="none"/>
              </w:rPr>
            </w:pPr>
          </w:p>
        </w:tc>
      </w:tr>
      <w:tr w14:paraId="2E369FB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6BEA9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0696A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4582E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E7D4B3">
            <w:pPr>
              <w:widowControl/>
              <w:spacing w:line="360" w:lineRule="auto"/>
              <w:contextualSpacing/>
              <w:jc w:val="center"/>
              <w:rPr>
                <w:rFonts w:ascii="宋体" w:hAnsi="宋体" w:cs="宋体"/>
                <w:color w:val="auto"/>
                <w:kern w:val="0"/>
                <w:sz w:val="24"/>
                <w:highlight w:val="none"/>
              </w:rPr>
            </w:pPr>
          </w:p>
        </w:tc>
      </w:tr>
      <w:tr w14:paraId="7EB8885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6B6F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73E4B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16D14E">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5AABAF">
            <w:pPr>
              <w:widowControl/>
              <w:spacing w:line="360" w:lineRule="auto"/>
              <w:contextualSpacing/>
              <w:jc w:val="center"/>
              <w:rPr>
                <w:rFonts w:ascii="宋体" w:hAnsi="宋体" w:cs="宋体"/>
                <w:color w:val="auto"/>
                <w:kern w:val="0"/>
                <w:sz w:val="24"/>
                <w:highlight w:val="none"/>
              </w:rPr>
            </w:pPr>
          </w:p>
        </w:tc>
      </w:tr>
    </w:tbl>
    <w:p w14:paraId="7E6F9EC5">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1FE58BE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569B0FF">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8A6E74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391BDAA3">
      <w:pPr>
        <w:spacing w:line="360" w:lineRule="auto"/>
        <w:contextualSpacing/>
        <w:jc w:val="left"/>
        <w:rPr>
          <w:rFonts w:hint="eastAsia" w:ascii="宋体" w:hAnsi="宋体"/>
          <w:color w:val="auto"/>
          <w:sz w:val="24"/>
          <w:highlight w:val="none"/>
        </w:rPr>
      </w:pPr>
    </w:p>
    <w:p w14:paraId="1323D196">
      <w:pPr>
        <w:spacing w:line="360" w:lineRule="auto"/>
        <w:contextualSpacing/>
        <w:jc w:val="left"/>
        <w:rPr>
          <w:rFonts w:hint="eastAsia" w:ascii="宋体" w:hAnsi="宋体"/>
          <w:color w:val="auto"/>
          <w:sz w:val="24"/>
          <w:highlight w:val="none"/>
        </w:rPr>
      </w:pPr>
    </w:p>
    <w:p w14:paraId="6AD2B80C">
      <w:pPr>
        <w:spacing w:line="360" w:lineRule="auto"/>
        <w:contextualSpacing/>
        <w:jc w:val="left"/>
        <w:rPr>
          <w:rFonts w:hint="eastAsia"/>
          <w:color w:val="auto"/>
          <w:sz w:val="24"/>
          <w:highlight w:val="none"/>
        </w:rPr>
      </w:pPr>
    </w:p>
    <w:p w14:paraId="436A7CD0">
      <w:pPr>
        <w:spacing w:line="360" w:lineRule="auto"/>
        <w:contextualSpacing/>
        <w:jc w:val="left"/>
        <w:rPr>
          <w:rFonts w:hint="eastAsia"/>
          <w:color w:val="auto"/>
          <w:sz w:val="24"/>
          <w:highlight w:val="none"/>
        </w:rPr>
      </w:pPr>
    </w:p>
    <w:p w14:paraId="263471FA">
      <w:pPr>
        <w:spacing w:line="360" w:lineRule="auto"/>
        <w:contextualSpacing/>
        <w:jc w:val="left"/>
        <w:rPr>
          <w:rFonts w:hint="eastAsia"/>
          <w:color w:val="auto"/>
          <w:sz w:val="24"/>
          <w:highlight w:val="none"/>
        </w:rPr>
      </w:pPr>
    </w:p>
    <w:p w14:paraId="1526EE4F">
      <w:pPr>
        <w:spacing w:line="360" w:lineRule="auto"/>
        <w:contextualSpacing/>
        <w:jc w:val="left"/>
        <w:rPr>
          <w:rFonts w:hint="eastAsia" w:ascii="宋体" w:hAnsi="宋体"/>
          <w:color w:val="auto"/>
          <w:sz w:val="24"/>
          <w:highlight w:val="none"/>
        </w:rPr>
      </w:pPr>
    </w:p>
    <w:p w14:paraId="25D0963E">
      <w:pPr>
        <w:spacing w:line="360" w:lineRule="auto"/>
        <w:ind w:right="480" w:firstLine="3360" w:firstLineChars="1400"/>
        <w:contextualSpacing/>
        <w:rPr>
          <w:rFonts w:hint="eastAsia" w:ascii="宋体" w:hAnsi="宋体"/>
          <w:color w:val="auto"/>
          <w:sz w:val="24"/>
          <w:highlight w:val="none"/>
          <w:u w:val="single"/>
        </w:rPr>
      </w:pPr>
      <w:r>
        <w:rPr>
          <w:rFonts w:hint="eastAsia" w:ascii="宋体" w:hAnsi="宋体"/>
          <w:color w:val="auto"/>
          <w:sz w:val="24"/>
          <w:highlight w:val="none"/>
        </w:rPr>
        <w:t>法定代表人或者委托代理人</w:t>
      </w:r>
      <w:r>
        <w:rPr>
          <w:rFonts w:hint="eastAsia" w:ascii="宋体" w:hAnsi="宋体" w:cs="宋体"/>
          <w:color w:val="auto"/>
          <w:sz w:val="24"/>
          <w:highlight w:val="none"/>
          <w:lang w:eastAsia="zh-CN"/>
        </w:rPr>
        <w:t>（签字或者电子签章）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2888CE79">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供应商（盖公章）：</w:t>
      </w:r>
      <w:r>
        <w:rPr>
          <w:rFonts w:hint="eastAsia" w:ascii="宋体" w:hAnsi="宋体"/>
          <w:color w:val="auto"/>
          <w:sz w:val="24"/>
          <w:highlight w:val="none"/>
          <w:u w:val="single"/>
        </w:rPr>
        <w:t xml:space="preserve">                </w:t>
      </w:r>
    </w:p>
    <w:p w14:paraId="1F8E1A28">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1291FB83">
      <w:pPr>
        <w:rPr>
          <w:rFonts w:hint="eastAsia" w:ascii="宋体" w:hAnsi="宋体"/>
          <w:bCs/>
          <w:sz w:val="32"/>
          <w:szCs w:val="32"/>
        </w:rPr>
      </w:pPr>
      <w:r>
        <w:rPr>
          <w:rFonts w:hint="eastAsia" w:ascii="宋体" w:hAnsi="宋体"/>
          <w:bCs/>
          <w:sz w:val="32"/>
          <w:szCs w:val="32"/>
        </w:rPr>
        <w:br w:type="page"/>
      </w:r>
    </w:p>
    <w:p w14:paraId="40D9A628">
      <w:pPr>
        <w:spacing w:line="320" w:lineRule="exact"/>
        <w:jc w:val="center"/>
        <w:rPr>
          <w:rFonts w:ascii="宋体" w:hAnsi="宋体"/>
          <w:b/>
          <w:sz w:val="32"/>
          <w:szCs w:val="32"/>
        </w:rPr>
      </w:pPr>
      <w:r>
        <w:rPr>
          <w:rFonts w:hint="eastAsia" w:ascii="宋体" w:hAnsi="宋体"/>
          <w:bCs/>
          <w:sz w:val="32"/>
          <w:szCs w:val="32"/>
        </w:rPr>
        <w:t>磋商声明</w:t>
      </w:r>
    </w:p>
    <w:p w14:paraId="536EE433">
      <w:pPr>
        <w:spacing w:line="400" w:lineRule="exact"/>
        <w:jc w:val="center"/>
        <w:rPr>
          <w:rFonts w:ascii="宋体" w:hAnsi="宋体"/>
          <w:sz w:val="22"/>
          <w:szCs w:val="22"/>
        </w:rPr>
      </w:pPr>
    </w:p>
    <w:p w14:paraId="69F8FAFB">
      <w:pPr>
        <w:spacing w:line="400" w:lineRule="exact"/>
        <w:contextualSpacing/>
        <w:rPr>
          <w:rFonts w:ascii="宋体" w:hAnsi="宋体" w:cs="宋体"/>
          <w:sz w:val="22"/>
          <w:szCs w:val="22"/>
        </w:rPr>
      </w:pPr>
      <w:r>
        <w:rPr>
          <w:rFonts w:hint="eastAsia" w:ascii="宋体" w:hAnsi="宋体" w:cs="宋体"/>
          <w:sz w:val="22"/>
          <w:szCs w:val="22"/>
        </w:rPr>
        <w:t>致：</w:t>
      </w:r>
      <w:r>
        <w:rPr>
          <w:rFonts w:hint="eastAsia" w:ascii="宋体" w:hAnsi="宋体" w:cs="宋体"/>
          <w:sz w:val="22"/>
          <w:szCs w:val="22"/>
          <w:u w:val="single"/>
        </w:rPr>
        <w:t xml:space="preserve">  （采购人名称） </w:t>
      </w:r>
      <w:r>
        <w:rPr>
          <w:rFonts w:hint="eastAsia" w:ascii="宋体" w:hAnsi="宋体" w:cs="宋体"/>
          <w:sz w:val="22"/>
          <w:szCs w:val="22"/>
        </w:rPr>
        <w:t>：</w:t>
      </w:r>
    </w:p>
    <w:p w14:paraId="458D00AE">
      <w:pPr>
        <w:spacing w:line="400" w:lineRule="exact"/>
        <w:ind w:firstLine="440" w:firstLineChars="200"/>
        <w:contextualSpacing/>
        <w:rPr>
          <w:rFonts w:ascii="宋体" w:hAnsi="宋体" w:cs="宋体"/>
          <w:sz w:val="22"/>
          <w:szCs w:val="22"/>
        </w:rPr>
      </w:pPr>
      <w:r>
        <w:rPr>
          <w:rFonts w:hint="eastAsia" w:ascii="宋体" w:hAnsi="宋体" w:cs="宋体"/>
          <w:sz w:val="22"/>
          <w:szCs w:val="22"/>
          <w:u w:val="single"/>
        </w:rPr>
        <w:t xml:space="preserve">（供应商名称）  </w:t>
      </w:r>
      <w:r>
        <w:rPr>
          <w:rFonts w:hint="eastAsia" w:ascii="宋体" w:hAnsi="宋体" w:cs="宋体"/>
          <w:sz w:val="22"/>
          <w:szCs w:val="22"/>
        </w:rPr>
        <w:t>系中华人民共和国合法供应商，经营地址</w:t>
      </w:r>
      <w:r>
        <w:rPr>
          <w:rFonts w:hint="eastAsia" w:ascii="宋体" w:hAnsi="宋体" w:cs="宋体"/>
          <w:sz w:val="22"/>
          <w:szCs w:val="22"/>
          <w:u w:val="single"/>
        </w:rPr>
        <w:t xml:space="preserve">                            </w:t>
      </w:r>
      <w:r>
        <w:rPr>
          <w:rFonts w:hint="eastAsia" w:ascii="宋体" w:hAnsi="宋体" w:cs="宋体"/>
          <w:sz w:val="22"/>
          <w:szCs w:val="22"/>
        </w:rPr>
        <w:t>。</w:t>
      </w:r>
    </w:p>
    <w:p w14:paraId="1185B293">
      <w:pPr>
        <w:spacing w:line="400" w:lineRule="exact"/>
        <w:ind w:firstLine="440" w:firstLineChars="200"/>
        <w:contextualSpacing/>
        <w:rPr>
          <w:rFonts w:ascii="宋体" w:hAnsi="宋体" w:cs="宋体"/>
          <w:sz w:val="22"/>
          <w:szCs w:val="22"/>
        </w:rPr>
      </w:pPr>
      <w:r>
        <w:rPr>
          <w:rFonts w:hint="eastAsia" w:ascii="宋体" w:hAnsi="宋体" w:cs="宋体"/>
          <w:sz w:val="22"/>
          <w:szCs w:val="22"/>
        </w:rPr>
        <w:t>我方愿意参加贵方组织的</w:t>
      </w:r>
      <w:r>
        <w:rPr>
          <w:rFonts w:hint="eastAsia" w:ascii="宋体" w:hAnsi="宋体" w:cs="宋体"/>
          <w:sz w:val="22"/>
          <w:szCs w:val="22"/>
          <w:u w:val="single"/>
        </w:rPr>
        <w:t xml:space="preserve">     （项目名称）     </w:t>
      </w:r>
      <w:r>
        <w:rPr>
          <w:rFonts w:hint="eastAsia" w:ascii="宋体" w:hAnsi="宋体" w:cs="宋体"/>
          <w:sz w:val="22"/>
          <w:szCs w:val="22"/>
        </w:rPr>
        <w:t>项目的竞标，为便于贵方公正、择优地确定成交供应商及其竞标产品和服务，我方就本次竞标有关事项郑重声明如下：</w:t>
      </w:r>
    </w:p>
    <w:p w14:paraId="63F2A681">
      <w:pPr>
        <w:spacing w:line="400" w:lineRule="exact"/>
        <w:ind w:firstLine="440" w:firstLineChars="200"/>
        <w:contextualSpacing/>
        <w:rPr>
          <w:rFonts w:ascii="宋体" w:hAnsi="宋体" w:cs="宋体"/>
          <w:sz w:val="22"/>
          <w:szCs w:val="22"/>
        </w:rPr>
      </w:pPr>
      <w:r>
        <w:rPr>
          <w:rFonts w:hint="eastAsia" w:ascii="宋体" w:hAnsi="宋体" w:cs="宋体"/>
          <w:sz w:val="22"/>
          <w:szCs w:val="22"/>
        </w:rPr>
        <w:t>1.我方向贵方提交的所有响应文件、资料都是准确的和真实的。</w:t>
      </w:r>
    </w:p>
    <w:p w14:paraId="6879572A">
      <w:pPr>
        <w:spacing w:line="400" w:lineRule="exact"/>
        <w:ind w:firstLine="440" w:firstLineChars="200"/>
        <w:contextualSpacing/>
        <w:rPr>
          <w:rFonts w:ascii="宋体" w:hAnsi="宋体" w:cs="宋体"/>
          <w:sz w:val="22"/>
          <w:szCs w:val="22"/>
        </w:rPr>
      </w:pPr>
      <w:r>
        <w:rPr>
          <w:rFonts w:hint="eastAsia" w:ascii="宋体" w:hAnsi="宋体" w:cs="宋体"/>
          <w:sz w:val="22"/>
          <w:szCs w:val="22"/>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7A10577">
      <w:pPr>
        <w:spacing w:line="400" w:lineRule="exact"/>
        <w:ind w:firstLine="440" w:firstLineChars="200"/>
        <w:contextualSpacing/>
        <w:rPr>
          <w:rFonts w:ascii="宋体" w:hAnsi="宋体" w:cs="宋体"/>
          <w:sz w:val="22"/>
          <w:szCs w:val="22"/>
        </w:rPr>
      </w:pPr>
      <w:r>
        <w:rPr>
          <w:rFonts w:hint="eastAsia" w:ascii="宋体" w:hAnsi="宋体" w:cs="宋体"/>
          <w:sz w:val="22"/>
          <w:szCs w:val="22"/>
        </w:rPr>
        <w:t>3.在此，我方宣布同意如下：</w:t>
      </w:r>
    </w:p>
    <w:p w14:paraId="502EE72A">
      <w:pPr>
        <w:spacing w:line="400" w:lineRule="exact"/>
        <w:ind w:firstLine="440" w:firstLineChars="200"/>
        <w:contextualSpacing/>
        <w:rPr>
          <w:rFonts w:ascii="宋体" w:hAnsi="宋体" w:cs="宋体"/>
          <w:sz w:val="22"/>
          <w:szCs w:val="22"/>
        </w:rPr>
      </w:pPr>
      <w:r>
        <w:rPr>
          <w:rFonts w:hint="eastAsia" w:ascii="宋体" w:hAnsi="宋体" w:cs="宋体"/>
          <w:sz w:val="22"/>
          <w:szCs w:val="22"/>
        </w:rPr>
        <w:t>（1）将按磋商文件的约定履行合同责任和义务；</w:t>
      </w:r>
    </w:p>
    <w:p w14:paraId="7F0EB63F">
      <w:pPr>
        <w:spacing w:line="400" w:lineRule="exact"/>
        <w:ind w:firstLine="440" w:firstLineChars="200"/>
        <w:contextualSpacing/>
        <w:rPr>
          <w:rFonts w:ascii="宋体" w:hAnsi="宋体" w:cs="宋体"/>
          <w:sz w:val="22"/>
          <w:szCs w:val="22"/>
        </w:rPr>
      </w:pPr>
      <w:r>
        <w:rPr>
          <w:rFonts w:hint="eastAsia" w:ascii="宋体" w:hAnsi="宋体" w:cs="宋体"/>
          <w:sz w:val="22"/>
          <w:szCs w:val="22"/>
        </w:rPr>
        <w:t>（2）已详细审查全部磋商文件，包括澄清或者更正公告（如有）；</w:t>
      </w:r>
    </w:p>
    <w:p w14:paraId="65CB0765">
      <w:pPr>
        <w:spacing w:line="400" w:lineRule="exact"/>
        <w:ind w:firstLine="440" w:firstLineChars="200"/>
        <w:contextualSpacing/>
        <w:rPr>
          <w:rFonts w:ascii="宋体" w:hAnsi="宋体" w:cs="宋体"/>
          <w:sz w:val="22"/>
          <w:szCs w:val="22"/>
        </w:rPr>
      </w:pPr>
      <w:r>
        <w:rPr>
          <w:rFonts w:hint="eastAsia" w:ascii="宋体" w:hAnsi="宋体" w:cs="宋体"/>
          <w:sz w:val="22"/>
          <w:szCs w:val="22"/>
        </w:rPr>
        <w:t>（3）同意提供按照贵方可能要求的与磋商有关的一切数据或者资料；</w:t>
      </w:r>
    </w:p>
    <w:p w14:paraId="4C39CDED">
      <w:pPr>
        <w:spacing w:line="400" w:lineRule="exact"/>
        <w:ind w:firstLine="440" w:firstLineChars="200"/>
        <w:contextualSpacing/>
        <w:rPr>
          <w:rFonts w:ascii="宋体" w:hAnsi="宋体" w:cs="宋体"/>
          <w:sz w:val="22"/>
          <w:szCs w:val="22"/>
        </w:rPr>
      </w:pPr>
      <w:r>
        <w:rPr>
          <w:rFonts w:hint="eastAsia" w:ascii="宋体" w:hAnsi="宋体" w:cs="宋体"/>
          <w:sz w:val="22"/>
          <w:szCs w:val="22"/>
        </w:rPr>
        <w:t>（4）响应磋商文件规定的竞标有效期。</w:t>
      </w:r>
    </w:p>
    <w:p w14:paraId="49EB65B6">
      <w:pPr>
        <w:spacing w:line="400" w:lineRule="exact"/>
        <w:ind w:firstLine="440" w:firstLineChars="200"/>
        <w:contextualSpacing/>
        <w:rPr>
          <w:rFonts w:ascii="宋体" w:hAnsi="宋体" w:cs="宋体"/>
          <w:sz w:val="22"/>
          <w:szCs w:val="22"/>
        </w:rPr>
      </w:pPr>
      <w:r>
        <w:rPr>
          <w:rFonts w:hint="eastAsia" w:ascii="宋体" w:hAnsi="宋体" w:cs="宋体"/>
          <w:sz w:val="22"/>
          <w:szCs w:val="22"/>
        </w:rPr>
        <w:t>4.我方承诺符合《中华人民共和国政府采购法》第二十二条规定：</w:t>
      </w:r>
    </w:p>
    <w:p w14:paraId="5A38D07E">
      <w:pPr>
        <w:spacing w:line="400" w:lineRule="exact"/>
        <w:ind w:firstLine="440" w:firstLineChars="200"/>
        <w:contextualSpacing/>
        <w:rPr>
          <w:rFonts w:ascii="宋体" w:hAnsi="宋体" w:cs="宋体"/>
          <w:sz w:val="22"/>
          <w:szCs w:val="22"/>
        </w:rPr>
      </w:pPr>
      <w:r>
        <w:rPr>
          <w:rFonts w:hint="eastAsia" w:ascii="宋体" w:hAnsi="宋体" w:cs="宋体"/>
          <w:sz w:val="22"/>
          <w:szCs w:val="22"/>
        </w:rPr>
        <w:t>（1）具有独立承担民事责任的能力；</w:t>
      </w:r>
    </w:p>
    <w:p w14:paraId="72E78552">
      <w:pPr>
        <w:spacing w:line="400" w:lineRule="exact"/>
        <w:ind w:firstLine="440" w:firstLineChars="200"/>
        <w:contextualSpacing/>
        <w:rPr>
          <w:rFonts w:ascii="宋体" w:hAnsi="宋体" w:cs="宋体"/>
          <w:sz w:val="22"/>
          <w:szCs w:val="22"/>
        </w:rPr>
      </w:pPr>
      <w:r>
        <w:rPr>
          <w:rFonts w:hint="eastAsia" w:ascii="宋体" w:hAnsi="宋体" w:cs="宋体"/>
          <w:sz w:val="22"/>
          <w:szCs w:val="22"/>
        </w:rPr>
        <w:t>（2）具有良好的商业信誉和健全的财务会计制度；</w:t>
      </w:r>
    </w:p>
    <w:p w14:paraId="748FFE71">
      <w:pPr>
        <w:spacing w:line="400" w:lineRule="exact"/>
        <w:ind w:firstLine="440" w:firstLineChars="200"/>
        <w:contextualSpacing/>
        <w:rPr>
          <w:rFonts w:ascii="宋体" w:hAnsi="宋体" w:cs="宋体"/>
          <w:sz w:val="22"/>
          <w:szCs w:val="22"/>
        </w:rPr>
      </w:pPr>
      <w:r>
        <w:rPr>
          <w:rFonts w:hint="eastAsia" w:ascii="宋体" w:hAnsi="宋体" w:cs="宋体"/>
          <w:sz w:val="22"/>
          <w:szCs w:val="22"/>
        </w:rPr>
        <w:t>（3）具有履行合同所必需的设备和专业技术能力；</w:t>
      </w:r>
    </w:p>
    <w:p w14:paraId="571BD5C7">
      <w:pPr>
        <w:spacing w:line="400" w:lineRule="exact"/>
        <w:ind w:firstLine="440" w:firstLineChars="200"/>
        <w:contextualSpacing/>
        <w:rPr>
          <w:rFonts w:ascii="宋体" w:hAnsi="宋体" w:cs="宋体"/>
          <w:sz w:val="22"/>
          <w:szCs w:val="22"/>
        </w:rPr>
      </w:pPr>
      <w:r>
        <w:rPr>
          <w:rFonts w:hint="eastAsia" w:ascii="宋体" w:hAnsi="宋体" w:cs="宋体"/>
          <w:sz w:val="22"/>
          <w:szCs w:val="22"/>
        </w:rPr>
        <w:t>（4）有依法缴纳税收和社会保障资金的良好记录；</w:t>
      </w:r>
    </w:p>
    <w:p w14:paraId="03EDBD0C">
      <w:pPr>
        <w:spacing w:line="400" w:lineRule="exact"/>
        <w:ind w:firstLine="440" w:firstLineChars="200"/>
        <w:contextualSpacing/>
        <w:rPr>
          <w:rFonts w:ascii="宋体" w:hAnsi="宋体" w:cs="宋体"/>
          <w:sz w:val="22"/>
          <w:szCs w:val="22"/>
        </w:rPr>
      </w:pPr>
      <w:r>
        <w:rPr>
          <w:rFonts w:hint="eastAsia" w:ascii="宋体" w:hAnsi="宋体" w:cs="宋体"/>
          <w:sz w:val="22"/>
          <w:szCs w:val="22"/>
        </w:rPr>
        <w:t>（5）参加政府采购活动前三年内，在经营活动中没有重大违法记录；</w:t>
      </w:r>
    </w:p>
    <w:p w14:paraId="143A4A58">
      <w:pPr>
        <w:spacing w:line="400" w:lineRule="exact"/>
        <w:ind w:firstLine="440" w:firstLineChars="200"/>
        <w:contextualSpacing/>
        <w:rPr>
          <w:rFonts w:ascii="宋体" w:hAnsi="宋体" w:cs="宋体"/>
          <w:sz w:val="22"/>
          <w:szCs w:val="22"/>
        </w:rPr>
      </w:pPr>
      <w:r>
        <w:rPr>
          <w:rFonts w:hint="eastAsia" w:ascii="宋体" w:hAnsi="宋体" w:cs="宋体"/>
          <w:sz w:val="22"/>
          <w:szCs w:val="22"/>
        </w:rPr>
        <w:t>（6）法律、行政法规规定的其他条件。</w:t>
      </w:r>
    </w:p>
    <w:p w14:paraId="6C80DFD1">
      <w:pPr>
        <w:spacing w:line="400" w:lineRule="exact"/>
        <w:ind w:firstLine="440" w:firstLineChars="200"/>
        <w:contextualSpacing/>
        <w:rPr>
          <w:rFonts w:ascii="宋体" w:hAnsi="宋体" w:cs="宋体"/>
          <w:sz w:val="22"/>
          <w:szCs w:val="22"/>
        </w:rPr>
      </w:pPr>
      <w:r>
        <w:rPr>
          <w:rFonts w:hint="eastAsia" w:ascii="宋体" w:hAnsi="宋体" w:cs="宋体"/>
          <w:sz w:val="22"/>
          <w:szCs w:val="22"/>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F2744F4">
      <w:pPr>
        <w:spacing w:line="400" w:lineRule="exact"/>
        <w:ind w:firstLine="440" w:firstLineChars="200"/>
        <w:contextualSpacing/>
        <w:rPr>
          <w:rFonts w:ascii="宋体" w:hAnsi="宋体" w:cs="宋体"/>
          <w:sz w:val="22"/>
          <w:szCs w:val="22"/>
        </w:rPr>
      </w:pPr>
      <w:r>
        <w:rPr>
          <w:rFonts w:hint="eastAsia" w:ascii="宋体" w:hAnsi="宋体" w:cs="宋体"/>
          <w:sz w:val="22"/>
          <w:szCs w:val="22"/>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65D598D">
      <w:pPr>
        <w:spacing w:line="400" w:lineRule="exact"/>
        <w:ind w:firstLine="440" w:firstLineChars="200"/>
        <w:contextualSpacing/>
        <w:rPr>
          <w:rFonts w:ascii="宋体" w:hAnsi="宋体" w:cs="宋体"/>
          <w:sz w:val="22"/>
          <w:szCs w:val="22"/>
        </w:rPr>
      </w:pPr>
      <w:r>
        <w:rPr>
          <w:rFonts w:hint="eastAsia" w:ascii="宋体" w:hAnsi="宋体" w:cs="宋体"/>
          <w:sz w:val="22"/>
          <w:szCs w:val="22"/>
        </w:rPr>
        <w:t>□我方本次响应文件</w:t>
      </w:r>
      <w:r>
        <w:rPr>
          <w:rFonts w:hint="eastAsia" w:ascii="宋体" w:hAnsi="宋体" w:cs="宋体"/>
          <w:kern w:val="0"/>
          <w:sz w:val="22"/>
          <w:szCs w:val="22"/>
        </w:rPr>
        <w:t>内容中</w:t>
      </w:r>
      <w:r>
        <w:rPr>
          <w:rFonts w:hint="eastAsia" w:ascii="宋体" w:hAnsi="宋体" w:cs="宋体"/>
          <w:sz w:val="22"/>
          <w:szCs w:val="22"/>
        </w:rPr>
        <w:t>未</w:t>
      </w:r>
      <w:r>
        <w:rPr>
          <w:rFonts w:hint="eastAsia" w:ascii="宋体" w:hAnsi="宋体" w:cs="宋体"/>
          <w:kern w:val="0"/>
          <w:sz w:val="22"/>
          <w:szCs w:val="22"/>
        </w:rPr>
        <w:t>涉及商业秘密；</w:t>
      </w:r>
    </w:p>
    <w:p w14:paraId="416E487F">
      <w:pPr>
        <w:spacing w:line="400" w:lineRule="exact"/>
        <w:ind w:firstLine="440" w:firstLineChars="200"/>
        <w:contextualSpacing/>
        <w:rPr>
          <w:rFonts w:ascii="宋体" w:hAnsi="宋体" w:cs="宋体"/>
          <w:sz w:val="22"/>
          <w:szCs w:val="22"/>
        </w:rPr>
      </w:pPr>
      <w:r>
        <w:rPr>
          <w:rFonts w:hint="eastAsia" w:ascii="宋体" w:hAnsi="宋体" w:cs="宋体"/>
          <w:sz w:val="22"/>
          <w:szCs w:val="22"/>
        </w:rPr>
        <w:t>□我方本次响应文件</w:t>
      </w:r>
      <w:r>
        <w:rPr>
          <w:rFonts w:hint="eastAsia" w:ascii="宋体" w:hAnsi="宋体" w:cs="宋体"/>
          <w:kern w:val="0"/>
          <w:sz w:val="22"/>
          <w:szCs w:val="22"/>
        </w:rPr>
        <w:t>涉及商业秘密的内容有：</w:t>
      </w:r>
      <w:r>
        <w:rPr>
          <w:rFonts w:hint="eastAsia" w:ascii="宋体" w:hAnsi="宋体" w:cs="宋体"/>
          <w:kern w:val="0"/>
          <w:sz w:val="22"/>
          <w:szCs w:val="22"/>
          <w:u w:val="single"/>
        </w:rPr>
        <w:t xml:space="preserve">                         </w:t>
      </w:r>
      <w:r>
        <w:rPr>
          <w:rFonts w:hint="eastAsia" w:ascii="宋体" w:hAnsi="宋体" w:cs="宋体"/>
          <w:kern w:val="0"/>
          <w:sz w:val="22"/>
          <w:szCs w:val="22"/>
        </w:rPr>
        <w:t>；</w:t>
      </w:r>
    </w:p>
    <w:p w14:paraId="3E7D1C73">
      <w:pPr>
        <w:pStyle w:val="19"/>
        <w:spacing w:line="400" w:lineRule="exact"/>
        <w:ind w:firstLine="440" w:firstLineChars="200"/>
        <w:contextualSpacing/>
        <w:rPr>
          <w:rFonts w:hAnsi="宋体" w:cs="宋体"/>
          <w:sz w:val="22"/>
          <w:szCs w:val="22"/>
          <w:u w:val="single"/>
        </w:rPr>
      </w:pPr>
      <w:r>
        <w:rPr>
          <w:rFonts w:hint="eastAsia" w:hAnsi="宋体" w:cs="宋体"/>
          <w:sz w:val="22"/>
          <w:szCs w:val="22"/>
        </w:rPr>
        <w:t>7.与本磋商有关的一切正式往来信函请寄：</w:t>
      </w:r>
      <w:r>
        <w:rPr>
          <w:rFonts w:hint="eastAsia" w:hAnsi="宋体" w:cs="宋体"/>
          <w:sz w:val="22"/>
          <w:szCs w:val="22"/>
          <w:u w:val="single"/>
        </w:rPr>
        <w:t xml:space="preserve">                  </w:t>
      </w:r>
    </w:p>
    <w:p w14:paraId="408DAE83">
      <w:pPr>
        <w:pStyle w:val="19"/>
        <w:spacing w:line="400" w:lineRule="exact"/>
        <w:ind w:firstLine="440" w:firstLineChars="200"/>
        <w:contextualSpacing/>
        <w:rPr>
          <w:rFonts w:hAnsi="宋体" w:cs="宋体"/>
          <w:sz w:val="22"/>
          <w:szCs w:val="22"/>
          <w:u w:val="single"/>
        </w:rPr>
      </w:pPr>
      <w:r>
        <w:rPr>
          <w:rFonts w:hint="eastAsia" w:hAnsi="宋体" w:cs="宋体"/>
          <w:sz w:val="22"/>
          <w:szCs w:val="22"/>
        </w:rPr>
        <w:t>邮政编号：</w:t>
      </w:r>
      <w:r>
        <w:rPr>
          <w:rFonts w:hint="eastAsia" w:hAnsi="宋体" w:cs="宋体"/>
          <w:sz w:val="22"/>
          <w:szCs w:val="22"/>
          <w:u w:val="single"/>
        </w:rPr>
        <w:t xml:space="preserve">                        </w:t>
      </w:r>
    </w:p>
    <w:p w14:paraId="3EFEEF9C">
      <w:pPr>
        <w:pStyle w:val="19"/>
        <w:spacing w:line="400" w:lineRule="exact"/>
        <w:ind w:firstLine="440" w:firstLineChars="200"/>
        <w:contextualSpacing/>
        <w:rPr>
          <w:rFonts w:hAnsi="宋体" w:cs="宋体"/>
          <w:sz w:val="22"/>
          <w:szCs w:val="22"/>
          <w:u w:val="single"/>
        </w:rPr>
      </w:pPr>
      <w:r>
        <w:rPr>
          <w:rFonts w:hint="eastAsia" w:hAnsi="宋体" w:cs="宋体"/>
          <w:sz w:val="22"/>
          <w:szCs w:val="22"/>
        </w:rPr>
        <w:t>电话/传真：</w:t>
      </w:r>
      <w:r>
        <w:rPr>
          <w:rFonts w:hint="eastAsia" w:hAnsi="宋体" w:cs="宋体"/>
          <w:sz w:val="22"/>
          <w:szCs w:val="22"/>
          <w:u w:val="single"/>
        </w:rPr>
        <w:t xml:space="preserve">                       </w:t>
      </w:r>
    </w:p>
    <w:p w14:paraId="510DC2C7">
      <w:pPr>
        <w:pStyle w:val="19"/>
        <w:spacing w:line="400" w:lineRule="exact"/>
        <w:ind w:firstLine="440" w:firstLineChars="200"/>
        <w:contextualSpacing/>
        <w:rPr>
          <w:rFonts w:hAnsi="宋体" w:cs="宋体"/>
          <w:sz w:val="22"/>
          <w:szCs w:val="22"/>
        </w:rPr>
      </w:pPr>
      <w:r>
        <w:rPr>
          <w:rFonts w:hint="eastAsia" w:hAnsi="宋体" w:cs="宋体"/>
          <w:sz w:val="22"/>
          <w:szCs w:val="22"/>
        </w:rPr>
        <w:t>电子函件：</w:t>
      </w:r>
      <w:r>
        <w:rPr>
          <w:rFonts w:hint="eastAsia" w:hAnsi="宋体" w:cs="宋体"/>
          <w:sz w:val="22"/>
          <w:szCs w:val="22"/>
          <w:u w:val="single"/>
        </w:rPr>
        <w:t xml:space="preserve">                        </w:t>
      </w:r>
      <w:r>
        <w:rPr>
          <w:rFonts w:hint="eastAsia" w:hAnsi="宋体" w:cs="宋体"/>
          <w:sz w:val="22"/>
          <w:szCs w:val="22"/>
        </w:rPr>
        <w:t xml:space="preserve">    </w:t>
      </w:r>
    </w:p>
    <w:p w14:paraId="1E043465">
      <w:pPr>
        <w:pStyle w:val="16"/>
        <w:tabs>
          <w:tab w:val="left" w:pos="939"/>
        </w:tabs>
        <w:spacing w:line="400" w:lineRule="exact"/>
        <w:ind w:left="0" w:leftChars="0" w:firstLine="440" w:firstLineChars="200"/>
        <w:rPr>
          <w:rFonts w:ascii="宋体" w:hAnsi="宋体" w:cs="宋体"/>
          <w:sz w:val="22"/>
          <w:szCs w:val="22"/>
        </w:rPr>
      </w:pPr>
      <w:r>
        <w:rPr>
          <w:rFonts w:hint="eastAsia" w:ascii="宋体" w:hAnsi="宋体" w:cs="宋体"/>
          <w:sz w:val="22"/>
          <w:szCs w:val="22"/>
        </w:rPr>
        <w:t>开户银行：</w:t>
      </w:r>
      <w:r>
        <w:rPr>
          <w:rFonts w:hint="eastAsia" w:ascii="宋体" w:hAnsi="宋体" w:cs="宋体"/>
          <w:sz w:val="22"/>
          <w:szCs w:val="22"/>
          <w:u w:val="single"/>
        </w:rPr>
        <w:t xml:space="preserve">                        </w:t>
      </w:r>
      <w:r>
        <w:rPr>
          <w:rFonts w:hint="eastAsia" w:ascii="宋体" w:hAnsi="宋体" w:cs="宋体"/>
          <w:sz w:val="22"/>
          <w:szCs w:val="22"/>
        </w:rPr>
        <w:t xml:space="preserve">  </w:t>
      </w:r>
    </w:p>
    <w:p w14:paraId="516AC1B7">
      <w:pPr>
        <w:pStyle w:val="16"/>
        <w:tabs>
          <w:tab w:val="left" w:pos="939"/>
        </w:tabs>
        <w:spacing w:line="400" w:lineRule="exact"/>
        <w:ind w:left="0" w:leftChars="0" w:firstLine="440" w:firstLineChars="200"/>
        <w:rPr>
          <w:rFonts w:ascii="宋体" w:hAnsi="宋体" w:cs="宋体"/>
          <w:sz w:val="22"/>
          <w:szCs w:val="22"/>
        </w:rPr>
      </w:pPr>
      <w:r>
        <w:rPr>
          <w:rFonts w:hint="eastAsia" w:ascii="宋体" w:hAnsi="宋体" w:cs="宋体"/>
          <w:sz w:val="22"/>
          <w:szCs w:val="22"/>
        </w:rPr>
        <w:t>帐号：</w:t>
      </w:r>
      <w:r>
        <w:rPr>
          <w:rFonts w:hint="eastAsia" w:ascii="宋体" w:hAnsi="宋体" w:cs="宋体"/>
          <w:sz w:val="22"/>
          <w:szCs w:val="22"/>
          <w:u w:val="single"/>
        </w:rPr>
        <w:t xml:space="preserve">                            </w:t>
      </w:r>
    </w:p>
    <w:p w14:paraId="24C467CB">
      <w:pPr>
        <w:pStyle w:val="16"/>
        <w:tabs>
          <w:tab w:val="left" w:pos="939"/>
        </w:tabs>
        <w:spacing w:line="400" w:lineRule="exact"/>
        <w:ind w:left="0" w:leftChars="0" w:firstLine="440" w:firstLineChars="200"/>
        <w:rPr>
          <w:rFonts w:ascii="宋体" w:hAnsi="宋体" w:cs="宋体"/>
          <w:sz w:val="22"/>
          <w:szCs w:val="22"/>
        </w:rPr>
      </w:pPr>
      <w:r>
        <w:rPr>
          <w:rFonts w:hint="eastAsia" w:ascii="宋体" w:hAnsi="宋体" w:cs="宋体"/>
          <w:sz w:val="22"/>
          <w:szCs w:val="22"/>
        </w:rPr>
        <w:t>8.以上事项如有虚假或者隐瞒，我方愿意承担一切后果，并不再寻求任何旨在减轻或者免除法律责任的辩解。</w:t>
      </w:r>
    </w:p>
    <w:p w14:paraId="2161AC9A">
      <w:pPr>
        <w:pStyle w:val="16"/>
        <w:tabs>
          <w:tab w:val="left" w:pos="939"/>
        </w:tabs>
        <w:spacing w:line="400" w:lineRule="exact"/>
        <w:ind w:left="0" w:leftChars="0" w:firstLine="330" w:firstLineChars="150"/>
        <w:rPr>
          <w:rFonts w:ascii="宋体" w:hAnsi="宋体" w:cs="宋体"/>
          <w:sz w:val="22"/>
          <w:szCs w:val="22"/>
        </w:rPr>
      </w:pPr>
      <w:r>
        <w:rPr>
          <w:rFonts w:hint="eastAsia" w:ascii="宋体" w:hAnsi="宋体" w:cs="宋体"/>
          <w:sz w:val="22"/>
          <w:szCs w:val="22"/>
        </w:rPr>
        <w:t>特此承诺。</w:t>
      </w:r>
    </w:p>
    <w:p w14:paraId="0885B9F7">
      <w:pPr>
        <w:pStyle w:val="16"/>
        <w:tabs>
          <w:tab w:val="left" w:pos="939"/>
        </w:tabs>
        <w:spacing w:line="400" w:lineRule="exact"/>
        <w:ind w:left="0" w:leftChars="0" w:firstLine="440" w:firstLineChars="200"/>
        <w:rPr>
          <w:rFonts w:ascii="宋体" w:hAnsi="宋体" w:cs="宋体"/>
          <w:sz w:val="22"/>
          <w:szCs w:val="22"/>
        </w:rPr>
      </w:pPr>
      <w:r>
        <w:rPr>
          <w:rFonts w:hint="eastAsia" w:ascii="宋体" w:hAnsi="宋体" w:cs="宋体"/>
          <w:sz w:val="22"/>
          <w:szCs w:val="22"/>
        </w:rPr>
        <w:t>注：如为联合体竞标，盖章处须加盖联合体各方公章并由联合体各方法定代表人签署，否则其响应文件按无效响应处理。</w:t>
      </w:r>
    </w:p>
    <w:p w14:paraId="5296D677">
      <w:pPr>
        <w:pStyle w:val="16"/>
        <w:tabs>
          <w:tab w:val="left" w:pos="939"/>
        </w:tabs>
        <w:spacing w:line="400" w:lineRule="exact"/>
        <w:ind w:left="0" w:leftChars="0" w:firstLine="0" w:firstLineChars="0"/>
        <w:rPr>
          <w:rFonts w:ascii="宋体" w:hAnsi="宋体" w:cs="宋体"/>
          <w:sz w:val="22"/>
          <w:szCs w:val="22"/>
        </w:rPr>
      </w:pPr>
    </w:p>
    <w:p w14:paraId="78D5162A">
      <w:pPr>
        <w:pStyle w:val="16"/>
        <w:tabs>
          <w:tab w:val="left" w:pos="939"/>
        </w:tabs>
        <w:spacing w:line="400" w:lineRule="exact"/>
        <w:ind w:left="0" w:leftChars="0" w:firstLine="0" w:firstLineChars="0"/>
        <w:rPr>
          <w:rFonts w:ascii="宋体" w:hAnsi="宋体" w:cs="宋体"/>
          <w:sz w:val="22"/>
          <w:szCs w:val="22"/>
        </w:rPr>
      </w:pPr>
    </w:p>
    <w:p w14:paraId="4B4581DA">
      <w:pPr>
        <w:pStyle w:val="16"/>
        <w:spacing w:line="400" w:lineRule="exact"/>
        <w:ind w:left="0" w:leftChars="0" w:firstLine="4840" w:firstLineChars="2200"/>
        <w:rPr>
          <w:rFonts w:ascii="宋体" w:hAnsi="宋体" w:cs="宋体"/>
          <w:sz w:val="22"/>
          <w:szCs w:val="22"/>
        </w:rPr>
      </w:pPr>
    </w:p>
    <w:p w14:paraId="7E13ADC0">
      <w:pPr>
        <w:spacing w:line="400" w:lineRule="exact"/>
        <w:ind w:firstLine="3960" w:firstLineChars="1800"/>
        <w:contextualSpacing/>
        <w:rPr>
          <w:sz w:val="22"/>
          <w:szCs w:val="22"/>
        </w:rPr>
      </w:pPr>
    </w:p>
    <w:p w14:paraId="21EF4E51">
      <w:pPr>
        <w:spacing w:line="400" w:lineRule="exact"/>
        <w:contextualSpacing/>
        <w:jc w:val="center"/>
        <w:rPr>
          <w:sz w:val="22"/>
          <w:szCs w:val="22"/>
        </w:rPr>
      </w:pPr>
      <w:r>
        <w:rPr>
          <w:rFonts w:hint="eastAsia"/>
          <w:sz w:val="22"/>
          <w:szCs w:val="22"/>
        </w:rPr>
        <w:t>法定代表人或者委托代理人</w:t>
      </w:r>
      <w:r>
        <w:rPr>
          <w:rFonts w:hint="eastAsia"/>
          <w:sz w:val="22"/>
          <w:szCs w:val="22"/>
          <w:lang w:eastAsia="zh-CN"/>
        </w:rPr>
        <w:t>（签字或者电子签章）</w:t>
      </w:r>
      <w:r>
        <w:rPr>
          <w:rFonts w:hint="eastAsia"/>
          <w:sz w:val="22"/>
          <w:szCs w:val="22"/>
        </w:rPr>
        <w:t>：</w:t>
      </w:r>
      <w:r>
        <w:rPr>
          <w:rFonts w:hint="eastAsia"/>
          <w:sz w:val="22"/>
          <w:szCs w:val="22"/>
          <w:u w:val="single"/>
        </w:rPr>
        <w:t xml:space="preserve">                 </w:t>
      </w:r>
    </w:p>
    <w:p w14:paraId="3F60C90B">
      <w:pPr>
        <w:spacing w:line="400" w:lineRule="exact"/>
        <w:ind w:firstLine="3960" w:firstLineChars="1800"/>
        <w:contextualSpacing/>
        <w:rPr>
          <w:rFonts w:ascii="宋体" w:hAnsi="宋体" w:cs="宋体"/>
          <w:sz w:val="22"/>
          <w:szCs w:val="22"/>
          <w:u w:val="single"/>
        </w:rPr>
      </w:pPr>
    </w:p>
    <w:p w14:paraId="2088BE20">
      <w:pPr>
        <w:spacing w:line="400" w:lineRule="exact"/>
        <w:ind w:firstLine="220" w:firstLineChars="100"/>
        <w:contextualSpacing/>
        <w:jc w:val="center"/>
        <w:rPr>
          <w:rFonts w:hint="eastAsia" w:ascii="宋体" w:hAnsi="宋体" w:cs="宋体"/>
          <w:sz w:val="22"/>
          <w:szCs w:val="22"/>
        </w:rPr>
      </w:pPr>
      <w:r>
        <w:rPr>
          <w:rFonts w:hint="eastAsia"/>
          <w:sz w:val="22"/>
          <w:szCs w:val="22"/>
        </w:rPr>
        <w:t>供应商（盖公章）：</w:t>
      </w:r>
      <w:r>
        <w:rPr>
          <w:rFonts w:hint="eastAsia"/>
          <w:sz w:val="22"/>
          <w:szCs w:val="22"/>
          <w:u w:val="single"/>
        </w:rPr>
        <w:t xml:space="preserve">                     </w:t>
      </w:r>
      <w:r>
        <w:rPr>
          <w:rFonts w:hint="eastAsia" w:ascii="宋体" w:hAnsi="宋体" w:cs="宋体"/>
          <w:sz w:val="22"/>
          <w:szCs w:val="22"/>
        </w:rPr>
        <w:t xml:space="preserve">                           </w:t>
      </w:r>
    </w:p>
    <w:p w14:paraId="2B07D6BD">
      <w:pPr>
        <w:spacing w:line="400" w:lineRule="exact"/>
        <w:ind w:firstLine="220" w:firstLineChars="100"/>
        <w:contextualSpacing/>
        <w:jc w:val="center"/>
        <w:rPr>
          <w:rFonts w:hint="eastAsia" w:ascii="宋体" w:hAnsi="宋体" w:cs="宋体"/>
          <w:sz w:val="22"/>
          <w:szCs w:val="22"/>
        </w:rPr>
      </w:pPr>
    </w:p>
    <w:p w14:paraId="740FCB37">
      <w:pPr>
        <w:spacing w:line="400" w:lineRule="exact"/>
        <w:ind w:firstLine="220" w:firstLineChars="100"/>
        <w:contextualSpacing/>
        <w:jc w:val="center"/>
        <w:rPr>
          <w:rFonts w:ascii="宋体" w:hAnsi="宋体"/>
          <w:sz w:val="28"/>
          <w:szCs w:val="28"/>
        </w:rPr>
      </w:pPr>
      <w:r>
        <w:rPr>
          <w:rFonts w:hint="eastAsia" w:ascii="宋体" w:hAnsi="宋体" w:cs="宋体"/>
          <w:sz w:val="22"/>
          <w:szCs w:val="22"/>
          <w:lang w:val="en-US" w:eastAsia="zh-CN"/>
        </w:rPr>
        <w:t xml:space="preserve">       </w:t>
      </w:r>
      <w:r>
        <w:rPr>
          <w:rFonts w:hint="eastAsia" w:ascii="宋体" w:hAnsi="宋体" w:cs="宋体"/>
          <w:sz w:val="22"/>
          <w:szCs w:val="22"/>
        </w:rPr>
        <w:t xml:space="preserve">日  期：    </w:t>
      </w:r>
      <w:r>
        <w:rPr>
          <w:rFonts w:hint="eastAsia"/>
          <w:sz w:val="22"/>
          <w:szCs w:val="22"/>
        </w:rPr>
        <w:t>年   月   日</w:t>
      </w:r>
    </w:p>
    <w:p w14:paraId="4980C900">
      <w:pPr>
        <w:pStyle w:val="8"/>
        <w:overflowPunct w:val="0"/>
        <w:spacing w:line="400" w:lineRule="exact"/>
        <w:ind w:firstLine="0"/>
        <w:rPr>
          <w:rFonts w:ascii="宋体" w:hAnsi="宋体"/>
          <w:b/>
          <w:bCs/>
          <w:sz w:val="22"/>
          <w:szCs w:val="22"/>
        </w:rPr>
      </w:pPr>
    </w:p>
    <w:p w14:paraId="0CAA3354">
      <w:pPr>
        <w:snapToGrid w:val="0"/>
        <w:spacing w:line="400" w:lineRule="exact"/>
        <w:ind w:firstLine="221" w:firstLineChars="100"/>
        <w:jc w:val="center"/>
        <w:rPr>
          <w:rFonts w:ascii="宋体" w:hAnsi="宋体"/>
          <w:b/>
          <w:bCs/>
          <w:sz w:val="22"/>
          <w:szCs w:val="22"/>
        </w:rPr>
      </w:pPr>
      <w:r>
        <w:rPr>
          <w:rFonts w:ascii="宋体" w:hAnsi="宋体"/>
          <w:b/>
          <w:bCs/>
          <w:sz w:val="22"/>
          <w:szCs w:val="22"/>
        </w:rPr>
        <w:br w:type="page"/>
      </w:r>
    </w:p>
    <w:p w14:paraId="24740797">
      <w:pPr>
        <w:spacing w:line="460" w:lineRule="exact"/>
        <w:rPr>
          <w:b/>
          <w:sz w:val="32"/>
          <w:szCs w:val="32"/>
        </w:rPr>
      </w:pPr>
      <w:r>
        <w:rPr>
          <w:rFonts w:hint="eastAsia"/>
          <w:b/>
          <w:sz w:val="32"/>
          <w:szCs w:val="32"/>
        </w:rPr>
        <w:t>二、报价文件格式</w:t>
      </w:r>
    </w:p>
    <w:p w14:paraId="770B71FC">
      <w:pPr>
        <w:snapToGrid w:val="0"/>
        <w:spacing w:line="460" w:lineRule="exact"/>
        <w:jc w:val="left"/>
        <w:rPr>
          <w:rFonts w:ascii="宋体" w:hAnsi="宋体"/>
          <w:b/>
          <w:sz w:val="24"/>
        </w:rPr>
      </w:pPr>
      <w:r>
        <w:rPr>
          <w:rFonts w:hint="eastAsia" w:ascii="宋体" w:hAnsi="宋体"/>
          <w:b/>
          <w:sz w:val="32"/>
          <w:szCs w:val="32"/>
        </w:rPr>
        <w:t>1.报价文件封面格式：</w:t>
      </w:r>
      <w:r>
        <w:rPr>
          <w:rFonts w:hint="eastAsia" w:ascii="宋体" w:hAnsi="宋体"/>
          <w:b/>
          <w:sz w:val="24"/>
        </w:rPr>
        <w:t xml:space="preserve"> </w:t>
      </w:r>
    </w:p>
    <w:p w14:paraId="5F3E0484">
      <w:pPr>
        <w:snapToGrid w:val="0"/>
        <w:spacing w:before="156" w:beforeLines="50" w:after="50"/>
        <w:rPr>
          <w:rFonts w:ascii="宋体" w:hAnsi="宋体"/>
          <w:bCs/>
          <w:sz w:val="32"/>
          <w:szCs w:val="20"/>
        </w:rPr>
      </w:pPr>
      <w:r>
        <w:rPr>
          <w:rFonts w:hint="eastAsia" w:ascii="宋体" w:hAnsi="宋体"/>
          <w:sz w:val="24"/>
        </w:rPr>
        <w:t xml:space="preserve">                                                   </w:t>
      </w:r>
    </w:p>
    <w:p w14:paraId="26A61EEA">
      <w:pPr>
        <w:snapToGrid w:val="0"/>
        <w:spacing w:before="156" w:beforeLines="50" w:after="50"/>
        <w:rPr>
          <w:rFonts w:ascii="宋体" w:hAnsi="宋体"/>
          <w:sz w:val="24"/>
          <w:szCs w:val="20"/>
        </w:rPr>
      </w:pPr>
    </w:p>
    <w:p w14:paraId="0F2AE36C">
      <w:pPr>
        <w:snapToGrid w:val="0"/>
        <w:spacing w:before="156" w:beforeLines="50" w:after="50"/>
        <w:rPr>
          <w:rFonts w:ascii="宋体" w:hAnsi="宋体"/>
          <w:sz w:val="24"/>
          <w:szCs w:val="20"/>
        </w:rPr>
      </w:pPr>
    </w:p>
    <w:p w14:paraId="486B4AD3">
      <w:pPr>
        <w:snapToGrid w:val="0"/>
        <w:spacing w:before="156"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w:t>
      </w:r>
    </w:p>
    <w:p w14:paraId="14322418">
      <w:pPr>
        <w:snapToGrid w:val="0"/>
        <w:spacing w:before="156" w:beforeLines="50" w:after="50"/>
        <w:rPr>
          <w:rFonts w:ascii="宋体" w:hAnsi="宋体"/>
          <w:bCs/>
          <w:sz w:val="24"/>
          <w:szCs w:val="20"/>
        </w:rPr>
      </w:pPr>
    </w:p>
    <w:p w14:paraId="049520C7">
      <w:pPr>
        <w:snapToGrid w:val="0"/>
        <w:spacing w:before="156" w:beforeLines="50" w:after="50"/>
        <w:rPr>
          <w:rFonts w:ascii="宋体" w:hAnsi="宋体"/>
          <w:bCs/>
          <w:sz w:val="24"/>
          <w:szCs w:val="20"/>
        </w:rPr>
      </w:pPr>
    </w:p>
    <w:p w14:paraId="61BCDF60">
      <w:pPr>
        <w:snapToGrid w:val="0"/>
        <w:spacing w:before="156" w:beforeLines="50" w:after="50"/>
        <w:rPr>
          <w:rFonts w:ascii="宋体" w:hAnsi="宋体"/>
          <w:bCs/>
          <w:sz w:val="24"/>
          <w:szCs w:val="20"/>
        </w:rPr>
      </w:pPr>
    </w:p>
    <w:p w14:paraId="6FEF443E">
      <w:pPr>
        <w:snapToGrid w:val="0"/>
        <w:spacing w:before="156" w:beforeLines="50" w:after="50"/>
        <w:rPr>
          <w:rFonts w:ascii="宋体" w:hAnsi="宋体"/>
          <w:bCs/>
          <w:sz w:val="24"/>
          <w:szCs w:val="20"/>
        </w:rPr>
      </w:pPr>
    </w:p>
    <w:p w14:paraId="281BD7CD">
      <w:pPr>
        <w:snapToGrid w:val="0"/>
        <w:spacing w:before="156" w:beforeLines="50" w:after="50"/>
        <w:rPr>
          <w:rFonts w:ascii="宋体" w:hAnsi="宋体"/>
          <w:bCs/>
          <w:sz w:val="24"/>
          <w:szCs w:val="20"/>
        </w:rPr>
      </w:pPr>
    </w:p>
    <w:p w14:paraId="26CCA069">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5686B144">
      <w:pPr>
        <w:snapToGrid w:val="0"/>
        <w:spacing w:before="156" w:beforeLines="50" w:after="50"/>
        <w:ind w:firstLine="720" w:firstLineChars="225"/>
        <w:rPr>
          <w:rFonts w:ascii="宋体" w:hAnsi="宋体" w:cs="仿宋_GB2312"/>
          <w:bCs/>
          <w:sz w:val="32"/>
          <w:szCs w:val="32"/>
        </w:rPr>
      </w:pPr>
    </w:p>
    <w:p w14:paraId="6E30623D">
      <w:pPr>
        <w:snapToGrid w:val="0"/>
        <w:spacing w:before="156" w:beforeLines="50" w:after="50"/>
        <w:ind w:firstLine="720" w:firstLineChars="225"/>
        <w:rPr>
          <w:rFonts w:ascii="宋体" w:hAnsi="宋体" w:cs="仿宋_GB2312"/>
          <w:bCs/>
          <w:sz w:val="32"/>
          <w:szCs w:val="32"/>
        </w:rPr>
      </w:pPr>
      <w:r>
        <w:rPr>
          <w:rFonts w:hint="eastAsia" w:ascii="宋体" w:hAnsi="宋体" w:cs="仿宋_GB2312"/>
          <w:bCs/>
          <w:sz w:val="32"/>
          <w:szCs w:val="32"/>
        </w:rPr>
        <w:t>项目编号：</w:t>
      </w:r>
    </w:p>
    <w:p w14:paraId="2FC89B10">
      <w:pPr>
        <w:snapToGrid w:val="0"/>
        <w:spacing w:before="156"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14:paraId="378CE880">
      <w:pPr>
        <w:snapToGrid w:val="0"/>
        <w:spacing w:before="156" w:beforeLines="50" w:after="50"/>
        <w:ind w:firstLine="720" w:firstLineChars="225"/>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44C53AAD">
      <w:pPr>
        <w:snapToGrid w:val="0"/>
        <w:spacing w:before="156" w:beforeLines="50" w:after="50"/>
        <w:ind w:firstLine="720" w:firstLineChars="225"/>
        <w:rPr>
          <w:rFonts w:ascii="宋体" w:hAnsi="宋体" w:cs="仿宋_GB2312"/>
          <w:bCs/>
          <w:sz w:val="32"/>
          <w:szCs w:val="32"/>
        </w:rPr>
      </w:pPr>
    </w:p>
    <w:p w14:paraId="3ECE591E">
      <w:pPr>
        <w:pStyle w:val="8"/>
        <w:snapToGrid w:val="0"/>
        <w:spacing w:before="50" w:after="50"/>
        <w:ind w:firstLine="720" w:firstLineChars="225"/>
        <w:rPr>
          <w:rFonts w:ascii="宋体" w:hAnsi="宋体" w:cs="仿宋_GB2312"/>
          <w:bCs/>
          <w:sz w:val="32"/>
          <w:szCs w:val="32"/>
        </w:rPr>
      </w:pPr>
      <w:r>
        <w:rPr>
          <w:rFonts w:hint="eastAsia" w:ascii="宋体" w:hAnsi="宋体" w:cs="仿宋_GB2312"/>
          <w:bCs/>
          <w:sz w:val="32"/>
          <w:szCs w:val="32"/>
        </w:rPr>
        <w:t>供应商名称：</w:t>
      </w:r>
    </w:p>
    <w:p w14:paraId="2259F1E6">
      <w:pPr>
        <w:pStyle w:val="8"/>
        <w:snapToGrid w:val="0"/>
        <w:spacing w:before="50" w:after="50"/>
        <w:ind w:firstLine="720" w:firstLineChars="225"/>
        <w:rPr>
          <w:rFonts w:ascii="宋体" w:hAnsi="宋体" w:cs="仿宋_GB2312"/>
          <w:bCs/>
          <w:sz w:val="32"/>
          <w:szCs w:val="32"/>
        </w:rPr>
      </w:pPr>
    </w:p>
    <w:p w14:paraId="77E7ADAC">
      <w:pPr>
        <w:pStyle w:val="8"/>
        <w:snapToGrid w:val="0"/>
        <w:spacing w:before="50" w:after="50"/>
        <w:ind w:firstLine="720" w:firstLineChars="225"/>
        <w:rPr>
          <w:rFonts w:ascii="宋体" w:hAnsi="宋体" w:cs="仿宋_GB2312"/>
          <w:bCs/>
          <w:sz w:val="32"/>
          <w:szCs w:val="32"/>
        </w:rPr>
      </w:pPr>
    </w:p>
    <w:p w14:paraId="0C7F1687">
      <w:pPr>
        <w:pStyle w:val="8"/>
        <w:snapToGrid w:val="0"/>
        <w:spacing w:before="50" w:after="50"/>
        <w:ind w:firstLine="720" w:firstLineChars="225"/>
        <w:rPr>
          <w:rFonts w:ascii="宋体" w:hAnsi="宋体" w:cs="仿宋_GB2312"/>
          <w:bCs/>
          <w:sz w:val="32"/>
          <w:szCs w:val="32"/>
        </w:rPr>
      </w:pPr>
    </w:p>
    <w:p w14:paraId="7D57A2C8">
      <w:pPr>
        <w:pStyle w:val="8"/>
        <w:snapToGrid w:val="0"/>
        <w:spacing w:before="50" w:after="50"/>
        <w:ind w:firstLine="1280" w:firstLineChars="400"/>
        <w:rPr>
          <w:rFonts w:ascii="宋体" w:hAnsi="宋体" w:cs="仿宋_GB2312"/>
          <w:bCs/>
          <w:sz w:val="32"/>
          <w:szCs w:val="32"/>
        </w:rPr>
      </w:pPr>
    </w:p>
    <w:p w14:paraId="0B16D384">
      <w:pPr>
        <w:snapToGrid w:val="0"/>
        <w:spacing w:before="156" w:beforeLines="50" w:after="50" w:line="360" w:lineRule="auto"/>
        <w:ind w:right="480" w:firstLine="320" w:firstLineChars="100"/>
        <w:jc w:val="center"/>
        <w:rPr>
          <w:rFonts w:ascii="宋体" w:hAnsi="宋体"/>
          <w:b/>
          <w:bCs/>
          <w:sz w:val="32"/>
          <w:szCs w:val="32"/>
        </w:rPr>
      </w:pPr>
      <w:r>
        <w:rPr>
          <w:rFonts w:hint="eastAsia" w:ascii="宋体" w:hAnsi="宋体" w:cs="仿宋_GB2312"/>
          <w:sz w:val="32"/>
          <w:szCs w:val="32"/>
        </w:rPr>
        <w:t>日  期：    年   月   日</w:t>
      </w:r>
    </w:p>
    <w:p w14:paraId="6EEE2D15">
      <w:pPr>
        <w:snapToGrid w:val="0"/>
        <w:spacing w:line="460" w:lineRule="exact"/>
        <w:ind w:firstLine="281" w:firstLineChars="100"/>
        <w:jc w:val="center"/>
        <w:rPr>
          <w:rFonts w:ascii="宋体" w:hAnsi="宋体"/>
          <w:b/>
          <w:bCs/>
          <w:sz w:val="28"/>
          <w:szCs w:val="28"/>
        </w:rPr>
      </w:pPr>
      <w:r>
        <w:rPr>
          <w:rFonts w:ascii="宋体" w:hAnsi="宋体"/>
          <w:b/>
          <w:bCs/>
          <w:sz w:val="28"/>
          <w:szCs w:val="28"/>
        </w:rPr>
        <w:br w:type="page"/>
      </w:r>
    </w:p>
    <w:p w14:paraId="487A8844">
      <w:pPr>
        <w:snapToGrid w:val="0"/>
        <w:spacing w:line="460" w:lineRule="exact"/>
        <w:jc w:val="left"/>
        <w:rPr>
          <w:rFonts w:ascii="宋体" w:hAnsi="宋体" w:cs="宋体"/>
          <w:b/>
          <w:bCs/>
          <w:sz w:val="32"/>
          <w:szCs w:val="32"/>
        </w:rPr>
      </w:pPr>
      <w:r>
        <w:rPr>
          <w:rFonts w:hint="eastAsia" w:ascii="宋体" w:hAnsi="宋体" w:cs="宋体"/>
          <w:b/>
          <w:bCs/>
          <w:sz w:val="32"/>
          <w:szCs w:val="32"/>
        </w:rPr>
        <w:t>2.报价文件目录</w:t>
      </w:r>
    </w:p>
    <w:p w14:paraId="0C4C4B10">
      <w:pPr>
        <w:pStyle w:val="7"/>
        <w:spacing w:before="0" w:after="0" w:line="460" w:lineRule="exact"/>
        <w:ind w:firstLine="640" w:firstLineChars="200"/>
        <w:jc w:val="left"/>
        <w:rPr>
          <w:rFonts w:ascii="宋体" w:hAnsi="宋体"/>
          <w:bCs/>
          <w:sz w:val="28"/>
          <w:szCs w:val="28"/>
        </w:rPr>
      </w:pPr>
      <w:r>
        <w:rPr>
          <w:rFonts w:hint="eastAsia" w:ascii="宋体" w:hAnsi="宋体" w:eastAsia="宋体" w:cs="宋体"/>
          <w:b w:val="0"/>
          <w:sz w:val="32"/>
          <w:szCs w:val="32"/>
        </w:rPr>
        <w:t>根据磋商文件规定及供应商提供的材料自行编写目录（部分格式后附）。</w:t>
      </w:r>
    </w:p>
    <w:p w14:paraId="20187916">
      <w:pPr>
        <w:pStyle w:val="8"/>
        <w:spacing w:line="400" w:lineRule="exact"/>
        <w:ind w:firstLine="0"/>
        <w:jc w:val="left"/>
        <w:rPr>
          <w:rFonts w:ascii="宋体" w:hAnsi="宋体"/>
          <w:b/>
          <w:bCs/>
          <w:sz w:val="28"/>
          <w:szCs w:val="28"/>
        </w:rPr>
      </w:pPr>
    </w:p>
    <w:p w14:paraId="386FE4DA">
      <w:pPr>
        <w:snapToGrid w:val="0"/>
        <w:spacing w:line="460" w:lineRule="exact"/>
        <w:ind w:firstLine="281" w:firstLineChars="100"/>
        <w:jc w:val="center"/>
        <w:rPr>
          <w:rFonts w:ascii="宋体" w:hAnsi="宋体"/>
          <w:b/>
          <w:bCs/>
          <w:sz w:val="28"/>
          <w:szCs w:val="28"/>
        </w:rPr>
      </w:pPr>
      <w:r>
        <w:rPr>
          <w:rFonts w:ascii="宋体" w:hAnsi="宋体"/>
          <w:b/>
          <w:bCs/>
          <w:sz w:val="28"/>
          <w:szCs w:val="28"/>
        </w:rPr>
        <w:br w:type="page"/>
      </w:r>
    </w:p>
    <w:p w14:paraId="612351D6">
      <w:pPr>
        <w:spacing w:line="460" w:lineRule="exact"/>
        <w:jc w:val="center"/>
        <w:rPr>
          <w:rFonts w:ascii="方正小标宋简体" w:hAnsi="方正小标宋简体" w:eastAsia="方正小标宋简体" w:cs="方正小标宋简体"/>
          <w:bCs/>
          <w:sz w:val="32"/>
          <w:szCs w:val="32"/>
        </w:rPr>
      </w:pPr>
      <w:r>
        <w:rPr>
          <w:rFonts w:hint="eastAsia" w:ascii="宋体" w:hAnsi="宋体" w:cs="宋体"/>
          <w:bCs/>
          <w:sz w:val="32"/>
          <w:szCs w:val="32"/>
        </w:rPr>
        <w:t>磋商报价表</w:t>
      </w:r>
    </w:p>
    <w:p w14:paraId="18645AC2">
      <w:pPr>
        <w:spacing w:line="400" w:lineRule="exact"/>
        <w:jc w:val="center"/>
        <w:rPr>
          <w:rFonts w:ascii="宋体" w:hAnsi="宋体" w:cs="宋体"/>
          <w:bCs/>
          <w:sz w:val="22"/>
          <w:szCs w:val="22"/>
        </w:rPr>
      </w:pPr>
    </w:p>
    <w:p w14:paraId="31FDA45F">
      <w:pPr>
        <w:spacing w:line="400" w:lineRule="exact"/>
        <w:contextualSpacing/>
        <w:rPr>
          <w:rFonts w:hint="eastAsia" w:ascii="宋体" w:hAnsi="宋体" w:cs="宋体"/>
          <w:sz w:val="22"/>
          <w:szCs w:val="22"/>
          <w:u w:val="single"/>
        </w:rPr>
      </w:pPr>
      <w:r>
        <w:rPr>
          <w:rFonts w:hint="eastAsia" w:ascii="宋体" w:hAnsi="宋体" w:cs="宋体"/>
          <w:sz w:val="22"/>
          <w:szCs w:val="22"/>
        </w:rPr>
        <w:t>项目名称：</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p>
    <w:p w14:paraId="7B5ECB4C">
      <w:pPr>
        <w:spacing w:line="400" w:lineRule="exact"/>
        <w:contextualSpacing/>
        <w:rPr>
          <w:rFonts w:ascii="宋体" w:hAnsi="宋体" w:cs="宋体"/>
          <w:sz w:val="22"/>
          <w:szCs w:val="22"/>
        </w:rPr>
      </w:pPr>
      <w:r>
        <w:rPr>
          <w:rFonts w:hint="eastAsia" w:ascii="宋体" w:hAnsi="宋体" w:cs="宋体"/>
          <w:sz w:val="22"/>
          <w:szCs w:val="22"/>
        </w:rPr>
        <w:t>项目编号：</w:t>
      </w:r>
      <w:r>
        <w:rPr>
          <w:rFonts w:hint="eastAsia" w:ascii="宋体" w:hAnsi="宋体" w:cs="宋体"/>
          <w:sz w:val="22"/>
          <w:szCs w:val="22"/>
          <w:u w:val="single"/>
        </w:rPr>
        <w:t xml:space="preserve">                   </w:t>
      </w:r>
      <w:r>
        <w:rPr>
          <w:rFonts w:hint="eastAsia" w:ascii="宋体" w:hAnsi="宋体" w:cs="宋体"/>
          <w:sz w:val="22"/>
          <w:szCs w:val="22"/>
        </w:rPr>
        <w:t xml:space="preserve">     </w:t>
      </w:r>
    </w:p>
    <w:p w14:paraId="7A1CD0D5">
      <w:pPr>
        <w:spacing w:line="400" w:lineRule="exact"/>
        <w:contextualSpacing/>
        <w:rPr>
          <w:rFonts w:ascii="宋体" w:hAnsi="宋体" w:cs="宋体"/>
          <w:sz w:val="22"/>
          <w:szCs w:val="22"/>
          <w:u w:val="single"/>
        </w:rPr>
      </w:pPr>
      <w:r>
        <w:rPr>
          <w:rFonts w:hint="eastAsia" w:ascii="宋体" w:hAnsi="宋体" w:cs="宋体"/>
          <w:sz w:val="22"/>
          <w:szCs w:val="22"/>
        </w:rPr>
        <w:t>分标：</w:t>
      </w:r>
      <w:r>
        <w:rPr>
          <w:rFonts w:hint="eastAsia" w:ascii="宋体" w:hAnsi="宋体" w:cs="宋体"/>
          <w:sz w:val="22"/>
          <w:szCs w:val="22"/>
          <w:u w:val="single"/>
        </w:rPr>
        <w:t xml:space="preserve">                                         </w:t>
      </w:r>
    </w:p>
    <w:p w14:paraId="415210D4">
      <w:pPr>
        <w:spacing w:line="400" w:lineRule="exact"/>
        <w:contextualSpacing/>
        <w:rPr>
          <w:rFonts w:ascii="宋体" w:hAnsi="宋体" w:cs="宋体"/>
          <w:sz w:val="22"/>
          <w:szCs w:val="22"/>
        </w:rPr>
      </w:pPr>
      <w:r>
        <w:rPr>
          <w:rFonts w:hint="eastAsia" w:ascii="宋体" w:hAnsi="宋体" w:cs="宋体"/>
          <w:sz w:val="22"/>
          <w:szCs w:val="22"/>
        </w:rPr>
        <w:t>供应商名称：</w:t>
      </w:r>
      <w:r>
        <w:rPr>
          <w:rFonts w:hint="eastAsia" w:ascii="宋体" w:hAnsi="宋体" w:cs="宋体"/>
          <w:sz w:val="22"/>
          <w:szCs w:val="22"/>
          <w:u w:val="single"/>
        </w:rPr>
        <w:t xml:space="preserve">                                   </w:t>
      </w:r>
      <w:r>
        <w:rPr>
          <w:rFonts w:hint="eastAsia" w:ascii="宋体" w:hAnsi="宋体" w:cs="宋体"/>
          <w:sz w:val="22"/>
          <w:szCs w:val="22"/>
        </w:rPr>
        <w:t xml:space="preserve">   </w:t>
      </w:r>
    </w:p>
    <w:p w14:paraId="6D947A31">
      <w:pPr>
        <w:spacing w:line="400" w:lineRule="exact"/>
        <w:contextualSpacing/>
        <w:jc w:val="right"/>
        <w:rPr>
          <w:rFonts w:ascii="宋体" w:hAnsi="宋体" w:cs="宋体"/>
          <w:sz w:val="22"/>
          <w:szCs w:val="22"/>
        </w:rPr>
      </w:pPr>
      <w:r>
        <w:rPr>
          <w:rFonts w:hint="eastAsia" w:ascii="宋体" w:hAnsi="宋体" w:cs="宋体"/>
          <w:sz w:val="22"/>
          <w:szCs w:val="22"/>
        </w:rPr>
        <w:t>单位：元</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883"/>
        <w:gridCol w:w="790"/>
        <w:gridCol w:w="770"/>
        <w:gridCol w:w="1485"/>
        <w:gridCol w:w="1395"/>
        <w:gridCol w:w="1230"/>
      </w:tblGrid>
      <w:tr w14:paraId="34A3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14:paraId="1B81DAC1">
            <w:pPr>
              <w:spacing w:line="360" w:lineRule="auto"/>
              <w:contextualSpacing/>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798922C5">
            <w:pPr>
              <w:spacing w:line="360" w:lineRule="auto"/>
              <w:contextualSpacing/>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服务名称</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219C0EC">
            <w:pPr>
              <w:spacing w:line="360" w:lineRule="auto"/>
              <w:contextualSpacing/>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9DE89E5">
            <w:pPr>
              <w:spacing w:line="360" w:lineRule="auto"/>
              <w:contextualSpacing/>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4E0AD1F">
            <w:pPr>
              <w:spacing w:line="360" w:lineRule="auto"/>
              <w:contextualSpacing/>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B45B7AD">
            <w:pPr>
              <w:spacing w:line="360" w:lineRule="auto"/>
              <w:contextualSpacing/>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总价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CD82CA2">
            <w:pPr>
              <w:spacing w:line="360" w:lineRule="auto"/>
              <w:contextualSpacing/>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188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14:paraId="26EF87A6">
            <w:pPr>
              <w:spacing w:line="360" w:lineRule="auto"/>
              <w:contextualSpacing/>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14450174">
            <w:pPr>
              <w:spacing w:line="360" w:lineRule="auto"/>
              <w:contextualSpacing/>
              <w:jc w:val="center"/>
              <w:rPr>
                <w:rFonts w:hint="eastAsia" w:ascii="宋体" w:hAnsi="宋体" w:eastAsia="宋体" w:cs="宋体"/>
                <w:color w:val="000000"/>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5D7139C8">
            <w:pPr>
              <w:spacing w:line="360" w:lineRule="auto"/>
              <w:contextualSpacing/>
              <w:jc w:val="center"/>
              <w:rPr>
                <w:rFonts w:hint="eastAsia" w:ascii="宋体" w:hAnsi="宋体" w:eastAsia="宋体" w:cs="宋体"/>
                <w:color w:val="000000"/>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top"/>
          </w:tcPr>
          <w:p w14:paraId="16D0A945">
            <w:pPr>
              <w:spacing w:line="360" w:lineRule="auto"/>
              <w:contextualSpacing/>
              <w:rPr>
                <w:rFonts w:hint="eastAsia" w:ascii="宋体" w:hAnsi="宋体" w:eastAsia="宋体" w:cs="宋体"/>
                <w:color w:val="000000"/>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top"/>
          </w:tcPr>
          <w:p w14:paraId="1CD37D76">
            <w:pPr>
              <w:spacing w:line="360" w:lineRule="auto"/>
              <w:contextualSpacing/>
              <w:rPr>
                <w:rFonts w:hint="eastAsia" w:ascii="宋体" w:hAnsi="宋体" w:eastAsia="宋体" w:cs="宋体"/>
                <w:color w:val="000000"/>
                <w:szCs w:val="21"/>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38DBF652">
            <w:pPr>
              <w:spacing w:line="360" w:lineRule="auto"/>
              <w:contextualSpacing/>
              <w:rPr>
                <w:rFonts w:hint="eastAsia" w:ascii="宋体" w:hAnsi="宋体" w:eastAsia="宋体" w:cs="宋体"/>
                <w:color w:val="000000"/>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2E1C199">
            <w:pPr>
              <w:spacing w:line="360" w:lineRule="auto"/>
              <w:contextualSpacing/>
              <w:rPr>
                <w:rFonts w:hint="eastAsia" w:ascii="宋体" w:hAnsi="宋体" w:eastAsia="宋体" w:cs="宋体"/>
                <w:color w:val="000000"/>
                <w:szCs w:val="21"/>
                <w:highlight w:val="none"/>
              </w:rPr>
            </w:pPr>
          </w:p>
        </w:tc>
      </w:tr>
      <w:tr w14:paraId="274F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center"/>
        </w:trPr>
        <w:tc>
          <w:tcPr>
            <w:tcW w:w="9452" w:type="dxa"/>
            <w:gridSpan w:val="7"/>
            <w:tcBorders>
              <w:top w:val="single" w:color="auto" w:sz="4" w:space="0"/>
              <w:left w:val="single" w:color="auto" w:sz="4" w:space="0"/>
              <w:bottom w:val="single" w:color="auto" w:sz="4" w:space="0"/>
              <w:right w:val="single" w:color="auto" w:sz="4" w:space="0"/>
            </w:tcBorders>
            <w:noWrap w:val="0"/>
            <w:vAlign w:val="center"/>
          </w:tcPr>
          <w:p w14:paraId="72103A16">
            <w:pPr>
              <w:spacing w:line="360" w:lineRule="auto"/>
              <w:contextualSpacing/>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合同履约期限：</w:t>
            </w:r>
          </w:p>
        </w:tc>
      </w:tr>
      <w:tr w14:paraId="2101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452" w:type="dxa"/>
            <w:gridSpan w:val="7"/>
            <w:tcBorders>
              <w:top w:val="single" w:color="auto" w:sz="4" w:space="0"/>
              <w:left w:val="single" w:color="auto" w:sz="4" w:space="0"/>
              <w:bottom w:val="single" w:color="auto" w:sz="4" w:space="0"/>
              <w:right w:val="single" w:color="auto" w:sz="4" w:space="0"/>
            </w:tcBorders>
            <w:noWrap w:val="0"/>
            <w:vAlign w:val="center"/>
          </w:tcPr>
          <w:p w14:paraId="00808456">
            <w:pPr>
              <w:spacing w:line="360" w:lineRule="auto"/>
              <w:contextualSpacing/>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合计金额大写：人民币</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tc>
      </w:tr>
    </w:tbl>
    <w:p w14:paraId="1D4F0CBE">
      <w:pPr>
        <w:spacing w:line="400" w:lineRule="exact"/>
        <w:contextualSpacing/>
        <w:jc w:val="left"/>
        <w:rPr>
          <w:rFonts w:ascii="宋体" w:hAnsi="宋体" w:cs="宋体"/>
          <w:sz w:val="22"/>
          <w:szCs w:val="22"/>
        </w:rPr>
      </w:pPr>
    </w:p>
    <w:p w14:paraId="6C6E07EF">
      <w:pPr>
        <w:spacing w:line="400" w:lineRule="exact"/>
        <w:contextualSpacing/>
        <w:jc w:val="left"/>
        <w:rPr>
          <w:rFonts w:ascii="宋体" w:hAnsi="宋体" w:cs="宋体"/>
          <w:sz w:val="22"/>
          <w:szCs w:val="22"/>
        </w:rPr>
      </w:pPr>
      <w:r>
        <w:rPr>
          <w:rFonts w:hint="eastAsia" w:ascii="宋体" w:hAnsi="宋体" w:cs="宋体"/>
          <w:sz w:val="22"/>
          <w:szCs w:val="22"/>
        </w:rPr>
        <w:t xml:space="preserve">注: </w:t>
      </w:r>
    </w:p>
    <w:p w14:paraId="52750D1A">
      <w:pPr>
        <w:spacing w:line="400" w:lineRule="exact"/>
        <w:ind w:firstLine="440" w:firstLineChars="200"/>
        <w:contextualSpacing/>
        <w:jc w:val="left"/>
        <w:rPr>
          <w:rFonts w:ascii="宋体" w:hAnsi="宋体" w:cs="宋体"/>
          <w:sz w:val="22"/>
          <w:szCs w:val="22"/>
        </w:rPr>
      </w:pPr>
      <w:r>
        <w:rPr>
          <w:rFonts w:hint="eastAsia" w:ascii="宋体" w:hAnsi="宋体" w:cs="宋体"/>
          <w:sz w:val="22"/>
          <w:szCs w:val="22"/>
        </w:rPr>
        <w:t>1.供应商的报价表必须加盖供应商电子签章并由法定代表人或者委托代理人签字</w:t>
      </w:r>
      <w:r>
        <w:rPr>
          <w:rFonts w:hint="eastAsia" w:ascii="宋体" w:hAnsi="宋体" w:cs="宋体"/>
          <w:sz w:val="22"/>
          <w:szCs w:val="22"/>
          <w:lang w:val="en-US" w:eastAsia="zh-CN"/>
        </w:rPr>
        <w:t>或盖章</w:t>
      </w:r>
      <w:r>
        <w:rPr>
          <w:rFonts w:hint="eastAsia" w:ascii="宋体" w:hAnsi="宋体" w:cs="宋体"/>
          <w:sz w:val="22"/>
          <w:szCs w:val="22"/>
        </w:rPr>
        <w:t>，</w:t>
      </w:r>
      <w:r>
        <w:rPr>
          <w:rFonts w:hint="eastAsia" w:ascii="宋体" w:hAnsi="宋体" w:cs="宋体"/>
          <w:b/>
          <w:sz w:val="22"/>
          <w:szCs w:val="22"/>
        </w:rPr>
        <w:t>否则其响应文件按无效响应处理</w:t>
      </w:r>
      <w:r>
        <w:rPr>
          <w:rFonts w:hint="eastAsia" w:ascii="宋体" w:hAnsi="宋体" w:cs="宋体"/>
          <w:sz w:val="22"/>
          <w:szCs w:val="22"/>
        </w:rPr>
        <w:t>。</w:t>
      </w:r>
    </w:p>
    <w:p w14:paraId="2769FBCD">
      <w:pPr>
        <w:spacing w:line="400" w:lineRule="exact"/>
        <w:ind w:firstLine="440" w:firstLineChars="200"/>
        <w:contextualSpacing/>
        <w:jc w:val="left"/>
        <w:rPr>
          <w:rFonts w:ascii="宋体" w:hAnsi="宋体" w:cs="宋体"/>
          <w:b/>
          <w:sz w:val="22"/>
          <w:szCs w:val="22"/>
        </w:rPr>
      </w:pPr>
      <w:r>
        <w:rPr>
          <w:rFonts w:hint="eastAsia" w:ascii="宋体" w:hAnsi="宋体" w:cs="宋体"/>
          <w:bCs/>
          <w:sz w:val="22"/>
          <w:szCs w:val="22"/>
        </w:rPr>
        <w:t>2.</w:t>
      </w:r>
      <w:r>
        <w:rPr>
          <w:rFonts w:hint="eastAsia" w:ascii="宋体" w:hAnsi="宋体" w:cs="宋体"/>
          <w:sz w:val="22"/>
          <w:szCs w:val="22"/>
        </w:rPr>
        <w:t>报价一经涂改，应在涂改处加盖供应商电子签章或者由法定代表人或者委托代理人签字或者盖章</w:t>
      </w:r>
      <w:r>
        <w:rPr>
          <w:rFonts w:hint="eastAsia" w:ascii="宋体" w:hAnsi="宋体" w:cs="宋体"/>
          <w:b/>
          <w:sz w:val="22"/>
          <w:szCs w:val="22"/>
        </w:rPr>
        <w:t>，否则其响应文件按无效响应处理。</w:t>
      </w:r>
    </w:p>
    <w:p w14:paraId="315CD237">
      <w:pPr>
        <w:spacing w:line="400" w:lineRule="exact"/>
        <w:ind w:firstLine="440" w:firstLineChars="200"/>
        <w:contextualSpacing/>
        <w:rPr>
          <w:rFonts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w:t>
      </w:r>
      <w:r>
        <w:rPr>
          <w:rFonts w:hint="eastAsia" w:ascii="宋体" w:hAnsi="宋体" w:cs="宋体"/>
          <w:spacing w:val="-6"/>
          <w:sz w:val="22"/>
          <w:szCs w:val="22"/>
        </w:rPr>
        <w:t>如有多分标，分别列明各分标的报价表，</w:t>
      </w:r>
      <w:r>
        <w:rPr>
          <w:rFonts w:hint="eastAsia" w:ascii="宋体" w:hAnsi="宋体" w:cs="宋体"/>
          <w:b/>
          <w:spacing w:val="-6"/>
          <w:sz w:val="22"/>
          <w:szCs w:val="22"/>
        </w:rPr>
        <w:t>否则其响应文件按无效响应处理。</w:t>
      </w:r>
    </w:p>
    <w:p w14:paraId="38CA47E7">
      <w:pPr>
        <w:spacing w:line="400" w:lineRule="exact"/>
        <w:contextualSpacing/>
        <w:rPr>
          <w:rFonts w:ascii="宋体" w:hAnsi="宋体" w:cs="宋体"/>
          <w:sz w:val="22"/>
          <w:szCs w:val="22"/>
        </w:rPr>
      </w:pPr>
    </w:p>
    <w:p w14:paraId="59E0E557">
      <w:pPr>
        <w:pStyle w:val="7"/>
        <w:spacing w:before="0" w:after="0" w:line="400" w:lineRule="exact"/>
      </w:pPr>
    </w:p>
    <w:p w14:paraId="198B7061">
      <w:pPr>
        <w:spacing w:line="400" w:lineRule="exact"/>
        <w:contextualSpacing/>
        <w:jc w:val="center"/>
        <w:rPr>
          <w:sz w:val="22"/>
          <w:szCs w:val="22"/>
        </w:rPr>
      </w:pPr>
      <w:r>
        <w:rPr>
          <w:rFonts w:hint="eastAsia"/>
          <w:sz w:val="22"/>
          <w:szCs w:val="22"/>
        </w:rPr>
        <w:t>法定代表人或者委托代理人</w:t>
      </w:r>
      <w:r>
        <w:rPr>
          <w:rFonts w:hint="eastAsia"/>
          <w:sz w:val="22"/>
          <w:szCs w:val="22"/>
          <w:lang w:eastAsia="zh-CN"/>
        </w:rPr>
        <w:t>（签字或者电子签章）</w:t>
      </w:r>
      <w:r>
        <w:rPr>
          <w:rFonts w:hint="eastAsia"/>
          <w:sz w:val="22"/>
          <w:szCs w:val="22"/>
        </w:rPr>
        <w:t>：</w:t>
      </w:r>
      <w:r>
        <w:rPr>
          <w:rFonts w:hint="eastAsia"/>
          <w:sz w:val="22"/>
          <w:szCs w:val="22"/>
          <w:u w:val="single"/>
        </w:rPr>
        <w:t xml:space="preserve">                 </w:t>
      </w:r>
    </w:p>
    <w:p w14:paraId="33FA056A">
      <w:pPr>
        <w:spacing w:line="400" w:lineRule="exact"/>
        <w:ind w:firstLine="3960" w:firstLineChars="1800"/>
        <w:contextualSpacing/>
        <w:rPr>
          <w:rFonts w:ascii="宋体" w:hAnsi="宋体" w:cs="宋体"/>
          <w:sz w:val="22"/>
          <w:szCs w:val="22"/>
          <w:u w:val="single"/>
        </w:rPr>
      </w:pPr>
    </w:p>
    <w:p w14:paraId="4871FBBF">
      <w:pPr>
        <w:spacing w:line="400" w:lineRule="exact"/>
        <w:ind w:firstLine="4840" w:firstLineChars="2200"/>
        <w:contextualSpacing/>
        <w:rPr>
          <w:sz w:val="22"/>
          <w:szCs w:val="22"/>
        </w:rPr>
      </w:pPr>
      <w:r>
        <w:rPr>
          <w:rFonts w:hint="eastAsia"/>
          <w:sz w:val="22"/>
          <w:szCs w:val="22"/>
        </w:rPr>
        <w:t>供应商（盖公章）：</w:t>
      </w:r>
      <w:r>
        <w:rPr>
          <w:rFonts w:hint="eastAsia"/>
          <w:sz w:val="22"/>
          <w:szCs w:val="22"/>
          <w:u w:val="single"/>
        </w:rPr>
        <w:t xml:space="preserve">                     </w:t>
      </w:r>
    </w:p>
    <w:p w14:paraId="6EAF544A">
      <w:pPr>
        <w:spacing w:line="400" w:lineRule="exact"/>
        <w:ind w:firstLine="3960" w:firstLineChars="1800"/>
        <w:contextualSpacing/>
        <w:rPr>
          <w:rFonts w:ascii="宋体" w:hAnsi="宋体" w:cs="宋体"/>
          <w:sz w:val="22"/>
          <w:szCs w:val="22"/>
          <w:u w:val="single"/>
        </w:rPr>
      </w:pPr>
    </w:p>
    <w:p w14:paraId="1F26B1FE">
      <w:pPr>
        <w:spacing w:line="400" w:lineRule="exact"/>
        <w:jc w:val="left"/>
        <w:rPr>
          <w:rFonts w:ascii="宋体" w:hAnsi="宋体"/>
          <w:b/>
          <w:bCs/>
          <w:sz w:val="28"/>
          <w:szCs w:val="28"/>
        </w:rPr>
      </w:pPr>
      <w:r>
        <w:rPr>
          <w:rFonts w:hint="eastAsia" w:ascii="宋体" w:hAnsi="宋体" w:cs="宋体"/>
          <w:sz w:val="22"/>
          <w:szCs w:val="22"/>
        </w:rPr>
        <w:t xml:space="preserve">                                            日  期：    </w:t>
      </w:r>
      <w:r>
        <w:rPr>
          <w:rFonts w:hint="eastAsia"/>
          <w:sz w:val="22"/>
          <w:szCs w:val="22"/>
        </w:rPr>
        <w:t>年   月   日</w:t>
      </w:r>
    </w:p>
    <w:p w14:paraId="498DCA6E">
      <w:pPr>
        <w:pStyle w:val="7"/>
        <w:spacing w:before="0" w:after="0" w:line="400" w:lineRule="exact"/>
        <w:jc w:val="left"/>
        <w:rPr>
          <w:rFonts w:ascii="宋体" w:hAnsi="宋体"/>
          <w:bCs/>
          <w:sz w:val="28"/>
          <w:szCs w:val="28"/>
        </w:rPr>
      </w:pPr>
    </w:p>
    <w:p w14:paraId="7A4BE53D">
      <w:pPr>
        <w:snapToGrid w:val="0"/>
        <w:spacing w:line="400" w:lineRule="exact"/>
        <w:ind w:firstLine="221" w:firstLineChars="100"/>
        <w:jc w:val="center"/>
        <w:rPr>
          <w:rFonts w:ascii="宋体" w:hAnsi="宋体"/>
          <w:b/>
          <w:bCs/>
          <w:sz w:val="22"/>
          <w:szCs w:val="22"/>
        </w:rPr>
      </w:pPr>
      <w:r>
        <w:rPr>
          <w:rFonts w:ascii="宋体" w:hAnsi="宋体"/>
          <w:b/>
          <w:bCs/>
          <w:sz w:val="22"/>
          <w:szCs w:val="22"/>
        </w:rPr>
        <w:br w:type="page"/>
      </w:r>
    </w:p>
    <w:p w14:paraId="07FAC7C4">
      <w:pPr>
        <w:snapToGrid w:val="0"/>
        <w:spacing w:line="460" w:lineRule="exact"/>
        <w:rPr>
          <w:rFonts w:ascii="宋体" w:hAnsi="宋体"/>
          <w:b/>
          <w:sz w:val="32"/>
          <w:szCs w:val="32"/>
        </w:rPr>
      </w:pPr>
      <w:r>
        <w:rPr>
          <w:rFonts w:hint="eastAsia" w:ascii="宋体" w:hAnsi="宋体"/>
          <w:b/>
          <w:bCs/>
          <w:sz w:val="32"/>
          <w:szCs w:val="32"/>
        </w:rPr>
        <w:t>三、</w:t>
      </w:r>
      <w:r>
        <w:rPr>
          <w:rFonts w:hint="eastAsia" w:ascii="宋体" w:hAnsi="宋体"/>
          <w:b/>
          <w:sz w:val="32"/>
          <w:szCs w:val="32"/>
        </w:rPr>
        <w:t>商务技术文件格式</w:t>
      </w:r>
    </w:p>
    <w:p w14:paraId="1CC19888">
      <w:pPr>
        <w:snapToGrid w:val="0"/>
        <w:spacing w:line="460" w:lineRule="exact"/>
        <w:jc w:val="left"/>
        <w:rPr>
          <w:rFonts w:ascii="宋体" w:hAnsi="宋体"/>
          <w:b/>
          <w:sz w:val="32"/>
          <w:szCs w:val="32"/>
        </w:rPr>
      </w:pPr>
      <w:r>
        <w:rPr>
          <w:rFonts w:hint="eastAsia" w:ascii="宋体" w:hAnsi="宋体"/>
          <w:b/>
          <w:sz w:val="32"/>
          <w:szCs w:val="32"/>
        </w:rPr>
        <w:t>1.商务技术文件封面格式</w:t>
      </w:r>
    </w:p>
    <w:p w14:paraId="466E30F6">
      <w:pPr>
        <w:snapToGrid w:val="0"/>
        <w:spacing w:before="156" w:beforeLines="50" w:after="50"/>
        <w:rPr>
          <w:rFonts w:ascii="宋体" w:hAnsi="宋体"/>
          <w:bCs/>
          <w:sz w:val="32"/>
          <w:szCs w:val="20"/>
        </w:rPr>
      </w:pPr>
      <w:r>
        <w:rPr>
          <w:rFonts w:hint="eastAsia" w:ascii="宋体" w:hAnsi="宋体"/>
          <w:sz w:val="24"/>
        </w:rPr>
        <w:t xml:space="preserve">                                                   </w:t>
      </w:r>
    </w:p>
    <w:p w14:paraId="305AD832">
      <w:pPr>
        <w:snapToGrid w:val="0"/>
        <w:spacing w:before="156" w:beforeLines="50" w:after="50"/>
        <w:rPr>
          <w:rFonts w:ascii="宋体" w:hAnsi="宋体"/>
          <w:sz w:val="24"/>
          <w:szCs w:val="20"/>
        </w:rPr>
      </w:pPr>
    </w:p>
    <w:p w14:paraId="702BA396">
      <w:pPr>
        <w:snapToGrid w:val="0"/>
        <w:spacing w:before="156" w:beforeLines="50" w:after="50"/>
        <w:rPr>
          <w:rFonts w:ascii="宋体" w:hAnsi="宋体"/>
          <w:sz w:val="24"/>
          <w:szCs w:val="20"/>
        </w:rPr>
      </w:pPr>
    </w:p>
    <w:p w14:paraId="355CCB2B">
      <w:pPr>
        <w:snapToGrid w:val="0"/>
        <w:spacing w:before="156" w:beforeLines="50" w:after="50"/>
        <w:rPr>
          <w:rFonts w:ascii="宋体" w:hAnsi="宋体"/>
          <w:sz w:val="24"/>
          <w:szCs w:val="20"/>
        </w:rPr>
      </w:pPr>
    </w:p>
    <w:p w14:paraId="3F64FD91">
      <w:pPr>
        <w:snapToGrid w:val="0"/>
        <w:spacing w:before="156"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w:t>
      </w:r>
    </w:p>
    <w:p w14:paraId="259E6D4C">
      <w:pPr>
        <w:snapToGrid w:val="0"/>
        <w:spacing w:before="156" w:beforeLines="50" w:after="50"/>
        <w:rPr>
          <w:rFonts w:ascii="宋体" w:hAnsi="宋体"/>
          <w:bCs/>
          <w:sz w:val="24"/>
          <w:szCs w:val="20"/>
        </w:rPr>
      </w:pPr>
    </w:p>
    <w:p w14:paraId="331E4CB1">
      <w:pPr>
        <w:snapToGrid w:val="0"/>
        <w:spacing w:before="156" w:beforeLines="50" w:after="50"/>
        <w:rPr>
          <w:rFonts w:ascii="宋体" w:hAnsi="宋体"/>
          <w:bCs/>
          <w:sz w:val="24"/>
          <w:szCs w:val="20"/>
        </w:rPr>
      </w:pPr>
    </w:p>
    <w:p w14:paraId="46680E88">
      <w:pPr>
        <w:snapToGrid w:val="0"/>
        <w:spacing w:before="156" w:beforeLines="50" w:after="50"/>
        <w:rPr>
          <w:rFonts w:ascii="宋体" w:hAnsi="宋体"/>
          <w:bCs/>
          <w:sz w:val="24"/>
          <w:szCs w:val="20"/>
        </w:rPr>
      </w:pPr>
    </w:p>
    <w:p w14:paraId="37FEF5AD">
      <w:pPr>
        <w:snapToGrid w:val="0"/>
        <w:spacing w:before="156" w:beforeLines="50" w:after="50"/>
        <w:rPr>
          <w:rFonts w:ascii="宋体" w:hAnsi="宋体"/>
          <w:bCs/>
          <w:sz w:val="24"/>
          <w:szCs w:val="20"/>
        </w:rPr>
      </w:pPr>
    </w:p>
    <w:p w14:paraId="2C65747E">
      <w:pPr>
        <w:snapToGrid w:val="0"/>
        <w:spacing w:before="156" w:beforeLines="50" w:after="50"/>
        <w:rPr>
          <w:rFonts w:ascii="宋体" w:hAnsi="宋体"/>
          <w:bCs/>
          <w:sz w:val="24"/>
          <w:szCs w:val="20"/>
        </w:rPr>
      </w:pPr>
    </w:p>
    <w:p w14:paraId="1639F851">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38D05854">
      <w:pPr>
        <w:snapToGrid w:val="0"/>
        <w:spacing w:before="156" w:beforeLines="50" w:after="50"/>
        <w:ind w:firstLine="720" w:firstLineChars="225"/>
        <w:rPr>
          <w:rFonts w:ascii="宋体" w:hAnsi="宋体" w:cs="仿宋_GB2312"/>
          <w:bCs/>
          <w:sz w:val="32"/>
          <w:szCs w:val="32"/>
        </w:rPr>
      </w:pPr>
    </w:p>
    <w:p w14:paraId="05FC4A51">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14:paraId="22D721D8">
      <w:pPr>
        <w:snapToGrid w:val="0"/>
        <w:spacing w:before="156"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14:paraId="1D7156C8">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58D0A7C3">
      <w:pPr>
        <w:snapToGrid w:val="0"/>
        <w:spacing w:before="156" w:beforeLines="50" w:after="50"/>
        <w:ind w:firstLine="720" w:firstLineChars="225"/>
        <w:rPr>
          <w:rFonts w:ascii="宋体" w:hAnsi="宋体" w:cs="仿宋_GB2312"/>
          <w:bCs/>
          <w:sz w:val="32"/>
          <w:szCs w:val="32"/>
        </w:rPr>
      </w:pPr>
    </w:p>
    <w:p w14:paraId="4776B698">
      <w:pPr>
        <w:pStyle w:val="8"/>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54F9F035">
      <w:pPr>
        <w:pStyle w:val="8"/>
        <w:snapToGrid w:val="0"/>
        <w:spacing w:before="50" w:after="50"/>
        <w:ind w:firstLine="720" w:firstLineChars="225"/>
        <w:rPr>
          <w:rFonts w:ascii="宋体" w:hAnsi="宋体" w:cs="仿宋_GB2312"/>
          <w:bCs/>
          <w:sz w:val="32"/>
          <w:szCs w:val="32"/>
        </w:rPr>
      </w:pPr>
    </w:p>
    <w:p w14:paraId="09F02BE2">
      <w:pPr>
        <w:pStyle w:val="8"/>
        <w:snapToGrid w:val="0"/>
        <w:spacing w:before="50" w:after="50"/>
        <w:ind w:firstLine="720" w:firstLineChars="225"/>
        <w:rPr>
          <w:rFonts w:ascii="宋体" w:hAnsi="宋体" w:cs="仿宋_GB2312"/>
          <w:bCs/>
          <w:sz w:val="32"/>
          <w:szCs w:val="32"/>
        </w:rPr>
      </w:pPr>
    </w:p>
    <w:p w14:paraId="5559BB92">
      <w:pPr>
        <w:pStyle w:val="8"/>
        <w:snapToGrid w:val="0"/>
        <w:spacing w:before="50" w:after="50"/>
        <w:ind w:firstLine="1280" w:firstLineChars="400"/>
        <w:rPr>
          <w:rFonts w:ascii="宋体" w:hAnsi="宋体" w:cs="仿宋_GB2312"/>
          <w:bCs/>
          <w:sz w:val="32"/>
          <w:szCs w:val="32"/>
        </w:rPr>
      </w:pPr>
    </w:p>
    <w:p w14:paraId="441F2592">
      <w:pPr>
        <w:snapToGrid w:val="0"/>
        <w:spacing w:before="156" w:beforeLines="50" w:after="50"/>
        <w:jc w:val="center"/>
        <w:rPr>
          <w:rFonts w:ascii="宋体" w:hAnsi="宋体" w:cs="仿宋_GB2312"/>
          <w:sz w:val="32"/>
          <w:szCs w:val="32"/>
        </w:rPr>
      </w:pPr>
      <w:r>
        <w:rPr>
          <w:rFonts w:hint="eastAsia" w:ascii="宋体" w:hAnsi="宋体" w:cs="仿宋_GB2312"/>
          <w:sz w:val="32"/>
          <w:szCs w:val="32"/>
        </w:rPr>
        <w:t>日  期：    年   月   日</w:t>
      </w:r>
    </w:p>
    <w:p w14:paraId="0F939A5E">
      <w:pPr>
        <w:snapToGrid w:val="0"/>
        <w:spacing w:before="156" w:beforeLines="50" w:after="50" w:line="360" w:lineRule="auto"/>
        <w:ind w:left="142"/>
        <w:jc w:val="left"/>
        <w:rPr>
          <w:rFonts w:ascii="宋体" w:hAnsi="宋体"/>
          <w:b/>
          <w:bCs/>
          <w:sz w:val="24"/>
        </w:rPr>
      </w:pPr>
      <w:r>
        <w:rPr>
          <w:rFonts w:ascii="宋体" w:hAnsi="宋体"/>
          <w:sz w:val="24"/>
        </w:rPr>
        <w:br w:type="page"/>
      </w:r>
      <w:r>
        <w:rPr>
          <w:rFonts w:hint="eastAsia" w:ascii="宋体" w:hAnsi="宋体"/>
          <w:b/>
          <w:bCs/>
          <w:sz w:val="32"/>
          <w:szCs w:val="32"/>
        </w:rPr>
        <w:t>2.商务技术文件目录</w:t>
      </w:r>
    </w:p>
    <w:p w14:paraId="6DDF2870">
      <w:pPr>
        <w:snapToGrid w:val="0"/>
        <w:spacing w:before="156" w:beforeLines="50" w:after="50" w:line="360" w:lineRule="auto"/>
        <w:ind w:firstLine="640" w:firstLineChars="200"/>
        <w:rPr>
          <w:rFonts w:ascii="宋体" w:hAnsi="宋体"/>
          <w:sz w:val="32"/>
          <w:szCs w:val="32"/>
        </w:rPr>
      </w:pPr>
      <w:r>
        <w:rPr>
          <w:rFonts w:hint="eastAsia" w:ascii="宋体" w:hAnsi="宋体"/>
          <w:sz w:val="32"/>
          <w:szCs w:val="32"/>
        </w:rPr>
        <w:t>根据磋商文件规定及供应商提供的材料自行编写目录（部分格式后附）。</w:t>
      </w:r>
    </w:p>
    <w:p w14:paraId="24FC9CB4">
      <w:pPr>
        <w:spacing w:line="400" w:lineRule="exact"/>
        <w:rPr>
          <w:rFonts w:ascii="仿宋_GB2312" w:hAnsi="仿宋_GB2312" w:eastAsia="仿宋_GB2312" w:cs="仿宋_GB2312"/>
          <w:sz w:val="32"/>
          <w:szCs w:val="32"/>
        </w:rPr>
      </w:pPr>
    </w:p>
    <w:p w14:paraId="43F3753F">
      <w:pPr>
        <w:spacing w:line="4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br w:type="page"/>
      </w:r>
      <w:r>
        <w:rPr>
          <w:rFonts w:hint="eastAsia" w:ascii="宋体" w:hAnsi="宋体" w:cs="宋体"/>
          <w:sz w:val="32"/>
          <w:szCs w:val="32"/>
        </w:rPr>
        <w:t>无串通竞标行为的承诺函</w:t>
      </w:r>
    </w:p>
    <w:p w14:paraId="4DEC04FA">
      <w:pPr>
        <w:spacing w:line="400" w:lineRule="exact"/>
        <w:ind w:firstLine="440" w:firstLineChars="200"/>
        <w:contextualSpacing/>
        <w:rPr>
          <w:rFonts w:ascii="仿宋_GB2312" w:hAnsi="仿宋_GB2312" w:eastAsia="仿宋_GB2312" w:cs="仿宋_GB2312"/>
          <w:sz w:val="22"/>
          <w:szCs w:val="22"/>
        </w:rPr>
      </w:pPr>
    </w:p>
    <w:p w14:paraId="249C9D61">
      <w:pPr>
        <w:spacing w:line="400" w:lineRule="exact"/>
        <w:ind w:firstLine="442" w:firstLineChars="200"/>
        <w:contextualSpacing/>
        <w:rPr>
          <w:rFonts w:ascii="宋体" w:hAnsi="宋体" w:cs="仿宋_GB2312"/>
          <w:b/>
          <w:bCs/>
          <w:sz w:val="22"/>
          <w:szCs w:val="22"/>
        </w:rPr>
      </w:pPr>
      <w:r>
        <w:rPr>
          <w:rFonts w:hint="eastAsia" w:ascii="宋体" w:hAnsi="宋体" w:cs="仿宋_GB2312"/>
          <w:b/>
          <w:bCs/>
          <w:sz w:val="22"/>
          <w:szCs w:val="22"/>
        </w:rPr>
        <w:t>一、我方承诺无下列相互串通竞标的情形：</w:t>
      </w:r>
    </w:p>
    <w:p w14:paraId="6E8889B4">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 xml:space="preserve">1.不同供应商的响应文件由同一单位或者个人编制； </w:t>
      </w:r>
    </w:p>
    <w:p w14:paraId="5BC26838">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2.不同供应商委托同一单位或者个人办理竞标事宜；</w:t>
      </w:r>
    </w:p>
    <w:p w14:paraId="08F27AEB">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3.不同供应商的响应文件载明的项目管理员为同一个人；</w:t>
      </w:r>
    </w:p>
    <w:p w14:paraId="62A4978A">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4.不</w:t>
      </w:r>
      <w:r>
        <w:rPr>
          <w:rFonts w:hint="eastAsia" w:ascii="宋体" w:hAnsi="宋体" w:cs="仿宋_GB2312"/>
          <w:spacing w:val="-6"/>
          <w:sz w:val="22"/>
          <w:szCs w:val="22"/>
        </w:rPr>
        <w:t>同供应商的响应文件异常一致或者竞标报价呈规律性差异；</w:t>
      </w:r>
    </w:p>
    <w:p w14:paraId="1053AD0F">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5.不同供应商的响应文件相互混装；</w:t>
      </w:r>
    </w:p>
    <w:p w14:paraId="7B2ACF8D">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6.不同供应商的磋商保证金从同一单位或者个人账户转出。</w:t>
      </w:r>
    </w:p>
    <w:p w14:paraId="0E092844">
      <w:pPr>
        <w:spacing w:line="400" w:lineRule="exact"/>
        <w:ind w:firstLine="442" w:firstLineChars="200"/>
        <w:contextualSpacing/>
        <w:rPr>
          <w:rFonts w:ascii="宋体" w:hAnsi="宋体" w:cs="仿宋_GB2312"/>
          <w:b/>
          <w:bCs/>
          <w:sz w:val="22"/>
          <w:szCs w:val="22"/>
        </w:rPr>
      </w:pPr>
      <w:r>
        <w:rPr>
          <w:rFonts w:hint="eastAsia" w:ascii="宋体" w:hAnsi="宋体" w:cs="仿宋_GB2312"/>
          <w:b/>
          <w:bCs/>
          <w:sz w:val="22"/>
          <w:szCs w:val="22"/>
        </w:rPr>
        <w:t>二、我方承诺无下列恶意串通的情形：</w:t>
      </w:r>
    </w:p>
    <w:p w14:paraId="6B198ECD">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1.供应商直接或者间接从采购人或者采购代理机构处获得其他供应商的相关信息并修改其响应文件；</w:t>
      </w:r>
    </w:p>
    <w:p w14:paraId="58593EF5">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2.供应商按照采购人或者采购代理机构的授意撤换、修改响应文件；</w:t>
      </w:r>
    </w:p>
    <w:p w14:paraId="4F3BB28B">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3.供</w:t>
      </w:r>
      <w:r>
        <w:rPr>
          <w:rFonts w:hint="eastAsia" w:ascii="宋体" w:hAnsi="宋体" w:cs="仿宋_GB2312"/>
          <w:spacing w:val="-6"/>
          <w:sz w:val="22"/>
          <w:szCs w:val="22"/>
        </w:rPr>
        <w:t>应商之间协商报价、技术方案等响应文件的实质性内容；</w:t>
      </w:r>
    </w:p>
    <w:p w14:paraId="7782BBF5">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4.属于同一集团、协会、商会等组织成员的供应商按照该组织要求协同参加政府采购活动；</w:t>
      </w:r>
    </w:p>
    <w:p w14:paraId="25BA61CE">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5.供应商之间事先约定一致抬高或者压低竞标报价，或者在竞争性磋商项目中事先约定轮流以高价位或者低价位成交，或者事先约定由某一特定供应商成交，然后再参加竞标；</w:t>
      </w:r>
    </w:p>
    <w:p w14:paraId="62C2737F">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6.供应商之间商定部分供应商放弃参加政府采购活动或者放弃成交；</w:t>
      </w:r>
    </w:p>
    <w:p w14:paraId="544C1817">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7.供应商与采购人或者采购代理机构之间、供应商相互之间，为</w:t>
      </w:r>
      <w:r>
        <w:rPr>
          <w:rFonts w:hint="eastAsia" w:ascii="宋体" w:hAnsi="宋体" w:cs="仿宋_GB2312"/>
          <w:spacing w:val="-6"/>
          <w:sz w:val="22"/>
          <w:szCs w:val="22"/>
        </w:rPr>
        <w:t>谋求特定供应商成交或者排斥其他供应商的其他串通行为。</w:t>
      </w:r>
    </w:p>
    <w:p w14:paraId="0AF51A45">
      <w:pPr>
        <w:spacing w:line="400" w:lineRule="exact"/>
        <w:ind w:firstLine="440" w:firstLineChars="200"/>
        <w:contextualSpacing/>
        <w:rPr>
          <w:rFonts w:ascii="宋体" w:hAnsi="宋体" w:cs="仿宋_GB2312"/>
          <w:sz w:val="22"/>
          <w:szCs w:val="22"/>
        </w:rPr>
      </w:pPr>
    </w:p>
    <w:p w14:paraId="1A5A0133">
      <w:pPr>
        <w:spacing w:line="400" w:lineRule="exact"/>
        <w:ind w:firstLine="442" w:firstLineChars="200"/>
        <w:contextualSpacing/>
        <w:rPr>
          <w:rFonts w:ascii="宋体" w:hAnsi="宋体" w:cs="仿宋_GB2312"/>
          <w:b/>
          <w:bCs/>
          <w:sz w:val="22"/>
          <w:szCs w:val="22"/>
        </w:rPr>
      </w:pPr>
      <w:r>
        <w:rPr>
          <w:rFonts w:hint="eastAsia" w:ascii="宋体" w:hAnsi="宋体" w:cs="仿宋_GB2312"/>
          <w:b/>
          <w:bCs/>
          <w:sz w:val="22"/>
          <w:szCs w:val="22"/>
        </w:rPr>
        <w:t>以上情形一经核查属实，我方愿意承担一切后果，并不再寻求任何旨在减轻或者免除法律责任的辩解。</w:t>
      </w:r>
    </w:p>
    <w:p w14:paraId="44A4B2CE">
      <w:pPr>
        <w:spacing w:line="400" w:lineRule="exact"/>
        <w:contextualSpacing/>
        <w:rPr>
          <w:rFonts w:ascii="宋体" w:hAnsi="宋体" w:cs="仿宋_GB2312"/>
          <w:sz w:val="22"/>
          <w:szCs w:val="22"/>
        </w:rPr>
      </w:pPr>
    </w:p>
    <w:p w14:paraId="60CBAB82">
      <w:pPr>
        <w:pStyle w:val="7"/>
        <w:spacing w:before="0" w:after="0" w:line="400" w:lineRule="exact"/>
        <w:rPr>
          <w:sz w:val="22"/>
          <w:szCs w:val="22"/>
        </w:rPr>
      </w:pPr>
    </w:p>
    <w:p w14:paraId="13FA6F08">
      <w:pPr>
        <w:spacing w:line="400" w:lineRule="exact"/>
        <w:contextualSpacing/>
        <w:jc w:val="center"/>
        <w:rPr>
          <w:sz w:val="22"/>
          <w:szCs w:val="22"/>
        </w:rPr>
      </w:pPr>
      <w:r>
        <w:rPr>
          <w:rFonts w:hint="eastAsia"/>
          <w:sz w:val="22"/>
          <w:szCs w:val="22"/>
        </w:rPr>
        <w:t>法定代表人或者委托代理人</w:t>
      </w:r>
      <w:r>
        <w:rPr>
          <w:rFonts w:hint="eastAsia"/>
          <w:sz w:val="22"/>
          <w:szCs w:val="22"/>
          <w:lang w:eastAsia="zh-CN"/>
        </w:rPr>
        <w:t>（签字或者电子签章）</w:t>
      </w:r>
      <w:r>
        <w:rPr>
          <w:rFonts w:hint="eastAsia"/>
          <w:sz w:val="22"/>
          <w:szCs w:val="22"/>
        </w:rPr>
        <w:t>：</w:t>
      </w:r>
      <w:r>
        <w:rPr>
          <w:rFonts w:hint="eastAsia"/>
          <w:sz w:val="22"/>
          <w:szCs w:val="22"/>
          <w:u w:val="single"/>
        </w:rPr>
        <w:t xml:space="preserve">                 </w:t>
      </w:r>
    </w:p>
    <w:p w14:paraId="2BEAD92D">
      <w:pPr>
        <w:spacing w:line="400" w:lineRule="exact"/>
        <w:ind w:firstLine="3960" w:firstLineChars="1800"/>
        <w:contextualSpacing/>
        <w:rPr>
          <w:rFonts w:ascii="宋体" w:hAnsi="宋体" w:cs="宋体"/>
          <w:sz w:val="22"/>
          <w:szCs w:val="22"/>
          <w:u w:val="single"/>
        </w:rPr>
      </w:pPr>
    </w:p>
    <w:p w14:paraId="0AB249BF">
      <w:pPr>
        <w:spacing w:line="400" w:lineRule="exact"/>
        <w:ind w:firstLine="3960" w:firstLineChars="1800"/>
        <w:contextualSpacing/>
        <w:rPr>
          <w:rFonts w:ascii="宋体" w:hAnsi="宋体" w:cs="宋体"/>
          <w:sz w:val="22"/>
          <w:szCs w:val="22"/>
          <w:u w:val="single"/>
        </w:rPr>
      </w:pPr>
      <w:r>
        <w:rPr>
          <w:rFonts w:hint="eastAsia"/>
          <w:sz w:val="22"/>
          <w:szCs w:val="22"/>
        </w:rPr>
        <w:t>供应商（盖公章）：</w:t>
      </w:r>
      <w:r>
        <w:rPr>
          <w:rFonts w:hint="eastAsia"/>
          <w:sz w:val="22"/>
          <w:szCs w:val="22"/>
          <w:u w:val="single"/>
        </w:rPr>
        <w:t xml:space="preserve">                     </w:t>
      </w:r>
    </w:p>
    <w:p w14:paraId="47FC8F25">
      <w:pPr>
        <w:spacing w:line="400" w:lineRule="exact"/>
        <w:ind w:firstLine="440" w:firstLineChars="200"/>
        <w:contextualSpacing/>
        <w:jc w:val="center"/>
        <w:rPr>
          <w:rFonts w:ascii="仿宋_GB2312" w:hAnsi="仿宋_GB2312" w:eastAsia="仿宋_GB2312" w:cs="仿宋_GB2312"/>
          <w:sz w:val="32"/>
          <w:szCs w:val="32"/>
        </w:rPr>
      </w:pPr>
      <w:r>
        <w:rPr>
          <w:rFonts w:hint="eastAsia" w:ascii="宋体" w:hAnsi="宋体" w:cs="宋体"/>
          <w:sz w:val="22"/>
          <w:szCs w:val="22"/>
        </w:rPr>
        <w:t xml:space="preserve">                         日  期：    </w:t>
      </w:r>
      <w:r>
        <w:rPr>
          <w:rFonts w:hint="eastAsia"/>
          <w:sz w:val="22"/>
          <w:szCs w:val="22"/>
        </w:rPr>
        <w:t>年   月   日</w:t>
      </w:r>
    </w:p>
    <w:p w14:paraId="0A42A4C4">
      <w:pPr>
        <w:spacing w:line="360" w:lineRule="auto"/>
        <w:ind w:right="-817" w:rightChars="-389"/>
        <w:contextualSpacing/>
        <w:rPr>
          <w:rFonts w:ascii="宋体" w:hAnsi="宋体" w:cs="仿宋_GB2312"/>
          <w:b/>
          <w:sz w:val="24"/>
        </w:rPr>
      </w:pPr>
    </w:p>
    <w:p w14:paraId="615AC900">
      <w:pPr>
        <w:spacing w:line="400" w:lineRule="exact"/>
        <w:jc w:val="center"/>
        <w:rPr>
          <w:rFonts w:ascii="仿宋_GB2312" w:hAnsi="仿宋_GB2312" w:eastAsia="仿宋_GB2312" w:cs="仿宋_GB2312"/>
          <w:sz w:val="32"/>
          <w:szCs w:val="32"/>
        </w:rPr>
      </w:pPr>
      <w:r>
        <w:rPr>
          <w:rFonts w:hint="eastAsia" w:ascii="宋体" w:hAnsi="Courier New"/>
          <w:b/>
          <w:sz w:val="32"/>
          <w:szCs w:val="32"/>
        </w:rPr>
        <w:br w:type="page"/>
      </w:r>
      <w:r>
        <w:rPr>
          <w:rFonts w:hint="eastAsia" w:ascii="宋体" w:hAnsi="宋体" w:cs="宋体"/>
          <w:bCs/>
          <w:sz w:val="32"/>
          <w:szCs w:val="32"/>
        </w:rPr>
        <w:t>法定代表人证明书</w:t>
      </w:r>
    </w:p>
    <w:p w14:paraId="3D013398">
      <w:pPr>
        <w:spacing w:line="400" w:lineRule="exact"/>
        <w:contextualSpacing/>
        <w:rPr>
          <w:rFonts w:ascii="仿宋_GB2312" w:hAnsi="仿宋_GB2312" w:eastAsia="仿宋_GB2312" w:cs="仿宋_GB2312"/>
          <w:sz w:val="22"/>
          <w:szCs w:val="22"/>
        </w:rPr>
      </w:pPr>
    </w:p>
    <w:p w14:paraId="702936CF">
      <w:pPr>
        <w:spacing w:line="400" w:lineRule="exact"/>
        <w:contextualSpacing/>
        <w:rPr>
          <w:rFonts w:ascii="宋体" w:hAnsi="宋体" w:cs="仿宋_GB2312"/>
          <w:sz w:val="22"/>
          <w:szCs w:val="22"/>
        </w:rPr>
      </w:pPr>
      <w:r>
        <w:rPr>
          <w:rFonts w:hint="eastAsia" w:ascii="宋体" w:hAnsi="宋体" w:cs="仿宋_GB2312"/>
          <w:sz w:val="22"/>
          <w:szCs w:val="22"/>
        </w:rPr>
        <w:t>供应商名称：</w:t>
      </w:r>
      <w:r>
        <w:rPr>
          <w:rFonts w:hint="eastAsia" w:ascii="宋体" w:hAnsi="宋体" w:cs="仿宋_GB2312"/>
          <w:sz w:val="22"/>
          <w:szCs w:val="22"/>
          <w:u w:val="single"/>
        </w:rPr>
        <w:t xml:space="preserve">                                        </w:t>
      </w:r>
    </w:p>
    <w:p w14:paraId="5EB7D349">
      <w:pPr>
        <w:spacing w:line="400" w:lineRule="exact"/>
        <w:contextualSpacing/>
        <w:rPr>
          <w:rFonts w:ascii="宋体" w:hAnsi="宋体" w:cs="仿宋_GB2312"/>
          <w:sz w:val="22"/>
          <w:szCs w:val="22"/>
        </w:rPr>
      </w:pPr>
      <w:r>
        <w:rPr>
          <w:rFonts w:hint="eastAsia" w:ascii="宋体" w:hAnsi="宋体" w:cs="仿宋_GB2312"/>
          <w:sz w:val="22"/>
          <w:szCs w:val="22"/>
        </w:rPr>
        <w:t>地    址：</w:t>
      </w:r>
      <w:r>
        <w:rPr>
          <w:rFonts w:hint="eastAsia" w:ascii="宋体" w:hAnsi="宋体" w:cs="仿宋_GB2312"/>
          <w:sz w:val="22"/>
          <w:szCs w:val="22"/>
          <w:u w:val="single"/>
        </w:rPr>
        <w:t xml:space="preserve">                                          </w:t>
      </w:r>
    </w:p>
    <w:p w14:paraId="0138922A">
      <w:pPr>
        <w:spacing w:line="400" w:lineRule="exact"/>
        <w:contextualSpacing/>
        <w:rPr>
          <w:rFonts w:ascii="宋体" w:hAnsi="宋体" w:cs="仿宋_GB2312"/>
          <w:sz w:val="22"/>
          <w:szCs w:val="22"/>
        </w:rPr>
      </w:pPr>
      <w:r>
        <w:rPr>
          <w:rFonts w:hint="eastAsia" w:ascii="宋体" w:hAnsi="宋体" w:cs="仿宋_GB2312"/>
          <w:sz w:val="22"/>
          <w:szCs w:val="22"/>
        </w:rPr>
        <w:t>姓    名：</w:t>
      </w:r>
      <w:r>
        <w:rPr>
          <w:rFonts w:hint="eastAsia" w:ascii="宋体" w:hAnsi="宋体" w:cs="仿宋_GB2312"/>
          <w:sz w:val="22"/>
          <w:szCs w:val="22"/>
          <w:u w:val="single"/>
        </w:rPr>
        <w:t xml:space="preserve">                </w:t>
      </w:r>
      <w:r>
        <w:rPr>
          <w:rFonts w:hint="eastAsia" w:ascii="宋体" w:hAnsi="宋体" w:cs="仿宋_GB2312"/>
          <w:sz w:val="22"/>
          <w:szCs w:val="22"/>
        </w:rPr>
        <w:t>性     别：</w:t>
      </w:r>
      <w:r>
        <w:rPr>
          <w:rFonts w:hint="eastAsia" w:ascii="宋体" w:hAnsi="宋体" w:cs="仿宋_GB2312"/>
          <w:sz w:val="22"/>
          <w:szCs w:val="22"/>
          <w:u w:val="single"/>
        </w:rPr>
        <w:t xml:space="preserve">               </w:t>
      </w:r>
    </w:p>
    <w:p w14:paraId="32872F3B">
      <w:pPr>
        <w:spacing w:line="400" w:lineRule="exact"/>
        <w:contextualSpacing/>
        <w:rPr>
          <w:rFonts w:ascii="宋体" w:hAnsi="宋体" w:cs="仿宋_GB2312"/>
          <w:sz w:val="22"/>
          <w:szCs w:val="22"/>
          <w:u w:val="single"/>
        </w:rPr>
      </w:pPr>
      <w:r>
        <w:rPr>
          <w:rFonts w:hint="eastAsia" w:ascii="宋体" w:hAnsi="宋体" w:cs="仿宋_GB2312"/>
          <w:sz w:val="22"/>
          <w:szCs w:val="22"/>
        </w:rPr>
        <w:t>年    龄：</w:t>
      </w:r>
      <w:r>
        <w:rPr>
          <w:rFonts w:hint="eastAsia" w:ascii="宋体" w:hAnsi="宋体" w:cs="仿宋_GB2312"/>
          <w:sz w:val="22"/>
          <w:szCs w:val="22"/>
          <w:u w:val="single"/>
        </w:rPr>
        <w:t xml:space="preserve">                </w:t>
      </w:r>
      <w:r>
        <w:rPr>
          <w:rFonts w:hint="eastAsia" w:ascii="宋体" w:hAnsi="宋体" w:cs="仿宋_GB2312"/>
          <w:sz w:val="22"/>
          <w:szCs w:val="22"/>
        </w:rPr>
        <w:t>职     务：</w:t>
      </w:r>
      <w:r>
        <w:rPr>
          <w:rFonts w:hint="eastAsia" w:ascii="宋体" w:hAnsi="宋体" w:cs="仿宋_GB2312"/>
          <w:sz w:val="22"/>
          <w:szCs w:val="22"/>
          <w:u w:val="single"/>
        </w:rPr>
        <w:t xml:space="preserve">               </w:t>
      </w:r>
    </w:p>
    <w:p w14:paraId="3C374C08">
      <w:pPr>
        <w:spacing w:line="400" w:lineRule="exact"/>
        <w:contextualSpacing/>
        <w:rPr>
          <w:rFonts w:ascii="宋体" w:hAnsi="宋体" w:cs="仿宋_GB2312"/>
          <w:sz w:val="22"/>
          <w:szCs w:val="22"/>
        </w:rPr>
      </w:pPr>
      <w:r>
        <w:rPr>
          <w:rFonts w:hint="eastAsia" w:ascii="宋体" w:hAnsi="宋体" w:cs="仿宋_GB2312"/>
          <w:sz w:val="22"/>
          <w:szCs w:val="22"/>
        </w:rPr>
        <w:t>身份证号码：</w:t>
      </w:r>
      <w:r>
        <w:rPr>
          <w:rFonts w:hint="eastAsia" w:ascii="宋体" w:hAnsi="宋体" w:cs="仿宋_GB2312"/>
          <w:sz w:val="22"/>
          <w:szCs w:val="22"/>
          <w:u w:val="single"/>
        </w:rPr>
        <w:t xml:space="preserve">                                        </w:t>
      </w:r>
    </w:p>
    <w:p w14:paraId="5F24A590">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系</w:t>
      </w:r>
      <w:r>
        <w:rPr>
          <w:rFonts w:hint="eastAsia" w:ascii="宋体" w:hAnsi="宋体" w:cs="仿宋_GB2312"/>
          <w:sz w:val="22"/>
          <w:szCs w:val="22"/>
          <w:u w:val="single"/>
        </w:rPr>
        <w:t xml:space="preserve">  （供应商名称）  </w:t>
      </w:r>
      <w:r>
        <w:rPr>
          <w:rFonts w:hint="eastAsia" w:ascii="宋体" w:hAnsi="宋体" w:cs="仿宋_GB2312"/>
          <w:sz w:val="22"/>
          <w:szCs w:val="22"/>
        </w:rPr>
        <w:t>的法定代表人。</w:t>
      </w:r>
    </w:p>
    <w:p w14:paraId="77E9BD36">
      <w:pPr>
        <w:spacing w:line="400" w:lineRule="exact"/>
        <w:contextualSpacing/>
        <w:rPr>
          <w:rFonts w:ascii="宋体" w:hAnsi="宋体" w:cs="仿宋_GB2312"/>
          <w:sz w:val="22"/>
          <w:szCs w:val="22"/>
        </w:rPr>
      </w:pPr>
      <w:r>
        <w:rPr>
          <w:rFonts w:hint="eastAsia" w:ascii="宋体" w:hAnsi="宋体" w:cs="仿宋_GB2312"/>
          <w:sz w:val="22"/>
          <w:szCs w:val="22"/>
        </w:rPr>
        <w:t>特此证明。</w:t>
      </w:r>
    </w:p>
    <w:p w14:paraId="00C3DFD2">
      <w:pPr>
        <w:spacing w:line="400" w:lineRule="exact"/>
        <w:contextualSpacing/>
        <w:rPr>
          <w:rFonts w:ascii="宋体" w:hAnsi="宋体" w:cs="仿宋_GB2312"/>
          <w:sz w:val="22"/>
          <w:szCs w:val="22"/>
        </w:rPr>
      </w:pPr>
    </w:p>
    <w:p w14:paraId="2AC26352">
      <w:pPr>
        <w:spacing w:line="400" w:lineRule="exact"/>
        <w:contextualSpacing/>
        <w:rPr>
          <w:rFonts w:ascii="宋体" w:hAnsi="宋体" w:cs="仿宋_GB2312"/>
          <w:sz w:val="22"/>
          <w:szCs w:val="22"/>
        </w:rPr>
      </w:pPr>
    </w:p>
    <w:p w14:paraId="1107100B">
      <w:pPr>
        <w:spacing w:line="400" w:lineRule="exact"/>
        <w:contextualSpacing/>
        <w:rPr>
          <w:rFonts w:ascii="宋体" w:hAnsi="宋体" w:cs="仿宋_GB2312"/>
          <w:sz w:val="22"/>
          <w:szCs w:val="22"/>
        </w:rPr>
      </w:pPr>
      <w:r>
        <w:rPr>
          <w:rFonts w:hint="eastAsia" w:ascii="宋体" w:hAnsi="宋体" w:cs="仿宋_GB2312"/>
          <w:sz w:val="22"/>
          <w:szCs w:val="22"/>
        </w:rPr>
        <w:t>附件：法定代表人有效身份证正反面复印件</w:t>
      </w:r>
    </w:p>
    <w:p w14:paraId="569D2A94">
      <w:pPr>
        <w:spacing w:line="400" w:lineRule="exact"/>
        <w:contextualSpacing/>
        <w:rPr>
          <w:rFonts w:ascii="宋体" w:hAnsi="宋体" w:cs="仿宋_GB2312"/>
          <w:sz w:val="22"/>
          <w:szCs w:val="22"/>
        </w:rPr>
      </w:pPr>
    </w:p>
    <w:p w14:paraId="7AE2B077">
      <w:pPr>
        <w:pStyle w:val="7"/>
        <w:spacing w:before="0" w:after="0" w:line="400" w:lineRule="exact"/>
        <w:rPr>
          <w:sz w:val="22"/>
          <w:szCs w:val="22"/>
        </w:rPr>
      </w:pPr>
    </w:p>
    <w:p w14:paraId="0AA64568">
      <w:pPr>
        <w:spacing w:line="400" w:lineRule="exact"/>
        <w:contextualSpacing/>
        <w:jc w:val="center"/>
        <w:rPr>
          <w:sz w:val="22"/>
          <w:szCs w:val="22"/>
        </w:rPr>
      </w:pPr>
      <w:r>
        <w:rPr>
          <w:rFonts w:hint="eastAsia"/>
          <w:sz w:val="22"/>
          <w:szCs w:val="22"/>
        </w:rPr>
        <w:t>法定代表人或者委托代理人</w:t>
      </w:r>
      <w:r>
        <w:rPr>
          <w:rFonts w:hint="eastAsia"/>
          <w:sz w:val="22"/>
          <w:szCs w:val="22"/>
          <w:lang w:eastAsia="zh-CN"/>
        </w:rPr>
        <w:t>（签字或者电子签章）</w:t>
      </w:r>
      <w:r>
        <w:rPr>
          <w:rFonts w:hint="eastAsia"/>
          <w:sz w:val="22"/>
          <w:szCs w:val="22"/>
        </w:rPr>
        <w:t>：</w:t>
      </w:r>
      <w:r>
        <w:rPr>
          <w:rFonts w:hint="eastAsia"/>
          <w:sz w:val="22"/>
          <w:szCs w:val="22"/>
          <w:u w:val="single"/>
        </w:rPr>
        <w:t xml:space="preserve">                 </w:t>
      </w:r>
    </w:p>
    <w:p w14:paraId="4B957C9F">
      <w:pPr>
        <w:spacing w:line="400" w:lineRule="exact"/>
        <w:ind w:firstLine="3960" w:firstLineChars="1800"/>
        <w:contextualSpacing/>
        <w:rPr>
          <w:rFonts w:ascii="宋体" w:hAnsi="宋体" w:cs="宋体"/>
          <w:sz w:val="22"/>
          <w:szCs w:val="22"/>
          <w:u w:val="single"/>
        </w:rPr>
      </w:pPr>
    </w:p>
    <w:p w14:paraId="7F17701F">
      <w:pPr>
        <w:spacing w:line="400" w:lineRule="exact"/>
        <w:ind w:firstLine="4840" w:firstLineChars="2200"/>
        <w:contextualSpacing/>
        <w:rPr>
          <w:sz w:val="22"/>
          <w:szCs w:val="22"/>
        </w:rPr>
      </w:pPr>
      <w:r>
        <w:rPr>
          <w:rFonts w:hint="eastAsia"/>
          <w:sz w:val="22"/>
          <w:szCs w:val="22"/>
        </w:rPr>
        <w:t>供应商（盖公章）：</w:t>
      </w:r>
      <w:r>
        <w:rPr>
          <w:rFonts w:hint="eastAsia"/>
          <w:sz w:val="22"/>
          <w:szCs w:val="22"/>
          <w:u w:val="single"/>
        </w:rPr>
        <w:t xml:space="preserve">                     </w:t>
      </w:r>
    </w:p>
    <w:p w14:paraId="16465B78">
      <w:pPr>
        <w:spacing w:line="400" w:lineRule="exact"/>
        <w:ind w:firstLine="3960" w:firstLineChars="1800"/>
        <w:contextualSpacing/>
        <w:rPr>
          <w:rFonts w:ascii="宋体" w:hAnsi="宋体" w:cs="宋体"/>
          <w:sz w:val="22"/>
          <w:szCs w:val="22"/>
          <w:u w:val="single"/>
        </w:rPr>
      </w:pPr>
    </w:p>
    <w:p w14:paraId="70BFFD10">
      <w:pPr>
        <w:spacing w:line="400" w:lineRule="exact"/>
        <w:contextualSpacing/>
        <w:rPr>
          <w:rFonts w:ascii="宋体" w:hAnsi="宋体" w:cs="仿宋_GB2312"/>
          <w:sz w:val="22"/>
          <w:szCs w:val="22"/>
        </w:rPr>
      </w:pPr>
      <w:r>
        <w:rPr>
          <w:rFonts w:hint="eastAsia" w:ascii="宋体" w:hAnsi="宋体" w:cs="宋体"/>
          <w:sz w:val="22"/>
          <w:szCs w:val="22"/>
        </w:rPr>
        <w:t xml:space="preserve">                                            日  期：    </w:t>
      </w:r>
      <w:r>
        <w:rPr>
          <w:rFonts w:hint="eastAsia"/>
          <w:sz w:val="22"/>
          <w:szCs w:val="22"/>
        </w:rPr>
        <w:t>年   月   日</w:t>
      </w:r>
    </w:p>
    <w:p w14:paraId="48703B8D">
      <w:pPr>
        <w:spacing w:line="400" w:lineRule="exact"/>
        <w:contextualSpacing/>
        <w:jc w:val="center"/>
        <w:rPr>
          <w:rFonts w:ascii="宋体" w:hAnsi="宋体" w:cs="仿宋_GB2312"/>
          <w:b/>
          <w:sz w:val="22"/>
          <w:szCs w:val="22"/>
        </w:rPr>
      </w:pPr>
    </w:p>
    <w:p w14:paraId="37A4AA2A">
      <w:pPr>
        <w:spacing w:line="400" w:lineRule="exact"/>
        <w:contextualSpacing/>
        <w:jc w:val="left"/>
        <w:rPr>
          <w:rFonts w:ascii="宋体" w:hAnsi="宋体" w:cs="仿宋_GB2312"/>
          <w:sz w:val="22"/>
          <w:szCs w:val="22"/>
        </w:rPr>
      </w:pPr>
    </w:p>
    <w:p w14:paraId="33760796">
      <w:pPr>
        <w:spacing w:line="400" w:lineRule="exact"/>
        <w:contextualSpacing/>
        <w:jc w:val="left"/>
        <w:rPr>
          <w:rFonts w:ascii="宋体" w:hAnsi="宋体" w:cs="仿宋_GB2312"/>
          <w:sz w:val="22"/>
          <w:szCs w:val="22"/>
        </w:rPr>
      </w:pPr>
      <w:r>
        <w:rPr>
          <w:rFonts w:hint="eastAsia" w:ascii="宋体" w:hAnsi="宋体" w:cs="仿宋_GB2312"/>
          <w:sz w:val="22"/>
          <w:szCs w:val="22"/>
        </w:rPr>
        <w:t>注：1</w:t>
      </w:r>
      <w:r>
        <w:rPr>
          <w:rFonts w:ascii="宋体" w:hAnsi="宋体" w:cs="仿宋_GB2312"/>
          <w:sz w:val="22"/>
          <w:szCs w:val="22"/>
        </w:rPr>
        <w:t>.</w:t>
      </w:r>
      <w:r>
        <w:rPr>
          <w:rFonts w:hint="eastAsia" w:ascii="宋体" w:hAnsi="宋体" w:cs="仿宋_GB2312"/>
          <w:sz w:val="22"/>
          <w:szCs w:val="22"/>
        </w:rPr>
        <w:t>自然人竞标的无需提供，联合体竞标的只需牵头人出具。</w:t>
      </w:r>
    </w:p>
    <w:p w14:paraId="4FD6A2F8">
      <w:pPr>
        <w:spacing w:line="400" w:lineRule="exact"/>
        <w:ind w:firstLine="440" w:firstLineChars="200"/>
        <w:contextualSpacing/>
        <w:jc w:val="left"/>
        <w:rPr>
          <w:rFonts w:ascii="仿宋_GB2312" w:hAnsi="仿宋_GB2312" w:eastAsia="仿宋_GB2312" w:cs="仿宋_GB2312"/>
          <w:b/>
          <w:sz w:val="32"/>
          <w:szCs w:val="32"/>
        </w:rPr>
      </w:pPr>
      <w:r>
        <w:rPr>
          <w:rFonts w:hint="eastAsia" w:ascii="宋体" w:hAnsi="宋体" w:cs="仿宋_GB2312"/>
          <w:sz w:val="22"/>
          <w:szCs w:val="22"/>
        </w:rPr>
        <w:t>2</w:t>
      </w:r>
      <w:r>
        <w:rPr>
          <w:rFonts w:ascii="宋体" w:hAnsi="宋体" w:cs="仿宋_GB2312"/>
          <w:sz w:val="22"/>
          <w:szCs w:val="22"/>
        </w:rPr>
        <w:t>.</w:t>
      </w:r>
      <w:r>
        <w:rPr>
          <w:rFonts w:hint="eastAsia" w:ascii="宋体" w:hAnsi="宋体" w:cs="仿宋_GB2312"/>
          <w:sz w:val="22"/>
          <w:szCs w:val="22"/>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E643545">
      <w:pPr>
        <w:adjustRightInd w:val="0"/>
        <w:snapToGrid w:val="0"/>
        <w:spacing w:line="300" w:lineRule="auto"/>
        <w:jc w:val="left"/>
        <w:rPr>
          <w:rFonts w:ascii="宋体" w:hAnsi="宋体"/>
          <w:b/>
          <w:szCs w:val="21"/>
        </w:rPr>
      </w:pPr>
    </w:p>
    <w:p w14:paraId="528457DF">
      <w:pPr>
        <w:spacing w:line="400" w:lineRule="exact"/>
        <w:jc w:val="left"/>
        <w:rPr>
          <w:rFonts w:ascii="方正小标宋简体" w:hAnsi="方正小标宋简体" w:eastAsia="方正小标宋简体" w:cs="方正小标宋简体"/>
          <w:sz w:val="22"/>
          <w:szCs w:val="22"/>
        </w:rPr>
      </w:pPr>
      <w:r>
        <w:rPr>
          <w:rFonts w:hint="eastAsia" w:ascii="方正小标宋简体" w:hAnsi="方正小标宋简体" w:eastAsia="方正小标宋简体" w:cs="方正小标宋简体"/>
          <w:sz w:val="22"/>
          <w:szCs w:val="22"/>
        </w:rPr>
        <w:br w:type="page"/>
      </w:r>
    </w:p>
    <w:p w14:paraId="006B932D">
      <w:pPr>
        <w:spacing w:line="460" w:lineRule="exact"/>
        <w:jc w:val="center"/>
        <w:rPr>
          <w:rFonts w:ascii="宋体" w:hAnsi="宋体" w:cs="宋体"/>
          <w:sz w:val="32"/>
          <w:szCs w:val="32"/>
        </w:rPr>
      </w:pPr>
      <w:bookmarkStart w:id="30" w:name="_Hlk65853643"/>
      <w:r>
        <w:rPr>
          <w:rFonts w:hint="eastAsia" w:ascii="宋体" w:hAnsi="宋体" w:cs="宋体"/>
          <w:sz w:val="32"/>
          <w:szCs w:val="32"/>
        </w:rPr>
        <w:t>法人授权委托书</w:t>
      </w:r>
    </w:p>
    <w:p w14:paraId="2E180437">
      <w:pPr>
        <w:spacing w:line="460" w:lineRule="exact"/>
        <w:jc w:val="center"/>
        <w:rPr>
          <w:rFonts w:ascii="方正小标宋简体" w:hAnsi="方正小标宋简体" w:eastAsia="方正小标宋简体" w:cs="方正小标宋简体"/>
          <w:sz w:val="44"/>
          <w:szCs w:val="44"/>
        </w:rPr>
      </w:pPr>
      <w:r>
        <w:rPr>
          <w:rFonts w:hint="eastAsia" w:ascii="宋体" w:hAnsi="宋体" w:cs="宋体"/>
          <w:sz w:val="32"/>
          <w:szCs w:val="32"/>
        </w:rPr>
        <w:t>（如有委托时）</w:t>
      </w:r>
    </w:p>
    <w:p w14:paraId="2C2DA10C">
      <w:pPr>
        <w:spacing w:line="400" w:lineRule="exact"/>
        <w:rPr>
          <w:rFonts w:ascii="仿宋_GB2312" w:hAnsi="仿宋_GB2312" w:eastAsia="仿宋_GB2312" w:cs="仿宋_GB2312"/>
          <w:sz w:val="22"/>
          <w:szCs w:val="22"/>
        </w:rPr>
      </w:pPr>
    </w:p>
    <w:p w14:paraId="30FFE856">
      <w:pPr>
        <w:spacing w:line="400" w:lineRule="exact"/>
        <w:rPr>
          <w:rFonts w:ascii="宋体" w:hAnsi="宋体" w:cs="仿宋_GB2312"/>
          <w:sz w:val="22"/>
          <w:szCs w:val="22"/>
        </w:rPr>
      </w:pPr>
      <w:r>
        <w:rPr>
          <w:rFonts w:hint="eastAsia" w:ascii="宋体" w:hAnsi="宋体" w:cs="仿宋_GB2312"/>
          <w:sz w:val="22"/>
          <w:szCs w:val="22"/>
        </w:rPr>
        <w:t>致：</w:t>
      </w:r>
      <w:r>
        <w:rPr>
          <w:rFonts w:hint="eastAsia" w:ascii="宋体" w:hAnsi="宋体" w:cs="仿宋_GB2312"/>
          <w:sz w:val="22"/>
          <w:szCs w:val="22"/>
          <w:u w:val="single"/>
        </w:rPr>
        <w:t xml:space="preserve"> （采购人名称） </w:t>
      </w:r>
      <w:r>
        <w:rPr>
          <w:rFonts w:hint="eastAsia" w:ascii="宋体" w:hAnsi="宋体" w:cs="仿宋_GB2312"/>
          <w:sz w:val="22"/>
          <w:szCs w:val="22"/>
        </w:rPr>
        <w:t>：</w:t>
      </w:r>
    </w:p>
    <w:p w14:paraId="26EDEE98">
      <w:pPr>
        <w:spacing w:line="400" w:lineRule="exact"/>
        <w:ind w:firstLine="440" w:firstLineChars="200"/>
        <w:rPr>
          <w:rFonts w:ascii="宋体" w:hAnsi="宋体" w:cs="仿宋_GB2312"/>
          <w:sz w:val="22"/>
          <w:szCs w:val="22"/>
        </w:rPr>
      </w:pPr>
      <w:r>
        <w:rPr>
          <w:rFonts w:hint="eastAsia" w:ascii="宋体" w:hAnsi="宋体" w:cs="仿宋_GB2312"/>
          <w:sz w:val="22"/>
          <w:szCs w:val="22"/>
        </w:rPr>
        <w:t>我</w:t>
      </w:r>
      <w:r>
        <w:rPr>
          <w:rFonts w:hint="eastAsia" w:ascii="宋体" w:hAnsi="宋体" w:cs="仿宋_GB2312"/>
          <w:sz w:val="22"/>
          <w:szCs w:val="22"/>
          <w:u w:val="single"/>
        </w:rPr>
        <w:t xml:space="preserve">  （姓名）  </w:t>
      </w:r>
      <w:r>
        <w:rPr>
          <w:rFonts w:hint="eastAsia" w:ascii="宋体" w:hAnsi="宋体" w:cs="仿宋_GB2312"/>
          <w:sz w:val="22"/>
          <w:szCs w:val="22"/>
        </w:rPr>
        <w:t>系</w:t>
      </w:r>
      <w:r>
        <w:rPr>
          <w:rFonts w:hint="eastAsia" w:ascii="宋体" w:hAnsi="宋体" w:cs="仿宋_GB2312"/>
          <w:sz w:val="22"/>
          <w:szCs w:val="22"/>
          <w:u w:val="single"/>
        </w:rPr>
        <w:t xml:space="preserve">  （供应商名称）  </w:t>
      </w:r>
      <w:r>
        <w:rPr>
          <w:rFonts w:hint="eastAsia" w:ascii="宋体" w:hAnsi="宋体" w:cs="仿宋_GB2312"/>
          <w:sz w:val="22"/>
          <w:szCs w:val="22"/>
        </w:rPr>
        <w:t>的（</w:t>
      </w:r>
      <w:r>
        <w:rPr>
          <w:rFonts w:hint="eastAsia" w:ascii="宋体" w:hAnsi="宋体" w:cs="仿宋_GB2312"/>
          <w:sz w:val="22"/>
          <w:szCs w:val="22"/>
          <w:u w:val="single"/>
        </w:rPr>
        <w:t>□法定代表人/□负责人/□自然人本人</w:t>
      </w:r>
      <w:r>
        <w:rPr>
          <w:rFonts w:hint="eastAsia" w:ascii="宋体" w:hAnsi="宋体" w:cs="仿宋_GB2312"/>
          <w:sz w:val="22"/>
          <w:szCs w:val="22"/>
        </w:rPr>
        <w:t>），现授权</w:t>
      </w:r>
      <w:r>
        <w:rPr>
          <w:rFonts w:hint="eastAsia" w:ascii="宋体" w:hAnsi="宋体" w:cs="仿宋_GB2312"/>
          <w:sz w:val="22"/>
          <w:szCs w:val="22"/>
          <w:u w:val="single"/>
        </w:rPr>
        <w:t xml:space="preserve"> （姓名） </w:t>
      </w:r>
      <w:r>
        <w:rPr>
          <w:rFonts w:hint="eastAsia" w:ascii="宋体" w:hAnsi="宋体" w:cs="仿宋_GB2312"/>
          <w:sz w:val="22"/>
          <w:szCs w:val="22"/>
        </w:rPr>
        <w:t>以我方的名义参加</w:t>
      </w:r>
      <w:r>
        <w:rPr>
          <w:rFonts w:hint="eastAsia" w:ascii="宋体" w:hAnsi="宋体" w:cs="仿宋_GB2312"/>
          <w:sz w:val="22"/>
          <w:szCs w:val="22"/>
          <w:u w:val="single"/>
        </w:rPr>
        <w:t xml:space="preserve">              </w:t>
      </w:r>
      <w:r>
        <w:rPr>
          <w:rFonts w:hint="eastAsia" w:ascii="宋体" w:hAnsi="宋体" w:cs="仿宋_GB2312"/>
          <w:sz w:val="22"/>
          <w:szCs w:val="22"/>
        </w:rPr>
        <w:t>项目的竞标活动，并代表我方全权办理针对上述项目的所有采购程序和环节的具体事务和签署相关文件。</w:t>
      </w:r>
    </w:p>
    <w:p w14:paraId="04874ABD">
      <w:pPr>
        <w:spacing w:line="400" w:lineRule="exact"/>
        <w:rPr>
          <w:rFonts w:ascii="宋体" w:hAnsi="宋体" w:cs="仿宋_GB2312"/>
          <w:sz w:val="22"/>
          <w:szCs w:val="22"/>
        </w:rPr>
      </w:pPr>
      <w:r>
        <w:rPr>
          <w:rFonts w:hint="eastAsia" w:ascii="宋体" w:hAnsi="宋体" w:cs="仿宋_GB2312"/>
          <w:sz w:val="22"/>
          <w:szCs w:val="22"/>
        </w:rPr>
        <w:t xml:space="preserve">    我方对委托代理人的签字事项负全部责任。</w:t>
      </w:r>
    </w:p>
    <w:p w14:paraId="1901DDF4">
      <w:pPr>
        <w:spacing w:line="400" w:lineRule="exact"/>
        <w:ind w:firstLine="440" w:firstLineChars="200"/>
        <w:rPr>
          <w:rFonts w:ascii="宋体" w:hAnsi="宋体" w:cs="仿宋_GB2312"/>
          <w:sz w:val="22"/>
          <w:szCs w:val="22"/>
        </w:rPr>
      </w:pPr>
      <w:r>
        <w:rPr>
          <w:rFonts w:hint="eastAsia" w:ascii="宋体" w:hAnsi="宋体" w:cs="仿宋_GB2312"/>
          <w:sz w:val="22"/>
          <w:szCs w:val="22"/>
        </w:rPr>
        <w:t>本授权书自签署之日起生效，在撤销授权的书面通知以前，本授权书一直有效。委托代理人在授权书有效期内签署的所有文件不因授权的撤销而失效。</w:t>
      </w:r>
    </w:p>
    <w:p w14:paraId="6EB8E99C">
      <w:pPr>
        <w:spacing w:line="400" w:lineRule="exact"/>
        <w:ind w:firstLine="440" w:firstLineChars="200"/>
        <w:rPr>
          <w:rFonts w:ascii="宋体" w:hAnsi="宋体" w:cs="仿宋_GB2312"/>
          <w:sz w:val="22"/>
          <w:szCs w:val="22"/>
        </w:rPr>
      </w:pPr>
      <w:r>
        <w:rPr>
          <w:rFonts w:hint="eastAsia" w:ascii="宋体" w:hAnsi="宋体" w:cs="仿宋_GB2312"/>
          <w:sz w:val="22"/>
          <w:szCs w:val="22"/>
        </w:rPr>
        <w:t>委托代理人无转委托权，特此委托。</w:t>
      </w:r>
    </w:p>
    <w:p w14:paraId="663FA80F">
      <w:pPr>
        <w:spacing w:line="400" w:lineRule="exact"/>
        <w:ind w:firstLine="440" w:firstLineChars="200"/>
        <w:rPr>
          <w:rFonts w:ascii="宋体" w:hAnsi="宋体" w:cs="仿宋_GB2312"/>
          <w:sz w:val="22"/>
          <w:szCs w:val="22"/>
        </w:rPr>
      </w:pPr>
      <w:r>
        <w:rPr>
          <w:rFonts w:hint="eastAsia" w:ascii="宋体" w:hAnsi="宋体" w:cs="仿宋_GB2312"/>
          <w:sz w:val="22"/>
          <w:szCs w:val="22"/>
        </w:rPr>
        <w:t>附：法定代表人身份证明书及委托代理人有效身份证正反面复印件</w:t>
      </w:r>
    </w:p>
    <w:p w14:paraId="6D07A68A">
      <w:pPr>
        <w:spacing w:line="400" w:lineRule="exact"/>
        <w:rPr>
          <w:rFonts w:ascii="宋体" w:hAnsi="宋体" w:cs="仿宋_GB2312"/>
          <w:sz w:val="22"/>
          <w:szCs w:val="22"/>
        </w:rPr>
      </w:pPr>
    </w:p>
    <w:p w14:paraId="1DCDF78A">
      <w:pPr>
        <w:spacing w:line="400" w:lineRule="exact"/>
        <w:rPr>
          <w:rFonts w:ascii="宋体" w:hAnsi="宋体" w:cs="仿宋_GB2312"/>
          <w:sz w:val="22"/>
          <w:szCs w:val="22"/>
        </w:rPr>
      </w:pPr>
      <w:r>
        <w:rPr>
          <w:rFonts w:hint="eastAsia" w:ascii="宋体" w:hAnsi="宋体" w:cs="仿宋_GB2312"/>
          <w:sz w:val="22"/>
          <w:szCs w:val="22"/>
        </w:rPr>
        <w:t>委托代理人（签字）：         法定代表人（签字或</w:t>
      </w:r>
      <w:r>
        <w:rPr>
          <w:rFonts w:hint="eastAsia" w:ascii="宋体" w:hAnsi="宋体" w:cs="仿宋_GB2312"/>
          <w:sz w:val="22"/>
          <w:szCs w:val="22"/>
          <w:lang w:eastAsia="zh-CN"/>
        </w:rPr>
        <w:t>电子签章</w:t>
      </w:r>
      <w:r>
        <w:rPr>
          <w:rFonts w:hint="eastAsia" w:ascii="宋体" w:hAnsi="宋体" w:cs="仿宋_GB2312"/>
          <w:sz w:val="22"/>
          <w:szCs w:val="22"/>
        </w:rPr>
        <w:t xml:space="preserve">）：                    </w:t>
      </w:r>
    </w:p>
    <w:p w14:paraId="0FE3AC7D">
      <w:pPr>
        <w:spacing w:line="400" w:lineRule="exact"/>
        <w:rPr>
          <w:rFonts w:ascii="宋体" w:hAnsi="宋体" w:cs="仿宋_GB2312"/>
          <w:sz w:val="22"/>
          <w:szCs w:val="22"/>
        </w:rPr>
      </w:pPr>
      <w:r>
        <w:rPr>
          <w:rFonts w:hint="eastAsia" w:ascii="宋体" w:hAnsi="宋体" w:cs="仿宋_GB2312"/>
          <w:sz w:val="22"/>
          <w:szCs w:val="22"/>
        </w:rPr>
        <w:t xml:space="preserve">委托代理人身份证号码：                             </w:t>
      </w:r>
    </w:p>
    <w:p w14:paraId="21693D33">
      <w:pPr>
        <w:spacing w:line="400" w:lineRule="exact"/>
        <w:rPr>
          <w:rFonts w:ascii="宋体" w:hAnsi="宋体" w:cs="仿宋_GB2312"/>
          <w:sz w:val="22"/>
          <w:szCs w:val="22"/>
        </w:rPr>
      </w:pPr>
      <w:r>
        <w:rPr>
          <w:rFonts w:hint="eastAsia" w:ascii="宋体" w:hAnsi="宋体" w:cs="仿宋_GB2312"/>
          <w:sz w:val="22"/>
          <w:szCs w:val="22"/>
        </w:rPr>
        <w:t xml:space="preserve">                                </w:t>
      </w:r>
    </w:p>
    <w:p w14:paraId="5D7A88DE">
      <w:pPr>
        <w:pStyle w:val="16"/>
        <w:spacing w:line="400" w:lineRule="exact"/>
        <w:ind w:left="0" w:leftChars="0" w:firstLine="4840" w:firstLineChars="2200"/>
        <w:jc w:val="left"/>
        <w:rPr>
          <w:rFonts w:ascii="宋体" w:hAnsi="宋体" w:cs="宋体"/>
          <w:sz w:val="22"/>
          <w:szCs w:val="22"/>
        </w:rPr>
      </w:pPr>
      <w:r>
        <w:rPr>
          <w:rFonts w:hint="eastAsia"/>
          <w:sz w:val="22"/>
          <w:szCs w:val="22"/>
        </w:rPr>
        <w:t>供应商（盖公章）：</w:t>
      </w:r>
      <w:r>
        <w:rPr>
          <w:rFonts w:hint="eastAsia"/>
          <w:sz w:val="22"/>
          <w:szCs w:val="22"/>
          <w:u w:val="single"/>
        </w:rPr>
        <w:t xml:space="preserve">                     </w:t>
      </w:r>
    </w:p>
    <w:p w14:paraId="1BD1D354">
      <w:pPr>
        <w:spacing w:line="400" w:lineRule="exact"/>
        <w:ind w:firstLine="3960" w:firstLineChars="1800"/>
        <w:contextualSpacing/>
        <w:rPr>
          <w:rFonts w:ascii="宋体" w:hAnsi="宋体" w:cs="宋体"/>
          <w:sz w:val="22"/>
          <w:szCs w:val="22"/>
          <w:u w:val="single"/>
        </w:rPr>
      </w:pPr>
    </w:p>
    <w:p w14:paraId="5445D3B5">
      <w:pPr>
        <w:spacing w:line="400" w:lineRule="exact"/>
        <w:rPr>
          <w:rFonts w:ascii="宋体" w:hAnsi="宋体" w:cs="仿宋_GB2312"/>
          <w:sz w:val="22"/>
          <w:szCs w:val="22"/>
        </w:rPr>
      </w:pPr>
      <w:r>
        <w:rPr>
          <w:rFonts w:hint="eastAsia" w:ascii="宋体" w:hAnsi="宋体" w:cs="宋体"/>
          <w:sz w:val="22"/>
          <w:szCs w:val="22"/>
        </w:rPr>
        <w:t xml:space="preserve">                                            日  期：    </w:t>
      </w:r>
      <w:r>
        <w:rPr>
          <w:rFonts w:hint="eastAsia"/>
          <w:sz w:val="22"/>
          <w:szCs w:val="22"/>
        </w:rPr>
        <w:t>年   月   日</w:t>
      </w:r>
    </w:p>
    <w:p w14:paraId="2A76323D">
      <w:pPr>
        <w:spacing w:line="400" w:lineRule="exact"/>
        <w:rPr>
          <w:rFonts w:ascii="宋体" w:hAnsi="宋体" w:cs="仿宋_GB2312"/>
          <w:sz w:val="22"/>
          <w:szCs w:val="22"/>
        </w:rPr>
      </w:pPr>
    </w:p>
    <w:p w14:paraId="74414E96">
      <w:pPr>
        <w:spacing w:line="400" w:lineRule="exact"/>
        <w:rPr>
          <w:rFonts w:ascii="宋体" w:hAnsi="宋体" w:cs="仿宋_GB2312"/>
          <w:sz w:val="22"/>
          <w:szCs w:val="22"/>
        </w:rPr>
      </w:pPr>
      <w:r>
        <w:rPr>
          <w:rFonts w:hint="eastAsia" w:ascii="宋体" w:hAnsi="宋体" w:cs="仿宋_GB2312"/>
          <w:sz w:val="22"/>
          <w:szCs w:val="22"/>
        </w:rPr>
        <w:t>注：1. 法定代表人必须在授权委托书上亲笔签字或盖电子签章，委托代理人必须在授权委托书上亲笔签字，</w:t>
      </w:r>
      <w:r>
        <w:rPr>
          <w:rFonts w:hint="eastAsia" w:ascii="宋体" w:hAnsi="宋体" w:cs="仿宋_GB2312"/>
          <w:b/>
          <w:sz w:val="22"/>
          <w:szCs w:val="22"/>
        </w:rPr>
        <w:t>否则其响应文件按无效响应处理。</w:t>
      </w:r>
    </w:p>
    <w:p w14:paraId="4A78F640">
      <w:pPr>
        <w:spacing w:line="400" w:lineRule="exact"/>
        <w:ind w:firstLine="440" w:firstLineChars="200"/>
        <w:jc w:val="left"/>
        <w:rPr>
          <w:rFonts w:ascii="宋体" w:hAnsi="宋体" w:cs="仿宋_GB2312"/>
          <w:sz w:val="22"/>
          <w:szCs w:val="22"/>
        </w:rPr>
      </w:pPr>
      <w:r>
        <w:rPr>
          <w:rFonts w:ascii="宋体" w:hAnsi="宋体" w:cs="仿宋_GB2312"/>
          <w:sz w:val="22"/>
          <w:szCs w:val="22"/>
        </w:rPr>
        <w:t>2.</w:t>
      </w:r>
      <w:r>
        <w:rPr>
          <w:rFonts w:hint="eastAsia" w:ascii="宋体" w:hAnsi="宋体" w:cs="仿宋_GB2312"/>
          <w:sz w:val="22"/>
          <w:szCs w:val="22"/>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450DD7A">
      <w:pPr>
        <w:spacing w:line="400" w:lineRule="exact"/>
        <w:ind w:firstLine="440" w:firstLineChars="200"/>
        <w:jc w:val="left"/>
        <w:rPr>
          <w:rFonts w:ascii="宋体" w:hAnsi="宋体" w:cs="仿宋_GB2312"/>
          <w:sz w:val="22"/>
          <w:szCs w:val="22"/>
        </w:rPr>
      </w:pPr>
      <w:r>
        <w:rPr>
          <w:rFonts w:hint="eastAsia" w:ascii="宋体" w:hAnsi="宋体" w:cs="仿宋_GB2312"/>
          <w:sz w:val="22"/>
          <w:szCs w:val="22"/>
        </w:rPr>
        <w:t>3</w:t>
      </w:r>
      <w:r>
        <w:rPr>
          <w:rFonts w:ascii="宋体" w:hAnsi="宋体" w:cs="仿宋_GB2312"/>
          <w:sz w:val="22"/>
          <w:szCs w:val="22"/>
        </w:rPr>
        <w:t>.</w:t>
      </w:r>
      <w:r>
        <w:rPr>
          <w:rFonts w:hint="eastAsia" w:ascii="宋体" w:hAnsi="宋体" w:cs="仿宋_GB2312"/>
          <w:sz w:val="22"/>
          <w:szCs w:val="22"/>
        </w:rPr>
        <w:t xml:space="preserve"> </w:t>
      </w:r>
      <w:bookmarkStart w:id="31" w:name="_Hlk65853109"/>
      <w:bookmarkStart w:id="32" w:name="_Hlk65853542"/>
      <w:r>
        <w:rPr>
          <w:rFonts w:hint="eastAsia" w:ascii="宋体" w:hAnsi="宋体" w:cs="仿宋_GB2312"/>
          <w:sz w:val="22"/>
          <w:szCs w:val="22"/>
        </w:rPr>
        <w:t>法人、其他组织竞标时“我方”是指“我单位”，自然人竞标时“我方”是指“本人”。</w:t>
      </w:r>
      <w:bookmarkEnd w:id="31"/>
    </w:p>
    <w:bookmarkEnd w:id="32"/>
    <w:p w14:paraId="130AFDBD">
      <w:pPr>
        <w:spacing w:line="400" w:lineRule="exact"/>
        <w:jc w:val="left"/>
        <w:rPr>
          <w:rFonts w:ascii="仿宋_GB2312" w:hAnsi="仿宋_GB2312" w:eastAsia="仿宋_GB2312" w:cs="仿宋_GB2312"/>
          <w:sz w:val="22"/>
          <w:szCs w:val="22"/>
        </w:rPr>
      </w:pPr>
    </w:p>
    <w:bookmarkEnd w:id="30"/>
    <w:p w14:paraId="0A42BFED">
      <w:pPr>
        <w:spacing w:line="400" w:lineRule="exact"/>
        <w:jc w:val="left"/>
        <w:rPr>
          <w:rFonts w:ascii="方正小标宋简体" w:hAnsi="方正小标宋简体" w:eastAsia="方正小标宋简体" w:cs="方正小标宋简体"/>
          <w:sz w:val="22"/>
          <w:szCs w:val="22"/>
        </w:rPr>
      </w:pPr>
      <w:r>
        <w:rPr>
          <w:rFonts w:hint="eastAsia" w:ascii="方正小标宋简体" w:hAnsi="方正小标宋简体" w:eastAsia="方正小标宋简体" w:cs="方正小标宋简体"/>
          <w:sz w:val="22"/>
          <w:szCs w:val="22"/>
        </w:rPr>
        <w:br w:type="page"/>
      </w:r>
    </w:p>
    <w:p w14:paraId="0DBF1009">
      <w:pPr>
        <w:spacing w:line="460" w:lineRule="exact"/>
        <w:jc w:val="center"/>
        <w:rPr>
          <w:rFonts w:ascii="宋体" w:hAnsi="宋体" w:cs="宋体"/>
          <w:bCs/>
          <w:sz w:val="32"/>
          <w:szCs w:val="32"/>
        </w:rPr>
      </w:pPr>
      <w:r>
        <w:rPr>
          <w:rFonts w:hint="eastAsia" w:ascii="宋体" w:hAnsi="宋体" w:cs="宋体"/>
          <w:bCs/>
          <w:sz w:val="32"/>
          <w:szCs w:val="32"/>
        </w:rPr>
        <w:t>商务条款偏离表</w:t>
      </w:r>
    </w:p>
    <w:p w14:paraId="395081F5">
      <w:pPr>
        <w:spacing w:line="460" w:lineRule="exact"/>
        <w:jc w:val="center"/>
        <w:rPr>
          <w:rFonts w:ascii="宋体" w:hAnsi="宋体"/>
          <w:b/>
          <w:sz w:val="32"/>
          <w:szCs w:val="32"/>
        </w:rPr>
      </w:pPr>
      <w:r>
        <w:rPr>
          <w:rFonts w:hint="eastAsia" w:ascii="宋体" w:hAnsi="宋体" w:cs="宋体"/>
          <w:bCs/>
          <w:sz w:val="32"/>
          <w:szCs w:val="32"/>
        </w:rPr>
        <w:t>（注：按采购需求具体条款修改）</w:t>
      </w:r>
    </w:p>
    <w:p w14:paraId="21530607">
      <w:pPr>
        <w:spacing w:line="400" w:lineRule="exact"/>
        <w:contextualSpacing/>
        <w:jc w:val="left"/>
        <w:rPr>
          <w:rFonts w:ascii="宋体" w:hAnsi="宋体"/>
          <w:sz w:val="22"/>
          <w:szCs w:val="22"/>
        </w:rPr>
      </w:pPr>
    </w:p>
    <w:p w14:paraId="470883C3">
      <w:pPr>
        <w:pStyle w:val="19"/>
        <w:spacing w:line="400" w:lineRule="exact"/>
        <w:contextualSpacing/>
        <w:rPr>
          <w:rFonts w:hAnsi="宋体" w:cs="仿宋_GB2312"/>
          <w:sz w:val="22"/>
          <w:szCs w:val="22"/>
        </w:rPr>
      </w:pPr>
      <w:r>
        <w:rPr>
          <w:rFonts w:hint="eastAsia" w:hAnsi="宋体" w:cs="宋体"/>
          <w:sz w:val="22"/>
          <w:szCs w:val="22"/>
        </w:rPr>
        <w:t>分标：</w:t>
      </w:r>
      <w:r>
        <w:rPr>
          <w:rFonts w:hint="eastAsia" w:hAnsi="宋体" w:cs="宋体"/>
          <w:sz w:val="22"/>
          <w:szCs w:val="22"/>
          <w:u w:val="single"/>
        </w:rPr>
        <w:t xml:space="preserve">              </w:t>
      </w:r>
    </w:p>
    <w:p w14:paraId="035E13AF">
      <w:pPr>
        <w:spacing w:line="400" w:lineRule="exact"/>
        <w:contextualSpacing/>
        <w:jc w:val="left"/>
        <w:rPr>
          <w:rFonts w:ascii="宋体" w:hAnsi="宋体" w:cs="仿宋_GB2312"/>
          <w:sz w:val="22"/>
          <w:szCs w:val="22"/>
          <w:u w:val="single"/>
        </w:rPr>
      </w:pPr>
    </w:p>
    <w:tbl>
      <w:tblPr>
        <w:tblStyle w:val="3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4BD78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289865BF">
            <w:pPr>
              <w:spacing w:line="400" w:lineRule="exact"/>
              <w:contextualSpacing/>
              <w:jc w:val="center"/>
              <w:rPr>
                <w:rFonts w:ascii="宋体" w:hAnsi="宋体" w:cs="仿宋_GB2312"/>
                <w:sz w:val="22"/>
                <w:szCs w:val="22"/>
              </w:rPr>
            </w:pPr>
            <w:r>
              <w:rPr>
                <w:rFonts w:hint="eastAsia" w:ascii="宋体" w:hAnsi="宋体" w:cs="仿宋_GB2312"/>
                <w:sz w:val="22"/>
                <w:szCs w:val="22"/>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00EF7BD7">
            <w:pPr>
              <w:spacing w:line="400" w:lineRule="exact"/>
              <w:contextualSpacing/>
              <w:jc w:val="center"/>
              <w:rPr>
                <w:rFonts w:ascii="宋体" w:hAnsi="宋体" w:cs="仿宋_GB2312"/>
                <w:sz w:val="22"/>
                <w:szCs w:val="22"/>
              </w:rPr>
            </w:pPr>
            <w:r>
              <w:rPr>
                <w:rFonts w:hint="eastAsia" w:ascii="宋体" w:hAnsi="宋体" w:cs="仿宋_GB2312"/>
                <w:sz w:val="22"/>
                <w:szCs w:val="22"/>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36E484CD">
            <w:pPr>
              <w:spacing w:line="400" w:lineRule="exact"/>
              <w:contextualSpacing/>
              <w:jc w:val="center"/>
              <w:rPr>
                <w:rFonts w:ascii="宋体" w:hAnsi="宋体" w:cs="仿宋_GB2312"/>
                <w:sz w:val="22"/>
                <w:szCs w:val="22"/>
              </w:rPr>
            </w:pPr>
            <w:r>
              <w:rPr>
                <w:rFonts w:hint="eastAsia" w:ascii="宋体" w:hAnsi="宋体" w:cs="仿宋_GB2312"/>
                <w:sz w:val="22"/>
                <w:szCs w:val="22"/>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7D29623">
            <w:pPr>
              <w:spacing w:line="400" w:lineRule="exact"/>
              <w:contextualSpacing/>
              <w:jc w:val="center"/>
              <w:rPr>
                <w:rFonts w:ascii="宋体" w:hAnsi="宋体" w:cs="仿宋_GB2312"/>
                <w:sz w:val="22"/>
                <w:szCs w:val="22"/>
              </w:rPr>
            </w:pPr>
            <w:r>
              <w:rPr>
                <w:rFonts w:hint="eastAsia" w:ascii="宋体" w:hAnsi="宋体" w:cs="仿宋_GB2312"/>
                <w:sz w:val="22"/>
                <w:szCs w:val="22"/>
              </w:rPr>
              <w:t>偏离说明</w:t>
            </w:r>
          </w:p>
        </w:tc>
      </w:tr>
      <w:tr w14:paraId="7CA3D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178" w:type="dxa"/>
            <w:tcBorders>
              <w:top w:val="single" w:color="auto" w:sz="4" w:space="0"/>
              <w:left w:val="single" w:color="auto" w:sz="4" w:space="0"/>
              <w:bottom w:val="single" w:color="auto" w:sz="4" w:space="0"/>
              <w:right w:val="single" w:color="auto" w:sz="4" w:space="0"/>
            </w:tcBorders>
            <w:vAlign w:val="center"/>
          </w:tcPr>
          <w:p w14:paraId="47477E6F">
            <w:pPr>
              <w:spacing w:line="400" w:lineRule="exact"/>
              <w:jc w:val="center"/>
              <w:rPr>
                <w:rFonts w:ascii="宋体" w:hAnsi="宋体" w:cs="仿宋_GB2312"/>
                <w:sz w:val="22"/>
                <w:szCs w:val="22"/>
                <w:highlight w:val="none"/>
              </w:rPr>
            </w:pPr>
            <w:r>
              <w:rPr>
                <w:rFonts w:hint="eastAsia" w:ascii="宋体" w:hAnsi="宋体" w:cs="宋体"/>
                <w:color w:val="auto"/>
                <w:szCs w:val="21"/>
                <w:highlight w:val="none"/>
              </w:rPr>
              <w:t>竞标报价</w:t>
            </w:r>
          </w:p>
        </w:tc>
        <w:tc>
          <w:tcPr>
            <w:tcW w:w="2668" w:type="dxa"/>
            <w:tcBorders>
              <w:top w:val="single" w:color="auto" w:sz="4" w:space="0"/>
              <w:left w:val="single" w:color="auto" w:sz="4" w:space="0"/>
              <w:bottom w:val="single" w:color="auto" w:sz="4" w:space="0"/>
              <w:right w:val="single" w:color="auto" w:sz="4" w:space="0"/>
            </w:tcBorders>
            <w:vAlign w:val="center"/>
          </w:tcPr>
          <w:p w14:paraId="1220560F">
            <w:pPr>
              <w:spacing w:line="400" w:lineRule="exact"/>
              <w:contextualSpacing/>
              <w:jc w:val="center"/>
              <w:rPr>
                <w:rFonts w:ascii="宋体" w:hAnsi="宋体" w:cs="仿宋_GB2312"/>
                <w:sz w:val="22"/>
                <w:szCs w:val="22"/>
              </w:rPr>
            </w:pPr>
          </w:p>
        </w:tc>
        <w:tc>
          <w:tcPr>
            <w:tcW w:w="2350" w:type="dxa"/>
            <w:tcBorders>
              <w:top w:val="single" w:color="auto" w:sz="4" w:space="0"/>
              <w:left w:val="single" w:color="auto" w:sz="4" w:space="0"/>
              <w:bottom w:val="single" w:color="auto" w:sz="4" w:space="0"/>
              <w:right w:val="single" w:color="auto" w:sz="4" w:space="0"/>
            </w:tcBorders>
            <w:vAlign w:val="center"/>
          </w:tcPr>
          <w:p w14:paraId="4C9E8B56">
            <w:pPr>
              <w:spacing w:line="400" w:lineRule="exact"/>
              <w:contextualSpacing/>
              <w:jc w:val="center"/>
              <w:rPr>
                <w:rFonts w:ascii="宋体" w:hAnsi="宋体" w:cs="仿宋_GB2312"/>
                <w:sz w:val="22"/>
                <w:szCs w:val="22"/>
              </w:rPr>
            </w:pPr>
          </w:p>
        </w:tc>
        <w:tc>
          <w:tcPr>
            <w:tcW w:w="2112" w:type="dxa"/>
            <w:tcBorders>
              <w:top w:val="single" w:color="auto" w:sz="4" w:space="0"/>
              <w:left w:val="single" w:color="auto" w:sz="4" w:space="0"/>
              <w:bottom w:val="single" w:color="auto" w:sz="4" w:space="0"/>
              <w:right w:val="single" w:color="auto" w:sz="4" w:space="0"/>
            </w:tcBorders>
            <w:vAlign w:val="center"/>
          </w:tcPr>
          <w:p w14:paraId="7E1F66FE">
            <w:pPr>
              <w:spacing w:line="400" w:lineRule="exact"/>
              <w:contextualSpacing/>
              <w:jc w:val="center"/>
              <w:rPr>
                <w:rFonts w:ascii="宋体" w:hAnsi="宋体" w:cs="仿宋_GB2312"/>
                <w:sz w:val="22"/>
                <w:szCs w:val="22"/>
              </w:rPr>
            </w:pPr>
          </w:p>
        </w:tc>
      </w:tr>
      <w:tr w14:paraId="21125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178" w:type="dxa"/>
            <w:tcBorders>
              <w:top w:val="single" w:color="auto" w:sz="4" w:space="0"/>
              <w:left w:val="single" w:color="auto" w:sz="4" w:space="0"/>
              <w:bottom w:val="single" w:color="auto" w:sz="4" w:space="0"/>
              <w:right w:val="single" w:color="auto" w:sz="4" w:space="0"/>
            </w:tcBorders>
            <w:vAlign w:val="center"/>
          </w:tcPr>
          <w:p w14:paraId="196256B2">
            <w:pPr>
              <w:spacing w:line="400" w:lineRule="exact"/>
              <w:jc w:val="center"/>
              <w:rPr>
                <w:rFonts w:ascii="宋体" w:hAnsi="宋体" w:cs="仿宋_GB2312"/>
                <w:sz w:val="22"/>
                <w:szCs w:val="22"/>
                <w:highlight w:val="none"/>
              </w:rPr>
            </w:pPr>
            <w:r>
              <w:rPr>
                <w:rFonts w:hint="eastAsia" w:ascii="宋体" w:hAnsi="宋体" w:eastAsia="宋体" w:cs="宋体"/>
                <w:i w:val="0"/>
                <w:iCs w:val="0"/>
                <w:caps w:val="0"/>
                <w:color w:val="000000"/>
                <w:spacing w:val="0"/>
                <w:sz w:val="21"/>
                <w:szCs w:val="21"/>
                <w:highlight w:val="none"/>
              </w:rPr>
              <w:t>合同履约期限</w:t>
            </w:r>
          </w:p>
        </w:tc>
        <w:tc>
          <w:tcPr>
            <w:tcW w:w="2668" w:type="dxa"/>
            <w:tcBorders>
              <w:top w:val="single" w:color="auto" w:sz="4" w:space="0"/>
              <w:left w:val="single" w:color="auto" w:sz="4" w:space="0"/>
              <w:bottom w:val="single" w:color="auto" w:sz="4" w:space="0"/>
              <w:right w:val="single" w:color="auto" w:sz="4" w:space="0"/>
            </w:tcBorders>
            <w:vAlign w:val="center"/>
          </w:tcPr>
          <w:p w14:paraId="6148E44E">
            <w:pPr>
              <w:spacing w:line="400" w:lineRule="exact"/>
              <w:contextualSpacing/>
              <w:jc w:val="center"/>
              <w:rPr>
                <w:rFonts w:ascii="宋体" w:hAnsi="宋体" w:cs="仿宋_GB2312"/>
                <w:sz w:val="22"/>
                <w:szCs w:val="22"/>
              </w:rPr>
            </w:pPr>
          </w:p>
        </w:tc>
        <w:tc>
          <w:tcPr>
            <w:tcW w:w="2350" w:type="dxa"/>
            <w:tcBorders>
              <w:top w:val="single" w:color="auto" w:sz="4" w:space="0"/>
              <w:left w:val="single" w:color="auto" w:sz="4" w:space="0"/>
              <w:bottom w:val="single" w:color="auto" w:sz="4" w:space="0"/>
              <w:right w:val="single" w:color="auto" w:sz="4" w:space="0"/>
            </w:tcBorders>
            <w:vAlign w:val="center"/>
          </w:tcPr>
          <w:p w14:paraId="29085820">
            <w:pPr>
              <w:spacing w:line="400" w:lineRule="exact"/>
              <w:contextualSpacing/>
              <w:jc w:val="center"/>
              <w:rPr>
                <w:rFonts w:ascii="宋体" w:hAnsi="宋体" w:cs="仿宋_GB2312"/>
                <w:sz w:val="22"/>
                <w:szCs w:val="22"/>
              </w:rPr>
            </w:pPr>
          </w:p>
        </w:tc>
        <w:tc>
          <w:tcPr>
            <w:tcW w:w="2112" w:type="dxa"/>
            <w:tcBorders>
              <w:top w:val="single" w:color="auto" w:sz="4" w:space="0"/>
              <w:left w:val="single" w:color="auto" w:sz="4" w:space="0"/>
              <w:bottom w:val="single" w:color="auto" w:sz="4" w:space="0"/>
              <w:right w:val="single" w:color="auto" w:sz="4" w:space="0"/>
            </w:tcBorders>
            <w:vAlign w:val="center"/>
          </w:tcPr>
          <w:p w14:paraId="158AF252">
            <w:pPr>
              <w:spacing w:line="400" w:lineRule="exact"/>
              <w:contextualSpacing/>
              <w:jc w:val="center"/>
              <w:rPr>
                <w:rFonts w:ascii="宋体" w:hAnsi="宋体" w:cs="仿宋_GB2312"/>
                <w:sz w:val="22"/>
                <w:szCs w:val="22"/>
              </w:rPr>
            </w:pPr>
          </w:p>
        </w:tc>
      </w:tr>
      <w:tr w14:paraId="5B2B1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2178" w:type="dxa"/>
            <w:tcBorders>
              <w:top w:val="single" w:color="auto" w:sz="4" w:space="0"/>
              <w:left w:val="single" w:color="auto" w:sz="4" w:space="0"/>
              <w:bottom w:val="single" w:color="auto" w:sz="4" w:space="0"/>
              <w:right w:val="single" w:color="auto" w:sz="4" w:space="0"/>
            </w:tcBorders>
            <w:vAlign w:val="center"/>
          </w:tcPr>
          <w:p w14:paraId="7C5DBAA8">
            <w:pPr>
              <w:spacing w:line="400" w:lineRule="exact"/>
              <w:jc w:val="center"/>
              <w:rPr>
                <w:rFonts w:ascii="宋体" w:hAnsi="宋体" w:cs="仿宋_GB2312"/>
                <w:sz w:val="22"/>
                <w:szCs w:val="22"/>
                <w:highlight w:val="none"/>
              </w:rPr>
            </w:pPr>
            <w:r>
              <w:rPr>
                <w:rFonts w:hint="eastAsia" w:ascii="宋体" w:hAnsi="宋体" w:cs="宋体"/>
                <w:color w:val="auto"/>
                <w:szCs w:val="21"/>
                <w:highlight w:val="none"/>
              </w:rPr>
              <w:t>成果交付地点</w:t>
            </w:r>
          </w:p>
        </w:tc>
        <w:tc>
          <w:tcPr>
            <w:tcW w:w="2668" w:type="dxa"/>
            <w:tcBorders>
              <w:top w:val="single" w:color="auto" w:sz="4" w:space="0"/>
              <w:left w:val="single" w:color="auto" w:sz="4" w:space="0"/>
              <w:bottom w:val="single" w:color="auto" w:sz="4" w:space="0"/>
              <w:right w:val="single" w:color="auto" w:sz="4" w:space="0"/>
            </w:tcBorders>
            <w:vAlign w:val="center"/>
          </w:tcPr>
          <w:p w14:paraId="0FE005AB">
            <w:pPr>
              <w:spacing w:line="400" w:lineRule="exact"/>
              <w:contextualSpacing/>
              <w:jc w:val="center"/>
              <w:rPr>
                <w:rFonts w:ascii="宋体" w:hAnsi="宋体" w:cs="仿宋_GB2312"/>
                <w:sz w:val="22"/>
                <w:szCs w:val="22"/>
              </w:rPr>
            </w:pPr>
          </w:p>
        </w:tc>
        <w:tc>
          <w:tcPr>
            <w:tcW w:w="2350" w:type="dxa"/>
            <w:tcBorders>
              <w:top w:val="single" w:color="auto" w:sz="4" w:space="0"/>
              <w:left w:val="single" w:color="auto" w:sz="4" w:space="0"/>
              <w:bottom w:val="single" w:color="auto" w:sz="4" w:space="0"/>
              <w:right w:val="single" w:color="auto" w:sz="4" w:space="0"/>
            </w:tcBorders>
            <w:vAlign w:val="center"/>
          </w:tcPr>
          <w:p w14:paraId="049321F4">
            <w:pPr>
              <w:spacing w:line="400" w:lineRule="exact"/>
              <w:contextualSpacing/>
              <w:jc w:val="center"/>
              <w:rPr>
                <w:rFonts w:ascii="宋体" w:hAnsi="宋体" w:cs="仿宋_GB2312"/>
                <w:sz w:val="22"/>
                <w:szCs w:val="22"/>
              </w:rPr>
            </w:pPr>
          </w:p>
        </w:tc>
        <w:tc>
          <w:tcPr>
            <w:tcW w:w="2112" w:type="dxa"/>
            <w:tcBorders>
              <w:top w:val="single" w:color="auto" w:sz="4" w:space="0"/>
              <w:left w:val="single" w:color="auto" w:sz="4" w:space="0"/>
              <w:bottom w:val="single" w:color="auto" w:sz="4" w:space="0"/>
              <w:right w:val="single" w:color="auto" w:sz="4" w:space="0"/>
            </w:tcBorders>
            <w:vAlign w:val="center"/>
          </w:tcPr>
          <w:p w14:paraId="3429FA14">
            <w:pPr>
              <w:spacing w:line="400" w:lineRule="exact"/>
              <w:contextualSpacing/>
              <w:jc w:val="center"/>
              <w:rPr>
                <w:rFonts w:ascii="宋体" w:hAnsi="宋体" w:cs="仿宋_GB2312"/>
                <w:sz w:val="22"/>
                <w:szCs w:val="22"/>
              </w:rPr>
            </w:pPr>
          </w:p>
        </w:tc>
      </w:tr>
      <w:tr w14:paraId="241EE8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178" w:type="dxa"/>
            <w:tcBorders>
              <w:top w:val="single" w:color="auto" w:sz="4" w:space="0"/>
              <w:left w:val="single" w:color="auto" w:sz="4" w:space="0"/>
              <w:bottom w:val="single" w:color="auto" w:sz="4" w:space="0"/>
              <w:right w:val="single" w:color="auto" w:sz="4" w:space="0"/>
            </w:tcBorders>
            <w:vAlign w:val="center"/>
          </w:tcPr>
          <w:p w14:paraId="2A92D7BC">
            <w:pPr>
              <w:spacing w:line="400" w:lineRule="exact"/>
              <w:jc w:val="center"/>
              <w:rPr>
                <w:rFonts w:ascii="宋体" w:hAnsi="宋体" w:cs="仿宋_GB2312"/>
                <w:sz w:val="22"/>
                <w:szCs w:val="22"/>
                <w:highlight w:val="none"/>
              </w:rPr>
            </w:pPr>
            <w:r>
              <w:rPr>
                <w:rFonts w:hint="eastAsia" w:ascii="宋体" w:hAnsi="宋体" w:cs="宋体"/>
                <w:color w:val="auto"/>
                <w:szCs w:val="21"/>
                <w:highlight w:val="none"/>
              </w:rPr>
              <w:t>合同签订期</w:t>
            </w:r>
          </w:p>
        </w:tc>
        <w:tc>
          <w:tcPr>
            <w:tcW w:w="2668" w:type="dxa"/>
            <w:tcBorders>
              <w:top w:val="single" w:color="auto" w:sz="4" w:space="0"/>
              <w:left w:val="single" w:color="auto" w:sz="4" w:space="0"/>
              <w:bottom w:val="single" w:color="auto" w:sz="4" w:space="0"/>
              <w:right w:val="single" w:color="auto" w:sz="4" w:space="0"/>
            </w:tcBorders>
            <w:vAlign w:val="center"/>
          </w:tcPr>
          <w:p w14:paraId="0ACF2AEB">
            <w:pPr>
              <w:spacing w:line="400" w:lineRule="exact"/>
              <w:contextualSpacing/>
              <w:jc w:val="center"/>
              <w:rPr>
                <w:rFonts w:ascii="宋体" w:hAnsi="宋体" w:cs="仿宋_GB2312"/>
                <w:sz w:val="22"/>
                <w:szCs w:val="22"/>
              </w:rPr>
            </w:pPr>
          </w:p>
        </w:tc>
        <w:tc>
          <w:tcPr>
            <w:tcW w:w="2350" w:type="dxa"/>
            <w:tcBorders>
              <w:top w:val="single" w:color="auto" w:sz="4" w:space="0"/>
              <w:left w:val="single" w:color="auto" w:sz="4" w:space="0"/>
              <w:bottom w:val="single" w:color="auto" w:sz="4" w:space="0"/>
              <w:right w:val="single" w:color="auto" w:sz="4" w:space="0"/>
            </w:tcBorders>
            <w:vAlign w:val="center"/>
          </w:tcPr>
          <w:p w14:paraId="1A2F9E4C">
            <w:pPr>
              <w:spacing w:line="400" w:lineRule="exact"/>
              <w:contextualSpacing/>
              <w:jc w:val="center"/>
              <w:rPr>
                <w:rFonts w:ascii="宋体" w:hAnsi="宋体" w:cs="仿宋_GB2312"/>
                <w:sz w:val="22"/>
                <w:szCs w:val="22"/>
              </w:rPr>
            </w:pPr>
          </w:p>
        </w:tc>
        <w:tc>
          <w:tcPr>
            <w:tcW w:w="2112" w:type="dxa"/>
            <w:tcBorders>
              <w:top w:val="single" w:color="auto" w:sz="4" w:space="0"/>
              <w:left w:val="single" w:color="auto" w:sz="4" w:space="0"/>
              <w:bottom w:val="single" w:color="auto" w:sz="4" w:space="0"/>
              <w:right w:val="single" w:color="auto" w:sz="4" w:space="0"/>
            </w:tcBorders>
            <w:vAlign w:val="center"/>
          </w:tcPr>
          <w:p w14:paraId="039C7AD6">
            <w:pPr>
              <w:spacing w:line="400" w:lineRule="exact"/>
              <w:contextualSpacing/>
              <w:jc w:val="center"/>
              <w:rPr>
                <w:rFonts w:ascii="宋体" w:hAnsi="宋体" w:cs="仿宋_GB2312"/>
                <w:sz w:val="22"/>
                <w:szCs w:val="22"/>
              </w:rPr>
            </w:pPr>
          </w:p>
        </w:tc>
      </w:tr>
      <w:tr w14:paraId="253D5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178" w:type="dxa"/>
            <w:tcBorders>
              <w:top w:val="single" w:color="auto" w:sz="4" w:space="0"/>
              <w:left w:val="single" w:color="auto" w:sz="4" w:space="0"/>
              <w:bottom w:val="single" w:color="auto" w:sz="4" w:space="0"/>
              <w:right w:val="single" w:color="auto" w:sz="4" w:space="0"/>
            </w:tcBorders>
            <w:vAlign w:val="center"/>
          </w:tcPr>
          <w:p w14:paraId="6A6D61E4">
            <w:pPr>
              <w:spacing w:line="400" w:lineRule="exact"/>
              <w:jc w:val="center"/>
              <w:rPr>
                <w:rFonts w:hint="default" w:ascii="宋体" w:hAnsi="宋体" w:eastAsia="宋体" w:cs="仿宋_GB2312"/>
                <w:sz w:val="22"/>
                <w:szCs w:val="22"/>
                <w:highlight w:val="none"/>
                <w:lang w:val="en-US" w:eastAsia="zh-CN"/>
              </w:rPr>
            </w:pPr>
            <w:r>
              <w:rPr>
                <w:rFonts w:hint="eastAsia" w:ascii="宋体" w:hAnsi="宋体" w:eastAsia="宋体" w:cs="宋体"/>
                <w:kern w:val="2"/>
                <w:sz w:val="22"/>
                <w:szCs w:val="22"/>
              </w:rPr>
              <w:t>……</w:t>
            </w:r>
          </w:p>
        </w:tc>
        <w:tc>
          <w:tcPr>
            <w:tcW w:w="2668" w:type="dxa"/>
            <w:tcBorders>
              <w:top w:val="single" w:color="auto" w:sz="4" w:space="0"/>
              <w:left w:val="single" w:color="auto" w:sz="4" w:space="0"/>
              <w:bottom w:val="single" w:color="auto" w:sz="4" w:space="0"/>
              <w:right w:val="single" w:color="auto" w:sz="4" w:space="0"/>
            </w:tcBorders>
            <w:vAlign w:val="center"/>
          </w:tcPr>
          <w:p w14:paraId="4C53B41E">
            <w:pPr>
              <w:spacing w:line="400" w:lineRule="exact"/>
              <w:contextualSpacing/>
              <w:jc w:val="center"/>
              <w:rPr>
                <w:rFonts w:ascii="宋体" w:hAnsi="宋体" w:cs="仿宋_GB2312"/>
                <w:sz w:val="22"/>
                <w:szCs w:val="22"/>
              </w:rPr>
            </w:pPr>
          </w:p>
        </w:tc>
        <w:tc>
          <w:tcPr>
            <w:tcW w:w="2350" w:type="dxa"/>
            <w:tcBorders>
              <w:top w:val="single" w:color="auto" w:sz="4" w:space="0"/>
              <w:left w:val="single" w:color="auto" w:sz="4" w:space="0"/>
              <w:bottom w:val="single" w:color="auto" w:sz="4" w:space="0"/>
              <w:right w:val="single" w:color="auto" w:sz="4" w:space="0"/>
            </w:tcBorders>
            <w:vAlign w:val="center"/>
          </w:tcPr>
          <w:p w14:paraId="331BBD89">
            <w:pPr>
              <w:spacing w:line="400" w:lineRule="exact"/>
              <w:contextualSpacing/>
              <w:jc w:val="center"/>
              <w:rPr>
                <w:rFonts w:ascii="宋体" w:hAnsi="宋体" w:cs="仿宋_GB2312"/>
                <w:sz w:val="22"/>
                <w:szCs w:val="22"/>
              </w:rPr>
            </w:pPr>
          </w:p>
        </w:tc>
        <w:tc>
          <w:tcPr>
            <w:tcW w:w="2112" w:type="dxa"/>
            <w:tcBorders>
              <w:top w:val="single" w:color="auto" w:sz="4" w:space="0"/>
              <w:left w:val="single" w:color="auto" w:sz="4" w:space="0"/>
              <w:bottom w:val="single" w:color="auto" w:sz="4" w:space="0"/>
              <w:right w:val="single" w:color="auto" w:sz="4" w:space="0"/>
            </w:tcBorders>
            <w:vAlign w:val="center"/>
          </w:tcPr>
          <w:p w14:paraId="50D9A830">
            <w:pPr>
              <w:spacing w:line="400" w:lineRule="exact"/>
              <w:contextualSpacing/>
              <w:jc w:val="center"/>
              <w:rPr>
                <w:rFonts w:ascii="宋体" w:hAnsi="宋体" w:cs="仿宋_GB2312"/>
                <w:sz w:val="22"/>
                <w:szCs w:val="22"/>
              </w:rPr>
            </w:pPr>
          </w:p>
        </w:tc>
      </w:tr>
    </w:tbl>
    <w:p w14:paraId="71BDF7CF">
      <w:pPr>
        <w:pStyle w:val="13"/>
        <w:spacing w:after="0" w:line="400" w:lineRule="exact"/>
        <w:contextualSpacing/>
        <w:rPr>
          <w:rFonts w:ascii="宋体" w:hAnsi="宋体"/>
          <w:kern w:val="0"/>
          <w:sz w:val="22"/>
          <w:szCs w:val="22"/>
        </w:rPr>
      </w:pPr>
      <w:r>
        <w:rPr>
          <w:rFonts w:hint="eastAsia" w:ascii="宋体" w:hAnsi="宋体"/>
          <w:kern w:val="0"/>
          <w:sz w:val="22"/>
          <w:szCs w:val="22"/>
        </w:rPr>
        <w:t>注：</w:t>
      </w:r>
    </w:p>
    <w:p w14:paraId="0C6F1851">
      <w:pPr>
        <w:pStyle w:val="13"/>
        <w:spacing w:after="0" w:line="400" w:lineRule="exact"/>
        <w:contextualSpacing/>
        <w:rPr>
          <w:rFonts w:ascii="宋体" w:hAnsi="宋体"/>
          <w:kern w:val="0"/>
          <w:sz w:val="22"/>
          <w:szCs w:val="22"/>
        </w:rPr>
      </w:pPr>
      <w:r>
        <w:rPr>
          <w:rFonts w:hint="eastAsia" w:ascii="宋体" w:hAnsi="宋体"/>
          <w:kern w:val="0"/>
          <w:sz w:val="22"/>
          <w:szCs w:val="22"/>
        </w:rPr>
        <w:t>1.说明：应对照磋商文件“第三章 采购需求”中的商务条款逐条作出明确响应，并作出偏离说明。</w:t>
      </w:r>
    </w:p>
    <w:p w14:paraId="349F4A2E">
      <w:pPr>
        <w:spacing w:line="400" w:lineRule="exact"/>
        <w:contextualSpacing/>
        <w:jc w:val="left"/>
        <w:rPr>
          <w:rFonts w:ascii="宋体" w:hAnsi="宋体" w:cs="仿宋_GB2312"/>
          <w:sz w:val="22"/>
          <w:szCs w:val="22"/>
          <w:u w:val="single"/>
        </w:rPr>
      </w:pPr>
      <w:r>
        <w:rPr>
          <w:rFonts w:hint="eastAsia" w:ascii="宋体" w:hAnsi="宋体"/>
          <w:kern w:val="0"/>
          <w:sz w:val="22"/>
          <w:szCs w:val="22"/>
        </w:rPr>
        <w:t>2.供应商应根据自身的承诺，对照磋商文件要求在“偏离说明”中注明“正偏离”、“负偏离”或者“无偏离”。既不属于“正偏离”也不属于“负偏离”即为“无偏离”。</w:t>
      </w:r>
    </w:p>
    <w:p w14:paraId="37868DB4">
      <w:pPr>
        <w:spacing w:line="400" w:lineRule="exact"/>
        <w:contextualSpacing/>
        <w:rPr>
          <w:rFonts w:ascii="宋体" w:hAnsi="宋体" w:cs="仿宋_GB2312"/>
          <w:sz w:val="22"/>
          <w:szCs w:val="22"/>
        </w:rPr>
      </w:pPr>
    </w:p>
    <w:p w14:paraId="6BA7C4B8">
      <w:pPr>
        <w:pStyle w:val="7"/>
        <w:spacing w:before="0" w:after="0" w:line="400" w:lineRule="exact"/>
      </w:pPr>
    </w:p>
    <w:p w14:paraId="3DE91EBA">
      <w:pPr>
        <w:spacing w:line="400" w:lineRule="exact"/>
        <w:contextualSpacing/>
        <w:jc w:val="center"/>
        <w:rPr>
          <w:sz w:val="22"/>
          <w:szCs w:val="22"/>
        </w:rPr>
      </w:pPr>
      <w:r>
        <w:rPr>
          <w:rFonts w:hint="eastAsia"/>
          <w:sz w:val="22"/>
          <w:szCs w:val="22"/>
        </w:rPr>
        <w:t>法定代表人或者委托代理人</w:t>
      </w:r>
      <w:r>
        <w:rPr>
          <w:rFonts w:hint="eastAsia"/>
          <w:sz w:val="22"/>
          <w:szCs w:val="22"/>
          <w:lang w:eastAsia="zh-CN"/>
        </w:rPr>
        <w:t>（签字或者电子签章）</w:t>
      </w:r>
      <w:r>
        <w:rPr>
          <w:rFonts w:hint="eastAsia"/>
          <w:sz w:val="22"/>
          <w:szCs w:val="22"/>
        </w:rPr>
        <w:t>：</w:t>
      </w:r>
      <w:r>
        <w:rPr>
          <w:rFonts w:hint="eastAsia"/>
          <w:sz w:val="22"/>
          <w:szCs w:val="22"/>
          <w:u w:val="single"/>
        </w:rPr>
        <w:t xml:space="preserve">                 </w:t>
      </w:r>
    </w:p>
    <w:p w14:paraId="20C4A33A">
      <w:pPr>
        <w:spacing w:line="400" w:lineRule="exact"/>
        <w:ind w:firstLine="3960" w:firstLineChars="1800"/>
        <w:contextualSpacing/>
        <w:rPr>
          <w:rFonts w:ascii="宋体" w:hAnsi="宋体" w:cs="宋体"/>
          <w:sz w:val="22"/>
          <w:szCs w:val="22"/>
          <w:u w:val="single"/>
        </w:rPr>
      </w:pPr>
    </w:p>
    <w:p w14:paraId="785DD7EA">
      <w:pPr>
        <w:spacing w:line="400" w:lineRule="exact"/>
        <w:ind w:firstLine="4620" w:firstLineChars="2100"/>
        <w:contextualSpacing/>
        <w:rPr>
          <w:rFonts w:ascii="宋体" w:hAnsi="宋体" w:cs="宋体"/>
          <w:sz w:val="22"/>
          <w:szCs w:val="22"/>
          <w:u w:val="single"/>
        </w:rPr>
      </w:pPr>
      <w:r>
        <w:rPr>
          <w:rFonts w:hint="eastAsia"/>
          <w:sz w:val="22"/>
          <w:szCs w:val="22"/>
        </w:rPr>
        <w:t>供应商（盖公章）：</w:t>
      </w:r>
      <w:r>
        <w:rPr>
          <w:rFonts w:hint="eastAsia"/>
          <w:sz w:val="22"/>
          <w:szCs w:val="22"/>
          <w:u w:val="single"/>
        </w:rPr>
        <w:t xml:space="preserve">                     </w:t>
      </w:r>
    </w:p>
    <w:p w14:paraId="562BC5C3">
      <w:pPr>
        <w:spacing w:line="400" w:lineRule="exact"/>
        <w:contextualSpacing/>
        <w:rPr>
          <w:rFonts w:hint="eastAsia" w:ascii="宋体" w:hAnsi="宋体" w:cs="宋体"/>
          <w:sz w:val="22"/>
          <w:szCs w:val="22"/>
        </w:rPr>
      </w:pPr>
      <w:r>
        <w:rPr>
          <w:rFonts w:hint="eastAsia" w:ascii="宋体" w:hAnsi="宋体" w:cs="宋体"/>
          <w:sz w:val="22"/>
          <w:szCs w:val="22"/>
        </w:rPr>
        <w:t xml:space="preserve">                                            </w:t>
      </w:r>
    </w:p>
    <w:p w14:paraId="0E060A45">
      <w:pPr>
        <w:spacing w:line="400" w:lineRule="exact"/>
        <w:contextualSpacing/>
        <w:jc w:val="right"/>
        <w:rPr>
          <w:rFonts w:ascii="仿宋_GB2312" w:hAnsi="仿宋_GB2312" w:eastAsia="仿宋_GB2312" w:cs="仿宋_GB2312"/>
          <w:b/>
          <w:sz w:val="32"/>
          <w:szCs w:val="32"/>
        </w:rPr>
      </w:pPr>
      <w:r>
        <w:rPr>
          <w:rFonts w:hint="eastAsia" w:ascii="宋体" w:hAnsi="宋体" w:cs="宋体"/>
          <w:sz w:val="22"/>
          <w:szCs w:val="22"/>
        </w:rPr>
        <w:t xml:space="preserve">日  期：    </w:t>
      </w:r>
      <w:r>
        <w:rPr>
          <w:rFonts w:hint="eastAsia"/>
          <w:sz w:val="22"/>
          <w:szCs w:val="22"/>
        </w:rPr>
        <w:t>年   月   日</w:t>
      </w:r>
    </w:p>
    <w:p w14:paraId="01522F5C">
      <w:pPr>
        <w:adjustRightInd w:val="0"/>
        <w:snapToGrid w:val="0"/>
        <w:spacing w:line="520" w:lineRule="exact"/>
        <w:rPr>
          <w:rFonts w:ascii="宋体" w:hAnsi="宋体" w:cs="宋体"/>
          <w:bCs/>
          <w:sz w:val="22"/>
          <w:szCs w:val="22"/>
        </w:rPr>
      </w:pPr>
    </w:p>
    <w:p w14:paraId="638B2112">
      <w:pPr>
        <w:adjustRightInd w:val="0"/>
        <w:snapToGrid w:val="0"/>
        <w:spacing w:line="400" w:lineRule="exact"/>
        <w:rPr>
          <w:rFonts w:hint="eastAsia" w:ascii="宋体" w:hAnsi="宋体" w:eastAsia="仿宋_GB2312" w:cs="宋体"/>
          <w:bCs/>
          <w:sz w:val="22"/>
          <w:szCs w:val="22"/>
          <w:lang w:val="en-US" w:eastAsia="zh-CN"/>
        </w:rPr>
      </w:pPr>
      <w:r>
        <w:rPr>
          <w:rFonts w:ascii="仿宋_GB2312" w:hAnsi="仿宋_GB2312" w:eastAsia="仿宋_GB2312" w:cs="仿宋_GB2312"/>
          <w:sz w:val="22"/>
          <w:szCs w:val="22"/>
        </w:rPr>
        <w:br w:type="page"/>
      </w:r>
      <w:r>
        <w:rPr>
          <w:rFonts w:hint="eastAsia" w:ascii="仿宋_GB2312" w:hAnsi="仿宋_GB2312" w:eastAsia="仿宋_GB2312" w:cs="仿宋_GB2312"/>
          <w:sz w:val="22"/>
          <w:szCs w:val="22"/>
          <w:lang w:val="en-US" w:eastAsia="zh-CN"/>
        </w:rPr>
        <w:t xml:space="preserve"> </w:t>
      </w:r>
    </w:p>
    <w:p w14:paraId="6656BAA8">
      <w:pPr>
        <w:adjustRightInd w:val="0"/>
        <w:snapToGrid w:val="0"/>
        <w:spacing w:line="460" w:lineRule="exact"/>
        <w:jc w:val="center"/>
        <w:rPr>
          <w:rFonts w:ascii="方正小标宋简体" w:hAnsi="方正小标宋简体" w:eastAsia="方正小标宋简体" w:cs="方正小标宋简体"/>
          <w:bCs/>
          <w:sz w:val="44"/>
          <w:szCs w:val="44"/>
        </w:rPr>
      </w:pPr>
      <w:r>
        <w:rPr>
          <w:rFonts w:hint="eastAsia" w:ascii="宋体" w:hAnsi="宋体" w:cs="宋体"/>
          <w:bCs/>
          <w:sz w:val="32"/>
          <w:szCs w:val="32"/>
        </w:rPr>
        <w:t>技术需求偏离表</w:t>
      </w:r>
    </w:p>
    <w:p w14:paraId="542A2CC9">
      <w:pPr>
        <w:spacing w:line="400" w:lineRule="exact"/>
        <w:rPr>
          <w:rFonts w:ascii="宋体" w:hAnsi="宋体" w:cs="宋体"/>
          <w:sz w:val="22"/>
          <w:szCs w:val="22"/>
        </w:rPr>
      </w:pPr>
    </w:p>
    <w:p w14:paraId="48FE9ACB">
      <w:pPr>
        <w:spacing w:line="400" w:lineRule="exact"/>
        <w:contextualSpacing/>
        <w:rPr>
          <w:rFonts w:ascii="宋体" w:hAnsi="宋体" w:cs="宋体"/>
          <w:sz w:val="22"/>
          <w:szCs w:val="22"/>
          <w:u w:val="single"/>
        </w:rPr>
      </w:pPr>
      <w:r>
        <w:rPr>
          <w:rFonts w:hint="eastAsia" w:ascii="宋体" w:hAnsi="宋体" w:cs="宋体"/>
          <w:sz w:val="22"/>
          <w:szCs w:val="22"/>
        </w:rPr>
        <w:t>采购项目编号：</w:t>
      </w:r>
      <w:r>
        <w:rPr>
          <w:rFonts w:hint="eastAsia" w:ascii="宋体" w:hAnsi="宋体" w:cs="宋体"/>
          <w:sz w:val="22"/>
          <w:szCs w:val="22"/>
          <w:u w:val="single"/>
        </w:rPr>
        <w:t xml:space="preserve">                 </w:t>
      </w:r>
    </w:p>
    <w:p w14:paraId="66F032DA">
      <w:pPr>
        <w:spacing w:line="400" w:lineRule="exact"/>
        <w:contextualSpacing/>
        <w:rPr>
          <w:rFonts w:ascii="宋体" w:hAnsi="宋体" w:cs="宋体"/>
          <w:sz w:val="22"/>
          <w:szCs w:val="22"/>
        </w:rPr>
      </w:pPr>
      <w:r>
        <w:rPr>
          <w:rFonts w:hint="eastAsia" w:ascii="宋体" w:hAnsi="宋体" w:cs="宋体"/>
          <w:sz w:val="22"/>
          <w:szCs w:val="22"/>
        </w:rPr>
        <w:t>采购项目名称：</w:t>
      </w:r>
      <w:r>
        <w:rPr>
          <w:rFonts w:hint="eastAsia" w:ascii="宋体" w:hAnsi="宋体" w:cs="宋体"/>
          <w:sz w:val="22"/>
          <w:szCs w:val="22"/>
          <w:u w:val="single"/>
        </w:rPr>
        <w:t xml:space="preserve">                 </w:t>
      </w:r>
    </w:p>
    <w:p w14:paraId="3E2FDC9B">
      <w:pPr>
        <w:spacing w:line="400" w:lineRule="exact"/>
        <w:contextualSpacing/>
        <w:rPr>
          <w:rFonts w:ascii="宋体" w:hAnsi="宋体" w:cs="宋体"/>
          <w:sz w:val="22"/>
          <w:szCs w:val="22"/>
          <w:u w:val="single"/>
        </w:rPr>
      </w:pPr>
      <w:r>
        <w:rPr>
          <w:rFonts w:hint="eastAsia" w:ascii="宋体" w:hAnsi="宋体" w:cs="宋体"/>
          <w:sz w:val="22"/>
          <w:szCs w:val="22"/>
        </w:rPr>
        <w:t>分标：</w:t>
      </w:r>
      <w:r>
        <w:rPr>
          <w:rFonts w:hint="eastAsia" w:ascii="宋体" w:hAnsi="宋体" w:cs="宋体"/>
          <w:sz w:val="22"/>
          <w:szCs w:val="22"/>
          <w:u w:val="single"/>
        </w:rPr>
        <w:t xml:space="preserve">                 </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2"/>
        <w:gridCol w:w="1397"/>
        <w:gridCol w:w="3091"/>
        <w:gridCol w:w="3089"/>
        <w:gridCol w:w="1131"/>
      </w:tblGrid>
      <w:tr w14:paraId="59B299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68" w:type="pct"/>
            <w:vAlign w:val="center"/>
          </w:tcPr>
          <w:p w14:paraId="625AB039">
            <w:pPr>
              <w:pStyle w:val="15"/>
              <w:spacing w:line="400" w:lineRule="exact"/>
              <w:ind w:firstLine="0" w:firstLineChars="0"/>
              <w:contextualSpacing/>
              <w:jc w:val="center"/>
              <w:rPr>
                <w:rFonts w:ascii="宋体" w:hAnsi="宋体" w:eastAsia="宋体" w:cs="宋体"/>
                <w:kern w:val="2"/>
                <w:sz w:val="22"/>
                <w:szCs w:val="22"/>
              </w:rPr>
            </w:pPr>
            <w:bookmarkStart w:id="33" w:name="_Toc254970729"/>
            <w:bookmarkStart w:id="34" w:name="_Toc297193185"/>
            <w:bookmarkStart w:id="35" w:name="_Toc383699906"/>
            <w:bookmarkStart w:id="36" w:name="_Toc301781611"/>
            <w:bookmarkStart w:id="37" w:name="_Toc295404981"/>
            <w:bookmarkStart w:id="38" w:name="_Toc173211900"/>
            <w:bookmarkStart w:id="39" w:name="_Toc254970588"/>
            <w:bookmarkStart w:id="40" w:name="_Toc373333689"/>
            <w:bookmarkStart w:id="41" w:name="_Toc173066401"/>
            <w:r>
              <w:rPr>
                <w:rFonts w:hint="eastAsia" w:ascii="宋体" w:hAnsi="宋体" w:eastAsia="宋体" w:cs="宋体"/>
                <w:kern w:val="2"/>
                <w:sz w:val="22"/>
                <w:szCs w:val="22"/>
              </w:rPr>
              <w:t>序号</w:t>
            </w:r>
            <w:bookmarkEnd w:id="33"/>
            <w:bookmarkEnd w:id="34"/>
            <w:bookmarkEnd w:id="35"/>
            <w:bookmarkEnd w:id="36"/>
            <w:bookmarkEnd w:id="37"/>
            <w:bookmarkEnd w:id="38"/>
            <w:bookmarkEnd w:id="39"/>
            <w:bookmarkEnd w:id="40"/>
            <w:bookmarkEnd w:id="41"/>
          </w:p>
        </w:tc>
        <w:tc>
          <w:tcPr>
            <w:tcW w:w="743" w:type="pct"/>
            <w:tcBorders>
              <w:right w:val="single" w:color="auto" w:sz="4" w:space="0"/>
            </w:tcBorders>
            <w:vAlign w:val="center"/>
          </w:tcPr>
          <w:p w14:paraId="5686BD6D">
            <w:pPr>
              <w:pStyle w:val="15"/>
              <w:spacing w:line="400" w:lineRule="exact"/>
              <w:ind w:firstLine="0" w:firstLineChars="0"/>
              <w:contextualSpacing/>
              <w:jc w:val="center"/>
              <w:rPr>
                <w:rFonts w:ascii="宋体" w:hAnsi="宋体" w:eastAsia="宋体" w:cs="宋体"/>
                <w:kern w:val="2"/>
                <w:sz w:val="22"/>
                <w:szCs w:val="22"/>
              </w:rPr>
            </w:pPr>
            <w:r>
              <w:rPr>
                <w:rFonts w:hint="eastAsia" w:ascii="宋体" w:hAnsi="宋体" w:eastAsia="宋体" w:cs="宋体"/>
                <w:kern w:val="2"/>
                <w:sz w:val="22"/>
                <w:szCs w:val="22"/>
              </w:rPr>
              <w:t>名称</w:t>
            </w:r>
          </w:p>
        </w:tc>
        <w:tc>
          <w:tcPr>
            <w:tcW w:w="1644" w:type="pct"/>
            <w:tcBorders>
              <w:left w:val="single" w:color="auto" w:sz="4" w:space="0"/>
            </w:tcBorders>
            <w:vAlign w:val="center"/>
          </w:tcPr>
          <w:p w14:paraId="63A8DE83">
            <w:pPr>
              <w:pStyle w:val="15"/>
              <w:spacing w:line="400" w:lineRule="exact"/>
              <w:ind w:firstLine="0" w:firstLineChars="0"/>
              <w:contextualSpacing/>
              <w:jc w:val="center"/>
              <w:rPr>
                <w:rFonts w:ascii="宋体" w:hAnsi="宋体" w:eastAsia="宋体" w:cs="宋体"/>
                <w:kern w:val="2"/>
                <w:sz w:val="22"/>
                <w:szCs w:val="22"/>
              </w:rPr>
            </w:pPr>
            <w:r>
              <w:rPr>
                <w:rFonts w:hint="eastAsia" w:ascii="宋体" w:hAnsi="宋体" w:eastAsia="宋体" w:cs="宋体"/>
                <w:kern w:val="2"/>
                <w:sz w:val="22"/>
                <w:szCs w:val="22"/>
              </w:rPr>
              <w:t>磋商文件服务需求</w:t>
            </w:r>
          </w:p>
        </w:tc>
        <w:tc>
          <w:tcPr>
            <w:tcW w:w="1643" w:type="pct"/>
            <w:vAlign w:val="center"/>
          </w:tcPr>
          <w:p w14:paraId="39016A4F">
            <w:pPr>
              <w:pStyle w:val="15"/>
              <w:spacing w:line="400" w:lineRule="exact"/>
              <w:ind w:firstLine="0" w:firstLineChars="0"/>
              <w:contextualSpacing/>
              <w:jc w:val="center"/>
              <w:rPr>
                <w:rFonts w:ascii="宋体" w:hAnsi="宋体" w:eastAsia="宋体" w:cs="宋体"/>
                <w:kern w:val="2"/>
                <w:sz w:val="22"/>
                <w:szCs w:val="22"/>
              </w:rPr>
            </w:pPr>
            <w:r>
              <w:rPr>
                <w:rFonts w:hint="eastAsia" w:ascii="宋体" w:hAnsi="宋体" w:eastAsia="宋体" w:cs="宋体"/>
                <w:kern w:val="2"/>
                <w:sz w:val="22"/>
                <w:szCs w:val="22"/>
              </w:rPr>
              <w:t>磋商响应</w:t>
            </w:r>
          </w:p>
        </w:tc>
        <w:tc>
          <w:tcPr>
            <w:tcW w:w="601" w:type="pct"/>
            <w:vAlign w:val="center"/>
          </w:tcPr>
          <w:p w14:paraId="22B01A99">
            <w:pPr>
              <w:pStyle w:val="15"/>
              <w:spacing w:line="400" w:lineRule="exact"/>
              <w:ind w:firstLine="0" w:firstLineChars="0"/>
              <w:contextualSpacing/>
              <w:jc w:val="center"/>
              <w:rPr>
                <w:rFonts w:ascii="宋体" w:hAnsi="宋体" w:eastAsia="宋体" w:cs="宋体"/>
                <w:kern w:val="2"/>
                <w:sz w:val="22"/>
                <w:szCs w:val="22"/>
              </w:rPr>
            </w:pPr>
            <w:bookmarkStart w:id="42" w:name="_Toc383699909"/>
            <w:bookmarkStart w:id="43" w:name="_Toc254970732"/>
            <w:bookmarkStart w:id="44" w:name="_Toc173211903"/>
            <w:bookmarkStart w:id="45" w:name="_Toc301781614"/>
            <w:bookmarkStart w:id="46" w:name="_Toc173066404"/>
            <w:bookmarkStart w:id="47" w:name="_Toc373333692"/>
            <w:bookmarkStart w:id="48" w:name="_Toc295404984"/>
            <w:bookmarkStart w:id="49" w:name="_Toc254970591"/>
            <w:bookmarkStart w:id="50" w:name="_Toc297193188"/>
            <w:r>
              <w:rPr>
                <w:rFonts w:hint="eastAsia" w:ascii="宋体" w:hAnsi="宋体" w:eastAsia="宋体" w:cs="宋体"/>
                <w:kern w:val="2"/>
                <w:sz w:val="22"/>
                <w:szCs w:val="22"/>
              </w:rPr>
              <w:t>偏离</w:t>
            </w:r>
            <w:bookmarkEnd w:id="42"/>
            <w:bookmarkEnd w:id="43"/>
            <w:bookmarkEnd w:id="44"/>
            <w:bookmarkEnd w:id="45"/>
            <w:bookmarkEnd w:id="46"/>
            <w:bookmarkEnd w:id="47"/>
            <w:bookmarkEnd w:id="48"/>
            <w:bookmarkEnd w:id="49"/>
            <w:bookmarkEnd w:id="50"/>
            <w:bookmarkStart w:id="51" w:name="_Toc254970592"/>
            <w:bookmarkStart w:id="52" w:name="_Toc173066405"/>
            <w:bookmarkStart w:id="53" w:name="_Toc295404985"/>
            <w:bookmarkStart w:id="54" w:name="_Toc373333693"/>
            <w:bookmarkStart w:id="55" w:name="_Toc383699910"/>
            <w:bookmarkStart w:id="56" w:name="_Toc173211904"/>
            <w:bookmarkStart w:id="57" w:name="_Toc297193189"/>
            <w:bookmarkStart w:id="58" w:name="_Toc254970733"/>
            <w:bookmarkStart w:id="59" w:name="_Toc301781615"/>
            <w:r>
              <w:rPr>
                <w:rFonts w:hint="eastAsia" w:ascii="宋体" w:hAnsi="宋体" w:eastAsia="宋体" w:cs="宋体"/>
                <w:kern w:val="2"/>
                <w:sz w:val="22"/>
                <w:szCs w:val="22"/>
              </w:rPr>
              <w:t>说明</w:t>
            </w:r>
            <w:bookmarkEnd w:id="51"/>
            <w:bookmarkEnd w:id="52"/>
            <w:bookmarkEnd w:id="53"/>
            <w:bookmarkEnd w:id="54"/>
            <w:bookmarkEnd w:id="55"/>
            <w:bookmarkEnd w:id="56"/>
            <w:bookmarkEnd w:id="57"/>
            <w:bookmarkEnd w:id="58"/>
            <w:bookmarkEnd w:id="59"/>
          </w:p>
        </w:tc>
      </w:tr>
      <w:tr w14:paraId="5A5D3B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68" w:type="pct"/>
            <w:vAlign w:val="center"/>
          </w:tcPr>
          <w:p w14:paraId="58697F4D">
            <w:pPr>
              <w:pStyle w:val="15"/>
              <w:spacing w:line="400" w:lineRule="exact"/>
              <w:ind w:firstLine="0" w:firstLineChars="0"/>
              <w:contextualSpacing/>
              <w:jc w:val="center"/>
              <w:rPr>
                <w:rFonts w:ascii="宋体" w:hAnsi="宋体" w:eastAsia="宋体" w:cs="宋体"/>
                <w:kern w:val="2"/>
                <w:sz w:val="22"/>
                <w:szCs w:val="22"/>
              </w:rPr>
            </w:pPr>
            <w:bookmarkStart w:id="60" w:name="_Toc295404986"/>
            <w:bookmarkStart w:id="61" w:name="_Toc173211905"/>
            <w:bookmarkStart w:id="62" w:name="_Toc301781616"/>
            <w:bookmarkStart w:id="63" w:name="_Toc373333694"/>
            <w:bookmarkStart w:id="64" w:name="_Toc254970593"/>
            <w:bookmarkStart w:id="65" w:name="_Toc173066406"/>
            <w:bookmarkStart w:id="66" w:name="_Toc254970734"/>
            <w:bookmarkStart w:id="67" w:name="_Toc383699911"/>
            <w:bookmarkStart w:id="68" w:name="_Toc297193190"/>
            <w:r>
              <w:rPr>
                <w:rFonts w:hint="eastAsia" w:ascii="宋体" w:hAnsi="宋体" w:eastAsia="宋体" w:cs="宋体"/>
                <w:kern w:val="2"/>
                <w:sz w:val="22"/>
                <w:szCs w:val="22"/>
              </w:rPr>
              <w:t>1</w:t>
            </w:r>
            <w:bookmarkEnd w:id="60"/>
            <w:bookmarkEnd w:id="61"/>
            <w:bookmarkEnd w:id="62"/>
            <w:bookmarkEnd w:id="63"/>
            <w:bookmarkEnd w:id="64"/>
            <w:bookmarkEnd w:id="65"/>
            <w:bookmarkEnd w:id="66"/>
            <w:bookmarkEnd w:id="67"/>
            <w:bookmarkEnd w:id="68"/>
          </w:p>
        </w:tc>
        <w:tc>
          <w:tcPr>
            <w:tcW w:w="743" w:type="pct"/>
            <w:tcBorders>
              <w:right w:val="single" w:color="auto" w:sz="4" w:space="0"/>
            </w:tcBorders>
            <w:vAlign w:val="center"/>
          </w:tcPr>
          <w:p w14:paraId="6525AC0A">
            <w:pPr>
              <w:pStyle w:val="15"/>
              <w:spacing w:line="400" w:lineRule="exact"/>
              <w:ind w:firstLine="0" w:firstLineChars="0"/>
              <w:contextualSpacing/>
              <w:jc w:val="center"/>
              <w:rPr>
                <w:rFonts w:ascii="宋体" w:hAnsi="宋体" w:eastAsia="宋体" w:cs="宋体"/>
                <w:kern w:val="2"/>
                <w:sz w:val="22"/>
                <w:szCs w:val="22"/>
              </w:rPr>
            </w:pPr>
          </w:p>
        </w:tc>
        <w:tc>
          <w:tcPr>
            <w:tcW w:w="1644" w:type="pct"/>
            <w:tcBorders>
              <w:left w:val="single" w:color="auto" w:sz="4" w:space="0"/>
            </w:tcBorders>
            <w:vAlign w:val="center"/>
          </w:tcPr>
          <w:p w14:paraId="40A32D03">
            <w:pPr>
              <w:pStyle w:val="15"/>
              <w:spacing w:line="400" w:lineRule="exact"/>
              <w:ind w:firstLine="0" w:firstLineChars="0"/>
              <w:contextualSpacing/>
              <w:jc w:val="center"/>
              <w:rPr>
                <w:rFonts w:ascii="宋体" w:hAnsi="宋体" w:eastAsia="宋体" w:cs="宋体"/>
                <w:kern w:val="2"/>
                <w:sz w:val="22"/>
                <w:szCs w:val="22"/>
              </w:rPr>
            </w:pPr>
          </w:p>
        </w:tc>
        <w:tc>
          <w:tcPr>
            <w:tcW w:w="1643" w:type="pct"/>
            <w:vAlign w:val="center"/>
          </w:tcPr>
          <w:p w14:paraId="6901680D">
            <w:pPr>
              <w:pStyle w:val="15"/>
              <w:spacing w:line="400" w:lineRule="exact"/>
              <w:ind w:firstLine="0" w:firstLineChars="0"/>
              <w:contextualSpacing/>
              <w:jc w:val="center"/>
              <w:rPr>
                <w:rFonts w:ascii="宋体" w:hAnsi="宋体" w:eastAsia="宋体" w:cs="宋体"/>
                <w:kern w:val="2"/>
                <w:sz w:val="22"/>
                <w:szCs w:val="22"/>
              </w:rPr>
            </w:pPr>
          </w:p>
        </w:tc>
        <w:tc>
          <w:tcPr>
            <w:tcW w:w="601" w:type="pct"/>
            <w:vAlign w:val="center"/>
          </w:tcPr>
          <w:p w14:paraId="3293DF1F">
            <w:pPr>
              <w:pStyle w:val="15"/>
              <w:spacing w:line="400" w:lineRule="exact"/>
              <w:ind w:firstLine="0" w:firstLineChars="0"/>
              <w:contextualSpacing/>
              <w:jc w:val="center"/>
              <w:rPr>
                <w:rFonts w:ascii="宋体" w:hAnsi="宋体" w:eastAsia="宋体" w:cs="宋体"/>
                <w:kern w:val="2"/>
                <w:sz w:val="22"/>
                <w:szCs w:val="22"/>
              </w:rPr>
            </w:pPr>
          </w:p>
        </w:tc>
      </w:tr>
      <w:tr w14:paraId="665978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68" w:type="pct"/>
            <w:vAlign w:val="center"/>
          </w:tcPr>
          <w:p w14:paraId="4AAEFB14">
            <w:pPr>
              <w:pStyle w:val="15"/>
              <w:spacing w:line="400" w:lineRule="exact"/>
              <w:ind w:firstLine="0" w:firstLineChars="0"/>
              <w:contextualSpacing/>
              <w:jc w:val="center"/>
              <w:rPr>
                <w:rFonts w:ascii="宋体" w:hAnsi="宋体" w:eastAsia="宋体" w:cs="宋体"/>
                <w:kern w:val="2"/>
                <w:sz w:val="22"/>
                <w:szCs w:val="22"/>
              </w:rPr>
            </w:pPr>
            <w:bookmarkStart w:id="69" w:name="_Toc383699912"/>
            <w:bookmarkStart w:id="70" w:name="_Toc254970735"/>
            <w:bookmarkStart w:id="71" w:name="_Toc173066407"/>
            <w:bookmarkStart w:id="72" w:name="_Toc301781617"/>
            <w:bookmarkStart w:id="73" w:name="_Toc173211906"/>
            <w:bookmarkStart w:id="74" w:name="_Toc373333695"/>
            <w:bookmarkStart w:id="75" w:name="_Toc295404987"/>
            <w:bookmarkStart w:id="76" w:name="_Toc254970594"/>
            <w:bookmarkStart w:id="77" w:name="_Toc297193191"/>
            <w:r>
              <w:rPr>
                <w:rFonts w:hint="eastAsia" w:ascii="宋体" w:hAnsi="宋体" w:eastAsia="宋体" w:cs="宋体"/>
                <w:kern w:val="2"/>
                <w:sz w:val="22"/>
                <w:szCs w:val="22"/>
              </w:rPr>
              <w:t>2</w:t>
            </w:r>
            <w:bookmarkEnd w:id="69"/>
            <w:bookmarkEnd w:id="70"/>
            <w:bookmarkEnd w:id="71"/>
            <w:bookmarkEnd w:id="72"/>
            <w:bookmarkEnd w:id="73"/>
            <w:bookmarkEnd w:id="74"/>
            <w:bookmarkEnd w:id="75"/>
            <w:bookmarkEnd w:id="76"/>
            <w:bookmarkEnd w:id="77"/>
          </w:p>
        </w:tc>
        <w:tc>
          <w:tcPr>
            <w:tcW w:w="743" w:type="pct"/>
            <w:tcBorders>
              <w:right w:val="single" w:color="auto" w:sz="4" w:space="0"/>
            </w:tcBorders>
            <w:vAlign w:val="center"/>
          </w:tcPr>
          <w:p w14:paraId="109598C5">
            <w:pPr>
              <w:pStyle w:val="15"/>
              <w:spacing w:line="400" w:lineRule="exact"/>
              <w:ind w:firstLine="0" w:firstLineChars="0"/>
              <w:contextualSpacing/>
              <w:jc w:val="center"/>
              <w:rPr>
                <w:rFonts w:ascii="宋体" w:hAnsi="宋体" w:eastAsia="宋体" w:cs="宋体"/>
                <w:kern w:val="2"/>
                <w:sz w:val="22"/>
                <w:szCs w:val="22"/>
              </w:rPr>
            </w:pPr>
          </w:p>
        </w:tc>
        <w:tc>
          <w:tcPr>
            <w:tcW w:w="1644" w:type="pct"/>
            <w:tcBorders>
              <w:left w:val="single" w:color="auto" w:sz="4" w:space="0"/>
            </w:tcBorders>
            <w:vAlign w:val="center"/>
          </w:tcPr>
          <w:p w14:paraId="4BD92ED9">
            <w:pPr>
              <w:pStyle w:val="15"/>
              <w:spacing w:line="400" w:lineRule="exact"/>
              <w:ind w:firstLine="0" w:firstLineChars="0"/>
              <w:contextualSpacing/>
              <w:jc w:val="center"/>
              <w:rPr>
                <w:rFonts w:ascii="宋体" w:hAnsi="宋体" w:eastAsia="宋体" w:cs="宋体"/>
                <w:kern w:val="2"/>
                <w:sz w:val="22"/>
                <w:szCs w:val="22"/>
              </w:rPr>
            </w:pPr>
          </w:p>
        </w:tc>
        <w:tc>
          <w:tcPr>
            <w:tcW w:w="1643" w:type="pct"/>
            <w:vAlign w:val="center"/>
          </w:tcPr>
          <w:p w14:paraId="088EF485">
            <w:pPr>
              <w:pStyle w:val="15"/>
              <w:spacing w:line="400" w:lineRule="exact"/>
              <w:ind w:firstLine="0" w:firstLineChars="0"/>
              <w:contextualSpacing/>
              <w:jc w:val="center"/>
              <w:rPr>
                <w:rFonts w:ascii="宋体" w:hAnsi="宋体" w:eastAsia="宋体" w:cs="宋体"/>
                <w:kern w:val="2"/>
                <w:sz w:val="22"/>
                <w:szCs w:val="22"/>
              </w:rPr>
            </w:pPr>
          </w:p>
        </w:tc>
        <w:tc>
          <w:tcPr>
            <w:tcW w:w="601" w:type="pct"/>
            <w:vAlign w:val="center"/>
          </w:tcPr>
          <w:p w14:paraId="3C664D3E">
            <w:pPr>
              <w:pStyle w:val="15"/>
              <w:spacing w:line="400" w:lineRule="exact"/>
              <w:ind w:firstLine="0" w:firstLineChars="0"/>
              <w:contextualSpacing/>
              <w:jc w:val="center"/>
              <w:rPr>
                <w:rFonts w:ascii="宋体" w:hAnsi="宋体" w:eastAsia="宋体" w:cs="宋体"/>
                <w:kern w:val="2"/>
                <w:sz w:val="22"/>
                <w:szCs w:val="22"/>
              </w:rPr>
            </w:pPr>
          </w:p>
        </w:tc>
      </w:tr>
      <w:tr w14:paraId="333BC8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68" w:type="pct"/>
            <w:vAlign w:val="center"/>
          </w:tcPr>
          <w:p w14:paraId="320CB436">
            <w:pPr>
              <w:pStyle w:val="15"/>
              <w:spacing w:line="400" w:lineRule="exact"/>
              <w:ind w:firstLine="0" w:firstLineChars="0"/>
              <w:contextualSpacing/>
              <w:jc w:val="center"/>
              <w:rPr>
                <w:rFonts w:ascii="宋体" w:hAnsi="宋体" w:eastAsia="宋体" w:cs="宋体"/>
                <w:kern w:val="2"/>
                <w:sz w:val="22"/>
                <w:szCs w:val="22"/>
              </w:rPr>
            </w:pPr>
            <w:bookmarkStart w:id="78" w:name="_Toc301781618"/>
            <w:bookmarkStart w:id="79" w:name="_Toc383699913"/>
            <w:bookmarkStart w:id="80" w:name="_Toc254970595"/>
            <w:bookmarkStart w:id="81" w:name="_Toc373333696"/>
            <w:bookmarkStart w:id="82" w:name="_Toc173066408"/>
            <w:bookmarkStart w:id="83" w:name="_Toc295404988"/>
            <w:bookmarkStart w:id="84" w:name="_Toc173211907"/>
            <w:bookmarkStart w:id="85" w:name="_Toc254970736"/>
            <w:bookmarkStart w:id="86" w:name="_Toc297193192"/>
            <w:r>
              <w:rPr>
                <w:rFonts w:hint="eastAsia" w:ascii="宋体" w:hAnsi="宋体" w:eastAsia="宋体" w:cs="宋体"/>
                <w:kern w:val="2"/>
                <w:sz w:val="22"/>
                <w:szCs w:val="22"/>
              </w:rPr>
              <w:t>3</w:t>
            </w:r>
            <w:bookmarkEnd w:id="78"/>
            <w:bookmarkEnd w:id="79"/>
            <w:bookmarkEnd w:id="80"/>
            <w:bookmarkEnd w:id="81"/>
            <w:bookmarkEnd w:id="82"/>
            <w:bookmarkEnd w:id="83"/>
            <w:bookmarkEnd w:id="84"/>
            <w:bookmarkEnd w:id="85"/>
            <w:bookmarkEnd w:id="86"/>
          </w:p>
        </w:tc>
        <w:tc>
          <w:tcPr>
            <w:tcW w:w="743" w:type="pct"/>
            <w:tcBorders>
              <w:right w:val="single" w:color="auto" w:sz="4" w:space="0"/>
            </w:tcBorders>
            <w:vAlign w:val="center"/>
          </w:tcPr>
          <w:p w14:paraId="4011C9BE">
            <w:pPr>
              <w:pStyle w:val="15"/>
              <w:spacing w:line="400" w:lineRule="exact"/>
              <w:ind w:firstLine="0" w:firstLineChars="0"/>
              <w:contextualSpacing/>
              <w:jc w:val="center"/>
              <w:rPr>
                <w:rFonts w:ascii="宋体" w:hAnsi="宋体" w:eastAsia="宋体" w:cs="宋体"/>
                <w:kern w:val="2"/>
                <w:sz w:val="22"/>
                <w:szCs w:val="22"/>
              </w:rPr>
            </w:pPr>
            <w:r>
              <w:rPr>
                <w:rFonts w:hint="eastAsia" w:ascii="宋体" w:hAnsi="宋体" w:eastAsia="宋体" w:cs="宋体"/>
                <w:kern w:val="2"/>
                <w:sz w:val="22"/>
                <w:szCs w:val="22"/>
              </w:rPr>
              <w:t>……</w:t>
            </w:r>
          </w:p>
        </w:tc>
        <w:tc>
          <w:tcPr>
            <w:tcW w:w="1644" w:type="pct"/>
            <w:tcBorders>
              <w:left w:val="single" w:color="auto" w:sz="4" w:space="0"/>
            </w:tcBorders>
            <w:vAlign w:val="center"/>
          </w:tcPr>
          <w:p w14:paraId="0B342A73">
            <w:pPr>
              <w:pStyle w:val="15"/>
              <w:spacing w:line="400" w:lineRule="exact"/>
              <w:ind w:firstLine="0" w:firstLineChars="0"/>
              <w:contextualSpacing/>
              <w:jc w:val="center"/>
              <w:rPr>
                <w:rFonts w:ascii="宋体" w:hAnsi="宋体" w:eastAsia="宋体" w:cs="宋体"/>
                <w:kern w:val="2"/>
                <w:sz w:val="22"/>
                <w:szCs w:val="22"/>
              </w:rPr>
            </w:pPr>
          </w:p>
        </w:tc>
        <w:tc>
          <w:tcPr>
            <w:tcW w:w="1643" w:type="pct"/>
            <w:vAlign w:val="center"/>
          </w:tcPr>
          <w:p w14:paraId="7DA71FD1">
            <w:pPr>
              <w:pStyle w:val="15"/>
              <w:spacing w:line="400" w:lineRule="exact"/>
              <w:ind w:firstLine="0" w:firstLineChars="0"/>
              <w:contextualSpacing/>
              <w:jc w:val="center"/>
              <w:rPr>
                <w:rFonts w:ascii="宋体" w:hAnsi="宋体" w:eastAsia="宋体" w:cs="宋体"/>
                <w:kern w:val="2"/>
                <w:sz w:val="22"/>
                <w:szCs w:val="22"/>
              </w:rPr>
            </w:pPr>
          </w:p>
        </w:tc>
        <w:tc>
          <w:tcPr>
            <w:tcW w:w="601" w:type="pct"/>
            <w:vAlign w:val="center"/>
          </w:tcPr>
          <w:p w14:paraId="0DC9C93C">
            <w:pPr>
              <w:pStyle w:val="15"/>
              <w:spacing w:line="400" w:lineRule="exact"/>
              <w:ind w:firstLine="0" w:firstLineChars="0"/>
              <w:contextualSpacing/>
              <w:jc w:val="center"/>
              <w:rPr>
                <w:rFonts w:ascii="宋体" w:hAnsi="宋体" w:eastAsia="宋体" w:cs="宋体"/>
                <w:kern w:val="2"/>
                <w:sz w:val="22"/>
                <w:szCs w:val="22"/>
              </w:rPr>
            </w:pPr>
          </w:p>
        </w:tc>
      </w:tr>
      <w:tr w14:paraId="3E443A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68" w:type="pct"/>
            <w:vAlign w:val="center"/>
          </w:tcPr>
          <w:p w14:paraId="33D9CE20">
            <w:pPr>
              <w:pStyle w:val="15"/>
              <w:spacing w:line="400" w:lineRule="exact"/>
              <w:ind w:firstLine="0" w:firstLineChars="0"/>
              <w:contextualSpacing/>
              <w:jc w:val="center"/>
              <w:rPr>
                <w:rFonts w:ascii="宋体" w:hAnsi="宋体" w:eastAsia="宋体" w:cs="宋体"/>
                <w:kern w:val="2"/>
                <w:sz w:val="22"/>
                <w:szCs w:val="22"/>
              </w:rPr>
            </w:pPr>
            <w:bookmarkStart w:id="87" w:name="_Toc383699914"/>
            <w:bookmarkStart w:id="88" w:name="_Toc373333697"/>
            <w:bookmarkStart w:id="89" w:name="_Toc254970737"/>
            <w:bookmarkStart w:id="90" w:name="_Toc295404989"/>
            <w:bookmarkStart w:id="91" w:name="_Toc297193193"/>
            <w:bookmarkStart w:id="92" w:name="_Toc301781619"/>
            <w:bookmarkStart w:id="93" w:name="_Toc254970596"/>
            <w:bookmarkStart w:id="94" w:name="_Toc173066409"/>
            <w:bookmarkStart w:id="95" w:name="_Toc173211908"/>
            <w:r>
              <w:rPr>
                <w:rFonts w:hint="eastAsia" w:ascii="宋体" w:hAnsi="宋体" w:eastAsia="宋体" w:cs="宋体"/>
                <w:kern w:val="2"/>
                <w:sz w:val="22"/>
                <w:szCs w:val="22"/>
              </w:rPr>
              <w:t>4</w:t>
            </w:r>
            <w:bookmarkEnd w:id="87"/>
            <w:bookmarkEnd w:id="88"/>
            <w:bookmarkEnd w:id="89"/>
            <w:bookmarkEnd w:id="90"/>
            <w:bookmarkEnd w:id="91"/>
            <w:bookmarkEnd w:id="92"/>
            <w:bookmarkEnd w:id="93"/>
            <w:bookmarkEnd w:id="94"/>
            <w:bookmarkEnd w:id="95"/>
          </w:p>
        </w:tc>
        <w:tc>
          <w:tcPr>
            <w:tcW w:w="743" w:type="pct"/>
            <w:tcBorders>
              <w:right w:val="single" w:color="auto" w:sz="4" w:space="0"/>
            </w:tcBorders>
            <w:vAlign w:val="center"/>
          </w:tcPr>
          <w:p w14:paraId="01F69603">
            <w:pPr>
              <w:pStyle w:val="15"/>
              <w:spacing w:line="400" w:lineRule="exact"/>
              <w:ind w:firstLine="0" w:firstLineChars="0"/>
              <w:contextualSpacing/>
              <w:jc w:val="center"/>
              <w:rPr>
                <w:rFonts w:ascii="宋体" w:hAnsi="宋体" w:eastAsia="宋体" w:cs="宋体"/>
                <w:kern w:val="2"/>
                <w:sz w:val="22"/>
                <w:szCs w:val="22"/>
              </w:rPr>
            </w:pPr>
            <w:r>
              <w:rPr>
                <w:rFonts w:hint="eastAsia" w:ascii="宋体" w:hAnsi="宋体" w:eastAsia="宋体" w:cs="宋体"/>
                <w:kern w:val="2"/>
                <w:sz w:val="22"/>
                <w:szCs w:val="22"/>
              </w:rPr>
              <w:t>……</w:t>
            </w:r>
          </w:p>
        </w:tc>
        <w:tc>
          <w:tcPr>
            <w:tcW w:w="1644" w:type="pct"/>
            <w:tcBorders>
              <w:left w:val="single" w:color="auto" w:sz="4" w:space="0"/>
            </w:tcBorders>
            <w:vAlign w:val="center"/>
          </w:tcPr>
          <w:p w14:paraId="053CECCC">
            <w:pPr>
              <w:pStyle w:val="15"/>
              <w:spacing w:line="400" w:lineRule="exact"/>
              <w:ind w:firstLine="0" w:firstLineChars="0"/>
              <w:contextualSpacing/>
              <w:jc w:val="center"/>
              <w:rPr>
                <w:rFonts w:ascii="宋体" w:hAnsi="宋体" w:eastAsia="宋体" w:cs="宋体"/>
                <w:kern w:val="2"/>
                <w:sz w:val="22"/>
                <w:szCs w:val="22"/>
              </w:rPr>
            </w:pPr>
          </w:p>
        </w:tc>
        <w:tc>
          <w:tcPr>
            <w:tcW w:w="1643" w:type="pct"/>
            <w:vAlign w:val="center"/>
          </w:tcPr>
          <w:p w14:paraId="764F45F8">
            <w:pPr>
              <w:pStyle w:val="15"/>
              <w:spacing w:line="400" w:lineRule="exact"/>
              <w:ind w:firstLine="0" w:firstLineChars="0"/>
              <w:contextualSpacing/>
              <w:jc w:val="center"/>
              <w:rPr>
                <w:rFonts w:ascii="宋体" w:hAnsi="宋体" w:eastAsia="宋体" w:cs="宋体"/>
                <w:kern w:val="2"/>
                <w:sz w:val="22"/>
                <w:szCs w:val="22"/>
              </w:rPr>
            </w:pPr>
          </w:p>
        </w:tc>
        <w:tc>
          <w:tcPr>
            <w:tcW w:w="601" w:type="pct"/>
            <w:vAlign w:val="center"/>
          </w:tcPr>
          <w:p w14:paraId="6698DD98">
            <w:pPr>
              <w:pStyle w:val="15"/>
              <w:spacing w:line="400" w:lineRule="exact"/>
              <w:ind w:firstLine="0" w:firstLineChars="0"/>
              <w:contextualSpacing/>
              <w:jc w:val="center"/>
              <w:rPr>
                <w:rFonts w:ascii="宋体" w:hAnsi="宋体" w:eastAsia="宋体" w:cs="宋体"/>
                <w:kern w:val="2"/>
                <w:sz w:val="22"/>
                <w:szCs w:val="22"/>
              </w:rPr>
            </w:pPr>
          </w:p>
        </w:tc>
      </w:tr>
      <w:tr w14:paraId="7C45C1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68" w:type="pct"/>
            <w:vAlign w:val="center"/>
          </w:tcPr>
          <w:p w14:paraId="54B7F571">
            <w:pPr>
              <w:pStyle w:val="15"/>
              <w:spacing w:line="400" w:lineRule="exact"/>
              <w:ind w:firstLine="0" w:firstLineChars="0"/>
              <w:contextualSpacing/>
              <w:jc w:val="center"/>
              <w:rPr>
                <w:rFonts w:ascii="宋体" w:hAnsi="宋体" w:eastAsia="宋体" w:cs="宋体"/>
                <w:kern w:val="2"/>
                <w:sz w:val="22"/>
                <w:szCs w:val="22"/>
              </w:rPr>
            </w:pPr>
            <w:bookmarkStart w:id="96" w:name="_Toc254970597"/>
            <w:bookmarkStart w:id="97" w:name="_Toc173211909"/>
            <w:bookmarkStart w:id="98" w:name="_Toc373333698"/>
            <w:bookmarkStart w:id="99" w:name="_Toc297193194"/>
            <w:bookmarkStart w:id="100" w:name="_Toc173066410"/>
            <w:bookmarkStart w:id="101" w:name="_Toc295404990"/>
            <w:bookmarkStart w:id="102" w:name="_Toc301781620"/>
            <w:bookmarkStart w:id="103" w:name="_Toc254970738"/>
            <w:bookmarkStart w:id="104" w:name="_Toc383699915"/>
            <w:r>
              <w:rPr>
                <w:rFonts w:hint="eastAsia" w:ascii="宋体" w:hAnsi="宋体" w:eastAsia="宋体" w:cs="宋体"/>
                <w:kern w:val="2"/>
                <w:sz w:val="22"/>
                <w:szCs w:val="22"/>
              </w:rPr>
              <w:t>5</w:t>
            </w:r>
            <w:bookmarkEnd w:id="96"/>
            <w:bookmarkEnd w:id="97"/>
            <w:bookmarkEnd w:id="98"/>
            <w:bookmarkEnd w:id="99"/>
            <w:bookmarkEnd w:id="100"/>
            <w:bookmarkEnd w:id="101"/>
            <w:bookmarkEnd w:id="102"/>
            <w:bookmarkEnd w:id="103"/>
            <w:bookmarkEnd w:id="104"/>
          </w:p>
        </w:tc>
        <w:tc>
          <w:tcPr>
            <w:tcW w:w="743" w:type="pct"/>
            <w:tcBorders>
              <w:right w:val="single" w:color="auto" w:sz="4" w:space="0"/>
            </w:tcBorders>
            <w:vAlign w:val="center"/>
          </w:tcPr>
          <w:p w14:paraId="49937188">
            <w:pPr>
              <w:pStyle w:val="15"/>
              <w:spacing w:line="400" w:lineRule="exact"/>
              <w:ind w:firstLine="0" w:firstLineChars="0"/>
              <w:contextualSpacing/>
              <w:jc w:val="center"/>
              <w:rPr>
                <w:rFonts w:ascii="宋体" w:hAnsi="宋体" w:eastAsia="宋体" w:cs="宋体"/>
                <w:kern w:val="2"/>
                <w:sz w:val="22"/>
                <w:szCs w:val="22"/>
              </w:rPr>
            </w:pPr>
            <w:r>
              <w:rPr>
                <w:rFonts w:hint="eastAsia" w:ascii="宋体" w:hAnsi="宋体" w:eastAsia="宋体" w:cs="宋体"/>
                <w:kern w:val="2"/>
                <w:sz w:val="22"/>
                <w:szCs w:val="22"/>
              </w:rPr>
              <w:t>……</w:t>
            </w:r>
          </w:p>
        </w:tc>
        <w:tc>
          <w:tcPr>
            <w:tcW w:w="1644" w:type="pct"/>
            <w:tcBorders>
              <w:left w:val="single" w:color="auto" w:sz="4" w:space="0"/>
            </w:tcBorders>
            <w:vAlign w:val="center"/>
          </w:tcPr>
          <w:p w14:paraId="7649111D">
            <w:pPr>
              <w:pStyle w:val="15"/>
              <w:spacing w:line="400" w:lineRule="exact"/>
              <w:ind w:firstLine="0" w:firstLineChars="0"/>
              <w:contextualSpacing/>
              <w:jc w:val="center"/>
              <w:rPr>
                <w:rFonts w:ascii="宋体" w:hAnsi="宋体" w:eastAsia="宋体" w:cs="宋体"/>
                <w:kern w:val="2"/>
                <w:sz w:val="22"/>
                <w:szCs w:val="22"/>
              </w:rPr>
            </w:pPr>
          </w:p>
        </w:tc>
        <w:tc>
          <w:tcPr>
            <w:tcW w:w="1643" w:type="pct"/>
            <w:vAlign w:val="center"/>
          </w:tcPr>
          <w:p w14:paraId="3B5A4945">
            <w:pPr>
              <w:pStyle w:val="15"/>
              <w:spacing w:line="400" w:lineRule="exact"/>
              <w:ind w:firstLine="0" w:firstLineChars="0"/>
              <w:contextualSpacing/>
              <w:jc w:val="center"/>
              <w:rPr>
                <w:rFonts w:ascii="宋体" w:hAnsi="宋体" w:eastAsia="宋体" w:cs="宋体"/>
                <w:kern w:val="2"/>
                <w:sz w:val="22"/>
                <w:szCs w:val="22"/>
              </w:rPr>
            </w:pPr>
          </w:p>
        </w:tc>
        <w:tc>
          <w:tcPr>
            <w:tcW w:w="601" w:type="pct"/>
            <w:vAlign w:val="center"/>
          </w:tcPr>
          <w:p w14:paraId="078062BC">
            <w:pPr>
              <w:pStyle w:val="15"/>
              <w:spacing w:line="400" w:lineRule="exact"/>
              <w:ind w:firstLine="0" w:firstLineChars="0"/>
              <w:contextualSpacing/>
              <w:jc w:val="center"/>
              <w:rPr>
                <w:rFonts w:ascii="宋体" w:hAnsi="宋体" w:eastAsia="宋体" w:cs="宋体"/>
                <w:kern w:val="2"/>
                <w:sz w:val="22"/>
                <w:szCs w:val="22"/>
              </w:rPr>
            </w:pPr>
          </w:p>
        </w:tc>
      </w:tr>
      <w:tr w14:paraId="642484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368" w:type="pct"/>
            <w:vAlign w:val="center"/>
          </w:tcPr>
          <w:p w14:paraId="6D9BBB61">
            <w:pPr>
              <w:pStyle w:val="15"/>
              <w:spacing w:line="400" w:lineRule="exact"/>
              <w:ind w:firstLine="0" w:firstLineChars="0"/>
              <w:contextualSpacing/>
              <w:jc w:val="center"/>
              <w:rPr>
                <w:rFonts w:ascii="宋体" w:hAnsi="宋体" w:eastAsia="宋体" w:cs="宋体"/>
                <w:kern w:val="2"/>
                <w:sz w:val="22"/>
                <w:szCs w:val="22"/>
              </w:rPr>
            </w:pPr>
            <w:bookmarkStart w:id="105" w:name="_Toc254970743"/>
            <w:bookmarkStart w:id="106" w:name="_Toc297193195"/>
            <w:bookmarkStart w:id="107" w:name="_Toc373333699"/>
            <w:bookmarkStart w:id="108" w:name="_Toc173066415"/>
            <w:bookmarkStart w:id="109" w:name="_Toc295404991"/>
            <w:bookmarkStart w:id="110" w:name="_Toc254970602"/>
            <w:bookmarkStart w:id="111" w:name="_Toc383699916"/>
            <w:bookmarkStart w:id="112" w:name="_Toc173211914"/>
            <w:bookmarkStart w:id="113" w:name="_Toc301781621"/>
            <w:r>
              <w:rPr>
                <w:rFonts w:hint="eastAsia" w:ascii="宋体" w:hAnsi="宋体" w:eastAsia="宋体" w:cs="宋体"/>
                <w:kern w:val="2"/>
                <w:sz w:val="22"/>
                <w:szCs w:val="22"/>
              </w:rPr>
              <w:t>…</w:t>
            </w:r>
            <w:bookmarkEnd w:id="105"/>
            <w:bookmarkEnd w:id="106"/>
            <w:bookmarkEnd w:id="107"/>
            <w:bookmarkEnd w:id="108"/>
            <w:bookmarkEnd w:id="109"/>
            <w:bookmarkEnd w:id="110"/>
            <w:bookmarkEnd w:id="111"/>
            <w:bookmarkEnd w:id="112"/>
            <w:bookmarkEnd w:id="113"/>
          </w:p>
        </w:tc>
        <w:tc>
          <w:tcPr>
            <w:tcW w:w="743" w:type="pct"/>
            <w:tcBorders>
              <w:right w:val="single" w:color="auto" w:sz="4" w:space="0"/>
            </w:tcBorders>
            <w:vAlign w:val="center"/>
          </w:tcPr>
          <w:p w14:paraId="12552E6C">
            <w:pPr>
              <w:pStyle w:val="15"/>
              <w:spacing w:line="400" w:lineRule="exact"/>
              <w:ind w:firstLine="0" w:firstLineChars="0"/>
              <w:contextualSpacing/>
              <w:jc w:val="center"/>
              <w:rPr>
                <w:rFonts w:ascii="宋体" w:hAnsi="宋体" w:eastAsia="宋体" w:cs="宋体"/>
                <w:kern w:val="2"/>
                <w:sz w:val="22"/>
                <w:szCs w:val="22"/>
              </w:rPr>
            </w:pPr>
            <w:r>
              <w:rPr>
                <w:rFonts w:hint="eastAsia" w:ascii="宋体" w:hAnsi="宋体" w:eastAsia="宋体" w:cs="宋体"/>
                <w:kern w:val="2"/>
                <w:sz w:val="22"/>
                <w:szCs w:val="22"/>
              </w:rPr>
              <w:t>……</w:t>
            </w:r>
          </w:p>
        </w:tc>
        <w:tc>
          <w:tcPr>
            <w:tcW w:w="1644" w:type="pct"/>
            <w:tcBorders>
              <w:left w:val="single" w:color="auto" w:sz="4" w:space="0"/>
            </w:tcBorders>
            <w:vAlign w:val="center"/>
          </w:tcPr>
          <w:p w14:paraId="0E1A507D">
            <w:pPr>
              <w:pStyle w:val="15"/>
              <w:spacing w:line="400" w:lineRule="exact"/>
              <w:ind w:firstLine="0" w:firstLineChars="0"/>
              <w:contextualSpacing/>
              <w:jc w:val="center"/>
              <w:rPr>
                <w:rFonts w:ascii="宋体" w:hAnsi="宋体" w:eastAsia="宋体" w:cs="宋体"/>
                <w:kern w:val="2"/>
                <w:sz w:val="22"/>
                <w:szCs w:val="22"/>
              </w:rPr>
            </w:pPr>
          </w:p>
        </w:tc>
        <w:tc>
          <w:tcPr>
            <w:tcW w:w="1643" w:type="pct"/>
            <w:vAlign w:val="center"/>
          </w:tcPr>
          <w:p w14:paraId="395753EB">
            <w:pPr>
              <w:pStyle w:val="15"/>
              <w:spacing w:line="400" w:lineRule="exact"/>
              <w:ind w:firstLine="0" w:firstLineChars="0"/>
              <w:contextualSpacing/>
              <w:jc w:val="center"/>
              <w:rPr>
                <w:rFonts w:ascii="宋体" w:hAnsi="宋体" w:eastAsia="宋体" w:cs="宋体"/>
                <w:kern w:val="2"/>
                <w:sz w:val="22"/>
                <w:szCs w:val="22"/>
              </w:rPr>
            </w:pPr>
          </w:p>
        </w:tc>
        <w:tc>
          <w:tcPr>
            <w:tcW w:w="601" w:type="pct"/>
            <w:tcBorders>
              <w:right w:val="single" w:color="auto" w:sz="4" w:space="0"/>
            </w:tcBorders>
            <w:vAlign w:val="center"/>
          </w:tcPr>
          <w:p w14:paraId="14EFCB16">
            <w:pPr>
              <w:pStyle w:val="15"/>
              <w:spacing w:line="400" w:lineRule="exact"/>
              <w:ind w:firstLine="0" w:firstLineChars="0"/>
              <w:contextualSpacing/>
              <w:jc w:val="center"/>
              <w:rPr>
                <w:rFonts w:ascii="宋体" w:hAnsi="宋体" w:eastAsia="宋体" w:cs="宋体"/>
                <w:kern w:val="2"/>
                <w:sz w:val="22"/>
                <w:szCs w:val="22"/>
              </w:rPr>
            </w:pPr>
          </w:p>
        </w:tc>
      </w:tr>
    </w:tbl>
    <w:p w14:paraId="622F76D3">
      <w:pPr>
        <w:adjustRightInd w:val="0"/>
        <w:spacing w:line="400" w:lineRule="exact"/>
        <w:contextualSpacing/>
        <w:rPr>
          <w:rFonts w:ascii="宋体" w:hAnsi="宋体" w:cs="宋体"/>
          <w:sz w:val="22"/>
          <w:szCs w:val="22"/>
        </w:rPr>
      </w:pPr>
    </w:p>
    <w:p w14:paraId="74FEA250">
      <w:pPr>
        <w:pStyle w:val="15"/>
        <w:spacing w:line="400" w:lineRule="exact"/>
        <w:ind w:firstLine="0" w:firstLineChars="0"/>
        <w:contextualSpacing/>
        <w:rPr>
          <w:rFonts w:ascii="宋体" w:hAnsi="宋体" w:eastAsia="宋体" w:cs="宋体"/>
          <w:sz w:val="22"/>
          <w:szCs w:val="22"/>
        </w:rPr>
      </w:pPr>
      <w:r>
        <w:rPr>
          <w:rFonts w:hint="eastAsia" w:ascii="宋体" w:hAnsi="宋体" w:eastAsia="宋体" w:cs="宋体"/>
          <w:sz w:val="22"/>
          <w:szCs w:val="22"/>
        </w:rPr>
        <w:t>注：</w:t>
      </w:r>
    </w:p>
    <w:p w14:paraId="0EE9F861">
      <w:pPr>
        <w:pStyle w:val="15"/>
        <w:spacing w:line="400" w:lineRule="exact"/>
        <w:ind w:firstLine="0" w:firstLineChars="0"/>
        <w:contextualSpacing/>
        <w:rPr>
          <w:rFonts w:ascii="宋体" w:hAnsi="宋体" w:eastAsia="宋体" w:cs="宋体"/>
          <w:sz w:val="22"/>
          <w:szCs w:val="22"/>
        </w:rPr>
      </w:pPr>
      <w:r>
        <w:rPr>
          <w:rFonts w:hint="eastAsia" w:ascii="宋体" w:hAnsi="宋体" w:eastAsia="宋体" w:cs="宋体"/>
          <w:sz w:val="22"/>
          <w:szCs w:val="22"/>
        </w:rPr>
        <w:t>1.说明：应对照磋商文件“第三章 采购需求”中的服务需求逐条作出明确响应，并作出偏离说明。</w:t>
      </w:r>
    </w:p>
    <w:p w14:paraId="4B156B97">
      <w:pPr>
        <w:pStyle w:val="15"/>
        <w:spacing w:line="400" w:lineRule="exact"/>
        <w:ind w:firstLine="0" w:firstLineChars="0"/>
        <w:contextualSpacing/>
        <w:rPr>
          <w:rFonts w:ascii="宋体" w:hAnsi="宋体" w:eastAsia="宋体" w:cs="宋体"/>
          <w:sz w:val="22"/>
          <w:szCs w:val="22"/>
        </w:rPr>
      </w:pPr>
      <w:r>
        <w:rPr>
          <w:rFonts w:hint="eastAsia" w:ascii="宋体" w:hAnsi="宋体" w:eastAsia="宋体" w:cs="宋体"/>
          <w:sz w:val="22"/>
          <w:szCs w:val="22"/>
        </w:rPr>
        <w:t>2.供应商应根据自身的承诺，对照磋商文件要求，在“偏离说明”中注明“正偏离”、“负偏离”或者“无偏离”。既不属于“正偏离”也不属于“负偏离”即为“无偏离”。</w:t>
      </w:r>
    </w:p>
    <w:p w14:paraId="07EE5852">
      <w:pPr>
        <w:pStyle w:val="19"/>
        <w:spacing w:line="400" w:lineRule="exact"/>
        <w:contextualSpacing/>
        <w:rPr>
          <w:rFonts w:hAnsi="宋体" w:cs="宋体"/>
          <w:sz w:val="22"/>
          <w:szCs w:val="22"/>
        </w:rPr>
      </w:pPr>
    </w:p>
    <w:p w14:paraId="61619EA7">
      <w:pPr>
        <w:spacing w:line="400" w:lineRule="exact"/>
        <w:contextualSpacing/>
        <w:rPr>
          <w:rFonts w:ascii="宋体" w:hAnsi="宋体" w:cs="宋体"/>
          <w:sz w:val="22"/>
          <w:szCs w:val="22"/>
        </w:rPr>
      </w:pPr>
    </w:p>
    <w:p w14:paraId="71DFA43B">
      <w:pPr>
        <w:spacing w:line="400" w:lineRule="exact"/>
        <w:contextualSpacing/>
        <w:jc w:val="center"/>
        <w:rPr>
          <w:sz w:val="22"/>
          <w:szCs w:val="22"/>
        </w:rPr>
      </w:pPr>
      <w:r>
        <w:rPr>
          <w:rFonts w:hint="eastAsia"/>
          <w:sz w:val="22"/>
          <w:szCs w:val="22"/>
        </w:rPr>
        <w:t>法定代表人或者委托代理人</w:t>
      </w:r>
      <w:r>
        <w:rPr>
          <w:rFonts w:hint="eastAsia"/>
          <w:sz w:val="22"/>
          <w:szCs w:val="22"/>
          <w:lang w:eastAsia="zh-CN"/>
        </w:rPr>
        <w:t>（签字或者电子签章）</w:t>
      </w:r>
      <w:r>
        <w:rPr>
          <w:rFonts w:hint="eastAsia"/>
          <w:sz w:val="22"/>
          <w:szCs w:val="22"/>
        </w:rPr>
        <w:t>：</w:t>
      </w:r>
      <w:r>
        <w:rPr>
          <w:rFonts w:hint="eastAsia"/>
          <w:sz w:val="22"/>
          <w:szCs w:val="22"/>
          <w:u w:val="single"/>
        </w:rPr>
        <w:t xml:space="preserve">                 </w:t>
      </w:r>
    </w:p>
    <w:p w14:paraId="0CB04677">
      <w:pPr>
        <w:spacing w:line="400" w:lineRule="exact"/>
        <w:ind w:firstLine="3960" w:firstLineChars="1800"/>
        <w:contextualSpacing/>
        <w:rPr>
          <w:rFonts w:ascii="宋体" w:hAnsi="宋体" w:cs="宋体"/>
          <w:sz w:val="22"/>
          <w:szCs w:val="22"/>
          <w:u w:val="single"/>
        </w:rPr>
      </w:pPr>
    </w:p>
    <w:p w14:paraId="176AE7E2">
      <w:pPr>
        <w:spacing w:line="400" w:lineRule="exact"/>
        <w:ind w:firstLine="4840" w:firstLineChars="2200"/>
        <w:contextualSpacing/>
        <w:rPr>
          <w:rFonts w:ascii="宋体" w:hAnsi="宋体" w:cs="宋体"/>
          <w:sz w:val="22"/>
          <w:szCs w:val="22"/>
          <w:u w:val="single"/>
        </w:rPr>
      </w:pPr>
      <w:r>
        <w:rPr>
          <w:rFonts w:hint="eastAsia"/>
          <w:sz w:val="22"/>
          <w:szCs w:val="22"/>
        </w:rPr>
        <w:t>供应商（盖公章）：</w:t>
      </w:r>
      <w:r>
        <w:rPr>
          <w:rFonts w:hint="eastAsia"/>
          <w:sz w:val="22"/>
          <w:szCs w:val="22"/>
          <w:u w:val="single"/>
        </w:rPr>
        <w:t xml:space="preserve">                     </w:t>
      </w:r>
    </w:p>
    <w:p w14:paraId="6EF3BEAD">
      <w:pPr>
        <w:spacing w:line="400" w:lineRule="exact"/>
        <w:contextualSpacing/>
        <w:rPr>
          <w:sz w:val="22"/>
          <w:szCs w:val="22"/>
        </w:rPr>
      </w:pPr>
      <w:r>
        <w:rPr>
          <w:rFonts w:hint="eastAsia" w:ascii="宋体" w:hAnsi="宋体" w:cs="宋体"/>
          <w:sz w:val="22"/>
          <w:szCs w:val="22"/>
        </w:rPr>
        <w:t xml:space="preserve">                                            日  期：    </w:t>
      </w:r>
      <w:r>
        <w:rPr>
          <w:rFonts w:hint="eastAsia"/>
          <w:sz w:val="22"/>
          <w:szCs w:val="22"/>
        </w:rPr>
        <w:t>年   月   日</w:t>
      </w:r>
    </w:p>
    <w:p w14:paraId="330C6FB8">
      <w:pPr>
        <w:pStyle w:val="7"/>
        <w:spacing w:before="0" w:after="0" w:line="460" w:lineRule="exact"/>
      </w:pPr>
    </w:p>
    <w:p w14:paraId="280B1E29">
      <w:pPr>
        <w:snapToGrid w:val="0"/>
        <w:spacing w:line="400" w:lineRule="exact"/>
        <w:jc w:val="left"/>
        <w:rPr>
          <w:rFonts w:ascii="宋体" w:hAnsi="宋体"/>
          <w:b/>
          <w:sz w:val="22"/>
          <w:szCs w:val="22"/>
        </w:rPr>
      </w:pPr>
      <w:r>
        <w:rPr>
          <w:rFonts w:ascii="宋体" w:hAnsi="宋体" w:cs="仿宋_GB2312"/>
          <w:sz w:val="22"/>
          <w:szCs w:val="22"/>
        </w:rPr>
        <w:br w:type="page"/>
      </w:r>
    </w:p>
    <w:p w14:paraId="3ED9C64F">
      <w:pPr>
        <w:snapToGrid w:val="0"/>
        <w:spacing w:before="156" w:beforeLines="50" w:after="50"/>
        <w:ind w:left="142"/>
        <w:jc w:val="left"/>
        <w:rPr>
          <w:rFonts w:ascii="宋体" w:hAnsi="宋体"/>
          <w:b/>
          <w:sz w:val="24"/>
        </w:rPr>
      </w:pPr>
    </w:p>
    <w:p w14:paraId="79A168C9">
      <w:pPr>
        <w:spacing w:line="460" w:lineRule="exact"/>
        <w:contextualSpacing/>
        <w:jc w:val="center"/>
        <w:rPr>
          <w:rFonts w:ascii="宋体" w:hAnsi="宋体"/>
          <w:b/>
          <w:sz w:val="32"/>
          <w:szCs w:val="32"/>
        </w:rPr>
      </w:pPr>
      <w:r>
        <w:rPr>
          <w:rFonts w:hint="eastAsia" w:ascii="宋体" w:hAnsi="宋体"/>
          <w:bCs/>
          <w:sz w:val="32"/>
          <w:szCs w:val="32"/>
        </w:rPr>
        <w:t>项目实施人员一览表</w:t>
      </w:r>
    </w:p>
    <w:p w14:paraId="1259C005">
      <w:pPr>
        <w:pStyle w:val="19"/>
        <w:spacing w:line="400" w:lineRule="exact"/>
        <w:contextualSpacing/>
        <w:rPr>
          <w:rFonts w:hAnsi="宋体" w:cs="宋体"/>
          <w:sz w:val="22"/>
          <w:szCs w:val="22"/>
        </w:rPr>
      </w:pPr>
    </w:p>
    <w:p w14:paraId="7BF96DFC">
      <w:pPr>
        <w:pStyle w:val="19"/>
        <w:spacing w:line="400" w:lineRule="exact"/>
        <w:contextualSpacing/>
        <w:rPr>
          <w:rFonts w:hint="eastAsia" w:hAnsi="宋体" w:cs="宋体"/>
          <w:sz w:val="22"/>
          <w:szCs w:val="22"/>
          <w:u w:val="single"/>
        </w:rPr>
      </w:pPr>
      <w:r>
        <w:rPr>
          <w:rFonts w:hint="eastAsia" w:hAnsi="宋体" w:cs="宋体"/>
          <w:sz w:val="22"/>
          <w:szCs w:val="22"/>
        </w:rPr>
        <w:t>分标：</w:t>
      </w:r>
      <w:r>
        <w:rPr>
          <w:rFonts w:hint="eastAsia" w:hAnsi="宋体" w:cs="宋体"/>
          <w:sz w:val="22"/>
          <w:szCs w:val="22"/>
          <w:u w:val="single"/>
        </w:rPr>
        <w:t xml:space="preserve">              </w:t>
      </w:r>
    </w:p>
    <w:p w14:paraId="3F86F23C"/>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050"/>
        <w:gridCol w:w="4089"/>
        <w:gridCol w:w="2093"/>
        <w:gridCol w:w="1411"/>
      </w:tblGrid>
      <w:tr w14:paraId="1023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14:paraId="1DC3D573">
            <w:pPr>
              <w:spacing w:line="360" w:lineRule="auto"/>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1050" w:type="dxa"/>
            <w:noWrap w:val="0"/>
            <w:vAlign w:val="center"/>
          </w:tcPr>
          <w:p w14:paraId="517E1F1E">
            <w:pPr>
              <w:spacing w:line="360" w:lineRule="auto"/>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本项目担任职务</w:t>
            </w:r>
          </w:p>
        </w:tc>
        <w:tc>
          <w:tcPr>
            <w:tcW w:w="4089" w:type="dxa"/>
            <w:noWrap w:val="0"/>
            <w:vAlign w:val="center"/>
          </w:tcPr>
          <w:p w14:paraId="28742F38">
            <w:pPr>
              <w:spacing w:line="360" w:lineRule="auto"/>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专业技术资格（职称）或者职业资格或者执业资格证或者其他证书</w:t>
            </w:r>
          </w:p>
        </w:tc>
        <w:tc>
          <w:tcPr>
            <w:tcW w:w="2093" w:type="dxa"/>
            <w:noWrap w:val="0"/>
            <w:vAlign w:val="center"/>
          </w:tcPr>
          <w:p w14:paraId="22812605">
            <w:pPr>
              <w:spacing w:line="360" w:lineRule="auto"/>
              <w:contextualSpacing/>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专业</w:t>
            </w:r>
          </w:p>
        </w:tc>
        <w:tc>
          <w:tcPr>
            <w:tcW w:w="1411" w:type="dxa"/>
            <w:noWrap w:val="0"/>
            <w:vAlign w:val="center"/>
          </w:tcPr>
          <w:p w14:paraId="06F8C560">
            <w:pPr>
              <w:spacing w:line="360" w:lineRule="auto"/>
              <w:contextualSpacing/>
              <w:jc w:val="center"/>
              <w:rPr>
                <w:rFonts w:hint="eastAsia" w:ascii="宋体" w:hAnsi="宋体"/>
                <w:color w:val="auto"/>
                <w:sz w:val="24"/>
                <w:szCs w:val="24"/>
                <w:highlight w:val="none"/>
              </w:rPr>
            </w:pPr>
            <w:r>
              <w:rPr>
                <w:rFonts w:hint="eastAsia" w:ascii="宋体" w:hAnsi="宋体"/>
                <w:color w:val="auto"/>
                <w:sz w:val="24"/>
                <w:szCs w:val="24"/>
                <w:highlight w:val="none"/>
              </w:rPr>
              <w:t>备注</w:t>
            </w:r>
          </w:p>
        </w:tc>
      </w:tr>
      <w:tr w14:paraId="5611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14:paraId="5F2AFCAD">
            <w:pPr>
              <w:spacing w:line="360" w:lineRule="auto"/>
              <w:contextualSpacing/>
              <w:jc w:val="center"/>
              <w:rPr>
                <w:rFonts w:hint="eastAsia" w:ascii="宋体" w:hAnsi="宋体"/>
                <w:color w:val="auto"/>
                <w:sz w:val="24"/>
                <w:szCs w:val="20"/>
                <w:highlight w:val="none"/>
              </w:rPr>
            </w:pPr>
          </w:p>
        </w:tc>
        <w:tc>
          <w:tcPr>
            <w:tcW w:w="1050" w:type="dxa"/>
            <w:noWrap w:val="0"/>
            <w:vAlign w:val="center"/>
          </w:tcPr>
          <w:p w14:paraId="3E741095">
            <w:pPr>
              <w:spacing w:line="360" w:lineRule="auto"/>
              <w:contextualSpacing/>
              <w:jc w:val="center"/>
              <w:rPr>
                <w:rFonts w:hint="eastAsia" w:ascii="宋体" w:hAnsi="宋体"/>
                <w:color w:val="auto"/>
                <w:sz w:val="24"/>
                <w:szCs w:val="20"/>
                <w:highlight w:val="none"/>
              </w:rPr>
            </w:pPr>
          </w:p>
        </w:tc>
        <w:tc>
          <w:tcPr>
            <w:tcW w:w="4089" w:type="dxa"/>
            <w:noWrap w:val="0"/>
            <w:vAlign w:val="center"/>
          </w:tcPr>
          <w:p w14:paraId="278A5F18">
            <w:pPr>
              <w:spacing w:line="360" w:lineRule="auto"/>
              <w:contextualSpacing/>
              <w:jc w:val="center"/>
              <w:rPr>
                <w:rFonts w:hint="eastAsia" w:ascii="宋体" w:hAnsi="宋体"/>
                <w:color w:val="auto"/>
                <w:sz w:val="24"/>
                <w:szCs w:val="20"/>
                <w:highlight w:val="none"/>
              </w:rPr>
            </w:pPr>
          </w:p>
        </w:tc>
        <w:tc>
          <w:tcPr>
            <w:tcW w:w="2093" w:type="dxa"/>
            <w:noWrap w:val="0"/>
            <w:vAlign w:val="center"/>
          </w:tcPr>
          <w:p w14:paraId="7D965943">
            <w:pPr>
              <w:spacing w:line="360" w:lineRule="auto"/>
              <w:contextualSpacing/>
              <w:jc w:val="center"/>
              <w:rPr>
                <w:rFonts w:hint="eastAsia" w:ascii="宋体" w:hAnsi="宋体"/>
                <w:color w:val="auto"/>
                <w:sz w:val="24"/>
                <w:szCs w:val="20"/>
                <w:highlight w:val="none"/>
              </w:rPr>
            </w:pPr>
          </w:p>
        </w:tc>
        <w:tc>
          <w:tcPr>
            <w:tcW w:w="1411" w:type="dxa"/>
            <w:noWrap w:val="0"/>
            <w:vAlign w:val="center"/>
          </w:tcPr>
          <w:p w14:paraId="4AFCC2AB">
            <w:pPr>
              <w:spacing w:line="360" w:lineRule="auto"/>
              <w:contextualSpacing/>
              <w:jc w:val="center"/>
              <w:rPr>
                <w:rFonts w:hint="eastAsia" w:ascii="宋体" w:hAnsi="宋体"/>
                <w:color w:val="auto"/>
                <w:sz w:val="24"/>
                <w:szCs w:val="20"/>
                <w:highlight w:val="none"/>
              </w:rPr>
            </w:pPr>
          </w:p>
        </w:tc>
      </w:tr>
      <w:tr w14:paraId="63C4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14:paraId="7A3E9413">
            <w:pPr>
              <w:spacing w:line="360" w:lineRule="auto"/>
              <w:contextualSpacing/>
              <w:jc w:val="center"/>
              <w:rPr>
                <w:rFonts w:hint="eastAsia" w:ascii="宋体" w:hAnsi="宋体"/>
                <w:color w:val="auto"/>
                <w:sz w:val="24"/>
                <w:szCs w:val="20"/>
                <w:highlight w:val="none"/>
              </w:rPr>
            </w:pPr>
          </w:p>
        </w:tc>
        <w:tc>
          <w:tcPr>
            <w:tcW w:w="1050" w:type="dxa"/>
            <w:noWrap w:val="0"/>
            <w:vAlign w:val="center"/>
          </w:tcPr>
          <w:p w14:paraId="1DA4D3A4">
            <w:pPr>
              <w:spacing w:line="360" w:lineRule="auto"/>
              <w:contextualSpacing/>
              <w:jc w:val="center"/>
              <w:rPr>
                <w:rFonts w:hint="eastAsia" w:ascii="宋体" w:hAnsi="宋体"/>
                <w:color w:val="auto"/>
                <w:sz w:val="24"/>
                <w:szCs w:val="20"/>
                <w:highlight w:val="none"/>
              </w:rPr>
            </w:pPr>
          </w:p>
        </w:tc>
        <w:tc>
          <w:tcPr>
            <w:tcW w:w="4089" w:type="dxa"/>
            <w:noWrap w:val="0"/>
            <w:vAlign w:val="center"/>
          </w:tcPr>
          <w:p w14:paraId="13D1DEFA">
            <w:pPr>
              <w:spacing w:line="360" w:lineRule="auto"/>
              <w:contextualSpacing/>
              <w:jc w:val="center"/>
              <w:rPr>
                <w:rFonts w:hint="eastAsia" w:ascii="宋体" w:hAnsi="宋体"/>
                <w:color w:val="auto"/>
                <w:sz w:val="24"/>
                <w:szCs w:val="20"/>
                <w:highlight w:val="none"/>
              </w:rPr>
            </w:pPr>
          </w:p>
        </w:tc>
        <w:tc>
          <w:tcPr>
            <w:tcW w:w="2093" w:type="dxa"/>
            <w:noWrap w:val="0"/>
            <w:vAlign w:val="center"/>
          </w:tcPr>
          <w:p w14:paraId="219CAB2B">
            <w:pPr>
              <w:spacing w:line="360" w:lineRule="auto"/>
              <w:contextualSpacing/>
              <w:jc w:val="center"/>
              <w:rPr>
                <w:rFonts w:hint="eastAsia" w:ascii="宋体" w:hAnsi="宋体"/>
                <w:color w:val="auto"/>
                <w:sz w:val="24"/>
                <w:szCs w:val="20"/>
                <w:highlight w:val="none"/>
              </w:rPr>
            </w:pPr>
          </w:p>
        </w:tc>
        <w:tc>
          <w:tcPr>
            <w:tcW w:w="1411" w:type="dxa"/>
            <w:noWrap w:val="0"/>
            <w:vAlign w:val="center"/>
          </w:tcPr>
          <w:p w14:paraId="26CB8CE8">
            <w:pPr>
              <w:spacing w:line="360" w:lineRule="auto"/>
              <w:contextualSpacing/>
              <w:jc w:val="center"/>
              <w:rPr>
                <w:rFonts w:hint="eastAsia" w:ascii="宋体" w:hAnsi="宋体"/>
                <w:color w:val="auto"/>
                <w:sz w:val="24"/>
                <w:szCs w:val="20"/>
                <w:highlight w:val="none"/>
              </w:rPr>
            </w:pPr>
          </w:p>
        </w:tc>
      </w:tr>
      <w:tr w14:paraId="1644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center"/>
          </w:tcPr>
          <w:p w14:paraId="2A18E257">
            <w:pPr>
              <w:spacing w:line="360" w:lineRule="auto"/>
              <w:contextualSpacing/>
              <w:jc w:val="center"/>
              <w:rPr>
                <w:rFonts w:hint="eastAsia" w:ascii="宋体" w:hAnsi="宋体"/>
                <w:color w:val="auto"/>
                <w:sz w:val="24"/>
                <w:szCs w:val="20"/>
                <w:highlight w:val="none"/>
              </w:rPr>
            </w:pPr>
          </w:p>
        </w:tc>
        <w:tc>
          <w:tcPr>
            <w:tcW w:w="1050" w:type="dxa"/>
            <w:noWrap w:val="0"/>
            <w:vAlign w:val="center"/>
          </w:tcPr>
          <w:p w14:paraId="42E7A6AF">
            <w:pPr>
              <w:spacing w:line="360" w:lineRule="auto"/>
              <w:contextualSpacing/>
              <w:jc w:val="center"/>
              <w:rPr>
                <w:rFonts w:hint="eastAsia" w:ascii="宋体" w:hAnsi="宋体"/>
                <w:color w:val="auto"/>
                <w:sz w:val="24"/>
                <w:szCs w:val="20"/>
                <w:highlight w:val="none"/>
              </w:rPr>
            </w:pPr>
          </w:p>
        </w:tc>
        <w:tc>
          <w:tcPr>
            <w:tcW w:w="4089" w:type="dxa"/>
            <w:noWrap w:val="0"/>
            <w:vAlign w:val="center"/>
          </w:tcPr>
          <w:p w14:paraId="13CFB6F0">
            <w:pPr>
              <w:spacing w:line="360" w:lineRule="auto"/>
              <w:contextualSpacing/>
              <w:jc w:val="center"/>
              <w:rPr>
                <w:rFonts w:hint="eastAsia" w:ascii="宋体" w:hAnsi="宋体"/>
                <w:color w:val="auto"/>
                <w:sz w:val="24"/>
                <w:szCs w:val="20"/>
                <w:highlight w:val="none"/>
              </w:rPr>
            </w:pPr>
          </w:p>
        </w:tc>
        <w:tc>
          <w:tcPr>
            <w:tcW w:w="2093" w:type="dxa"/>
            <w:noWrap w:val="0"/>
            <w:vAlign w:val="center"/>
          </w:tcPr>
          <w:p w14:paraId="0B983ED6">
            <w:pPr>
              <w:spacing w:line="360" w:lineRule="auto"/>
              <w:contextualSpacing/>
              <w:jc w:val="center"/>
              <w:rPr>
                <w:rFonts w:hint="eastAsia" w:ascii="宋体" w:hAnsi="宋体"/>
                <w:color w:val="auto"/>
                <w:sz w:val="24"/>
                <w:szCs w:val="20"/>
                <w:highlight w:val="none"/>
              </w:rPr>
            </w:pPr>
          </w:p>
        </w:tc>
        <w:tc>
          <w:tcPr>
            <w:tcW w:w="1411" w:type="dxa"/>
            <w:noWrap w:val="0"/>
            <w:vAlign w:val="center"/>
          </w:tcPr>
          <w:p w14:paraId="25BA2BBC">
            <w:pPr>
              <w:spacing w:line="360" w:lineRule="auto"/>
              <w:contextualSpacing/>
              <w:jc w:val="center"/>
              <w:rPr>
                <w:rFonts w:hint="eastAsia" w:ascii="宋体" w:hAnsi="宋体"/>
                <w:color w:val="auto"/>
                <w:sz w:val="24"/>
                <w:szCs w:val="20"/>
                <w:highlight w:val="none"/>
              </w:rPr>
            </w:pPr>
          </w:p>
        </w:tc>
      </w:tr>
    </w:tbl>
    <w:p w14:paraId="3E32DD7A">
      <w:pPr>
        <w:spacing w:line="360" w:lineRule="auto"/>
        <w:contextualSpacing/>
        <w:jc w:val="left"/>
        <w:rPr>
          <w:rFonts w:hint="eastAsia" w:ascii="宋体" w:hAnsi="宋体" w:eastAsia="宋体" w:cs="宋体"/>
          <w:color w:val="FF0000"/>
          <w:szCs w:val="21"/>
          <w:highlight w:val="none"/>
        </w:rPr>
      </w:pPr>
      <w:r>
        <w:rPr>
          <w:rFonts w:hint="eastAsia" w:ascii="宋体" w:hAnsi="宋体" w:cs="宋体"/>
          <w:sz w:val="22"/>
          <w:szCs w:val="22"/>
        </w:rPr>
        <w:t>注：</w:t>
      </w:r>
      <w:r>
        <w:rPr>
          <w:rFonts w:hint="eastAsia" w:ascii="宋体" w:hAnsi="宋体" w:eastAsia="宋体" w:cs="宋体"/>
          <w:color w:val="000000"/>
          <w:szCs w:val="21"/>
          <w:highlight w:val="none"/>
        </w:rPr>
        <w:t>证明文件提供</w:t>
      </w:r>
      <w:r>
        <w:rPr>
          <w:rFonts w:hint="eastAsia" w:ascii="宋体" w:hAnsi="宋体" w:eastAsia="宋体" w:cs="宋体"/>
          <w:bCs w:val="0"/>
          <w:color w:val="000000"/>
          <w:spacing w:val="0"/>
          <w:kern w:val="2"/>
          <w:sz w:val="21"/>
          <w:szCs w:val="21"/>
          <w:highlight w:val="none"/>
          <w:lang w:val="en-US" w:eastAsia="zh-CN" w:bidi="ar-SA"/>
        </w:rPr>
        <w:t>职称证书复印件、身份证复印件以及提供在本单位缴纳的</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202</w:t>
      </w:r>
      <w:r>
        <w:rPr>
          <w:rFonts w:hint="eastAsia" w:ascii="宋体" w:hAnsi="宋体" w:eastAsia="宋体" w:cs="宋体"/>
          <w:color w:val="000000"/>
          <w:szCs w:val="21"/>
          <w:highlight w:val="none"/>
          <w:u w:val="single"/>
          <w:lang w:val="en-US" w:eastAsia="zh-CN"/>
        </w:rPr>
        <w:t>5</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lang w:val="en-US" w:eastAsia="zh-CN"/>
        </w:rPr>
        <w:t xml:space="preserve"> 10</w:t>
      </w:r>
      <w:r>
        <w:rPr>
          <w:rFonts w:hint="eastAsia" w:ascii="宋体" w:hAnsi="宋体" w:eastAsia="宋体" w:cs="宋体"/>
          <w:color w:val="000000"/>
          <w:szCs w:val="21"/>
          <w:highlight w:val="none"/>
        </w:rPr>
        <w:t>月至</w:t>
      </w:r>
      <w:r>
        <w:rPr>
          <w:rFonts w:hint="eastAsia" w:ascii="宋体" w:hAnsi="宋体" w:eastAsia="宋体" w:cs="宋体"/>
          <w:color w:val="000000"/>
          <w:szCs w:val="21"/>
          <w:highlight w:val="none"/>
          <w:u w:val="single"/>
        </w:rPr>
        <w:t>202</w:t>
      </w:r>
      <w:r>
        <w:rPr>
          <w:rFonts w:hint="eastAsia" w:ascii="宋体" w:hAnsi="宋体" w:eastAsia="宋体" w:cs="宋体"/>
          <w:color w:val="000000"/>
          <w:szCs w:val="21"/>
          <w:highlight w:val="none"/>
          <w:u w:val="single"/>
          <w:lang w:val="en-US" w:eastAsia="zh-CN"/>
        </w:rPr>
        <w:t>6</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lang w:val="en-US" w:eastAsia="zh-CN"/>
        </w:rPr>
        <w:t>3</w:t>
      </w:r>
      <w:r>
        <w:rPr>
          <w:rFonts w:hint="eastAsia" w:ascii="宋体" w:hAnsi="宋体" w:eastAsia="宋体" w:cs="宋体"/>
          <w:color w:val="000000"/>
          <w:szCs w:val="21"/>
          <w:highlight w:val="none"/>
        </w:rPr>
        <w:t>月内任意</w:t>
      </w:r>
      <w:r>
        <w:rPr>
          <w:rFonts w:hint="eastAsia" w:ascii="宋体" w:hAnsi="宋体" w:eastAsia="宋体" w:cs="宋体"/>
          <w:color w:val="000000"/>
          <w:szCs w:val="21"/>
          <w:highlight w:val="none"/>
          <w:u w:val="single"/>
        </w:rPr>
        <w:t xml:space="preserve"> 1</w:t>
      </w:r>
      <w:r>
        <w:rPr>
          <w:rFonts w:hint="eastAsia" w:ascii="宋体" w:hAnsi="宋体" w:eastAsia="宋体" w:cs="宋体"/>
          <w:color w:val="000000"/>
          <w:szCs w:val="21"/>
          <w:highlight w:val="none"/>
        </w:rPr>
        <w:t>个月的依法缴纳社会保障资金的缴费凭证（专用收据或者社会保险缴纳清单）复印件加盖供应商公章，</w:t>
      </w:r>
      <w:r>
        <w:rPr>
          <w:rFonts w:hint="eastAsia" w:ascii="宋体" w:hAnsi="宋体" w:eastAsia="宋体" w:cs="宋体"/>
          <w:color w:val="000000"/>
          <w:sz w:val="21"/>
          <w:szCs w:val="21"/>
          <w:highlight w:val="none"/>
        </w:rPr>
        <w:t>如为退休人员须提供退休证和聘用合同</w:t>
      </w:r>
      <w:r>
        <w:rPr>
          <w:rFonts w:hint="eastAsia" w:ascii="宋体" w:hAnsi="宋体" w:eastAsia="宋体" w:cs="宋体"/>
          <w:color w:val="000000"/>
          <w:sz w:val="21"/>
          <w:szCs w:val="21"/>
          <w:highlight w:val="none"/>
          <w:lang w:val="en-US" w:eastAsia="zh-CN"/>
        </w:rPr>
        <w:t>复印件</w:t>
      </w:r>
      <w:r>
        <w:rPr>
          <w:rFonts w:hint="eastAsia" w:ascii="宋体" w:hAnsi="宋体" w:eastAsia="宋体" w:cs="宋体"/>
          <w:color w:val="000000"/>
          <w:sz w:val="21"/>
          <w:szCs w:val="21"/>
          <w:highlight w:val="none"/>
        </w:rPr>
        <w:t>并加盖投标人公章</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不提供证明材料不予</w:t>
      </w:r>
      <w:r>
        <w:rPr>
          <w:rFonts w:hint="eastAsia" w:ascii="宋体" w:hAnsi="宋体" w:eastAsia="宋体" w:cs="宋体"/>
          <w:color w:val="000000"/>
          <w:szCs w:val="21"/>
          <w:highlight w:val="none"/>
          <w:lang w:eastAsia="zh-CN"/>
        </w:rPr>
        <w:t>计</w:t>
      </w:r>
      <w:r>
        <w:rPr>
          <w:rFonts w:hint="eastAsia" w:ascii="宋体" w:hAnsi="宋体" w:eastAsia="宋体" w:cs="宋体"/>
          <w:color w:val="000000"/>
          <w:szCs w:val="21"/>
          <w:highlight w:val="none"/>
        </w:rPr>
        <w:t>分。在填写时，如本表格不适合供应商的实际情况，可根据本表格式自行制表填写。</w:t>
      </w:r>
    </w:p>
    <w:p w14:paraId="21128725">
      <w:pPr>
        <w:spacing w:line="400" w:lineRule="exact"/>
        <w:contextualSpacing/>
        <w:jc w:val="left"/>
        <w:rPr>
          <w:rFonts w:ascii="宋体" w:hAnsi="宋体" w:cs="宋体"/>
          <w:sz w:val="22"/>
          <w:szCs w:val="22"/>
        </w:rPr>
      </w:pPr>
      <w:r>
        <w:rPr>
          <w:rFonts w:hint="eastAsia" w:ascii="宋体" w:hAnsi="宋体" w:cs="宋体"/>
          <w:sz w:val="22"/>
          <w:szCs w:val="22"/>
        </w:rPr>
        <w:t>。</w:t>
      </w:r>
    </w:p>
    <w:p w14:paraId="691B631C">
      <w:pPr>
        <w:spacing w:line="400" w:lineRule="exact"/>
        <w:contextualSpacing/>
        <w:rPr>
          <w:rFonts w:ascii="宋体" w:hAnsi="宋体" w:cs="宋体"/>
          <w:sz w:val="22"/>
          <w:szCs w:val="22"/>
        </w:rPr>
      </w:pPr>
    </w:p>
    <w:p w14:paraId="42BBA09A">
      <w:pPr>
        <w:spacing w:line="400" w:lineRule="exact"/>
        <w:contextualSpacing/>
        <w:rPr>
          <w:rFonts w:ascii="宋体" w:hAnsi="宋体" w:cs="宋体"/>
          <w:sz w:val="22"/>
          <w:szCs w:val="22"/>
        </w:rPr>
      </w:pPr>
    </w:p>
    <w:p w14:paraId="4748A797">
      <w:pPr>
        <w:spacing w:line="400" w:lineRule="exact"/>
        <w:contextualSpacing/>
        <w:jc w:val="center"/>
        <w:rPr>
          <w:sz w:val="22"/>
          <w:szCs w:val="22"/>
        </w:rPr>
      </w:pPr>
      <w:r>
        <w:rPr>
          <w:rFonts w:hint="eastAsia"/>
          <w:sz w:val="22"/>
          <w:szCs w:val="22"/>
        </w:rPr>
        <w:t>法定代表人或者委托代理人</w:t>
      </w:r>
      <w:r>
        <w:rPr>
          <w:rFonts w:hint="eastAsia"/>
          <w:sz w:val="22"/>
          <w:szCs w:val="22"/>
          <w:lang w:eastAsia="zh-CN"/>
        </w:rPr>
        <w:t>（签字或者电子签章）</w:t>
      </w:r>
      <w:r>
        <w:rPr>
          <w:rFonts w:hint="eastAsia"/>
          <w:sz w:val="22"/>
          <w:szCs w:val="22"/>
        </w:rPr>
        <w:t>：</w:t>
      </w:r>
      <w:r>
        <w:rPr>
          <w:rFonts w:hint="eastAsia"/>
          <w:sz w:val="22"/>
          <w:szCs w:val="22"/>
          <w:u w:val="single"/>
        </w:rPr>
        <w:t xml:space="preserve">                 </w:t>
      </w:r>
    </w:p>
    <w:p w14:paraId="0B220148">
      <w:pPr>
        <w:spacing w:line="400" w:lineRule="exact"/>
        <w:ind w:firstLine="3960" w:firstLineChars="1800"/>
        <w:contextualSpacing/>
        <w:rPr>
          <w:rFonts w:ascii="宋体" w:hAnsi="宋体" w:cs="宋体"/>
          <w:sz w:val="22"/>
          <w:szCs w:val="22"/>
          <w:u w:val="single"/>
        </w:rPr>
      </w:pPr>
    </w:p>
    <w:p w14:paraId="787B0915">
      <w:pPr>
        <w:spacing w:line="400" w:lineRule="exact"/>
        <w:ind w:firstLine="4620" w:firstLineChars="2100"/>
        <w:contextualSpacing/>
        <w:rPr>
          <w:rFonts w:ascii="宋体" w:hAnsi="宋体" w:cs="宋体"/>
          <w:sz w:val="22"/>
          <w:szCs w:val="22"/>
          <w:u w:val="single"/>
        </w:rPr>
      </w:pPr>
      <w:r>
        <w:rPr>
          <w:rFonts w:hint="eastAsia"/>
          <w:sz w:val="22"/>
          <w:szCs w:val="22"/>
        </w:rPr>
        <w:t>供应商（盖公章）：</w:t>
      </w:r>
      <w:r>
        <w:rPr>
          <w:rFonts w:hint="eastAsia"/>
          <w:sz w:val="22"/>
          <w:szCs w:val="22"/>
          <w:u w:val="single"/>
        </w:rPr>
        <w:t xml:space="preserve">                     </w:t>
      </w:r>
    </w:p>
    <w:p w14:paraId="0234CE0C">
      <w:pPr>
        <w:spacing w:line="400" w:lineRule="exact"/>
        <w:contextualSpacing/>
        <w:jc w:val="left"/>
        <w:rPr>
          <w:rFonts w:hint="eastAsia" w:ascii="宋体" w:hAnsi="宋体" w:cs="宋体"/>
          <w:sz w:val="22"/>
          <w:szCs w:val="22"/>
        </w:rPr>
      </w:pPr>
      <w:r>
        <w:rPr>
          <w:rFonts w:hint="eastAsia" w:ascii="宋体" w:hAnsi="宋体" w:cs="宋体"/>
          <w:sz w:val="22"/>
          <w:szCs w:val="22"/>
        </w:rPr>
        <w:t xml:space="preserve">                                            </w:t>
      </w:r>
    </w:p>
    <w:p w14:paraId="0D510771">
      <w:pPr>
        <w:spacing w:line="400" w:lineRule="exact"/>
        <w:contextualSpacing/>
        <w:jc w:val="right"/>
        <w:rPr>
          <w:rFonts w:ascii="宋体" w:hAnsi="宋体" w:cs="宋体"/>
          <w:sz w:val="22"/>
          <w:szCs w:val="22"/>
        </w:rPr>
      </w:pPr>
      <w:r>
        <w:rPr>
          <w:rFonts w:hint="eastAsia" w:ascii="宋体" w:hAnsi="宋体" w:cs="宋体"/>
          <w:sz w:val="22"/>
          <w:szCs w:val="22"/>
        </w:rPr>
        <w:t xml:space="preserve">日  期：    </w:t>
      </w:r>
      <w:r>
        <w:rPr>
          <w:rFonts w:hint="eastAsia"/>
          <w:sz w:val="22"/>
          <w:szCs w:val="22"/>
        </w:rPr>
        <w:t>年   月   日</w:t>
      </w:r>
    </w:p>
    <w:p w14:paraId="70D358C3">
      <w:pPr>
        <w:snapToGrid w:val="0"/>
        <w:spacing w:line="400" w:lineRule="exact"/>
        <w:jc w:val="left"/>
        <w:rPr>
          <w:rFonts w:ascii="宋体" w:hAnsi="宋体" w:cs="宋体"/>
          <w:sz w:val="22"/>
          <w:szCs w:val="22"/>
        </w:rPr>
      </w:pPr>
    </w:p>
    <w:p w14:paraId="4B9D9A06">
      <w:pPr>
        <w:snapToGrid w:val="0"/>
        <w:spacing w:line="400" w:lineRule="exact"/>
        <w:ind w:firstLine="3755" w:firstLineChars="1700"/>
        <w:rPr>
          <w:rFonts w:ascii="宋体" w:hAnsi="宋体" w:cs="宋体"/>
          <w:b/>
          <w:sz w:val="22"/>
          <w:szCs w:val="22"/>
        </w:rPr>
      </w:pPr>
    </w:p>
    <w:p w14:paraId="3188A4A6">
      <w:pPr>
        <w:spacing w:line="400" w:lineRule="exact"/>
        <w:rPr>
          <w:rFonts w:ascii="宋体" w:hAnsi="宋体"/>
          <w:szCs w:val="21"/>
        </w:rPr>
      </w:pPr>
      <w:r>
        <w:rPr>
          <w:rFonts w:hint="eastAsia" w:ascii="宋体" w:hAnsi="宋体" w:cs="宋体"/>
          <w:b/>
          <w:bCs/>
          <w:sz w:val="22"/>
          <w:szCs w:val="22"/>
        </w:rPr>
        <w:br w:type="page"/>
      </w:r>
      <w:r>
        <w:rPr>
          <w:rFonts w:hint="eastAsia" w:ascii="宋体" w:hAnsi="宋体"/>
          <w:b/>
          <w:bCs/>
          <w:sz w:val="24"/>
        </w:rPr>
        <w:t>其他文书、文件格式</w:t>
      </w:r>
    </w:p>
    <w:p w14:paraId="5FE7EDF7">
      <w:pPr>
        <w:spacing w:line="460" w:lineRule="exact"/>
        <w:jc w:val="center"/>
        <w:rPr>
          <w:rFonts w:ascii="方正小标宋简体" w:hAnsi="方正小标宋简体" w:eastAsia="方正小标宋简体" w:cs="方正小标宋简体"/>
          <w:sz w:val="44"/>
          <w:szCs w:val="44"/>
        </w:rPr>
      </w:pPr>
      <w:bookmarkStart w:id="114" w:name="_Toc71365926"/>
      <w:r>
        <w:rPr>
          <w:rFonts w:hint="eastAsia" w:ascii="宋体" w:hAnsi="宋体" w:cs="宋体"/>
          <w:sz w:val="32"/>
          <w:szCs w:val="32"/>
        </w:rPr>
        <w:t>中小企业声明函（服务）</w:t>
      </w:r>
      <w:bookmarkEnd w:id="114"/>
    </w:p>
    <w:p w14:paraId="24014211">
      <w:pPr>
        <w:spacing w:line="400" w:lineRule="exact"/>
        <w:rPr>
          <w:rFonts w:ascii="宋体" w:hAnsi="宋体" w:cs="宋体"/>
          <w:b/>
          <w:bCs/>
          <w:sz w:val="22"/>
          <w:szCs w:val="22"/>
        </w:rPr>
      </w:pPr>
    </w:p>
    <w:p w14:paraId="557AEBA4">
      <w:pPr>
        <w:pStyle w:val="14"/>
        <w:spacing w:after="0" w:line="400" w:lineRule="exact"/>
        <w:ind w:firstLine="440" w:firstLineChars="200"/>
        <w:rPr>
          <w:rFonts w:ascii="宋体" w:hAnsi="宋体"/>
          <w:sz w:val="22"/>
          <w:szCs w:val="22"/>
        </w:rPr>
      </w:pPr>
      <w:r>
        <w:rPr>
          <w:rFonts w:ascii="宋体" w:hAnsi="宋体"/>
          <w:sz w:val="22"/>
          <w:szCs w:val="22"/>
        </w:rPr>
        <w:t>本公司（联合体）郑重声明，根据《政府采购促进中小企业发展管理办法》（财库﹝2020﹞46号）的规定，本公司（联合体）参加</w:t>
      </w:r>
      <w:r>
        <w:rPr>
          <w:rFonts w:ascii="宋体" w:hAnsi="宋体"/>
          <w:sz w:val="22"/>
          <w:szCs w:val="22"/>
          <w:u w:val="single"/>
        </w:rPr>
        <w:t>（单位名称）</w:t>
      </w:r>
      <w:r>
        <w:rPr>
          <w:rFonts w:ascii="宋体" w:hAnsi="宋体"/>
          <w:sz w:val="22"/>
          <w:szCs w:val="22"/>
        </w:rPr>
        <w:t>的</w:t>
      </w:r>
      <w:r>
        <w:rPr>
          <w:rFonts w:ascii="宋体" w:hAnsi="宋体"/>
          <w:sz w:val="22"/>
          <w:szCs w:val="22"/>
          <w:u w:val="single"/>
        </w:rPr>
        <w:t>（项目名称）</w:t>
      </w:r>
      <w:r>
        <w:rPr>
          <w:rFonts w:ascii="宋体" w:hAnsi="宋体"/>
          <w:sz w:val="22"/>
          <w:szCs w:val="22"/>
        </w:rPr>
        <w:t>采购活动，</w:t>
      </w:r>
      <w:r>
        <w:rPr>
          <w:rFonts w:hint="eastAsia" w:ascii="宋体" w:hAnsi="宋体"/>
          <w:sz w:val="22"/>
          <w:szCs w:val="22"/>
        </w:rPr>
        <w:t>服务全部由符合政策要求的中小企业承接。相关企业（含联合体中的中小企业、签订分包意向协议的中小企业）的具体情况如下：</w:t>
      </w:r>
    </w:p>
    <w:p w14:paraId="48BCA8CC">
      <w:pPr>
        <w:tabs>
          <w:tab w:val="left" w:pos="1384"/>
          <w:tab w:val="left" w:pos="4562"/>
          <w:tab w:val="left" w:pos="6803"/>
        </w:tabs>
        <w:spacing w:line="400" w:lineRule="exact"/>
        <w:ind w:firstLine="440" w:firstLineChars="200"/>
        <w:rPr>
          <w:rFonts w:ascii="宋体" w:hAnsi="宋体"/>
          <w:sz w:val="22"/>
          <w:szCs w:val="22"/>
        </w:rPr>
      </w:pPr>
      <w:r>
        <w:rPr>
          <w:rFonts w:ascii="宋体" w:hAnsi="宋体"/>
          <w:sz w:val="22"/>
          <w:szCs w:val="22"/>
        </w:rPr>
        <w:t>1.</w:t>
      </w:r>
      <w:r>
        <w:rPr>
          <w:rFonts w:ascii="宋体" w:hAnsi="宋体"/>
          <w:sz w:val="22"/>
          <w:szCs w:val="22"/>
          <w:u w:val="single"/>
        </w:rPr>
        <w:t>（标的名称）</w:t>
      </w:r>
      <w:r>
        <w:rPr>
          <w:rFonts w:ascii="宋体" w:hAnsi="宋体"/>
          <w:sz w:val="22"/>
          <w:szCs w:val="22"/>
        </w:rPr>
        <w:t>，属于</w:t>
      </w:r>
      <w:r>
        <w:rPr>
          <w:rFonts w:ascii="宋体" w:hAnsi="宋体"/>
          <w:sz w:val="22"/>
          <w:szCs w:val="22"/>
          <w:u w:val="single"/>
        </w:rPr>
        <w:t>（采购文件中明确的所属</w:t>
      </w:r>
      <w:r>
        <w:rPr>
          <w:rFonts w:hint="eastAsia" w:ascii="宋体" w:hAnsi="宋体"/>
          <w:sz w:val="22"/>
          <w:szCs w:val="22"/>
          <w:u w:val="single"/>
        </w:rPr>
        <w:t>行</w:t>
      </w:r>
      <w:r>
        <w:rPr>
          <w:rFonts w:ascii="宋体" w:hAnsi="宋体"/>
          <w:sz w:val="22"/>
          <w:szCs w:val="22"/>
          <w:u w:val="single"/>
        </w:rPr>
        <w:t>业）</w:t>
      </w:r>
      <w:r>
        <w:rPr>
          <w:rFonts w:ascii="宋体" w:hAnsi="宋体"/>
          <w:sz w:val="22"/>
          <w:szCs w:val="22"/>
        </w:rPr>
        <w:t>；</w:t>
      </w:r>
      <w:r>
        <w:rPr>
          <w:rFonts w:hint="eastAsia" w:ascii="宋体" w:hAnsi="宋体"/>
          <w:sz w:val="22"/>
          <w:szCs w:val="22"/>
        </w:rPr>
        <w:t>承接企业为</w:t>
      </w:r>
      <w:r>
        <w:rPr>
          <w:rFonts w:hint="eastAsia" w:ascii="宋体" w:hAnsi="宋体"/>
          <w:sz w:val="22"/>
          <w:szCs w:val="22"/>
          <w:u w:val="single"/>
        </w:rPr>
        <w:t>（企业名称）</w:t>
      </w:r>
      <w:r>
        <w:rPr>
          <w:rFonts w:hint="eastAsia" w:ascii="宋体" w:hAnsi="宋体"/>
          <w:sz w:val="22"/>
          <w:szCs w:val="22"/>
        </w:rPr>
        <w:t>，从业人员</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rPr>
        <w:t>人，营业收入为</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rPr>
        <w:t>万元，资产总额为</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rPr>
        <w:t>万元</w:t>
      </w:r>
      <w:r>
        <w:rPr>
          <w:rFonts w:ascii="宋体" w:hAnsi="宋体"/>
          <w:sz w:val="22"/>
          <w:szCs w:val="22"/>
        </w:rPr>
        <w:t>，属于</w:t>
      </w:r>
      <w:r>
        <w:rPr>
          <w:rFonts w:ascii="宋体" w:hAnsi="宋体"/>
          <w:sz w:val="22"/>
          <w:szCs w:val="22"/>
          <w:u w:val="single"/>
        </w:rPr>
        <w:t>（中型企业、</w:t>
      </w:r>
      <w:r>
        <w:rPr>
          <w:rFonts w:hint="eastAsia" w:ascii="宋体" w:hAnsi="宋体"/>
          <w:sz w:val="22"/>
          <w:szCs w:val="22"/>
          <w:u w:val="single"/>
        </w:rPr>
        <w:t>小型企业、微型企业）</w:t>
      </w:r>
      <w:r>
        <w:rPr>
          <w:rFonts w:hint="eastAsia" w:ascii="宋体" w:hAnsi="宋体"/>
          <w:sz w:val="22"/>
          <w:szCs w:val="22"/>
        </w:rPr>
        <w:t>；</w:t>
      </w:r>
    </w:p>
    <w:p w14:paraId="0360B995">
      <w:pPr>
        <w:tabs>
          <w:tab w:val="left" w:pos="1065"/>
          <w:tab w:val="left" w:pos="4262"/>
          <w:tab w:val="left" w:pos="6477"/>
        </w:tabs>
        <w:spacing w:line="400" w:lineRule="exact"/>
        <w:ind w:firstLine="440" w:firstLineChars="200"/>
        <w:rPr>
          <w:rFonts w:ascii="宋体" w:hAnsi="宋体"/>
          <w:sz w:val="22"/>
          <w:szCs w:val="22"/>
          <w:u w:val="single"/>
        </w:rPr>
      </w:pPr>
      <w:r>
        <w:rPr>
          <w:rFonts w:ascii="宋体" w:hAnsi="宋体"/>
          <w:sz w:val="22"/>
          <w:szCs w:val="22"/>
        </w:rPr>
        <w:t>2.</w:t>
      </w:r>
      <w:r>
        <w:rPr>
          <w:rFonts w:ascii="宋体" w:hAnsi="宋体"/>
          <w:sz w:val="22"/>
          <w:szCs w:val="22"/>
          <w:u w:val="single"/>
        </w:rPr>
        <w:t>（标的名称）</w:t>
      </w:r>
      <w:r>
        <w:rPr>
          <w:rFonts w:ascii="宋体" w:hAnsi="宋体"/>
          <w:sz w:val="22"/>
          <w:szCs w:val="22"/>
        </w:rPr>
        <w:t>，属于</w:t>
      </w:r>
      <w:r>
        <w:rPr>
          <w:rFonts w:ascii="宋体" w:hAnsi="宋体"/>
          <w:sz w:val="22"/>
          <w:szCs w:val="22"/>
          <w:u w:val="single"/>
        </w:rPr>
        <w:t>（采购文件中明确的所属</w:t>
      </w:r>
      <w:r>
        <w:rPr>
          <w:rFonts w:hint="eastAsia" w:ascii="宋体" w:hAnsi="宋体"/>
          <w:sz w:val="22"/>
          <w:szCs w:val="22"/>
          <w:u w:val="single"/>
        </w:rPr>
        <w:t>行业</w:t>
      </w:r>
      <w:r>
        <w:rPr>
          <w:rFonts w:ascii="宋体" w:hAnsi="宋体"/>
          <w:sz w:val="22"/>
          <w:szCs w:val="22"/>
          <w:u w:val="single"/>
        </w:rPr>
        <w:t>）</w:t>
      </w:r>
      <w:r>
        <w:rPr>
          <w:rFonts w:ascii="宋体" w:hAnsi="宋体"/>
          <w:sz w:val="22"/>
          <w:szCs w:val="22"/>
        </w:rPr>
        <w:t>；</w:t>
      </w:r>
      <w:r>
        <w:rPr>
          <w:rFonts w:hint="eastAsia" w:ascii="宋体" w:hAnsi="宋体"/>
          <w:sz w:val="22"/>
          <w:szCs w:val="22"/>
        </w:rPr>
        <w:t>承接企业为</w:t>
      </w:r>
      <w:r>
        <w:rPr>
          <w:rFonts w:hint="eastAsia" w:ascii="宋体" w:hAnsi="宋体"/>
          <w:sz w:val="22"/>
          <w:szCs w:val="22"/>
          <w:u w:val="single"/>
        </w:rPr>
        <w:t>（企业名称）</w:t>
      </w:r>
      <w:r>
        <w:rPr>
          <w:rFonts w:hint="eastAsia" w:ascii="宋体" w:hAnsi="宋体"/>
          <w:sz w:val="22"/>
          <w:szCs w:val="22"/>
        </w:rPr>
        <w:t>，从业人员</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rPr>
        <w:t>人，营业收入为</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rPr>
        <w:t>万元，资产总额为</w:t>
      </w:r>
      <w:r>
        <w:rPr>
          <w:rFonts w:hint="eastAsia" w:ascii="宋体" w:hAnsi="宋体"/>
          <w:sz w:val="22"/>
          <w:szCs w:val="22"/>
          <w:u w:val="single"/>
        </w:rPr>
        <w:t xml:space="preserve"> </w:t>
      </w:r>
      <w:r>
        <w:rPr>
          <w:rFonts w:ascii="宋体" w:hAnsi="宋体"/>
          <w:sz w:val="22"/>
          <w:szCs w:val="22"/>
          <w:u w:val="single"/>
        </w:rPr>
        <w:t xml:space="preserve">     </w:t>
      </w:r>
      <w:r>
        <w:rPr>
          <w:rFonts w:hint="eastAsia" w:ascii="宋体" w:hAnsi="宋体"/>
          <w:sz w:val="22"/>
          <w:szCs w:val="22"/>
        </w:rPr>
        <w:t>万元</w:t>
      </w:r>
      <w:r>
        <w:rPr>
          <w:rFonts w:ascii="宋体" w:hAnsi="宋体"/>
          <w:sz w:val="22"/>
          <w:szCs w:val="22"/>
        </w:rPr>
        <w:t>，属于</w:t>
      </w:r>
      <w:r>
        <w:rPr>
          <w:rFonts w:ascii="宋体" w:hAnsi="宋体"/>
          <w:sz w:val="22"/>
          <w:szCs w:val="22"/>
          <w:u w:val="single"/>
        </w:rPr>
        <w:t>（中型企业、</w:t>
      </w:r>
      <w:r>
        <w:rPr>
          <w:rFonts w:hint="eastAsia" w:ascii="宋体" w:hAnsi="宋体"/>
          <w:sz w:val="22"/>
          <w:szCs w:val="22"/>
          <w:u w:val="single"/>
        </w:rPr>
        <w:t>小型企业、微型企业）</w:t>
      </w:r>
      <w:r>
        <w:rPr>
          <w:rFonts w:hint="eastAsia" w:ascii="宋体" w:hAnsi="宋体"/>
          <w:sz w:val="22"/>
          <w:szCs w:val="22"/>
        </w:rPr>
        <w:t>；</w:t>
      </w:r>
    </w:p>
    <w:p w14:paraId="00069F86">
      <w:pPr>
        <w:pStyle w:val="14"/>
        <w:spacing w:after="0" w:line="400" w:lineRule="exact"/>
        <w:ind w:firstLine="440" w:firstLineChars="200"/>
        <w:rPr>
          <w:rFonts w:ascii="宋体" w:hAnsi="宋体"/>
          <w:sz w:val="22"/>
          <w:szCs w:val="22"/>
        </w:rPr>
      </w:pPr>
      <w:r>
        <w:rPr>
          <w:rFonts w:ascii="宋体" w:hAnsi="宋体"/>
          <w:sz w:val="22"/>
          <w:szCs w:val="22"/>
        </w:rPr>
        <w:t xml:space="preserve">…… </w:t>
      </w:r>
    </w:p>
    <w:p w14:paraId="1103B86B">
      <w:pPr>
        <w:pStyle w:val="14"/>
        <w:spacing w:after="0" w:line="400" w:lineRule="exact"/>
        <w:ind w:firstLine="440" w:firstLineChars="200"/>
        <w:rPr>
          <w:rFonts w:ascii="宋体" w:hAnsi="宋体"/>
          <w:sz w:val="22"/>
          <w:szCs w:val="22"/>
        </w:rPr>
      </w:pPr>
      <w:r>
        <w:rPr>
          <w:rFonts w:ascii="宋体" w:hAnsi="宋体"/>
          <w:sz w:val="22"/>
          <w:szCs w:val="22"/>
        </w:rPr>
        <w:t>以上企业，不属于大企业的分支机构，不存在控股股东为大企业的情形，也不存在与大企业的负责人为同一人的情形。</w:t>
      </w:r>
    </w:p>
    <w:p w14:paraId="39D196D0">
      <w:pPr>
        <w:pStyle w:val="14"/>
        <w:spacing w:after="0" w:line="400" w:lineRule="exact"/>
        <w:ind w:firstLine="440" w:firstLineChars="200"/>
        <w:rPr>
          <w:rFonts w:ascii="宋体" w:hAnsi="宋体"/>
          <w:sz w:val="22"/>
          <w:szCs w:val="22"/>
        </w:rPr>
      </w:pPr>
      <w:r>
        <w:rPr>
          <w:rFonts w:ascii="宋体" w:hAnsi="宋体"/>
          <w:sz w:val="22"/>
          <w:szCs w:val="22"/>
        </w:rPr>
        <w:t>本企业对上述声明内容的真实性负责。如有虚假，将依法承担相应责任。</w:t>
      </w:r>
    </w:p>
    <w:p w14:paraId="486FC227">
      <w:pPr>
        <w:pStyle w:val="14"/>
        <w:spacing w:after="0" w:line="400" w:lineRule="exact"/>
        <w:ind w:firstLine="646" w:firstLineChars="294"/>
        <w:rPr>
          <w:rFonts w:ascii="宋体" w:hAnsi="宋体"/>
          <w:sz w:val="22"/>
          <w:szCs w:val="22"/>
        </w:rPr>
      </w:pPr>
    </w:p>
    <w:p w14:paraId="23960C0A">
      <w:pPr>
        <w:pStyle w:val="16"/>
        <w:spacing w:line="400" w:lineRule="exact"/>
        <w:ind w:left="0" w:leftChars="0" w:firstLine="4840" w:firstLineChars="2200"/>
        <w:rPr>
          <w:rFonts w:ascii="宋体" w:hAnsi="宋体" w:cs="宋体"/>
          <w:sz w:val="22"/>
          <w:szCs w:val="22"/>
        </w:rPr>
      </w:pPr>
      <w:r>
        <w:rPr>
          <w:rFonts w:hint="eastAsia"/>
          <w:sz w:val="22"/>
          <w:szCs w:val="22"/>
        </w:rPr>
        <w:t>供应商（盖公章）：</w:t>
      </w:r>
      <w:r>
        <w:rPr>
          <w:rFonts w:hint="eastAsia"/>
          <w:sz w:val="22"/>
          <w:szCs w:val="22"/>
          <w:u w:val="single"/>
        </w:rPr>
        <w:t xml:space="preserve">                     </w:t>
      </w:r>
    </w:p>
    <w:p w14:paraId="380B5207">
      <w:pPr>
        <w:spacing w:line="400" w:lineRule="exact"/>
        <w:contextualSpacing/>
        <w:rPr>
          <w:rFonts w:ascii="宋体" w:hAnsi="宋体" w:cs="宋体"/>
          <w:sz w:val="22"/>
          <w:szCs w:val="22"/>
          <w:u w:val="single"/>
        </w:rPr>
      </w:pPr>
    </w:p>
    <w:p w14:paraId="4CAE470C">
      <w:pPr>
        <w:pStyle w:val="14"/>
        <w:spacing w:after="0" w:line="400" w:lineRule="exact"/>
        <w:rPr>
          <w:rFonts w:ascii="宋体" w:hAnsi="宋体"/>
          <w:sz w:val="22"/>
          <w:szCs w:val="22"/>
        </w:rPr>
      </w:pPr>
      <w:r>
        <w:rPr>
          <w:rFonts w:hint="eastAsia" w:ascii="宋体" w:hAnsi="宋体" w:cs="宋体"/>
          <w:sz w:val="22"/>
          <w:szCs w:val="22"/>
        </w:rPr>
        <w:t xml:space="preserve">                                            日  期：    </w:t>
      </w:r>
      <w:r>
        <w:rPr>
          <w:rFonts w:hint="eastAsia"/>
          <w:sz w:val="22"/>
          <w:szCs w:val="22"/>
        </w:rPr>
        <w:t>年   月   日</w:t>
      </w:r>
    </w:p>
    <w:p w14:paraId="2700CA14">
      <w:pPr>
        <w:spacing w:line="400" w:lineRule="exact"/>
        <w:jc w:val="left"/>
        <w:rPr>
          <w:rFonts w:ascii="宋体" w:hAnsi="宋体" w:cs="仿宋_GB2312"/>
          <w:sz w:val="22"/>
          <w:szCs w:val="22"/>
        </w:rPr>
      </w:pPr>
    </w:p>
    <w:p w14:paraId="13F51D48">
      <w:pPr>
        <w:spacing w:line="400" w:lineRule="exact"/>
        <w:ind w:firstLine="440" w:firstLineChars="200"/>
        <w:jc w:val="left"/>
        <w:rPr>
          <w:rFonts w:ascii="宋体" w:hAnsi="宋体" w:cs="仿宋_GB2312"/>
          <w:sz w:val="22"/>
          <w:szCs w:val="22"/>
        </w:rPr>
      </w:pPr>
      <w:r>
        <w:rPr>
          <w:rFonts w:hint="eastAsia" w:ascii="宋体" w:hAnsi="宋体" w:cs="仿宋_GB2312"/>
          <w:sz w:val="22"/>
          <w:szCs w:val="22"/>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BE6C38">
      <w:pPr>
        <w:pStyle w:val="7"/>
        <w:spacing w:before="0" w:after="0" w:line="400" w:lineRule="exact"/>
        <w:rPr>
          <w:rFonts w:ascii="宋体" w:hAnsi="宋体" w:eastAsia="宋体" w:cs="宋体"/>
          <w:sz w:val="22"/>
          <w:szCs w:val="22"/>
        </w:rPr>
      </w:pPr>
    </w:p>
    <w:p w14:paraId="4D4B2B5A">
      <w:pPr>
        <w:spacing w:line="460" w:lineRule="exact"/>
        <w:jc w:val="center"/>
        <w:rPr>
          <w:rFonts w:ascii="仿宋_GB2312" w:hAnsi="仿宋_GB2312" w:eastAsia="仿宋_GB2312" w:cs="仿宋_GB2312"/>
          <w:sz w:val="32"/>
          <w:szCs w:val="32"/>
        </w:rPr>
      </w:pPr>
      <w:r>
        <w:rPr>
          <w:rFonts w:ascii="宋体" w:hAnsi="宋体"/>
          <w:sz w:val="24"/>
        </w:rPr>
        <w:br w:type="page"/>
      </w:r>
      <w:r>
        <w:rPr>
          <w:rFonts w:hint="eastAsia" w:ascii="宋体" w:hAnsi="宋体" w:cs="宋体"/>
          <w:sz w:val="32"/>
          <w:szCs w:val="32"/>
        </w:rPr>
        <w:t>残疾人福利性单位声明函</w:t>
      </w:r>
    </w:p>
    <w:p w14:paraId="00CAEFB8">
      <w:pPr>
        <w:spacing w:line="400" w:lineRule="exact"/>
        <w:contextualSpacing/>
        <w:rPr>
          <w:rFonts w:ascii="仿宋_GB2312" w:hAnsi="仿宋_GB2312" w:eastAsia="仿宋_GB2312" w:cs="仿宋_GB2312"/>
          <w:sz w:val="22"/>
          <w:szCs w:val="22"/>
        </w:rPr>
      </w:pPr>
    </w:p>
    <w:p w14:paraId="4BB1CAD2">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2"/>
          <w:szCs w:val="22"/>
          <w:u w:val="single"/>
        </w:rPr>
        <w:t xml:space="preserve">       </w:t>
      </w:r>
      <w:r>
        <w:rPr>
          <w:rFonts w:hint="eastAsia" w:ascii="宋体" w:hAnsi="宋体" w:cs="仿宋_GB2312"/>
          <w:sz w:val="22"/>
          <w:szCs w:val="22"/>
        </w:rPr>
        <w:t>单位的</w:t>
      </w:r>
      <w:r>
        <w:rPr>
          <w:rFonts w:hint="eastAsia" w:ascii="宋体" w:hAnsi="宋体" w:cs="仿宋_GB2312"/>
          <w:sz w:val="22"/>
          <w:szCs w:val="22"/>
          <w:u w:val="single"/>
        </w:rPr>
        <w:t xml:space="preserve">        </w:t>
      </w:r>
      <w:r>
        <w:rPr>
          <w:rFonts w:hint="eastAsia" w:ascii="宋体" w:hAnsi="宋体" w:cs="仿宋_GB2312"/>
          <w:sz w:val="22"/>
          <w:szCs w:val="22"/>
        </w:rPr>
        <w:t>项目采购活动提供本单位制造的货物（由本单位承担工程/提供服务），或者提供其他残疾人福利性单位制造的货物（不包括使用非残疾人福利性单位注册商标的货物）。</w:t>
      </w:r>
    </w:p>
    <w:p w14:paraId="15ACF102">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本单位对上述声明的真实性负责。如有虚假，将依法承担相应责任。</w:t>
      </w:r>
    </w:p>
    <w:p w14:paraId="1727FB18">
      <w:pPr>
        <w:spacing w:line="400" w:lineRule="exact"/>
        <w:contextualSpacing/>
        <w:rPr>
          <w:rFonts w:ascii="宋体" w:hAnsi="宋体" w:cs="仿宋_GB2312"/>
          <w:sz w:val="22"/>
          <w:szCs w:val="22"/>
        </w:rPr>
      </w:pPr>
    </w:p>
    <w:p w14:paraId="2D019B37">
      <w:pPr>
        <w:spacing w:line="400" w:lineRule="exact"/>
        <w:contextualSpacing/>
        <w:rPr>
          <w:rFonts w:ascii="宋体" w:hAnsi="宋体" w:cs="仿宋_GB2312"/>
          <w:sz w:val="22"/>
          <w:szCs w:val="22"/>
        </w:rPr>
      </w:pPr>
    </w:p>
    <w:p w14:paraId="14D0B15A">
      <w:pPr>
        <w:pStyle w:val="16"/>
        <w:spacing w:line="400" w:lineRule="exact"/>
        <w:ind w:left="0" w:leftChars="0" w:firstLine="4840" w:firstLineChars="2200"/>
        <w:rPr>
          <w:rFonts w:ascii="宋体" w:hAnsi="宋体" w:cs="宋体"/>
          <w:sz w:val="22"/>
          <w:szCs w:val="22"/>
        </w:rPr>
      </w:pPr>
      <w:r>
        <w:rPr>
          <w:rFonts w:hint="eastAsia"/>
          <w:sz w:val="22"/>
          <w:szCs w:val="22"/>
        </w:rPr>
        <w:t>供应商（盖公章）：</w:t>
      </w:r>
      <w:r>
        <w:rPr>
          <w:rFonts w:hint="eastAsia"/>
          <w:sz w:val="22"/>
          <w:szCs w:val="22"/>
          <w:u w:val="single"/>
        </w:rPr>
        <w:t xml:space="preserve">                     </w:t>
      </w:r>
    </w:p>
    <w:p w14:paraId="37DFA75B">
      <w:pPr>
        <w:spacing w:line="400" w:lineRule="exact"/>
        <w:contextualSpacing/>
        <w:rPr>
          <w:rFonts w:ascii="宋体" w:hAnsi="宋体" w:cs="宋体"/>
          <w:sz w:val="22"/>
          <w:szCs w:val="22"/>
          <w:u w:val="single"/>
        </w:rPr>
      </w:pPr>
    </w:p>
    <w:p w14:paraId="5C6560A9">
      <w:pPr>
        <w:spacing w:line="400" w:lineRule="exact"/>
        <w:ind w:firstLine="3300" w:firstLineChars="1500"/>
        <w:contextualSpacing/>
        <w:rPr>
          <w:rFonts w:ascii="宋体" w:hAnsi="宋体" w:cs="仿宋_GB2312"/>
          <w:sz w:val="22"/>
          <w:szCs w:val="22"/>
        </w:rPr>
      </w:pPr>
      <w:r>
        <w:rPr>
          <w:rFonts w:hint="eastAsia" w:ascii="宋体" w:hAnsi="宋体" w:cs="宋体"/>
          <w:sz w:val="22"/>
          <w:szCs w:val="22"/>
        </w:rPr>
        <w:t xml:space="preserve">              日  期：    </w:t>
      </w:r>
      <w:r>
        <w:rPr>
          <w:rFonts w:hint="eastAsia"/>
          <w:sz w:val="22"/>
          <w:szCs w:val="22"/>
        </w:rPr>
        <w:t>年   月   日</w:t>
      </w:r>
    </w:p>
    <w:p w14:paraId="27E9B3D9">
      <w:pPr>
        <w:spacing w:line="400" w:lineRule="exact"/>
        <w:contextualSpacing/>
        <w:rPr>
          <w:rFonts w:ascii="宋体" w:hAnsi="宋体" w:cs="仿宋_GB2312"/>
          <w:sz w:val="22"/>
          <w:szCs w:val="22"/>
        </w:rPr>
      </w:pPr>
    </w:p>
    <w:p w14:paraId="328E0990">
      <w:pPr>
        <w:spacing w:line="400" w:lineRule="exact"/>
        <w:ind w:firstLine="440" w:firstLineChars="200"/>
        <w:contextualSpacing/>
        <w:rPr>
          <w:rFonts w:ascii="宋体" w:hAnsi="宋体" w:cs="仿宋_GB2312"/>
          <w:sz w:val="22"/>
          <w:szCs w:val="22"/>
        </w:rPr>
      </w:pPr>
      <w:r>
        <w:rPr>
          <w:rFonts w:hint="eastAsia" w:ascii="宋体" w:hAnsi="宋体" w:cs="仿宋_GB2312"/>
          <w:sz w:val="22"/>
          <w:szCs w:val="22"/>
        </w:rPr>
        <w:t>注：请根据自己的真实情况出具《残疾人福利性单位声明函》。依法享受中小企业优惠政策的，采购人或者采购代理机构在公告中标结果时，同时公告其《残疾人福利性单位声明函》，接受社会监督。</w:t>
      </w:r>
    </w:p>
    <w:p w14:paraId="56E01669">
      <w:pPr>
        <w:pStyle w:val="7"/>
        <w:spacing w:before="0" w:after="0" w:line="400" w:lineRule="exact"/>
        <w:rPr>
          <w:sz w:val="22"/>
          <w:szCs w:val="22"/>
        </w:rPr>
      </w:pPr>
    </w:p>
    <w:p w14:paraId="24FE1060">
      <w:pPr>
        <w:spacing w:line="400" w:lineRule="exact"/>
        <w:rPr>
          <w:rFonts w:ascii="宋体" w:hAnsi="宋体" w:cs="仿宋_GB2312"/>
          <w:sz w:val="24"/>
        </w:rPr>
      </w:pPr>
      <w:r>
        <w:rPr>
          <w:rFonts w:ascii="宋体" w:hAnsi="宋体" w:cs="仿宋_GB2312"/>
          <w:sz w:val="22"/>
          <w:szCs w:val="22"/>
        </w:rPr>
        <w:br w:type="page"/>
      </w:r>
    </w:p>
    <w:p w14:paraId="52713BCE">
      <w:pPr>
        <w:pStyle w:val="2"/>
        <w:spacing w:before="0" w:after="0" w:line="400" w:lineRule="exact"/>
        <w:jc w:val="center"/>
      </w:pPr>
      <w:bookmarkStart w:id="115" w:name="_Toc74323461"/>
      <w:r>
        <w:rPr>
          <w:rFonts w:hint="eastAsia"/>
          <w:sz w:val="32"/>
          <w:szCs w:val="32"/>
        </w:rPr>
        <w:t xml:space="preserve">第六章 </w:t>
      </w:r>
      <w:bookmarkEnd w:id="115"/>
      <w:r>
        <w:rPr>
          <w:rFonts w:hint="eastAsia"/>
          <w:sz w:val="32"/>
          <w:szCs w:val="32"/>
        </w:rPr>
        <w:t>合同主要条款</w:t>
      </w:r>
    </w:p>
    <w:p w14:paraId="34EB4BE1">
      <w:pPr>
        <w:spacing w:line="400" w:lineRule="exact"/>
        <w:rPr>
          <w:rFonts w:ascii="宋体" w:hAnsi="宋体" w:cs="宋体"/>
          <w:szCs w:val="21"/>
        </w:rPr>
      </w:pPr>
    </w:p>
    <w:p w14:paraId="7FDF50E6">
      <w:pPr>
        <w:spacing w:line="360" w:lineRule="auto"/>
        <w:ind w:right="800"/>
        <w:rPr>
          <w:rFonts w:ascii="宋体" w:hAnsi="宋体" w:cs="宋体"/>
          <w:bCs/>
          <w:szCs w:val="21"/>
          <w:u w:val="single"/>
        </w:rPr>
      </w:pPr>
      <w:r>
        <w:rPr>
          <w:rFonts w:hint="eastAsia" w:ascii="宋体" w:hAnsi="宋体" w:cs="宋体"/>
          <w:szCs w:val="21"/>
        </w:rPr>
        <w:t>采购计划号：</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bCs/>
          <w:szCs w:val="21"/>
        </w:rPr>
        <w:t>合同编号：</w:t>
      </w:r>
      <w:r>
        <w:rPr>
          <w:rFonts w:ascii="宋体" w:hAnsi="宋体" w:cs="宋体"/>
          <w:szCs w:val="21"/>
          <w:u w:val="single"/>
        </w:rPr>
        <w:t xml:space="preserve">                </w:t>
      </w:r>
      <w:r>
        <w:rPr>
          <w:rFonts w:hint="eastAsia" w:ascii="宋体" w:hAnsi="宋体" w:cs="宋体"/>
          <w:szCs w:val="21"/>
          <w:u w:val="single"/>
        </w:rPr>
        <w:t xml:space="preserve">  </w:t>
      </w:r>
    </w:p>
    <w:p w14:paraId="1A564ADA">
      <w:pPr>
        <w:spacing w:line="360" w:lineRule="auto"/>
        <w:rPr>
          <w:rFonts w:ascii="宋体" w:hAnsi="宋体" w:cs="宋体"/>
          <w:szCs w:val="21"/>
          <w:u w:val="single"/>
        </w:rPr>
      </w:pPr>
      <w:r>
        <w:rPr>
          <w:rFonts w:hint="eastAsia" w:ascii="宋体" w:hAnsi="宋体" w:cs="宋体"/>
          <w:szCs w:val="21"/>
        </w:rPr>
        <w:t>采购人（甲方）：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供应商（乙方）：</w:t>
      </w:r>
      <w:r>
        <w:rPr>
          <w:rFonts w:ascii="宋体" w:hAnsi="宋体" w:cs="宋体"/>
          <w:szCs w:val="21"/>
          <w:u w:val="single"/>
        </w:rPr>
        <w:t xml:space="preserve">                    </w:t>
      </w:r>
      <w:r>
        <w:rPr>
          <w:rFonts w:hint="eastAsia" w:ascii="宋体" w:hAnsi="宋体" w:cs="宋体"/>
          <w:szCs w:val="21"/>
        </w:rPr>
        <w:t xml:space="preserve">    </w:t>
      </w:r>
    </w:p>
    <w:p w14:paraId="3459EBD0">
      <w:pPr>
        <w:spacing w:line="360" w:lineRule="auto"/>
        <w:rPr>
          <w:rFonts w:ascii="宋体" w:hAnsi="宋体" w:cs="宋体"/>
          <w:szCs w:val="21"/>
          <w:u w:val="single"/>
        </w:rPr>
      </w:pPr>
      <w:r>
        <w:rPr>
          <w:rFonts w:hint="eastAsia" w:ascii="宋体" w:hAnsi="宋体" w:cs="宋体"/>
          <w:szCs w:val="21"/>
        </w:rPr>
        <w:t>项目名称：</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项目编号：</w:t>
      </w:r>
      <w:r>
        <w:rPr>
          <w:rFonts w:ascii="宋体" w:hAnsi="宋体" w:cs="宋体"/>
          <w:szCs w:val="21"/>
          <w:u w:val="single"/>
        </w:rPr>
        <w:t xml:space="preserve">                          </w:t>
      </w:r>
    </w:p>
    <w:p w14:paraId="671C9AF9">
      <w:pPr>
        <w:spacing w:line="360" w:lineRule="auto"/>
        <w:rPr>
          <w:rFonts w:ascii="宋体" w:hAnsi="宋体" w:cs="宋体"/>
          <w:szCs w:val="21"/>
          <w:u w:val="single"/>
        </w:rPr>
      </w:pPr>
      <w:r>
        <w:rPr>
          <w:rFonts w:hint="eastAsia" w:ascii="宋体" w:hAnsi="宋体" w:cs="宋体"/>
          <w:szCs w:val="21"/>
        </w:rPr>
        <w:t>签订地点：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签订时间：</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6532B15">
      <w:pPr>
        <w:spacing w:line="360" w:lineRule="auto"/>
        <w:rPr>
          <w:rFonts w:ascii="宋体" w:hAnsi="宋体" w:cs="宋体"/>
          <w:szCs w:val="21"/>
        </w:rPr>
      </w:pPr>
      <w:r>
        <w:rPr>
          <w:rFonts w:hint="eastAsia" w:ascii="宋体" w:hAnsi="宋体" w:cs="宋体"/>
          <w:szCs w:val="21"/>
        </w:rPr>
        <w:t>本合同为中小企业预留合同：</w:t>
      </w:r>
      <w:r>
        <w:rPr>
          <w:rFonts w:hint="eastAsia" w:ascii="宋体" w:hAnsi="宋体" w:cs="宋体"/>
          <w:szCs w:val="21"/>
          <w:u w:val="single"/>
        </w:rPr>
        <w:t>（是/否）</w:t>
      </w:r>
      <w:r>
        <w:rPr>
          <w:rFonts w:hint="eastAsia" w:ascii="宋体" w:hAnsi="宋体" w:cs="宋体"/>
          <w:szCs w:val="21"/>
        </w:rPr>
        <w:t>。</w:t>
      </w:r>
    </w:p>
    <w:p w14:paraId="73D8CE08">
      <w:pPr>
        <w:spacing w:line="360" w:lineRule="auto"/>
        <w:ind w:firstLine="420" w:firstLineChars="200"/>
        <w:rPr>
          <w:rFonts w:ascii="宋体" w:hAnsi="宋体" w:cs="宋体"/>
          <w:szCs w:val="21"/>
        </w:rPr>
      </w:pPr>
      <w:r>
        <w:rPr>
          <w:rFonts w:hint="eastAsia" w:ascii="宋体" w:hAnsi="宋体" w:cs="宋体"/>
          <w:szCs w:val="21"/>
        </w:rPr>
        <w:t>根据《中华人民共和国政府采购法》、《中华人民共和国民法典》等法律、法规规定，按照</w:t>
      </w:r>
      <w:r>
        <w:rPr>
          <w:rFonts w:hint="eastAsia" w:ascii="宋体" w:hAnsi="宋体"/>
          <w:szCs w:val="21"/>
        </w:rPr>
        <w:t>磋商文件规定条款和乙方响应文件及其承诺，甲乙双方签订本合同。</w:t>
      </w:r>
    </w:p>
    <w:p w14:paraId="67ADB0A9">
      <w:pPr>
        <w:spacing w:line="360" w:lineRule="auto"/>
        <w:ind w:firstLine="422" w:firstLineChars="200"/>
        <w:rPr>
          <w:rFonts w:ascii="宋体" w:hAnsi="宋体" w:cs="宋体"/>
          <w:b/>
          <w:szCs w:val="21"/>
        </w:rPr>
      </w:pPr>
      <w:r>
        <w:rPr>
          <w:rFonts w:hint="eastAsia" w:ascii="宋体" w:hAnsi="宋体" w:cs="宋体"/>
          <w:b/>
          <w:szCs w:val="21"/>
        </w:rPr>
        <w:t>第一条　合同标的</w:t>
      </w:r>
    </w:p>
    <w:p w14:paraId="3838A677">
      <w:pPr>
        <w:spacing w:line="360" w:lineRule="auto"/>
        <w:ind w:firstLine="420" w:firstLineChars="200"/>
        <w:rPr>
          <w:rFonts w:ascii="宋体" w:hAnsi="宋体" w:cs="宋体"/>
          <w:szCs w:val="21"/>
        </w:rPr>
      </w:pPr>
      <w:r>
        <w:rPr>
          <w:rFonts w:hint="eastAsia" w:ascii="宋体" w:hAnsi="宋体" w:cs="宋体"/>
          <w:szCs w:val="21"/>
        </w:rPr>
        <w:t>1、项目一览表</w:t>
      </w:r>
    </w:p>
    <w:tbl>
      <w:tblPr>
        <w:tblStyle w:val="3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7038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1A7670AF">
            <w:pPr>
              <w:spacing w:line="360" w:lineRule="auto"/>
              <w:jc w:val="center"/>
              <w:rPr>
                <w:rFonts w:ascii="宋体" w:hAnsi="宋体" w:cs="宋体"/>
                <w:szCs w:val="21"/>
              </w:rPr>
            </w:pPr>
            <w:r>
              <w:rPr>
                <w:rFonts w:hint="eastAsia" w:ascii="宋体" w:hAnsi="宋体" w:cs="宋体"/>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56B361AF">
            <w:pPr>
              <w:spacing w:line="360" w:lineRule="auto"/>
              <w:jc w:val="center"/>
              <w:rPr>
                <w:rFonts w:ascii="宋体" w:hAnsi="宋体" w:cs="宋体"/>
                <w:szCs w:val="21"/>
              </w:rPr>
            </w:pPr>
            <w:r>
              <w:rPr>
                <w:rFonts w:hint="eastAsia" w:ascii="宋体" w:hAnsi="宋体" w:cs="宋体"/>
                <w:szCs w:val="21"/>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361EADBE">
            <w:pPr>
              <w:spacing w:line="360" w:lineRule="auto"/>
              <w:jc w:val="center"/>
              <w:rPr>
                <w:rFonts w:ascii="宋体" w:hAnsi="宋体" w:cs="宋体"/>
                <w:szCs w:val="21"/>
              </w:rPr>
            </w:pPr>
            <w:r>
              <w:rPr>
                <w:rFonts w:hint="eastAsia" w:ascii="宋体" w:hAnsi="宋体" w:cs="宋体"/>
                <w:szCs w:val="21"/>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148A56F8">
            <w:pPr>
              <w:spacing w:line="360" w:lineRule="auto"/>
              <w:jc w:val="center"/>
              <w:rPr>
                <w:rFonts w:ascii="宋体" w:hAnsi="宋体" w:cs="宋体"/>
                <w:szCs w:val="21"/>
              </w:rPr>
            </w:pPr>
            <w:r>
              <w:rPr>
                <w:rFonts w:hint="eastAsia" w:ascii="宋体" w:hAnsi="宋体" w:cs="宋体"/>
                <w:szCs w:val="21"/>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5FC30E28">
            <w:pPr>
              <w:spacing w:line="360" w:lineRule="auto"/>
              <w:jc w:val="center"/>
              <w:rPr>
                <w:rFonts w:ascii="宋体" w:hAnsi="宋体" w:cs="宋体"/>
                <w:szCs w:val="21"/>
              </w:rPr>
            </w:pPr>
            <w:r>
              <w:rPr>
                <w:rFonts w:hint="eastAsia" w:ascii="宋体" w:hAnsi="宋体" w:cs="宋体"/>
                <w:szCs w:val="21"/>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730AD414">
            <w:pPr>
              <w:spacing w:line="360" w:lineRule="auto"/>
              <w:jc w:val="center"/>
              <w:rPr>
                <w:rFonts w:ascii="宋体" w:hAnsi="宋体" w:cs="宋体"/>
                <w:szCs w:val="21"/>
              </w:rPr>
            </w:pPr>
            <w:r>
              <w:rPr>
                <w:rFonts w:hint="eastAsia" w:ascii="宋体" w:hAnsi="宋体" w:cs="宋体"/>
                <w:szCs w:val="21"/>
              </w:rPr>
              <w:t>单  价</w:t>
            </w:r>
          </w:p>
          <w:p w14:paraId="60536CEE">
            <w:pPr>
              <w:spacing w:line="360" w:lineRule="auto"/>
              <w:jc w:val="center"/>
              <w:rPr>
                <w:rFonts w:ascii="宋体" w:hAnsi="宋体" w:cs="宋体"/>
                <w:szCs w:val="21"/>
              </w:rPr>
            </w:pPr>
            <w:r>
              <w:rPr>
                <w:rFonts w:hint="eastAsia" w:ascii="宋体" w:hAnsi="宋体" w:cs="宋体"/>
                <w:szCs w:val="21"/>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13175259">
            <w:pPr>
              <w:spacing w:line="360" w:lineRule="auto"/>
              <w:jc w:val="center"/>
              <w:rPr>
                <w:rFonts w:ascii="宋体" w:hAnsi="宋体" w:cs="宋体"/>
                <w:szCs w:val="21"/>
              </w:rPr>
            </w:pPr>
            <w:r>
              <w:rPr>
                <w:rFonts w:hint="eastAsia" w:ascii="宋体" w:hAnsi="宋体" w:cs="宋体"/>
                <w:szCs w:val="21"/>
              </w:rPr>
              <w:t xml:space="preserve">总 </w:t>
            </w:r>
            <w:r>
              <w:rPr>
                <w:rFonts w:ascii="宋体" w:hAnsi="宋体" w:cs="宋体"/>
                <w:szCs w:val="21"/>
              </w:rPr>
              <w:t xml:space="preserve"> </w:t>
            </w:r>
            <w:r>
              <w:rPr>
                <w:rFonts w:hint="eastAsia" w:ascii="宋体" w:hAnsi="宋体" w:cs="宋体"/>
                <w:szCs w:val="21"/>
              </w:rPr>
              <w:t>价</w:t>
            </w:r>
          </w:p>
          <w:p w14:paraId="111F49FC">
            <w:pPr>
              <w:spacing w:line="360" w:lineRule="auto"/>
              <w:jc w:val="center"/>
              <w:rPr>
                <w:rFonts w:ascii="宋体" w:hAnsi="宋体" w:cs="宋体"/>
                <w:szCs w:val="21"/>
              </w:rPr>
            </w:pPr>
            <w:r>
              <w:rPr>
                <w:rFonts w:hint="eastAsia" w:ascii="宋体" w:hAnsi="宋体" w:cs="宋体"/>
                <w:szCs w:val="21"/>
              </w:rPr>
              <w:t>（元）</w:t>
            </w:r>
          </w:p>
        </w:tc>
      </w:tr>
      <w:tr w14:paraId="6D0D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3C133B88">
            <w:pPr>
              <w:spacing w:line="360" w:lineRule="auto"/>
              <w:jc w:val="center"/>
              <w:rPr>
                <w:rFonts w:ascii="宋体" w:hAnsi="宋体" w:cs="宋体"/>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0295357D">
            <w:pPr>
              <w:spacing w:line="360" w:lineRule="auto"/>
              <w:jc w:val="center"/>
              <w:rPr>
                <w:rFonts w:ascii="宋体" w:hAnsi="宋体" w:cs="宋体"/>
                <w:szCs w:val="21"/>
              </w:rPr>
            </w:pPr>
          </w:p>
        </w:tc>
        <w:tc>
          <w:tcPr>
            <w:tcW w:w="2400" w:type="dxa"/>
            <w:tcBorders>
              <w:top w:val="single" w:color="auto" w:sz="4" w:space="0"/>
              <w:left w:val="single" w:color="auto" w:sz="4" w:space="0"/>
              <w:bottom w:val="single" w:color="auto" w:sz="4" w:space="0"/>
              <w:right w:val="single" w:color="auto" w:sz="4" w:space="0"/>
            </w:tcBorders>
            <w:vAlign w:val="center"/>
          </w:tcPr>
          <w:p w14:paraId="1ABE85ED">
            <w:pPr>
              <w:spacing w:line="360" w:lineRule="auto"/>
              <w:jc w:val="center"/>
              <w:rPr>
                <w:rFonts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CD1B38C">
            <w:pPr>
              <w:spacing w:line="360" w:lineRule="auto"/>
              <w:jc w:val="center"/>
              <w:rPr>
                <w:rFonts w:ascii="宋体" w:hAnsi="宋体" w:cs="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5DDD4CCC">
            <w:pPr>
              <w:spacing w:line="360" w:lineRule="auto"/>
              <w:jc w:val="center"/>
              <w:rPr>
                <w:rFonts w:ascii="宋体" w:hAnsi="宋体" w:cs="宋体"/>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0ADD1DB1">
            <w:pPr>
              <w:spacing w:line="360" w:lineRule="auto"/>
              <w:jc w:val="center"/>
              <w:rPr>
                <w:rFonts w:ascii="宋体" w:hAnsi="宋体" w:cs="宋体"/>
                <w:szCs w:val="21"/>
              </w:rPr>
            </w:pPr>
          </w:p>
        </w:tc>
        <w:tc>
          <w:tcPr>
            <w:tcW w:w="1207" w:type="dxa"/>
            <w:tcBorders>
              <w:top w:val="single" w:color="auto" w:sz="4" w:space="0"/>
              <w:left w:val="single" w:color="auto" w:sz="4" w:space="0"/>
              <w:bottom w:val="single" w:color="auto" w:sz="4" w:space="0"/>
              <w:right w:val="single" w:color="auto" w:sz="4" w:space="0"/>
            </w:tcBorders>
            <w:vAlign w:val="center"/>
          </w:tcPr>
          <w:p w14:paraId="5E60A673">
            <w:pPr>
              <w:spacing w:line="360" w:lineRule="auto"/>
              <w:jc w:val="center"/>
              <w:rPr>
                <w:rFonts w:ascii="宋体" w:hAnsi="宋体" w:cs="宋体"/>
                <w:szCs w:val="21"/>
              </w:rPr>
            </w:pPr>
          </w:p>
        </w:tc>
      </w:tr>
      <w:tr w14:paraId="0FC9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EE11514">
            <w:pPr>
              <w:spacing w:line="360" w:lineRule="auto"/>
              <w:jc w:val="center"/>
              <w:rPr>
                <w:rFonts w:ascii="宋体" w:hAnsi="宋体" w:cs="宋体"/>
                <w:szCs w:val="21"/>
              </w:rPr>
            </w:pPr>
            <w:r>
              <w:rPr>
                <w:rFonts w:hint="eastAsia" w:ascii="宋体" w:hAnsi="宋体" w:cs="宋体"/>
                <w:szCs w:val="21"/>
              </w:rPr>
              <w:t>详见报价表</w:t>
            </w:r>
          </w:p>
        </w:tc>
      </w:tr>
      <w:tr w14:paraId="4FEC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50A88478">
            <w:pPr>
              <w:spacing w:line="360" w:lineRule="auto"/>
              <w:rPr>
                <w:rFonts w:ascii="宋体" w:hAnsi="宋体" w:cs="宋体"/>
                <w:szCs w:val="21"/>
              </w:rPr>
            </w:pPr>
            <w:r>
              <w:rPr>
                <w:rFonts w:hint="eastAsia" w:ascii="宋体" w:hAnsi="宋体" w:cs="宋体"/>
                <w:szCs w:val="21"/>
              </w:rPr>
              <w:t>人民币合计金额（大写）：</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元整（¥</w:t>
            </w:r>
            <w:r>
              <w:rPr>
                <w:rFonts w:ascii="宋体" w:hAnsi="宋体" w:cs="宋体"/>
                <w:szCs w:val="21"/>
                <w:u w:val="single"/>
              </w:rPr>
              <w:t xml:space="preserve">           </w:t>
            </w:r>
            <w:r>
              <w:rPr>
                <w:rFonts w:hint="eastAsia" w:ascii="宋体" w:hAnsi="宋体" w:cs="宋体"/>
                <w:szCs w:val="21"/>
              </w:rPr>
              <w:t xml:space="preserve">）              </w:t>
            </w:r>
          </w:p>
        </w:tc>
      </w:tr>
    </w:tbl>
    <w:p w14:paraId="3F6DEDAE">
      <w:pPr>
        <w:spacing w:line="360" w:lineRule="auto"/>
        <w:ind w:firstLine="420" w:firstLineChars="200"/>
        <w:rPr>
          <w:rFonts w:ascii="宋体" w:hAnsi="宋体" w:cs="宋体"/>
          <w:szCs w:val="21"/>
        </w:rPr>
      </w:pPr>
      <w:r>
        <w:rPr>
          <w:rFonts w:hint="eastAsia" w:ascii="宋体" w:hAnsi="宋体" w:cs="宋体"/>
          <w:szCs w:val="21"/>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68C8E93B">
      <w:pPr>
        <w:spacing w:line="360" w:lineRule="auto"/>
        <w:ind w:firstLine="422" w:firstLineChars="200"/>
        <w:rPr>
          <w:rFonts w:ascii="宋体" w:hAnsi="宋体" w:cs="宋体"/>
          <w:b/>
          <w:szCs w:val="21"/>
        </w:rPr>
      </w:pPr>
      <w:r>
        <w:rPr>
          <w:rFonts w:hint="eastAsia" w:ascii="宋体" w:hAnsi="宋体" w:cs="宋体"/>
          <w:b/>
          <w:szCs w:val="21"/>
        </w:rPr>
        <w:t>第二条　质量保证</w:t>
      </w:r>
    </w:p>
    <w:p w14:paraId="20F57AC3">
      <w:pPr>
        <w:snapToGrid w:val="0"/>
        <w:spacing w:line="360" w:lineRule="auto"/>
        <w:ind w:firstLine="420" w:firstLineChars="200"/>
        <w:rPr>
          <w:rFonts w:ascii="宋体" w:hAnsi="宋体" w:cs="宋体"/>
          <w:szCs w:val="21"/>
        </w:rPr>
      </w:pPr>
      <w:r>
        <w:rPr>
          <w:rFonts w:hint="eastAsia" w:ascii="宋体" w:hAnsi="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4F7797E8">
      <w:pPr>
        <w:spacing w:line="360" w:lineRule="auto"/>
        <w:ind w:firstLine="422" w:firstLineChars="200"/>
        <w:rPr>
          <w:rFonts w:ascii="宋体" w:hAnsi="宋体" w:cs="宋体"/>
          <w:szCs w:val="21"/>
        </w:rPr>
      </w:pPr>
      <w:r>
        <w:rPr>
          <w:rFonts w:hint="eastAsia" w:ascii="宋体" w:hAnsi="宋体" w:cs="宋体"/>
          <w:b/>
          <w:szCs w:val="21"/>
        </w:rPr>
        <w:t>第三条　权利保证</w:t>
      </w:r>
    </w:p>
    <w:p w14:paraId="48E6D236">
      <w:pPr>
        <w:snapToGrid w:val="0"/>
        <w:spacing w:line="360" w:lineRule="auto"/>
        <w:ind w:firstLine="420" w:firstLineChars="200"/>
        <w:rPr>
          <w:rFonts w:ascii="宋体" w:hAnsi="宋体" w:cs="宋体"/>
          <w:szCs w:val="21"/>
        </w:rPr>
      </w:pPr>
      <w:r>
        <w:rPr>
          <w:rFonts w:hint="eastAsia" w:ascii="宋体" w:hAnsi="宋体" w:cs="宋体"/>
          <w:szCs w:val="21"/>
        </w:rPr>
        <w:t>1、乙方应保证所提供服务在使用时不会侵犯任何第三方的专利权、商标权、工业设计权等知识产权及其他合法权利，且所有权、处分权等没有受到任何限制。</w:t>
      </w:r>
    </w:p>
    <w:p w14:paraId="63CA8E72">
      <w:pPr>
        <w:snapToGrid w:val="0"/>
        <w:spacing w:line="360" w:lineRule="auto"/>
        <w:ind w:firstLine="420" w:firstLineChars="200"/>
        <w:rPr>
          <w:rFonts w:ascii="宋体" w:hAnsi="宋体" w:cs="宋体"/>
          <w:szCs w:val="21"/>
        </w:rPr>
      </w:pPr>
      <w:r>
        <w:rPr>
          <w:rFonts w:hint="eastAsia" w:ascii="宋体" w:hAnsi="宋体" w:cs="宋体"/>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F953B83">
      <w:pPr>
        <w:spacing w:line="360" w:lineRule="auto"/>
        <w:ind w:firstLine="422" w:firstLineChars="200"/>
        <w:rPr>
          <w:rFonts w:ascii="宋体" w:hAnsi="宋体" w:cs="宋体"/>
          <w:szCs w:val="21"/>
        </w:rPr>
      </w:pPr>
      <w:r>
        <w:rPr>
          <w:rFonts w:hint="eastAsia" w:ascii="宋体" w:hAnsi="宋体" w:cs="宋体"/>
          <w:b/>
          <w:szCs w:val="21"/>
        </w:rPr>
        <w:t>第四条　交付和验收</w:t>
      </w:r>
    </w:p>
    <w:p w14:paraId="7ECC89F1">
      <w:pPr>
        <w:spacing w:line="360" w:lineRule="auto"/>
        <w:ind w:firstLine="420" w:firstLineChars="200"/>
        <w:rPr>
          <w:rFonts w:ascii="宋体" w:hAnsi="宋体" w:cs="宋体"/>
          <w:szCs w:val="21"/>
        </w:rPr>
      </w:pPr>
      <w:r>
        <w:rPr>
          <w:rFonts w:hint="eastAsia" w:ascii="宋体" w:hAnsi="宋体" w:cs="宋体"/>
          <w:szCs w:val="21"/>
        </w:rPr>
        <w:t>1、服务期限：</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起至</w:t>
      </w:r>
      <w:r>
        <w:rPr>
          <w:rFonts w:ascii="宋体" w:hAnsi="宋体" w:cs="宋体"/>
          <w:szCs w:val="21"/>
          <w:u w:val="single"/>
        </w:rPr>
        <w:t xml:space="preserve">              </w:t>
      </w:r>
      <w:r>
        <w:rPr>
          <w:rFonts w:hint="eastAsia" w:ascii="宋体" w:hAnsi="宋体" w:cs="宋体"/>
          <w:szCs w:val="21"/>
        </w:rPr>
        <w:t>，服务地点：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w:t>
      </w:r>
    </w:p>
    <w:p w14:paraId="6FB61B07">
      <w:pPr>
        <w:snapToGrid w:val="0"/>
        <w:spacing w:line="360" w:lineRule="auto"/>
        <w:ind w:firstLine="420" w:firstLineChars="200"/>
        <w:rPr>
          <w:rFonts w:ascii="宋体" w:hAnsi="宋体" w:cs="宋体"/>
          <w:szCs w:val="21"/>
        </w:rPr>
      </w:pPr>
      <w:r>
        <w:rPr>
          <w:rFonts w:hint="eastAsia" w:ascii="宋体" w:hAnsi="宋体" w:cs="宋体"/>
          <w:szCs w:val="21"/>
        </w:rPr>
        <w:t>2、乙方应按响应文件的承诺向甲方提供相应的服务，并提供所服务内容的相关技术资料。</w:t>
      </w:r>
    </w:p>
    <w:p w14:paraId="3A4EE0FB">
      <w:pPr>
        <w:spacing w:line="360" w:lineRule="auto"/>
        <w:ind w:firstLine="420" w:firstLineChars="200"/>
        <w:rPr>
          <w:rFonts w:ascii="宋体" w:hAnsi="宋体" w:cs="宋体"/>
          <w:szCs w:val="21"/>
        </w:rPr>
      </w:pPr>
      <w:r>
        <w:rPr>
          <w:rFonts w:hint="eastAsia" w:ascii="宋体" w:hAnsi="宋体" w:cs="宋体"/>
          <w:szCs w:val="21"/>
        </w:rPr>
        <w:t>3、乙方提供不符合响应文件和本合同规定的服务成果，甲方有权拒绝接受。</w:t>
      </w:r>
    </w:p>
    <w:p w14:paraId="330F3585">
      <w:pPr>
        <w:spacing w:line="360" w:lineRule="auto"/>
        <w:ind w:firstLine="420" w:firstLineChars="200"/>
        <w:rPr>
          <w:rFonts w:ascii="宋体" w:hAnsi="宋体"/>
          <w:szCs w:val="21"/>
        </w:rPr>
      </w:pPr>
      <w:r>
        <w:rPr>
          <w:rFonts w:hint="eastAsia" w:ascii="宋体" w:hAnsi="宋体"/>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F023A4B">
      <w:pPr>
        <w:spacing w:line="360" w:lineRule="auto"/>
        <w:ind w:firstLine="420" w:firstLineChars="200"/>
        <w:rPr>
          <w:rFonts w:ascii="宋体" w:hAnsi="宋体"/>
          <w:szCs w:val="21"/>
        </w:rPr>
      </w:pPr>
      <w:r>
        <w:rPr>
          <w:rFonts w:hint="eastAsia" w:ascii="宋体" w:hAnsi="宋体" w:cs="宋体"/>
          <w:szCs w:val="21"/>
        </w:rPr>
        <w:t>5、甲乙双方应按照《</w:t>
      </w:r>
      <w:r>
        <w:rPr>
          <w:rFonts w:ascii="宋体" w:hAnsi="宋体" w:cs="宋体"/>
          <w:szCs w:val="21"/>
        </w:rPr>
        <w:t>广西壮族自治区政府采购项目履约验收管理办法</w:t>
      </w:r>
      <w:r>
        <w:rPr>
          <w:rFonts w:hint="eastAsia" w:ascii="宋体" w:hAnsi="宋体" w:cs="宋体"/>
          <w:szCs w:val="21"/>
        </w:rPr>
        <w:t>》、双方合同、响应文件验收。</w:t>
      </w:r>
    </w:p>
    <w:p w14:paraId="63EF5035">
      <w:pPr>
        <w:spacing w:line="360" w:lineRule="auto"/>
        <w:ind w:firstLine="420" w:firstLineChars="200"/>
        <w:rPr>
          <w:rFonts w:ascii="宋体" w:hAnsi="宋体" w:cs="宋体"/>
          <w:szCs w:val="21"/>
        </w:rPr>
      </w:pPr>
      <w:r>
        <w:rPr>
          <w:rFonts w:hint="eastAsia" w:ascii="宋体" w:hAnsi="宋体" w:cs="宋体"/>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12B3F040">
      <w:pPr>
        <w:spacing w:line="360" w:lineRule="auto"/>
        <w:ind w:firstLine="420" w:firstLineChars="200"/>
        <w:rPr>
          <w:rFonts w:ascii="宋体" w:hAnsi="宋体" w:cs="宋体"/>
          <w:szCs w:val="21"/>
        </w:rPr>
      </w:pPr>
      <w:r>
        <w:rPr>
          <w:rFonts w:hint="eastAsia" w:ascii="宋体" w:hAnsi="宋体" w:cs="宋体"/>
          <w:szCs w:val="21"/>
        </w:rPr>
        <w:t>7、甲方验收时以书面形式提出异议的，乙方应自收到甲方书面异议后五个工作日内及时予以解决，否则甲方有权不出具服务验收合格单。</w:t>
      </w:r>
    </w:p>
    <w:p w14:paraId="277DAF69">
      <w:pPr>
        <w:snapToGrid w:val="0"/>
        <w:spacing w:line="360" w:lineRule="auto"/>
        <w:ind w:firstLine="422" w:firstLineChars="200"/>
        <w:rPr>
          <w:rFonts w:ascii="宋体" w:hAnsi="宋体" w:cs="宋体"/>
          <w:b/>
          <w:szCs w:val="21"/>
        </w:rPr>
      </w:pPr>
      <w:r>
        <w:rPr>
          <w:rFonts w:hint="eastAsia" w:ascii="宋体" w:hAnsi="宋体" w:cs="宋体"/>
          <w:b/>
          <w:szCs w:val="21"/>
        </w:rPr>
        <w:t>第五条  售后服务及培训</w:t>
      </w:r>
    </w:p>
    <w:p w14:paraId="14E0DD19">
      <w:pPr>
        <w:snapToGrid w:val="0"/>
        <w:spacing w:line="360" w:lineRule="auto"/>
        <w:ind w:firstLine="420" w:firstLineChars="200"/>
        <w:rPr>
          <w:rFonts w:ascii="宋体" w:hAnsi="宋体" w:cs="宋体"/>
          <w:szCs w:val="21"/>
        </w:rPr>
      </w:pPr>
      <w:r>
        <w:rPr>
          <w:rFonts w:hint="eastAsia" w:ascii="宋体" w:hAnsi="宋体" w:cs="宋体"/>
          <w:szCs w:val="21"/>
        </w:rPr>
        <w:t>1、乙方应按照国家有关法律法规和本合同所附的《售后服务承诺》要求为甲方提供相应的售后服务。</w:t>
      </w:r>
    </w:p>
    <w:p w14:paraId="6AB35BDE">
      <w:pPr>
        <w:spacing w:line="360" w:lineRule="auto"/>
        <w:ind w:firstLine="420" w:firstLineChars="200"/>
        <w:rPr>
          <w:rFonts w:ascii="宋体" w:hAnsi="宋体" w:cs="宋体"/>
          <w:szCs w:val="21"/>
        </w:rPr>
      </w:pPr>
      <w:r>
        <w:rPr>
          <w:rFonts w:hint="eastAsia" w:ascii="宋体" w:hAnsi="宋体" w:cs="宋体"/>
          <w:szCs w:val="21"/>
        </w:rPr>
        <w:t>2、甲方应提供必要测试条件（如场地、电源、水源等）。</w:t>
      </w:r>
    </w:p>
    <w:p w14:paraId="0ECDED18">
      <w:pPr>
        <w:spacing w:line="360" w:lineRule="auto"/>
        <w:ind w:firstLine="420" w:firstLineChars="200"/>
        <w:rPr>
          <w:rFonts w:ascii="宋体" w:hAnsi="宋体" w:cs="宋体"/>
          <w:szCs w:val="21"/>
        </w:rPr>
      </w:pPr>
      <w:r>
        <w:rPr>
          <w:rFonts w:hint="eastAsia" w:ascii="宋体" w:hAnsi="宋体" w:cs="宋体"/>
          <w:szCs w:val="21"/>
        </w:rPr>
        <w:t>3、乙方负责甲方有关人员的培训。培训时间、地点：</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w:t>
      </w:r>
    </w:p>
    <w:p w14:paraId="4332FFE0">
      <w:pPr>
        <w:snapToGrid w:val="0"/>
        <w:spacing w:line="360" w:lineRule="auto"/>
        <w:ind w:firstLine="422" w:firstLineChars="200"/>
        <w:rPr>
          <w:rFonts w:ascii="宋体" w:hAnsi="宋体" w:cs="宋体"/>
          <w:szCs w:val="21"/>
          <w:u w:val="single"/>
        </w:rPr>
      </w:pPr>
      <w:r>
        <w:rPr>
          <w:rFonts w:hint="eastAsia" w:ascii="宋体" w:hAnsi="宋体" w:cs="宋体"/>
          <w:b/>
          <w:szCs w:val="21"/>
        </w:rPr>
        <w:t>第六条　付款方式</w:t>
      </w:r>
    </w:p>
    <w:p w14:paraId="4997427D">
      <w:pPr>
        <w:spacing w:line="360" w:lineRule="auto"/>
        <w:ind w:firstLine="420" w:firstLineChars="200"/>
        <w:rPr>
          <w:rFonts w:ascii="宋体" w:hAnsi="宋体"/>
          <w:szCs w:val="21"/>
          <w:u w:val="single"/>
        </w:rPr>
      </w:pPr>
      <w:r>
        <w:rPr>
          <w:rFonts w:hint="eastAsia" w:ascii="宋体" w:hAnsi="宋体"/>
          <w:szCs w:val="21"/>
        </w:rPr>
        <w:t>甲乙双方同意本合同金额的支付按以下第</w:t>
      </w:r>
      <w:r>
        <w:rPr>
          <w:rFonts w:hint="eastAsia" w:ascii="宋体" w:hAnsi="宋体"/>
          <w:szCs w:val="21"/>
          <w:u w:val="single"/>
        </w:rPr>
        <w:t xml:space="preserve">    </w:t>
      </w:r>
      <w:r>
        <w:rPr>
          <w:rFonts w:hint="eastAsia" w:ascii="宋体" w:hAnsi="宋体"/>
          <w:szCs w:val="21"/>
        </w:rPr>
        <w:t>项约定执行：</w:t>
      </w:r>
    </w:p>
    <w:p w14:paraId="034B10EE">
      <w:pPr>
        <w:spacing w:line="360" w:lineRule="auto"/>
        <w:ind w:firstLine="420" w:firstLineChars="200"/>
        <w:rPr>
          <w:rFonts w:ascii="宋体" w:hAnsi="宋体"/>
          <w:szCs w:val="21"/>
        </w:rPr>
      </w:pPr>
      <w:r>
        <w:rPr>
          <w:rFonts w:hint="eastAsia" w:ascii="宋体" w:hAnsi="宋体"/>
          <w:szCs w:val="21"/>
        </w:rPr>
        <w:t>1、一次性支付</w:t>
      </w:r>
    </w:p>
    <w:p w14:paraId="72B73AFE">
      <w:pPr>
        <w:spacing w:line="360" w:lineRule="auto"/>
        <w:ind w:firstLine="420" w:firstLineChars="200"/>
        <w:rPr>
          <w:rFonts w:ascii="宋体" w:hAnsi="宋体"/>
          <w:szCs w:val="21"/>
        </w:rPr>
      </w:pPr>
      <w:r>
        <w:rPr>
          <w:rFonts w:hint="eastAsia" w:ascii="宋体" w:hAnsi="宋体"/>
          <w:szCs w:val="21"/>
        </w:rPr>
        <w:t>2、分期支付</w:t>
      </w:r>
    </w:p>
    <w:p w14:paraId="224F1191">
      <w:pPr>
        <w:snapToGrid w:val="0"/>
        <w:spacing w:line="360" w:lineRule="auto"/>
        <w:ind w:firstLine="420" w:firstLineChars="200"/>
        <w:rPr>
          <w:rFonts w:ascii="宋体" w:hAnsi="宋体"/>
          <w:szCs w:val="21"/>
        </w:rPr>
      </w:pPr>
      <w:r>
        <w:rPr>
          <w:rFonts w:hint="eastAsia" w:ascii="宋体" w:hAnsi="宋体"/>
          <w:szCs w:val="21"/>
        </w:rPr>
        <w:t>本项目预付款在合同生效以及具备实施条件后15日内支付，预付款比例为合同金额的30%（以人工投入为主的，可适当降低预付款比例，但不得低于10%，项目分年安排预算的，第二年预付时间为次年相对应月份，以此类推）……服务期限满后七天内支付总额的</w:t>
      </w:r>
      <w:r>
        <w:rPr>
          <w:rFonts w:hint="eastAsia" w:ascii="宋体" w:hAnsi="宋体"/>
          <w:szCs w:val="21"/>
          <w:u w:val="single"/>
        </w:rPr>
        <w:t xml:space="preserve">     </w:t>
      </w:r>
      <w:r>
        <w:rPr>
          <w:rFonts w:hint="eastAsia" w:ascii="宋体" w:hAnsi="宋体"/>
          <w:szCs w:val="21"/>
        </w:rPr>
        <w:t>%。</w:t>
      </w:r>
    </w:p>
    <w:p w14:paraId="7EFCFA49">
      <w:pPr>
        <w:snapToGrid w:val="0"/>
        <w:spacing w:line="360" w:lineRule="auto"/>
        <w:ind w:firstLine="422" w:firstLineChars="200"/>
        <w:rPr>
          <w:rFonts w:ascii="宋体" w:hAnsi="宋体" w:cs="宋体"/>
          <w:b/>
          <w:szCs w:val="21"/>
        </w:rPr>
      </w:pPr>
      <w:r>
        <w:rPr>
          <w:rFonts w:hint="eastAsia" w:ascii="宋体" w:hAnsi="宋体" w:cs="宋体"/>
          <w:b/>
          <w:szCs w:val="21"/>
        </w:rPr>
        <w:t>第七条　履约保证金</w:t>
      </w:r>
    </w:p>
    <w:p w14:paraId="6C0E345B">
      <w:pPr>
        <w:spacing w:line="360" w:lineRule="auto"/>
        <w:ind w:firstLine="420" w:firstLineChars="200"/>
        <w:rPr>
          <w:rFonts w:ascii="宋体" w:hAnsi="宋体" w:cs="宋体"/>
          <w:szCs w:val="21"/>
        </w:rPr>
      </w:pPr>
      <w:r>
        <w:rPr>
          <w:rFonts w:hint="eastAsia" w:ascii="宋体" w:hAnsi="宋体" w:cs="宋体"/>
          <w:szCs w:val="21"/>
        </w:rPr>
        <w:t>履约保证金金额：每分标按中标金额的</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%（注：履约保证金不超过</w:t>
      </w:r>
      <w:r>
        <w:rPr>
          <w:rFonts w:ascii="宋体" w:hAnsi="宋体" w:cs="宋体"/>
          <w:szCs w:val="21"/>
        </w:rPr>
        <w:t>5</w:t>
      </w:r>
      <w:r>
        <w:rPr>
          <w:rFonts w:hint="eastAsia" w:ascii="宋体" w:hAnsi="宋体" w:cs="宋体"/>
          <w:szCs w:val="21"/>
        </w:rPr>
        <w:t>%）。</w:t>
      </w:r>
    </w:p>
    <w:p w14:paraId="27DB7559">
      <w:pPr>
        <w:spacing w:line="360" w:lineRule="auto"/>
        <w:ind w:firstLine="420" w:firstLineChars="200"/>
        <w:rPr>
          <w:rFonts w:ascii="宋体" w:hAnsi="宋体" w:cs="宋体"/>
          <w:szCs w:val="21"/>
        </w:rPr>
      </w:pPr>
      <w:r>
        <w:rPr>
          <w:rFonts w:hint="eastAsia" w:ascii="宋体" w:hAnsi="宋体" w:cs="宋体"/>
          <w:szCs w:val="21"/>
        </w:rPr>
        <w:t>履约保证金递交方式：支票、汇票、本票或者金融、担保机构出具的保函等非现金方式（参照磋商保证金）。</w:t>
      </w:r>
    </w:p>
    <w:p w14:paraId="03F54BD3">
      <w:pPr>
        <w:spacing w:line="360" w:lineRule="auto"/>
        <w:ind w:firstLine="420" w:firstLineChars="200"/>
        <w:rPr>
          <w:rFonts w:ascii="宋体" w:hAnsi="宋体" w:cs="宋体"/>
          <w:szCs w:val="21"/>
        </w:rPr>
      </w:pPr>
      <w:r>
        <w:rPr>
          <w:rFonts w:hint="eastAsia" w:ascii="宋体" w:hAnsi="宋体" w:cs="宋体"/>
          <w:szCs w:val="21"/>
        </w:rPr>
        <w:t>履约保证金退付方式、时间及条件：由中标人向履约保证金收取单位提供《广西壮族自治区政府采购项目合同验收书》</w:t>
      </w:r>
      <w:r>
        <w:rPr>
          <w:rFonts w:hint="eastAsia" w:ascii="宋体" w:hAnsi="宋体" w:cs="宋体"/>
          <w:color w:val="000000"/>
          <w:szCs w:val="21"/>
        </w:rPr>
        <w:t>（详见桂财采〔2015〕22号）</w:t>
      </w:r>
      <w:r>
        <w:rPr>
          <w:rFonts w:hint="eastAsia" w:ascii="宋体" w:hAnsi="宋体" w:cs="宋体"/>
          <w:szCs w:val="21"/>
        </w:rPr>
        <w:t>，保证金收取单位在收到合格材料后5个工作日内办理退还手续（不计利息）。</w:t>
      </w:r>
    </w:p>
    <w:p w14:paraId="5BB16424">
      <w:pPr>
        <w:spacing w:line="360" w:lineRule="auto"/>
        <w:ind w:firstLine="420" w:firstLineChars="200"/>
        <w:rPr>
          <w:rFonts w:ascii="宋体" w:hAnsi="宋体" w:cs="宋体"/>
          <w:szCs w:val="21"/>
        </w:rPr>
      </w:pPr>
      <w:r>
        <w:rPr>
          <w:rFonts w:hint="eastAsia" w:ascii="宋体" w:hAnsi="宋体" w:cs="宋体"/>
          <w:szCs w:val="21"/>
        </w:rPr>
        <w:t>签订合同后，如成交供应商不按双方签订的合同规定履约，则没收其全部履约保证金，履约保证金不足以赔偿损失的，按实际损失赔偿。</w:t>
      </w:r>
    </w:p>
    <w:p w14:paraId="70FC9DE1">
      <w:pPr>
        <w:spacing w:line="360" w:lineRule="auto"/>
        <w:ind w:firstLine="422" w:firstLineChars="200"/>
        <w:rPr>
          <w:rFonts w:ascii="宋体" w:hAnsi="宋体" w:cs="宋体"/>
          <w:b/>
          <w:szCs w:val="21"/>
        </w:rPr>
      </w:pPr>
      <w:r>
        <w:rPr>
          <w:rFonts w:hint="eastAsia" w:ascii="宋体" w:hAnsi="宋体" w:cs="宋体"/>
          <w:b/>
          <w:szCs w:val="21"/>
        </w:rPr>
        <w:t>第八条  税费</w:t>
      </w:r>
    </w:p>
    <w:p w14:paraId="6D472BC8">
      <w:pPr>
        <w:spacing w:line="360" w:lineRule="auto"/>
        <w:ind w:firstLine="420" w:firstLineChars="200"/>
        <w:rPr>
          <w:rFonts w:ascii="宋体" w:hAnsi="宋体" w:cs="宋体"/>
          <w:szCs w:val="21"/>
        </w:rPr>
      </w:pPr>
      <w:r>
        <w:rPr>
          <w:rFonts w:hint="eastAsia" w:ascii="宋体" w:hAnsi="宋体" w:cs="宋体"/>
          <w:szCs w:val="21"/>
        </w:rPr>
        <w:t>本合同执行中相关的一切税费均由乙方负担，合同另有约定的除外。</w:t>
      </w:r>
    </w:p>
    <w:p w14:paraId="4025B4BE">
      <w:pPr>
        <w:spacing w:line="360" w:lineRule="auto"/>
        <w:ind w:firstLine="422" w:firstLineChars="200"/>
        <w:rPr>
          <w:rFonts w:ascii="宋体" w:hAnsi="宋体" w:cs="宋体"/>
          <w:b/>
          <w:szCs w:val="21"/>
        </w:rPr>
      </w:pPr>
      <w:r>
        <w:rPr>
          <w:rFonts w:hint="eastAsia" w:ascii="宋体" w:hAnsi="宋体" w:cs="宋体"/>
          <w:b/>
          <w:szCs w:val="21"/>
        </w:rPr>
        <w:t>第九条　违约责任</w:t>
      </w:r>
    </w:p>
    <w:p w14:paraId="0D915F31">
      <w:pPr>
        <w:snapToGrid w:val="0"/>
        <w:spacing w:line="360" w:lineRule="auto"/>
        <w:ind w:firstLine="420" w:firstLineChars="200"/>
        <w:rPr>
          <w:rFonts w:ascii="宋体" w:hAnsi="宋体" w:cs="宋体"/>
          <w:szCs w:val="21"/>
        </w:rPr>
      </w:pPr>
      <w:r>
        <w:rPr>
          <w:rFonts w:hint="eastAsia" w:ascii="宋体" w:hAnsi="宋体"/>
          <w:szCs w:val="21"/>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szCs w:val="21"/>
        </w:rPr>
        <w:t xml:space="preserve">                                  </w:t>
      </w:r>
    </w:p>
    <w:p w14:paraId="114EC912">
      <w:pPr>
        <w:snapToGrid w:val="0"/>
        <w:spacing w:line="360" w:lineRule="auto"/>
        <w:ind w:firstLine="420" w:firstLineChars="200"/>
        <w:rPr>
          <w:rFonts w:ascii="宋体" w:hAnsi="宋体" w:cs="宋体"/>
          <w:szCs w:val="21"/>
        </w:rPr>
      </w:pPr>
      <w:r>
        <w:rPr>
          <w:rFonts w:hint="eastAsia" w:ascii="宋体" w:hAnsi="宋体" w:cs="宋体"/>
          <w:szCs w:val="21"/>
        </w:rPr>
        <w:t>2、乙方提供的服务如侵犯了第三方合法权益而引发的任何纠纷或者诉讼，均由乙方负责交涉并承担全部责任。</w:t>
      </w:r>
    </w:p>
    <w:p w14:paraId="31CF87C6">
      <w:pPr>
        <w:snapToGrid w:val="0"/>
        <w:spacing w:line="360" w:lineRule="auto"/>
        <w:ind w:firstLine="420" w:firstLineChars="200"/>
        <w:rPr>
          <w:rFonts w:ascii="宋体" w:hAnsi="宋体" w:cs="宋体"/>
          <w:szCs w:val="21"/>
        </w:rPr>
      </w:pPr>
      <w:r>
        <w:rPr>
          <w:rFonts w:ascii="宋体" w:hAnsi="宋体"/>
          <w:szCs w:val="21"/>
        </w:rPr>
        <w:t>3</w:t>
      </w:r>
      <w:r>
        <w:rPr>
          <w:rFonts w:hint="eastAsia" w:ascii="宋体" w:hAnsi="宋体"/>
          <w:szCs w:val="21"/>
        </w:rPr>
        <w:t>、甲方延期付款的，每天向乙方偿付延期款额3‰滞纳金，但滞纳金累计不得超过延期款额5%。</w:t>
      </w:r>
    </w:p>
    <w:p w14:paraId="363B8C08">
      <w:pPr>
        <w:spacing w:line="360" w:lineRule="auto"/>
        <w:ind w:firstLine="422" w:firstLineChars="200"/>
        <w:rPr>
          <w:rFonts w:ascii="宋体" w:hAnsi="宋体" w:cs="宋体"/>
          <w:b/>
          <w:szCs w:val="21"/>
        </w:rPr>
      </w:pPr>
      <w:r>
        <w:rPr>
          <w:rFonts w:hint="eastAsia" w:ascii="宋体" w:hAnsi="宋体" w:cs="宋体"/>
          <w:b/>
          <w:szCs w:val="21"/>
        </w:rPr>
        <w:t>第十条  不可抗力事件处理</w:t>
      </w:r>
    </w:p>
    <w:p w14:paraId="11774329">
      <w:pPr>
        <w:spacing w:line="360" w:lineRule="auto"/>
        <w:ind w:firstLine="420" w:firstLineChars="200"/>
        <w:rPr>
          <w:rFonts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14:paraId="78AD5148">
      <w:pPr>
        <w:spacing w:line="360" w:lineRule="auto"/>
        <w:ind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14:paraId="0CE4FA67">
      <w:pPr>
        <w:spacing w:line="360" w:lineRule="auto"/>
        <w:ind w:firstLine="420" w:firstLineChars="200"/>
        <w:rPr>
          <w:rFonts w:ascii="宋体" w:hAnsi="宋体" w:cs="宋体"/>
          <w:szCs w:val="21"/>
        </w:rPr>
      </w:pPr>
      <w:r>
        <w:rPr>
          <w:rFonts w:hint="eastAsia" w:ascii="宋体" w:hAnsi="宋体" w:cs="宋体"/>
          <w:szCs w:val="21"/>
        </w:rPr>
        <w:t>3、不可抗力事件延续一百二十天以上，双方应通过友好协商，确定是否继续履行合同。</w:t>
      </w:r>
    </w:p>
    <w:p w14:paraId="072A3098">
      <w:pPr>
        <w:spacing w:line="360" w:lineRule="auto"/>
        <w:ind w:firstLine="422" w:firstLineChars="200"/>
        <w:rPr>
          <w:rFonts w:ascii="宋体" w:hAnsi="宋体" w:cs="宋体"/>
          <w:szCs w:val="21"/>
        </w:rPr>
      </w:pPr>
      <w:r>
        <w:rPr>
          <w:rFonts w:hint="eastAsia" w:ascii="宋体" w:hAnsi="宋体" w:cs="宋体"/>
          <w:b/>
          <w:szCs w:val="21"/>
        </w:rPr>
        <w:t>第十一条  合同争议解决</w:t>
      </w:r>
    </w:p>
    <w:p w14:paraId="44EB2A1C">
      <w:pPr>
        <w:snapToGrid w:val="0"/>
        <w:spacing w:line="360" w:lineRule="auto"/>
        <w:ind w:firstLine="420" w:firstLineChars="200"/>
        <w:rPr>
          <w:rFonts w:ascii="宋体" w:hAnsi="宋体" w:cs="宋体"/>
          <w:szCs w:val="21"/>
        </w:rPr>
      </w:pPr>
      <w:r>
        <w:rPr>
          <w:rFonts w:hint="eastAsia" w:ascii="宋体" w:hAnsi="宋体" w:cs="宋体"/>
          <w:szCs w:val="21"/>
        </w:rPr>
        <w:t>1、因服务质量问题发生争议的，应邀请国家认可的质量检测机构进行鉴定。服务符合标准的，鉴定费由甲方承担；服务不符合标准的，鉴定费由乙方承担。</w:t>
      </w:r>
    </w:p>
    <w:p w14:paraId="189B1BD8">
      <w:pPr>
        <w:snapToGrid w:val="0"/>
        <w:spacing w:line="360" w:lineRule="auto"/>
        <w:ind w:firstLine="420" w:firstLineChars="200"/>
        <w:rPr>
          <w:rFonts w:ascii="宋体" w:hAnsi="宋体" w:cs="宋体"/>
          <w:szCs w:val="21"/>
        </w:rPr>
      </w:pPr>
      <w:r>
        <w:rPr>
          <w:rFonts w:hint="eastAsia" w:ascii="宋体" w:hAnsi="宋体" w:cs="宋体"/>
          <w:szCs w:val="21"/>
        </w:rPr>
        <w:t>2、因履行本合同引起的或者与本合同有关的争议，甲乙双方应首先通过友好协商解决，如果协商不能解决，可向甲方所在地有管辖权的人民法院提起诉讼。</w:t>
      </w:r>
    </w:p>
    <w:p w14:paraId="117FE88B">
      <w:pPr>
        <w:snapToGrid w:val="0"/>
        <w:spacing w:line="360" w:lineRule="auto"/>
        <w:ind w:firstLine="420" w:firstLineChars="200"/>
        <w:rPr>
          <w:rFonts w:ascii="宋体" w:hAnsi="宋体" w:cs="宋体"/>
          <w:szCs w:val="21"/>
        </w:rPr>
      </w:pPr>
      <w:r>
        <w:rPr>
          <w:rFonts w:hint="eastAsia" w:ascii="宋体" w:hAnsi="宋体" w:cs="宋体"/>
          <w:szCs w:val="21"/>
        </w:rPr>
        <w:t>3、诉讼期间，本合同继续履行。</w:t>
      </w:r>
    </w:p>
    <w:p w14:paraId="1993E30F">
      <w:pPr>
        <w:spacing w:line="360" w:lineRule="auto"/>
        <w:ind w:firstLine="422" w:firstLineChars="200"/>
        <w:rPr>
          <w:rFonts w:ascii="宋体" w:hAnsi="宋体" w:cs="宋体"/>
          <w:b/>
          <w:szCs w:val="21"/>
        </w:rPr>
      </w:pPr>
      <w:r>
        <w:rPr>
          <w:rFonts w:hint="eastAsia" w:ascii="宋体" w:hAnsi="宋体" w:cs="宋体"/>
          <w:b/>
          <w:szCs w:val="21"/>
        </w:rPr>
        <w:t>第十二条  合同生效及其它</w:t>
      </w:r>
    </w:p>
    <w:p w14:paraId="3F419A2C">
      <w:pPr>
        <w:spacing w:line="360" w:lineRule="auto"/>
        <w:ind w:firstLine="420" w:firstLineChars="200"/>
        <w:rPr>
          <w:rFonts w:ascii="宋体" w:hAnsi="宋体" w:cs="宋体"/>
          <w:szCs w:val="21"/>
        </w:rPr>
      </w:pPr>
      <w:r>
        <w:rPr>
          <w:rFonts w:hint="eastAsia" w:ascii="宋体" w:hAnsi="宋体" w:cs="宋体"/>
          <w:szCs w:val="21"/>
        </w:rPr>
        <w:t>1、合同经双方法定代表人或者授权代表签字并加盖单位公章后生效（委托代理人签字的需后附授权委托书，格式自拟）。</w:t>
      </w:r>
    </w:p>
    <w:p w14:paraId="5DC460C9">
      <w:pPr>
        <w:spacing w:line="360" w:lineRule="auto"/>
        <w:ind w:firstLine="420" w:firstLineChars="200"/>
        <w:rPr>
          <w:rFonts w:ascii="宋体" w:hAnsi="宋体" w:cs="宋体"/>
          <w:szCs w:val="21"/>
        </w:rPr>
      </w:pPr>
      <w:r>
        <w:rPr>
          <w:rFonts w:hint="eastAsia" w:ascii="宋体" w:hAnsi="宋体" w:cs="宋体"/>
          <w:szCs w:val="21"/>
        </w:rPr>
        <w:t>2、合同执行中涉及采购资金和采购内容修改或者补充的，须经财政部门审批，并签书面补充协议报财政部门备案，方可作为主合同不可分割的一部分。</w:t>
      </w:r>
    </w:p>
    <w:p w14:paraId="08AA4C3B">
      <w:pPr>
        <w:spacing w:line="360" w:lineRule="auto"/>
        <w:ind w:firstLine="420" w:firstLineChars="200"/>
        <w:rPr>
          <w:rFonts w:ascii="宋体" w:hAnsi="宋体" w:cs="宋体"/>
          <w:szCs w:val="21"/>
        </w:rPr>
      </w:pPr>
      <w:r>
        <w:rPr>
          <w:rFonts w:hint="eastAsia" w:ascii="宋体" w:hAnsi="宋体" w:cs="宋体"/>
          <w:szCs w:val="21"/>
        </w:rPr>
        <w:t>3、本合同未尽事宜，遵照《中华人民共和国民法典》有关条文执行。</w:t>
      </w:r>
    </w:p>
    <w:p w14:paraId="66A95B51">
      <w:pPr>
        <w:spacing w:line="360" w:lineRule="auto"/>
        <w:ind w:firstLine="422" w:firstLineChars="200"/>
        <w:rPr>
          <w:rFonts w:ascii="宋体" w:hAnsi="宋体" w:cs="宋体"/>
          <w:b/>
          <w:szCs w:val="21"/>
        </w:rPr>
      </w:pPr>
      <w:r>
        <w:rPr>
          <w:rFonts w:hint="eastAsia" w:ascii="宋体" w:hAnsi="宋体" w:cs="宋体"/>
          <w:b/>
          <w:szCs w:val="21"/>
        </w:rPr>
        <w:t>第十三条　合同的变更、终止与转让</w:t>
      </w:r>
    </w:p>
    <w:p w14:paraId="0F20EA4C">
      <w:pPr>
        <w:spacing w:line="360" w:lineRule="auto"/>
        <w:ind w:firstLine="420" w:firstLineChars="200"/>
        <w:rPr>
          <w:rFonts w:ascii="宋体" w:hAnsi="宋体" w:cs="宋体"/>
          <w:szCs w:val="21"/>
        </w:rPr>
      </w:pPr>
      <w:r>
        <w:rPr>
          <w:rFonts w:hint="eastAsia" w:ascii="宋体" w:hAnsi="宋体" w:cs="宋体"/>
          <w:szCs w:val="21"/>
        </w:rPr>
        <w:t>1、除《中华人民共和国政府采购法》第五十条规定的情形外，本合同一经签订，甲乙双方不得擅自变更、中止或者终止。</w:t>
      </w:r>
    </w:p>
    <w:p w14:paraId="38A6C59B">
      <w:pPr>
        <w:spacing w:line="360" w:lineRule="auto"/>
        <w:ind w:firstLine="420" w:firstLineChars="200"/>
        <w:rPr>
          <w:rFonts w:ascii="宋体" w:hAnsi="宋体" w:cs="宋体"/>
          <w:szCs w:val="21"/>
        </w:rPr>
      </w:pPr>
      <w:r>
        <w:rPr>
          <w:rFonts w:hint="eastAsia" w:ascii="宋体" w:hAnsi="宋体" w:cs="宋体"/>
          <w:szCs w:val="21"/>
        </w:rPr>
        <w:t>2、乙方不得擅自转让其应履行的合同义务。</w:t>
      </w:r>
    </w:p>
    <w:p w14:paraId="7031B7BB">
      <w:pPr>
        <w:spacing w:line="360" w:lineRule="auto"/>
        <w:ind w:firstLine="422" w:firstLineChars="200"/>
        <w:rPr>
          <w:rFonts w:ascii="宋体" w:hAnsi="宋体" w:cs="宋体"/>
          <w:b/>
          <w:szCs w:val="21"/>
        </w:rPr>
      </w:pPr>
      <w:r>
        <w:rPr>
          <w:rFonts w:hint="eastAsia" w:ascii="宋体" w:hAnsi="宋体" w:cs="宋体"/>
          <w:b/>
          <w:szCs w:val="21"/>
        </w:rPr>
        <w:t>第十四条　签订本合同依据</w:t>
      </w:r>
    </w:p>
    <w:p w14:paraId="4F4E14EE">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szCs w:val="21"/>
        </w:rPr>
        <w:t>成交通知书</w:t>
      </w:r>
      <w:r>
        <w:rPr>
          <w:rFonts w:hint="eastAsia" w:ascii="宋体" w:hAnsi="宋体" w:cs="宋体"/>
          <w:szCs w:val="21"/>
        </w:rPr>
        <w:t>；</w:t>
      </w:r>
    </w:p>
    <w:p w14:paraId="61778B0F">
      <w:pPr>
        <w:spacing w:line="360" w:lineRule="auto"/>
        <w:ind w:firstLine="420" w:firstLineChars="200"/>
        <w:rPr>
          <w:rFonts w:ascii="宋体" w:hAnsi="宋体" w:cs="宋体"/>
          <w:szCs w:val="21"/>
        </w:rPr>
      </w:pPr>
      <w:r>
        <w:rPr>
          <w:rFonts w:hint="eastAsia" w:ascii="宋体" w:hAnsi="宋体" w:cs="宋体"/>
          <w:szCs w:val="21"/>
        </w:rPr>
        <w:t>2、竞标报价表；</w:t>
      </w:r>
    </w:p>
    <w:p w14:paraId="2BE33F4D">
      <w:pPr>
        <w:spacing w:line="360" w:lineRule="auto"/>
        <w:ind w:firstLine="420" w:firstLineChars="200"/>
        <w:rPr>
          <w:rFonts w:ascii="宋体" w:hAnsi="宋体" w:cs="宋体"/>
          <w:szCs w:val="21"/>
        </w:rPr>
      </w:pPr>
      <w:r>
        <w:rPr>
          <w:rFonts w:hint="eastAsia" w:ascii="宋体" w:hAnsi="宋体" w:cs="宋体"/>
          <w:szCs w:val="21"/>
        </w:rPr>
        <w:t>3、商务要求偏离表和技术要求偏离表；</w:t>
      </w:r>
    </w:p>
    <w:p w14:paraId="587E9485">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、服务方案；</w:t>
      </w:r>
    </w:p>
    <w:p w14:paraId="44331093">
      <w:pPr>
        <w:spacing w:line="360" w:lineRule="auto"/>
        <w:ind w:firstLine="420" w:firstLineChars="200"/>
        <w:rPr>
          <w:rFonts w:ascii="宋体" w:hAnsi="宋体" w:cs="宋体"/>
          <w:szCs w:val="21"/>
        </w:rPr>
      </w:pPr>
      <w:r>
        <w:rPr>
          <w:rFonts w:hint="eastAsia" w:ascii="宋体" w:hAnsi="宋体" w:cs="宋体"/>
          <w:szCs w:val="21"/>
        </w:rPr>
        <w:t>5、响应文件中的其他相关文件。</w:t>
      </w:r>
    </w:p>
    <w:p w14:paraId="130269E1">
      <w:pPr>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、上述合同文件互相补充和解释。如果合同文件之间存在矛盾或者不一致之处，以上述文件的排列顺序在先者为准。</w:t>
      </w:r>
    </w:p>
    <w:p w14:paraId="37090E9F">
      <w:pPr>
        <w:spacing w:line="360" w:lineRule="auto"/>
        <w:ind w:firstLine="422" w:firstLineChars="200"/>
        <w:rPr>
          <w:rFonts w:ascii="宋体" w:hAnsi="宋体" w:cs="宋体"/>
          <w:szCs w:val="21"/>
        </w:rPr>
      </w:pPr>
      <w:r>
        <w:rPr>
          <w:rFonts w:hint="eastAsia" w:ascii="宋体" w:hAnsi="宋体" w:cs="宋体"/>
          <w:b/>
          <w:szCs w:val="21"/>
        </w:rPr>
        <w:t>第十五条　</w:t>
      </w:r>
      <w:r>
        <w:rPr>
          <w:rFonts w:hint="eastAsia" w:ascii="宋体" w:hAnsi="宋体" w:cs="宋体"/>
          <w:szCs w:val="21"/>
        </w:rPr>
        <w:t>本合同一式四份，具有同等法律效力，财政部门（政府采购监管部门）、采购代理机构各一份，甲乙双方各一份（可根据需要另增加）。</w:t>
      </w:r>
    </w:p>
    <w:p w14:paraId="6C11DE20">
      <w:pPr>
        <w:spacing w:line="360" w:lineRule="auto"/>
        <w:ind w:firstLine="420" w:firstLineChars="200"/>
        <w:rPr>
          <w:rFonts w:ascii="宋体" w:hAnsi="宋体" w:cs="宋体"/>
          <w:szCs w:val="21"/>
        </w:rPr>
      </w:pPr>
      <w:r>
        <w:rPr>
          <w:rFonts w:hint="eastAsia" w:ascii="宋体" w:hAnsi="宋体" w:cs="宋体"/>
          <w:szCs w:val="21"/>
        </w:rPr>
        <w:t>本合同甲乙双方签字盖章后生效，自签订之日起七个工作日内，甲方应当将合同副本报同级财政部门备案。</w:t>
      </w:r>
    </w:p>
    <w:p w14:paraId="6CFC6BBC">
      <w:pPr>
        <w:spacing w:line="360" w:lineRule="auto"/>
        <w:ind w:firstLine="420" w:firstLineChars="200"/>
        <w:rPr>
          <w:rFonts w:ascii="宋体" w:hAnsi="宋体" w:cs="宋体"/>
          <w:szCs w:val="21"/>
        </w:rPr>
      </w:pPr>
      <w:r>
        <w:rPr>
          <w:rFonts w:hint="eastAsia" w:ascii="宋体" w:hAnsi="宋体" w:cs="宋体"/>
          <w:szCs w:val="21"/>
        </w:rPr>
        <w:t>本合同自签订之日起2个工作日内，甲方应当将采购合同在广西壮族自治区财政厅指定的媒体上公告。</w:t>
      </w:r>
    </w:p>
    <w:tbl>
      <w:tblPr>
        <w:tblStyle w:val="33"/>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DAE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69A42D24">
            <w:pPr>
              <w:snapToGrid w:val="0"/>
              <w:spacing w:line="360" w:lineRule="auto"/>
              <w:rPr>
                <w:rFonts w:ascii="宋体" w:hAnsi="宋体" w:cs="宋体"/>
                <w:szCs w:val="21"/>
              </w:rPr>
            </w:pPr>
            <w:r>
              <w:rPr>
                <w:rFonts w:hint="eastAsia" w:ascii="宋体" w:hAnsi="宋体" w:cs="宋体"/>
                <w:szCs w:val="21"/>
              </w:rPr>
              <w:t>甲方：（章）</w:t>
            </w:r>
          </w:p>
          <w:p w14:paraId="0852D2E0">
            <w:pPr>
              <w:snapToGrid w:val="0"/>
              <w:spacing w:line="360" w:lineRule="auto"/>
              <w:rPr>
                <w:rFonts w:ascii="宋体" w:hAnsi="宋体" w:cs="宋体"/>
                <w:szCs w:val="21"/>
              </w:rPr>
            </w:pPr>
          </w:p>
          <w:p w14:paraId="5A655728">
            <w:pPr>
              <w:snapToGrid w:val="0"/>
              <w:spacing w:line="360" w:lineRule="auto"/>
              <w:rPr>
                <w:rFonts w:ascii="宋体" w:hAnsi="宋体" w:cs="宋体"/>
                <w:szCs w:val="21"/>
              </w:rPr>
            </w:pPr>
          </w:p>
          <w:p w14:paraId="4367469B">
            <w:pPr>
              <w:snapToGrid w:val="0"/>
              <w:spacing w:line="360" w:lineRule="auto"/>
              <w:ind w:firstLine="945" w:firstLineChars="450"/>
              <w:jc w:val="right"/>
              <w:rPr>
                <w:rFonts w:ascii="宋体" w:hAnsi="宋体" w:cs="宋体"/>
                <w:szCs w:val="21"/>
              </w:rPr>
            </w:pPr>
          </w:p>
          <w:p w14:paraId="1D84F169">
            <w:pPr>
              <w:snapToGrid w:val="0"/>
              <w:spacing w:line="360" w:lineRule="auto"/>
              <w:ind w:firstLine="945" w:firstLineChars="450"/>
              <w:jc w:val="right"/>
              <w:rPr>
                <w:rFonts w:ascii="宋体" w:hAnsi="宋体" w:cs="宋体"/>
                <w:szCs w:val="21"/>
              </w:rPr>
            </w:pPr>
            <w:r>
              <w:rPr>
                <w:rFonts w:hint="eastAsia" w:ascii="宋体" w:hAnsi="宋体" w:cs="宋体"/>
                <w:szCs w:val="21"/>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5684C515">
            <w:pPr>
              <w:snapToGrid w:val="0"/>
              <w:spacing w:line="360" w:lineRule="auto"/>
              <w:rPr>
                <w:rFonts w:ascii="宋体" w:hAnsi="宋体" w:cs="宋体"/>
                <w:szCs w:val="21"/>
              </w:rPr>
            </w:pPr>
            <w:r>
              <w:rPr>
                <w:rFonts w:hint="eastAsia" w:ascii="宋体" w:hAnsi="宋体" w:cs="宋体"/>
                <w:szCs w:val="21"/>
              </w:rPr>
              <w:t xml:space="preserve">乙方：（章）       </w:t>
            </w:r>
          </w:p>
          <w:p w14:paraId="1CFE553A">
            <w:pPr>
              <w:snapToGrid w:val="0"/>
              <w:spacing w:line="360" w:lineRule="auto"/>
              <w:rPr>
                <w:rFonts w:ascii="宋体" w:hAnsi="宋体" w:cs="宋体"/>
                <w:szCs w:val="21"/>
              </w:rPr>
            </w:pPr>
          </w:p>
          <w:p w14:paraId="768BF2F4">
            <w:pPr>
              <w:snapToGrid w:val="0"/>
              <w:spacing w:line="360" w:lineRule="auto"/>
              <w:rPr>
                <w:rFonts w:ascii="宋体" w:hAnsi="宋体" w:cs="宋体"/>
                <w:szCs w:val="21"/>
              </w:rPr>
            </w:pPr>
            <w:r>
              <w:rPr>
                <w:rFonts w:hint="eastAsia" w:ascii="宋体" w:hAnsi="宋体" w:cs="宋体"/>
                <w:szCs w:val="21"/>
              </w:rPr>
              <w:t xml:space="preserve">       </w:t>
            </w:r>
          </w:p>
          <w:p w14:paraId="76469AAF">
            <w:pPr>
              <w:snapToGrid w:val="0"/>
              <w:spacing w:line="360" w:lineRule="auto"/>
              <w:jc w:val="right"/>
              <w:rPr>
                <w:rFonts w:ascii="宋体" w:hAnsi="宋体" w:cs="宋体"/>
                <w:szCs w:val="21"/>
              </w:rPr>
            </w:pPr>
          </w:p>
          <w:p w14:paraId="3DD3027F">
            <w:pPr>
              <w:snapToGrid w:val="0"/>
              <w:spacing w:line="360" w:lineRule="auto"/>
              <w:jc w:val="right"/>
              <w:rPr>
                <w:rFonts w:ascii="宋体" w:hAnsi="宋体" w:cs="宋体"/>
                <w:szCs w:val="21"/>
              </w:rPr>
            </w:pPr>
            <w:r>
              <w:rPr>
                <w:rFonts w:hint="eastAsia" w:ascii="宋体" w:hAnsi="宋体" w:cs="宋体"/>
                <w:szCs w:val="21"/>
              </w:rPr>
              <w:t xml:space="preserve"> 年   月   日</w:t>
            </w:r>
          </w:p>
        </w:tc>
      </w:tr>
      <w:tr w14:paraId="1E27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F12268E">
            <w:pPr>
              <w:snapToGrid w:val="0"/>
              <w:spacing w:line="360" w:lineRule="auto"/>
              <w:rPr>
                <w:rFonts w:ascii="宋体" w:hAnsi="宋体" w:cs="宋体"/>
                <w:szCs w:val="21"/>
              </w:rPr>
            </w:pPr>
            <w:r>
              <w:rPr>
                <w:rFonts w:hint="eastAsia" w:ascii="宋体" w:hAnsi="宋体" w:cs="宋体"/>
                <w:szCs w:val="21"/>
              </w:rPr>
              <w:t>单位地址：</w:t>
            </w:r>
            <w:r>
              <w:rPr>
                <w:rFonts w:ascii="宋体" w:hAnsi="宋体" w:cs="宋体"/>
                <w:szCs w:val="21"/>
              </w:rPr>
              <w:t xml:space="preserve"> </w:t>
            </w:r>
          </w:p>
        </w:tc>
        <w:tc>
          <w:tcPr>
            <w:tcW w:w="4583" w:type="dxa"/>
            <w:tcBorders>
              <w:top w:val="single" w:color="auto" w:sz="4" w:space="0"/>
              <w:left w:val="single" w:color="auto" w:sz="4" w:space="0"/>
              <w:bottom w:val="single" w:color="auto" w:sz="4" w:space="0"/>
              <w:right w:val="single" w:color="auto" w:sz="4" w:space="0"/>
            </w:tcBorders>
            <w:vAlign w:val="center"/>
          </w:tcPr>
          <w:p w14:paraId="0F266792">
            <w:pPr>
              <w:snapToGrid w:val="0"/>
              <w:spacing w:line="360" w:lineRule="auto"/>
              <w:rPr>
                <w:rFonts w:ascii="宋体" w:hAnsi="宋体" w:cs="宋体"/>
                <w:szCs w:val="21"/>
              </w:rPr>
            </w:pPr>
            <w:r>
              <w:rPr>
                <w:rFonts w:hint="eastAsia" w:ascii="宋体" w:hAnsi="宋体" w:cs="宋体"/>
                <w:szCs w:val="21"/>
              </w:rPr>
              <w:t xml:space="preserve">单位地址： </w:t>
            </w:r>
          </w:p>
        </w:tc>
      </w:tr>
      <w:tr w14:paraId="528D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A8E0F4E">
            <w:pPr>
              <w:snapToGrid w:val="0"/>
              <w:spacing w:line="360" w:lineRule="auto"/>
              <w:rPr>
                <w:rFonts w:ascii="宋体" w:hAnsi="宋体" w:cs="宋体"/>
                <w:szCs w:val="21"/>
              </w:rPr>
            </w:pPr>
            <w:r>
              <w:rPr>
                <w:rFonts w:hint="eastAsia" w:ascii="宋体" w:hAnsi="宋体" w:cs="宋体"/>
                <w:szCs w:val="21"/>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41AA638B">
            <w:pPr>
              <w:snapToGrid w:val="0"/>
              <w:spacing w:line="360" w:lineRule="auto"/>
              <w:rPr>
                <w:rFonts w:ascii="宋体" w:hAnsi="宋体" w:cs="宋体"/>
                <w:szCs w:val="21"/>
              </w:rPr>
            </w:pPr>
            <w:r>
              <w:rPr>
                <w:rFonts w:hint="eastAsia" w:ascii="宋体" w:hAnsi="宋体" w:cs="宋体"/>
                <w:szCs w:val="21"/>
              </w:rPr>
              <w:t>法定代表人：</w:t>
            </w:r>
          </w:p>
        </w:tc>
      </w:tr>
      <w:tr w14:paraId="1AF0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F54F677">
            <w:pPr>
              <w:snapToGrid w:val="0"/>
              <w:spacing w:line="360" w:lineRule="auto"/>
              <w:rPr>
                <w:rFonts w:ascii="宋体" w:hAnsi="宋体" w:cs="宋体"/>
                <w:szCs w:val="21"/>
              </w:rPr>
            </w:pPr>
            <w:r>
              <w:rPr>
                <w:rFonts w:hint="eastAsia" w:ascii="宋体" w:hAnsi="宋体" w:cs="宋体"/>
                <w:szCs w:val="21"/>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4B2FA8B6">
            <w:pPr>
              <w:snapToGrid w:val="0"/>
              <w:spacing w:line="360" w:lineRule="auto"/>
              <w:rPr>
                <w:rFonts w:ascii="宋体" w:hAnsi="宋体" w:cs="宋体"/>
                <w:szCs w:val="21"/>
              </w:rPr>
            </w:pPr>
            <w:r>
              <w:rPr>
                <w:rFonts w:hint="eastAsia" w:ascii="宋体" w:hAnsi="宋体" w:cs="宋体"/>
                <w:szCs w:val="21"/>
              </w:rPr>
              <w:t>委托代理人：</w:t>
            </w:r>
          </w:p>
        </w:tc>
      </w:tr>
      <w:tr w14:paraId="4032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37E9CED">
            <w:pPr>
              <w:snapToGrid w:val="0"/>
              <w:spacing w:line="360" w:lineRule="auto"/>
              <w:rPr>
                <w:rFonts w:ascii="宋体" w:hAnsi="宋体" w:cs="宋体"/>
                <w:szCs w:val="21"/>
              </w:rPr>
            </w:pPr>
            <w:r>
              <w:rPr>
                <w:rFonts w:hint="eastAsia" w:ascii="宋体" w:hAnsi="宋体" w:cs="宋体"/>
                <w:szCs w:val="21"/>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53108295">
            <w:pPr>
              <w:snapToGrid w:val="0"/>
              <w:spacing w:line="360" w:lineRule="auto"/>
              <w:rPr>
                <w:rFonts w:ascii="宋体" w:hAnsi="宋体" w:cs="宋体"/>
                <w:szCs w:val="21"/>
              </w:rPr>
            </w:pPr>
            <w:r>
              <w:rPr>
                <w:rFonts w:hint="eastAsia" w:ascii="宋体" w:hAnsi="宋体" w:cs="宋体"/>
                <w:szCs w:val="21"/>
              </w:rPr>
              <w:t>电话：</w:t>
            </w:r>
          </w:p>
        </w:tc>
      </w:tr>
      <w:tr w14:paraId="337D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3EF9E12">
            <w:pPr>
              <w:snapToGrid w:val="0"/>
              <w:spacing w:line="360" w:lineRule="auto"/>
              <w:rPr>
                <w:rFonts w:ascii="宋体" w:hAnsi="宋体" w:cs="宋体"/>
                <w:szCs w:val="21"/>
              </w:rPr>
            </w:pPr>
            <w:r>
              <w:rPr>
                <w:rFonts w:hint="eastAsia" w:ascii="宋体" w:hAnsi="宋体" w:cs="宋体"/>
                <w:szCs w:val="21"/>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1F638FD0">
            <w:pPr>
              <w:snapToGrid w:val="0"/>
              <w:spacing w:line="360" w:lineRule="auto"/>
              <w:rPr>
                <w:rFonts w:ascii="宋体" w:hAnsi="宋体" w:cs="宋体"/>
                <w:szCs w:val="21"/>
              </w:rPr>
            </w:pPr>
            <w:r>
              <w:rPr>
                <w:rFonts w:hint="eastAsia" w:ascii="宋体" w:hAnsi="宋体" w:cs="宋体"/>
                <w:szCs w:val="21"/>
              </w:rPr>
              <w:t xml:space="preserve">开户银行： </w:t>
            </w:r>
          </w:p>
        </w:tc>
      </w:tr>
      <w:tr w14:paraId="4748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6E95773">
            <w:pPr>
              <w:snapToGrid w:val="0"/>
              <w:spacing w:line="360" w:lineRule="auto"/>
              <w:rPr>
                <w:rFonts w:ascii="宋体" w:hAnsi="宋体" w:cs="宋体"/>
                <w:szCs w:val="21"/>
              </w:rPr>
            </w:pPr>
            <w:r>
              <w:rPr>
                <w:rFonts w:hint="eastAsia" w:ascii="宋体" w:hAnsi="宋体" w:cs="宋体"/>
                <w:szCs w:val="21"/>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540C6742">
            <w:pPr>
              <w:snapToGrid w:val="0"/>
              <w:spacing w:line="360" w:lineRule="auto"/>
              <w:rPr>
                <w:rFonts w:ascii="宋体" w:hAnsi="宋体" w:cs="宋体"/>
                <w:szCs w:val="21"/>
              </w:rPr>
            </w:pPr>
            <w:r>
              <w:rPr>
                <w:rFonts w:hint="eastAsia" w:ascii="宋体" w:hAnsi="宋体" w:cs="宋体"/>
                <w:szCs w:val="21"/>
              </w:rPr>
              <w:t>账号：</w:t>
            </w:r>
          </w:p>
        </w:tc>
      </w:tr>
      <w:tr w14:paraId="5272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3AEDECB">
            <w:pPr>
              <w:snapToGrid w:val="0"/>
              <w:spacing w:line="360" w:lineRule="auto"/>
              <w:rPr>
                <w:rFonts w:ascii="宋体" w:hAnsi="宋体" w:cs="宋体"/>
                <w:szCs w:val="21"/>
              </w:rPr>
            </w:pPr>
            <w:r>
              <w:rPr>
                <w:rFonts w:hint="eastAsia" w:ascii="宋体" w:hAnsi="宋体" w:cs="宋体"/>
                <w:szCs w:val="21"/>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60AB3360">
            <w:pPr>
              <w:snapToGrid w:val="0"/>
              <w:spacing w:line="360" w:lineRule="auto"/>
              <w:rPr>
                <w:rFonts w:ascii="宋体" w:hAnsi="宋体" w:cs="宋体"/>
                <w:szCs w:val="21"/>
              </w:rPr>
            </w:pPr>
            <w:r>
              <w:rPr>
                <w:rFonts w:hint="eastAsia" w:ascii="宋体" w:hAnsi="宋体" w:cs="宋体"/>
                <w:szCs w:val="21"/>
              </w:rPr>
              <w:t>邮政编码：</w:t>
            </w:r>
          </w:p>
        </w:tc>
      </w:tr>
    </w:tbl>
    <w:p w14:paraId="36CA0569">
      <w:pPr>
        <w:rPr>
          <w:sz w:val="24"/>
        </w:rPr>
      </w:pPr>
    </w:p>
    <w:sectPr>
      <w:footerReference r:id="rId9" w:type="first"/>
      <w:footerReference r:id="rId8" w:type="default"/>
      <w:pgSz w:w="11906" w:h="16838"/>
      <w:pgMar w:top="1134" w:right="1361" w:bottom="1134" w:left="1361" w:header="851" w:footer="680"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AC93">
    <w:pPr>
      <w:pStyle w:val="22"/>
      <w:framePr w:wrap="around" w:vAnchor="text" w:hAnchor="margin" w:xAlign="center" w:y="1"/>
      <w:rPr>
        <w:rStyle w:val="38"/>
      </w:rPr>
    </w:pPr>
    <w:r>
      <w:fldChar w:fldCharType="begin"/>
    </w:r>
    <w:r>
      <w:rPr>
        <w:rStyle w:val="38"/>
      </w:rPr>
      <w:instrText xml:space="preserve">PAGE  </w:instrText>
    </w:r>
    <w:r>
      <w:fldChar w:fldCharType="end"/>
    </w:r>
  </w:p>
  <w:p w14:paraId="3B64E8F8">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D7390">
    <w:pPr>
      <w:pStyle w:val="2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584778">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GRnFf/aAQAAtQMAAA4AAAAAAAAAAQAg&#10;AAAAHgEAAGRycy9lMm9Eb2MueG1sUEsFBgAAAAAGAAYAWQEAAGoFAAAAAA==&#10;">
              <v:fill on="f" focussize="0,0"/>
              <v:stroke on="f"/>
              <v:imagedata o:title=""/>
              <o:lock v:ext="edit" aspectratio="f"/>
              <v:textbox inset="0mm,0mm,0mm,0mm" style="mso-fit-shape-to-text:t;">
                <w:txbxContent>
                  <w:p w14:paraId="2F584778">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663A2399">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CE66A">
    <w:pPr>
      <w:pStyle w:val="22"/>
      <w:tabs>
        <w:tab w:val="center" w:pos="443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9C6BE2D">
                          <w:pPr>
                            <w:pStyle w:val="22"/>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KjaHRuIBAAC+AwAADgAA&#10;AAAAAAABACAAAAAeAQAAZHJzL2Uyb0RvYy54bWxQSwUGAAAAAAYABgBZAQAAcgUAAAAA&#10;">
              <v:fill on="f" focussize="0,0"/>
              <v:stroke on="f"/>
              <v:imagedata o:title=""/>
              <o:lock v:ext="edit" aspectratio="f"/>
              <v:textbox inset="0mm,0mm,0mm,0mm" style="mso-fit-shape-to-text:t;">
                <w:txbxContent>
                  <w:p w14:paraId="59C6BE2D">
                    <w:pPr>
                      <w:pStyle w:val="2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6783FA"/>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Mw38QBAACQ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XN1k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3mMw38QBAACQAwAADgAAAAAAAAABACAAAAAeAQAAZHJzL2Uyb0RvYy54bWxQ&#10;SwUGAAAAAAYABgBZAQAAVAUAAAAA&#10;">
              <v:fill on="f" focussize="0,0"/>
              <v:stroke on="f"/>
              <v:imagedata o:title=""/>
              <o:lock v:ext="edit" aspectratio="f"/>
              <v:textbox inset="0mm,0mm,0mm,0mm" style="mso-fit-shape-to-text:t;">
                <w:txbxContent>
                  <w:p w14:paraId="336783FA"/>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27DA">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2065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25095" cy="120650"/>
                      </a:xfrm>
                      <a:prstGeom prst="rect">
                        <a:avLst/>
                      </a:prstGeom>
                      <a:noFill/>
                      <a:ln>
                        <a:noFill/>
                      </a:ln>
                    </wps:spPr>
                    <wps:txbx>
                      <w:txbxContent>
                        <w:p w14:paraId="0E03FDF0">
                          <w:pPr>
                            <w:pStyle w:val="22"/>
                            <w:jc w:val="center"/>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65</w:t>
                          </w:r>
                          <w:r>
                            <w:rPr>
                              <w:rFonts w:hint="eastAsia" w:ascii="宋体" w:hAnsi="宋体" w:cs="宋体"/>
                            </w:rPr>
                            <w:fldChar w:fldCharType="end"/>
                          </w:r>
                        </w:p>
                      </w:txbxContent>
                    </wps:txbx>
                    <wps:bodyPr vert="horz" wrap="square" lIns="0" tIns="0" rIns="0" bIns="0" anchor="t" anchorCtr="0">
                      <a:noAutofit/>
                    </wps:bodyPr>
                  </wps:wsp>
                </a:graphicData>
              </a:graphic>
            </wp:anchor>
          </w:drawing>
        </mc:Choice>
        <mc:Fallback>
          <w:pict>
            <v:shape id="文本框 5121" o:spid="_x0000_s1026" o:spt="202" type="#_x0000_t202" style="position:absolute;left:0pt;margin-top:0pt;height:9.5pt;width:9.85pt;mso-position-horizontal:center;mso-position-horizontal-relative:margin;z-index:251659264;mso-width-relative:page;mso-height-relative:page;" filled="f" stroked="f" coordsize="21600,21600" o:gfxdata="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LvOzSAAAAAwEAAA8AAAAAAAAA&#10;AQAgAAAAIgAAAGRycy9kb3ducmV2LnhtbFBLAQIUABQAAAAIAIdO4kD956yf3gEAALUDAAAOAAAA&#10;AAAAAAEAIAAAACEBAABkcnMvZTJvRG9jLnhtbFBLBQYAAAAABgAGAFkBAABxBQAAAAA=&#10;">
              <v:fill on="f" focussize="0,0"/>
              <v:stroke on="f"/>
              <v:imagedata o:title=""/>
              <o:lock v:ext="edit" aspectratio="f"/>
              <v:textbox inset="0mm,0mm,0mm,0mm">
                <w:txbxContent>
                  <w:p w14:paraId="0E03FDF0">
                    <w:pPr>
                      <w:pStyle w:val="22"/>
                      <w:jc w:val="center"/>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65</w:t>
                    </w:r>
                    <w:r>
                      <w:rPr>
                        <w:rFonts w:hint="eastAsia" w:ascii="宋体" w:hAnsi="宋体" w:cs="宋体"/>
                      </w:rPr>
                      <w:fldChar w:fldCharType="end"/>
                    </w:r>
                  </w:p>
                </w:txbxContent>
              </v:textbox>
            </v:shape>
          </w:pict>
        </mc:Fallback>
      </mc:AlternateContent>
    </w:r>
  </w:p>
  <w:p w14:paraId="7255970C">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F145">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200" cy="122555"/>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76200" cy="122555"/>
                      </a:xfrm>
                      <a:prstGeom prst="rect">
                        <a:avLst/>
                      </a:prstGeom>
                      <a:noFill/>
                      <a:ln>
                        <a:noFill/>
                      </a:ln>
                    </wps:spPr>
                    <wps:txbx>
                      <w:txbxContent>
                        <w:p w14:paraId="3C1704F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w:t>
                          </w:r>
                          <w:r>
                            <w:rPr>
                              <w:rFonts w:hint="eastAsia" w:ascii="宋体" w:hAnsi="宋体" w:cs="宋体"/>
                            </w:rPr>
                            <w:fldChar w:fldCharType="end"/>
                          </w:r>
                        </w:p>
                      </w:txbxContent>
                    </wps:txbx>
                    <wps:bodyPr vert="horz" wrap="square" lIns="0" tIns="0" rIns="0" bIns="0" anchor="t" anchorCtr="0">
                      <a:noAutofit/>
                    </wps:bodyPr>
                  </wps:wsp>
                </a:graphicData>
              </a:graphic>
            </wp:anchor>
          </w:drawing>
        </mc:Choice>
        <mc:Fallback>
          <w:pict>
            <v:shape id="文本框 5122" o:spid="_x0000_s1026" o:spt="202" type="#_x0000_t202" style="position:absolute;left:0pt;margin-top:0pt;height:9.65pt;width:6pt;mso-position-horizontal:center;mso-position-horizontal-relative:margin;z-index:251660288;mso-width-relative:page;mso-height-relative:page;" filled="f" stroked="f" coordsize="21600,21600" o:gfxdata="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ROktIAAAADAQAADwAAAAAAAAAB&#10;ACAAAAAiAAAAZHJzL2Rvd25yZXYueG1sUEsBAhQAFAAAAAgAh07iQHMN3UndAQAAtAMAAA4AAAAA&#10;AAAAAQAgAAAAIQEAAGRycy9lMm9Eb2MueG1sUEsFBgAAAAAGAAYAWQEAAHAFAAAAAA==&#10;">
              <v:fill on="f" focussize="0,0"/>
              <v:stroke on="f"/>
              <v:imagedata o:title=""/>
              <o:lock v:ext="edit" aspectratio="f"/>
              <v:textbox inset="0mm,0mm,0mm,0mm">
                <w:txbxContent>
                  <w:p w14:paraId="3C1704F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24BF">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97DC">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8C6A0"/>
    <w:multiLevelType w:val="singleLevel"/>
    <w:tmpl w:val="EBC8C6A0"/>
    <w:lvl w:ilvl="0" w:tentative="0">
      <w:start w:val="1"/>
      <w:numFmt w:val="chineseCounting"/>
      <w:suff w:val="nothing"/>
      <w:lvlText w:val="(%1）"/>
      <w:lvlJc w:val="left"/>
      <w:rPr>
        <w:rFonts w:hint="eastAsia"/>
      </w:rPr>
    </w:lvl>
  </w:abstractNum>
  <w:abstractNum w:abstractNumId="1">
    <w:nsid w:val="F16F4D32"/>
    <w:multiLevelType w:val="singleLevel"/>
    <w:tmpl w:val="F16F4D32"/>
    <w:lvl w:ilvl="0" w:tentative="0">
      <w:start w:val="1"/>
      <w:numFmt w:val="chineseCounting"/>
      <w:suff w:val="space"/>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ao">
    <w15:presenceInfo w15:providerId="WPS Office" w15:userId="1682924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MzA5YTMwYjA3YTJhMTVjNmIzMDhlYjJlMWU5Y2YifQ=="/>
  </w:docVars>
  <w:rsids>
    <w:rsidRoot w:val="00F34B14"/>
    <w:rsid w:val="00000672"/>
    <w:rsid w:val="00001013"/>
    <w:rsid w:val="00001799"/>
    <w:rsid w:val="00001AF2"/>
    <w:rsid w:val="00001ECA"/>
    <w:rsid w:val="00002D29"/>
    <w:rsid w:val="00003B93"/>
    <w:rsid w:val="0000474D"/>
    <w:rsid w:val="00005FDF"/>
    <w:rsid w:val="000070B3"/>
    <w:rsid w:val="000076B8"/>
    <w:rsid w:val="000109DC"/>
    <w:rsid w:val="00010D39"/>
    <w:rsid w:val="0001172C"/>
    <w:rsid w:val="00011BC9"/>
    <w:rsid w:val="00012854"/>
    <w:rsid w:val="00012EA6"/>
    <w:rsid w:val="00013359"/>
    <w:rsid w:val="000139CF"/>
    <w:rsid w:val="00013AA4"/>
    <w:rsid w:val="00013DFE"/>
    <w:rsid w:val="000141EA"/>
    <w:rsid w:val="000168F2"/>
    <w:rsid w:val="00016ABC"/>
    <w:rsid w:val="000177DB"/>
    <w:rsid w:val="000179C9"/>
    <w:rsid w:val="00017CCC"/>
    <w:rsid w:val="00020227"/>
    <w:rsid w:val="00020259"/>
    <w:rsid w:val="00020263"/>
    <w:rsid w:val="00020455"/>
    <w:rsid w:val="00020813"/>
    <w:rsid w:val="000220B2"/>
    <w:rsid w:val="0002264C"/>
    <w:rsid w:val="00022731"/>
    <w:rsid w:val="00022792"/>
    <w:rsid w:val="00023E54"/>
    <w:rsid w:val="00024463"/>
    <w:rsid w:val="00025461"/>
    <w:rsid w:val="00025636"/>
    <w:rsid w:val="00025E36"/>
    <w:rsid w:val="00026855"/>
    <w:rsid w:val="00026886"/>
    <w:rsid w:val="0002785D"/>
    <w:rsid w:val="000307BE"/>
    <w:rsid w:val="000329E0"/>
    <w:rsid w:val="00033577"/>
    <w:rsid w:val="000352E9"/>
    <w:rsid w:val="00035494"/>
    <w:rsid w:val="00036125"/>
    <w:rsid w:val="00036A07"/>
    <w:rsid w:val="0003780B"/>
    <w:rsid w:val="00040571"/>
    <w:rsid w:val="00040973"/>
    <w:rsid w:val="0004156E"/>
    <w:rsid w:val="00041713"/>
    <w:rsid w:val="0004440C"/>
    <w:rsid w:val="00046B5E"/>
    <w:rsid w:val="000470CB"/>
    <w:rsid w:val="000509D9"/>
    <w:rsid w:val="0005101E"/>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0A1"/>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57DE"/>
    <w:rsid w:val="000860BD"/>
    <w:rsid w:val="000871B8"/>
    <w:rsid w:val="00087B0A"/>
    <w:rsid w:val="000916DA"/>
    <w:rsid w:val="00092442"/>
    <w:rsid w:val="000929EF"/>
    <w:rsid w:val="000933BE"/>
    <w:rsid w:val="0009560F"/>
    <w:rsid w:val="0009588E"/>
    <w:rsid w:val="000959EE"/>
    <w:rsid w:val="00096DB9"/>
    <w:rsid w:val="00097183"/>
    <w:rsid w:val="000972CB"/>
    <w:rsid w:val="00097608"/>
    <w:rsid w:val="000A03A4"/>
    <w:rsid w:val="000A1175"/>
    <w:rsid w:val="000A13F3"/>
    <w:rsid w:val="000A23B1"/>
    <w:rsid w:val="000A2B0E"/>
    <w:rsid w:val="000A398F"/>
    <w:rsid w:val="000A448C"/>
    <w:rsid w:val="000A509C"/>
    <w:rsid w:val="000A54A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048"/>
    <w:rsid w:val="000F5F8B"/>
    <w:rsid w:val="000F6153"/>
    <w:rsid w:val="000F64AA"/>
    <w:rsid w:val="000F7AF4"/>
    <w:rsid w:val="000F7C33"/>
    <w:rsid w:val="000F7F0C"/>
    <w:rsid w:val="001004D6"/>
    <w:rsid w:val="00102676"/>
    <w:rsid w:val="00103646"/>
    <w:rsid w:val="00103918"/>
    <w:rsid w:val="00104897"/>
    <w:rsid w:val="0010496D"/>
    <w:rsid w:val="00104EDE"/>
    <w:rsid w:val="00105CDA"/>
    <w:rsid w:val="00106BEE"/>
    <w:rsid w:val="0010711C"/>
    <w:rsid w:val="00107C74"/>
    <w:rsid w:val="0011091C"/>
    <w:rsid w:val="00111266"/>
    <w:rsid w:val="001112EB"/>
    <w:rsid w:val="00113678"/>
    <w:rsid w:val="00113C3E"/>
    <w:rsid w:val="001151F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30217"/>
    <w:rsid w:val="00130783"/>
    <w:rsid w:val="00130A47"/>
    <w:rsid w:val="00132B47"/>
    <w:rsid w:val="00132B9D"/>
    <w:rsid w:val="001337F8"/>
    <w:rsid w:val="001348B4"/>
    <w:rsid w:val="001351CB"/>
    <w:rsid w:val="00135530"/>
    <w:rsid w:val="00135947"/>
    <w:rsid w:val="001359A2"/>
    <w:rsid w:val="00135F92"/>
    <w:rsid w:val="00136020"/>
    <w:rsid w:val="00136445"/>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518"/>
    <w:rsid w:val="00154DDB"/>
    <w:rsid w:val="00156359"/>
    <w:rsid w:val="00156DD6"/>
    <w:rsid w:val="0016086E"/>
    <w:rsid w:val="00160D0C"/>
    <w:rsid w:val="00160DD1"/>
    <w:rsid w:val="00161172"/>
    <w:rsid w:val="00161998"/>
    <w:rsid w:val="00161E65"/>
    <w:rsid w:val="00162597"/>
    <w:rsid w:val="001629AF"/>
    <w:rsid w:val="001629FD"/>
    <w:rsid w:val="001633C9"/>
    <w:rsid w:val="0016428A"/>
    <w:rsid w:val="001647C9"/>
    <w:rsid w:val="00165627"/>
    <w:rsid w:val="001661A3"/>
    <w:rsid w:val="00167226"/>
    <w:rsid w:val="001676AF"/>
    <w:rsid w:val="0016782B"/>
    <w:rsid w:val="0016784D"/>
    <w:rsid w:val="00167853"/>
    <w:rsid w:val="00172CA8"/>
    <w:rsid w:val="00173256"/>
    <w:rsid w:val="00173B0E"/>
    <w:rsid w:val="00173E03"/>
    <w:rsid w:val="0017512C"/>
    <w:rsid w:val="001756AF"/>
    <w:rsid w:val="0017586A"/>
    <w:rsid w:val="00175BA6"/>
    <w:rsid w:val="00176CA7"/>
    <w:rsid w:val="00176D0C"/>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2C1C"/>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D81"/>
    <w:rsid w:val="001B3F5C"/>
    <w:rsid w:val="001B59FF"/>
    <w:rsid w:val="001B6512"/>
    <w:rsid w:val="001B65D7"/>
    <w:rsid w:val="001B6752"/>
    <w:rsid w:val="001B6768"/>
    <w:rsid w:val="001B6F1F"/>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3356"/>
    <w:rsid w:val="001F3C63"/>
    <w:rsid w:val="001F4460"/>
    <w:rsid w:val="001F711A"/>
    <w:rsid w:val="001F75B0"/>
    <w:rsid w:val="002006D2"/>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107B"/>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7B7"/>
    <w:rsid w:val="00234F6E"/>
    <w:rsid w:val="002355BE"/>
    <w:rsid w:val="002358EA"/>
    <w:rsid w:val="002364C1"/>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33CD"/>
    <w:rsid w:val="002535EA"/>
    <w:rsid w:val="00254EAB"/>
    <w:rsid w:val="00255229"/>
    <w:rsid w:val="002557AF"/>
    <w:rsid w:val="0025589C"/>
    <w:rsid w:val="00255B62"/>
    <w:rsid w:val="002566B1"/>
    <w:rsid w:val="002575E3"/>
    <w:rsid w:val="00257A74"/>
    <w:rsid w:val="002603C1"/>
    <w:rsid w:val="002609A1"/>
    <w:rsid w:val="002612B1"/>
    <w:rsid w:val="00266165"/>
    <w:rsid w:val="00266F2C"/>
    <w:rsid w:val="0027125E"/>
    <w:rsid w:val="00271767"/>
    <w:rsid w:val="00272293"/>
    <w:rsid w:val="002723C8"/>
    <w:rsid w:val="00273C2A"/>
    <w:rsid w:val="00273CBE"/>
    <w:rsid w:val="002746B1"/>
    <w:rsid w:val="00274BAD"/>
    <w:rsid w:val="00277FF4"/>
    <w:rsid w:val="00282D56"/>
    <w:rsid w:val="002835B0"/>
    <w:rsid w:val="00283C74"/>
    <w:rsid w:val="0028407E"/>
    <w:rsid w:val="0028410F"/>
    <w:rsid w:val="00284572"/>
    <w:rsid w:val="00285221"/>
    <w:rsid w:val="00286FB5"/>
    <w:rsid w:val="00287763"/>
    <w:rsid w:val="00290606"/>
    <w:rsid w:val="002909B2"/>
    <w:rsid w:val="00291D6D"/>
    <w:rsid w:val="00291FF1"/>
    <w:rsid w:val="00292AA2"/>
    <w:rsid w:val="00293361"/>
    <w:rsid w:val="002952B1"/>
    <w:rsid w:val="00295D11"/>
    <w:rsid w:val="00296986"/>
    <w:rsid w:val="00296FB6"/>
    <w:rsid w:val="002A0001"/>
    <w:rsid w:val="002A0BD9"/>
    <w:rsid w:val="002A0C3A"/>
    <w:rsid w:val="002A1130"/>
    <w:rsid w:val="002A1880"/>
    <w:rsid w:val="002A23B7"/>
    <w:rsid w:val="002A3A57"/>
    <w:rsid w:val="002A4B4F"/>
    <w:rsid w:val="002A4CC4"/>
    <w:rsid w:val="002A57A8"/>
    <w:rsid w:val="002A6857"/>
    <w:rsid w:val="002A6DEF"/>
    <w:rsid w:val="002A770B"/>
    <w:rsid w:val="002B013E"/>
    <w:rsid w:val="002B058D"/>
    <w:rsid w:val="002B0C16"/>
    <w:rsid w:val="002B2AC5"/>
    <w:rsid w:val="002B3528"/>
    <w:rsid w:val="002B3539"/>
    <w:rsid w:val="002B4532"/>
    <w:rsid w:val="002B5042"/>
    <w:rsid w:val="002B69CC"/>
    <w:rsid w:val="002B6D71"/>
    <w:rsid w:val="002C03AE"/>
    <w:rsid w:val="002C0C1C"/>
    <w:rsid w:val="002C54C2"/>
    <w:rsid w:val="002C5D34"/>
    <w:rsid w:val="002C60BB"/>
    <w:rsid w:val="002C661A"/>
    <w:rsid w:val="002D0D6F"/>
    <w:rsid w:val="002D25FC"/>
    <w:rsid w:val="002D4AC6"/>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276C6"/>
    <w:rsid w:val="003314D9"/>
    <w:rsid w:val="00331653"/>
    <w:rsid w:val="00331A48"/>
    <w:rsid w:val="00331BCC"/>
    <w:rsid w:val="003330C9"/>
    <w:rsid w:val="0033364C"/>
    <w:rsid w:val="00334415"/>
    <w:rsid w:val="00335EA1"/>
    <w:rsid w:val="0033619E"/>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65C"/>
    <w:rsid w:val="003737B7"/>
    <w:rsid w:val="003740CC"/>
    <w:rsid w:val="003745F4"/>
    <w:rsid w:val="00374E79"/>
    <w:rsid w:val="0037529A"/>
    <w:rsid w:val="00375388"/>
    <w:rsid w:val="00375E57"/>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5520"/>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612"/>
    <w:rsid w:val="003E7ED4"/>
    <w:rsid w:val="003F052A"/>
    <w:rsid w:val="003F0E52"/>
    <w:rsid w:val="003F0F6B"/>
    <w:rsid w:val="003F1FC6"/>
    <w:rsid w:val="003F1FE3"/>
    <w:rsid w:val="003F2359"/>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16C3"/>
    <w:rsid w:val="00412AA9"/>
    <w:rsid w:val="00413442"/>
    <w:rsid w:val="00413821"/>
    <w:rsid w:val="00413BA5"/>
    <w:rsid w:val="004141A3"/>
    <w:rsid w:val="00414909"/>
    <w:rsid w:val="0041582F"/>
    <w:rsid w:val="00416112"/>
    <w:rsid w:val="00417AE0"/>
    <w:rsid w:val="00417BAA"/>
    <w:rsid w:val="0042042B"/>
    <w:rsid w:val="00420B45"/>
    <w:rsid w:val="00420D7A"/>
    <w:rsid w:val="00421257"/>
    <w:rsid w:val="00421C76"/>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953"/>
    <w:rsid w:val="00433A40"/>
    <w:rsid w:val="00434B70"/>
    <w:rsid w:val="004360C8"/>
    <w:rsid w:val="004371D5"/>
    <w:rsid w:val="0044006B"/>
    <w:rsid w:val="0044033F"/>
    <w:rsid w:val="00440630"/>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2B1E"/>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1405"/>
    <w:rsid w:val="004A1FC6"/>
    <w:rsid w:val="004A2E5F"/>
    <w:rsid w:val="004A38C2"/>
    <w:rsid w:val="004A3C03"/>
    <w:rsid w:val="004A3DB7"/>
    <w:rsid w:val="004A4C0E"/>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4F55"/>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33A"/>
    <w:rsid w:val="00500B2D"/>
    <w:rsid w:val="00501A99"/>
    <w:rsid w:val="00503180"/>
    <w:rsid w:val="005038A4"/>
    <w:rsid w:val="0050545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E5A"/>
    <w:rsid w:val="0054358E"/>
    <w:rsid w:val="00543AF4"/>
    <w:rsid w:val="00543F53"/>
    <w:rsid w:val="00544191"/>
    <w:rsid w:val="0054440C"/>
    <w:rsid w:val="005448EC"/>
    <w:rsid w:val="00544C0A"/>
    <w:rsid w:val="00544F39"/>
    <w:rsid w:val="00546F90"/>
    <w:rsid w:val="00547A27"/>
    <w:rsid w:val="00547EFB"/>
    <w:rsid w:val="005522F2"/>
    <w:rsid w:val="005531DF"/>
    <w:rsid w:val="00553874"/>
    <w:rsid w:val="00554577"/>
    <w:rsid w:val="00554AD8"/>
    <w:rsid w:val="00554F78"/>
    <w:rsid w:val="00555DA1"/>
    <w:rsid w:val="00556BF7"/>
    <w:rsid w:val="00556E53"/>
    <w:rsid w:val="00557F60"/>
    <w:rsid w:val="00561730"/>
    <w:rsid w:val="00561B97"/>
    <w:rsid w:val="00562149"/>
    <w:rsid w:val="00567B5D"/>
    <w:rsid w:val="00570757"/>
    <w:rsid w:val="00572A9D"/>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0FEC"/>
    <w:rsid w:val="005B2B11"/>
    <w:rsid w:val="005B32A4"/>
    <w:rsid w:val="005B3371"/>
    <w:rsid w:val="005B338D"/>
    <w:rsid w:val="005B33A1"/>
    <w:rsid w:val="005B3BAF"/>
    <w:rsid w:val="005B4DA3"/>
    <w:rsid w:val="005B5BEE"/>
    <w:rsid w:val="005B77D2"/>
    <w:rsid w:val="005C019B"/>
    <w:rsid w:val="005C08D0"/>
    <w:rsid w:val="005C1AED"/>
    <w:rsid w:val="005C2136"/>
    <w:rsid w:val="005C30F5"/>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01E"/>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07DFE"/>
    <w:rsid w:val="0061143F"/>
    <w:rsid w:val="006114D8"/>
    <w:rsid w:val="00613553"/>
    <w:rsid w:val="00613601"/>
    <w:rsid w:val="00613791"/>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66E"/>
    <w:rsid w:val="00655AB6"/>
    <w:rsid w:val="00656061"/>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9BE"/>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5EB2"/>
    <w:rsid w:val="006A703E"/>
    <w:rsid w:val="006A7BE3"/>
    <w:rsid w:val="006A7D32"/>
    <w:rsid w:val="006B01D1"/>
    <w:rsid w:val="006B0DF4"/>
    <w:rsid w:val="006B16EA"/>
    <w:rsid w:val="006B1780"/>
    <w:rsid w:val="006B224E"/>
    <w:rsid w:val="006B376E"/>
    <w:rsid w:val="006B4589"/>
    <w:rsid w:val="006B4963"/>
    <w:rsid w:val="006B5157"/>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26C"/>
    <w:rsid w:val="006F7E7C"/>
    <w:rsid w:val="0070058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99E"/>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BCD"/>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4B8"/>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4F06"/>
    <w:rsid w:val="00775679"/>
    <w:rsid w:val="0077574F"/>
    <w:rsid w:val="00775823"/>
    <w:rsid w:val="0077715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343F"/>
    <w:rsid w:val="00793696"/>
    <w:rsid w:val="007955DA"/>
    <w:rsid w:val="00796F65"/>
    <w:rsid w:val="007974DD"/>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1563"/>
    <w:rsid w:val="007D32F4"/>
    <w:rsid w:val="007D3DCB"/>
    <w:rsid w:val="007D460C"/>
    <w:rsid w:val="007D4996"/>
    <w:rsid w:val="007D4AD3"/>
    <w:rsid w:val="007D5D19"/>
    <w:rsid w:val="007D5FDC"/>
    <w:rsid w:val="007D6176"/>
    <w:rsid w:val="007D6D68"/>
    <w:rsid w:val="007E32DA"/>
    <w:rsid w:val="007E3401"/>
    <w:rsid w:val="007E4998"/>
    <w:rsid w:val="007E4A9C"/>
    <w:rsid w:val="007E6914"/>
    <w:rsid w:val="007E7B5E"/>
    <w:rsid w:val="007E7F78"/>
    <w:rsid w:val="007F0179"/>
    <w:rsid w:val="007F2C13"/>
    <w:rsid w:val="007F2CEC"/>
    <w:rsid w:val="007F3435"/>
    <w:rsid w:val="007F531B"/>
    <w:rsid w:val="007F55DE"/>
    <w:rsid w:val="007F762D"/>
    <w:rsid w:val="007F78F0"/>
    <w:rsid w:val="007F78FF"/>
    <w:rsid w:val="008001C5"/>
    <w:rsid w:val="00800F6C"/>
    <w:rsid w:val="00801065"/>
    <w:rsid w:val="00801385"/>
    <w:rsid w:val="00802C0B"/>
    <w:rsid w:val="008051FC"/>
    <w:rsid w:val="008055A9"/>
    <w:rsid w:val="008056C4"/>
    <w:rsid w:val="008057FD"/>
    <w:rsid w:val="00805D8B"/>
    <w:rsid w:val="008103DB"/>
    <w:rsid w:val="00810556"/>
    <w:rsid w:val="00810BB6"/>
    <w:rsid w:val="00810E8E"/>
    <w:rsid w:val="00812C44"/>
    <w:rsid w:val="008135E1"/>
    <w:rsid w:val="00813779"/>
    <w:rsid w:val="00813E26"/>
    <w:rsid w:val="0081481D"/>
    <w:rsid w:val="00814BE8"/>
    <w:rsid w:val="00814F6E"/>
    <w:rsid w:val="00815B84"/>
    <w:rsid w:val="00816BE9"/>
    <w:rsid w:val="00817D10"/>
    <w:rsid w:val="00822518"/>
    <w:rsid w:val="008226F5"/>
    <w:rsid w:val="008232F9"/>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7526"/>
    <w:rsid w:val="008407A7"/>
    <w:rsid w:val="0084322B"/>
    <w:rsid w:val="00843F81"/>
    <w:rsid w:val="00844087"/>
    <w:rsid w:val="008448F1"/>
    <w:rsid w:val="0084519E"/>
    <w:rsid w:val="00845CAE"/>
    <w:rsid w:val="00846370"/>
    <w:rsid w:val="00846873"/>
    <w:rsid w:val="008477E7"/>
    <w:rsid w:val="00847C2B"/>
    <w:rsid w:val="00850272"/>
    <w:rsid w:val="008506B9"/>
    <w:rsid w:val="0085086F"/>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16B9"/>
    <w:rsid w:val="00882B44"/>
    <w:rsid w:val="008838AD"/>
    <w:rsid w:val="00885BC9"/>
    <w:rsid w:val="008864B3"/>
    <w:rsid w:val="008865E5"/>
    <w:rsid w:val="008871B0"/>
    <w:rsid w:val="00887913"/>
    <w:rsid w:val="00890B57"/>
    <w:rsid w:val="008916BA"/>
    <w:rsid w:val="0089217C"/>
    <w:rsid w:val="00892790"/>
    <w:rsid w:val="00893671"/>
    <w:rsid w:val="0089541D"/>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23B"/>
    <w:rsid w:val="008C6341"/>
    <w:rsid w:val="008C653D"/>
    <w:rsid w:val="008C731F"/>
    <w:rsid w:val="008C74D9"/>
    <w:rsid w:val="008C7D96"/>
    <w:rsid w:val="008D3B2D"/>
    <w:rsid w:val="008D58D9"/>
    <w:rsid w:val="008D5AD4"/>
    <w:rsid w:val="008D695E"/>
    <w:rsid w:val="008D6DD5"/>
    <w:rsid w:val="008D6E59"/>
    <w:rsid w:val="008D7155"/>
    <w:rsid w:val="008D76E0"/>
    <w:rsid w:val="008E0B29"/>
    <w:rsid w:val="008E141A"/>
    <w:rsid w:val="008E1A44"/>
    <w:rsid w:val="008E28E6"/>
    <w:rsid w:val="008E31AA"/>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A7C"/>
    <w:rsid w:val="00905D7E"/>
    <w:rsid w:val="00907037"/>
    <w:rsid w:val="0091112C"/>
    <w:rsid w:val="0091160A"/>
    <w:rsid w:val="00911A8E"/>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8DB"/>
    <w:rsid w:val="00926B28"/>
    <w:rsid w:val="00926D9C"/>
    <w:rsid w:val="00927028"/>
    <w:rsid w:val="00927763"/>
    <w:rsid w:val="00927A2D"/>
    <w:rsid w:val="00927B37"/>
    <w:rsid w:val="009321B1"/>
    <w:rsid w:val="00932ED7"/>
    <w:rsid w:val="0093422D"/>
    <w:rsid w:val="0093483B"/>
    <w:rsid w:val="00934CF9"/>
    <w:rsid w:val="00934DD7"/>
    <w:rsid w:val="00935CB2"/>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224"/>
    <w:rsid w:val="00947797"/>
    <w:rsid w:val="009478A2"/>
    <w:rsid w:val="009533BD"/>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4E5C"/>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7812"/>
    <w:rsid w:val="00990225"/>
    <w:rsid w:val="00992A13"/>
    <w:rsid w:val="00994AAD"/>
    <w:rsid w:val="00995150"/>
    <w:rsid w:val="00995D67"/>
    <w:rsid w:val="009A013B"/>
    <w:rsid w:val="009A02F4"/>
    <w:rsid w:val="009A0592"/>
    <w:rsid w:val="009A06BF"/>
    <w:rsid w:val="009A0D17"/>
    <w:rsid w:val="009A2494"/>
    <w:rsid w:val="009A32B1"/>
    <w:rsid w:val="009A33A3"/>
    <w:rsid w:val="009A350E"/>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876"/>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75B8"/>
    <w:rsid w:val="00A60329"/>
    <w:rsid w:val="00A61C60"/>
    <w:rsid w:val="00A61ECB"/>
    <w:rsid w:val="00A62B85"/>
    <w:rsid w:val="00A6410C"/>
    <w:rsid w:val="00A647B1"/>
    <w:rsid w:val="00A64DEF"/>
    <w:rsid w:val="00A654D2"/>
    <w:rsid w:val="00A665DF"/>
    <w:rsid w:val="00A67FCC"/>
    <w:rsid w:val="00A70AA5"/>
    <w:rsid w:val="00A70C03"/>
    <w:rsid w:val="00A71256"/>
    <w:rsid w:val="00A7217B"/>
    <w:rsid w:val="00A73861"/>
    <w:rsid w:val="00A739A6"/>
    <w:rsid w:val="00A740ED"/>
    <w:rsid w:val="00A74C29"/>
    <w:rsid w:val="00A74C62"/>
    <w:rsid w:val="00A75EF9"/>
    <w:rsid w:val="00A83039"/>
    <w:rsid w:val="00A8311C"/>
    <w:rsid w:val="00A835D0"/>
    <w:rsid w:val="00A84C5F"/>
    <w:rsid w:val="00A85930"/>
    <w:rsid w:val="00A863F7"/>
    <w:rsid w:val="00A86604"/>
    <w:rsid w:val="00A87519"/>
    <w:rsid w:val="00A9246D"/>
    <w:rsid w:val="00A92CCA"/>
    <w:rsid w:val="00A93BD0"/>
    <w:rsid w:val="00A93CC2"/>
    <w:rsid w:val="00A974CC"/>
    <w:rsid w:val="00AA2001"/>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0FE"/>
    <w:rsid w:val="00AC120E"/>
    <w:rsid w:val="00AC17A2"/>
    <w:rsid w:val="00AC3591"/>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69F0"/>
    <w:rsid w:val="00AD7127"/>
    <w:rsid w:val="00AD730C"/>
    <w:rsid w:val="00AE0925"/>
    <w:rsid w:val="00AE123A"/>
    <w:rsid w:val="00AE1539"/>
    <w:rsid w:val="00AE28A7"/>
    <w:rsid w:val="00AE2A98"/>
    <w:rsid w:val="00AE2CF2"/>
    <w:rsid w:val="00AE3012"/>
    <w:rsid w:val="00AE33A6"/>
    <w:rsid w:val="00AE3729"/>
    <w:rsid w:val="00AE4CCE"/>
    <w:rsid w:val="00AE5C6A"/>
    <w:rsid w:val="00AE7280"/>
    <w:rsid w:val="00AF01FA"/>
    <w:rsid w:val="00AF033A"/>
    <w:rsid w:val="00AF1699"/>
    <w:rsid w:val="00AF1FD3"/>
    <w:rsid w:val="00AF2910"/>
    <w:rsid w:val="00AF34B8"/>
    <w:rsid w:val="00AF3896"/>
    <w:rsid w:val="00AF3FC2"/>
    <w:rsid w:val="00AF4DEC"/>
    <w:rsid w:val="00B0098A"/>
    <w:rsid w:val="00B00A5F"/>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276D"/>
    <w:rsid w:val="00B33B06"/>
    <w:rsid w:val="00B33C19"/>
    <w:rsid w:val="00B35A15"/>
    <w:rsid w:val="00B35B45"/>
    <w:rsid w:val="00B36A99"/>
    <w:rsid w:val="00B42264"/>
    <w:rsid w:val="00B434B2"/>
    <w:rsid w:val="00B43D45"/>
    <w:rsid w:val="00B468F2"/>
    <w:rsid w:val="00B469DE"/>
    <w:rsid w:val="00B46E9E"/>
    <w:rsid w:val="00B47286"/>
    <w:rsid w:val="00B50234"/>
    <w:rsid w:val="00B51400"/>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596"/>
    <w:rsid w:val="00B8662F"/>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1746"/>
    <w:rsid w:val="00BB2471"/>
    <w:rsid w:val="00BB3035"/>
    <w:rsid w:val="00BB39C1"/>
    <w:rsid w:val="00BB3DF5"/>
    <w:rsid w:val="00BB3EA7"/>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29A2"/>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625"/>
    <w:rsid w:val="00BF6A78"/>
    <w:rsid w:val="00BF7172"/>
    <w:rsid w:val="00BF7695"/>
    <w:rsid w:val="00BF79B4"/>
    <w:rsid w:val="00BF7C61"/>
    <w:rsid w:val="00C01427"/>
    <w:rsid w:val="00C014C7"/>
    <w:rsid w:val="00C047AB"/>
    <w:rsid w:val="00C053DB"/>
    <w:rsid w:val="00C058AF"/>
    <w:rsid w:val="00C075B6"/>
    <w:rsid w:val="00C124C1"/>
    <w:rsid w:val="00C12801"/>
    <w:rsid w:val="00C128AE"/>
    <w:rsid w:val="00C12BA8"/>
    <w:rsid w:val="00C13094"/>
    <w:rsid w:val="00C136D6"/>
    <w:rsid w:val="00C13719"/>
    <w:rsid w:val="00C13D5B"/>
    <w:rsid w:val="00C141D7"/>
    <w:rsid w:val="00C1711B"/>
    <w:rsid w:val="00C17A3D"/>
    <w:rsid w:val="00C17AE2"/>
    <w:rsid w:val="00C20140"/>
    <w:rsid w:val="00C20F27"/>
    <w:rsid w:val="00C215CF"/>
    <w:rsid w:val="00C2244B"/>
    <w:rsid w:val="00C22711"/>
    <w:rsid w:val="00C2280A"/>
    <w:rsid w:val="00C22B0D"/>
    <w:rsid w:val="00C22BFF"/>
    <w:rsid w:val="00C23522"/>
    <w:rsid w:val="00C240C1"/>
    <w:rsid w:val="00C24AED"/>
    <w:rsid w:val="00C24DC6"/>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B19"/>
    <w:rsid w:val="00C40E45"/>
    <w:rsid w:val="00C413CB"/>
    <w:rsid w:val="00C42752"/>
    <w:rsid w:val="00C42973"/>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1F"/>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945"/>
    <w:rsid w:val="00C91A45"/>
    <w:rsid w:val="00C91FB4"/>
    <w:rsid w:val="00C92150"/>
    <w:rsid w:val="00C92328"/>
    <w:rsid w:val="00C92D42"/>
    <w:rsid w:val="00C92F84"/>
    <w:rsid w:val="00C938C2"/>
    <w:rsid w:val="00C93F8A"/>
    <w:rsid w:val="00C94EA1"/>
    <w:rsid w:val="00C95745"/>
    <w:rsid w:val="00C95902"/>
    <w:rsid w:val="00C962E3"/>
    <w:rsid w:val="00C978E2"/>
    <w:rsid w:val="00C97997"/>
    <w:rsid w:val="00C97A0F"/>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26F8"/>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E0789"/>
    <w:rsid w:val="00CE0E8D"/>
    <w:rsid w:val="00CE12DF"/>
    <w:rsid w:val="00CE1A03"/>
    <w:rsid w:val="00CE2346"/>
    <w:rsid w:val="00CE25B2"/>
    <w:rsid w:val="00CE3529"/>
    <w:rsid w:val="00CE35C8"/>
    <w:rsid w:val="00CE3962"/>
    <w:rsid w:val="00CE4D0A"/>
    <w:rsid w:val="00CE4D1A"/>
    <w:rsid w:val="00CE4E8A"/>
    <w:rsid w:val="00CE5105"/>
    <w:rsid w:val="00CE56BD"/>
    <w:rsid w:val="00CE5EC0"/>
    <w:rsid w:val="00CE6F9F"/>
    <w:rsid w:val="00CE781A"/>
    <w:rsid w:val="00CE7B08"/>
    <w:rsid w:val="00CE7D52"/>
    <w:rsid w:val="00CF0AB7"/>
    <w:rsid w:val="00CF1D74"/>
    <w:rsid w:val="00CF2BE2"/>
    <w:rsid w:val="00CF3DEB"/>
    <w:rsid w:val="00CF55F9"/>
    <w:rsid w:val="00CF7074"/>
    <w:rsid w:val="00CF7495"/>
    <w:rsid w:val="00CF7CF4"/>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185"/>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24F"/>
    <w:rsid w:val="00D47BDA"/>
    <w:rsid w:val="00D50519"/>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6CB1"/>
    <w:rsid w:val="00D97DA2"/>
    <w:rsid w:val="00DA0485"/>
    <w:rsid w:val="00DA1A3A"/>
    <w:rsid w:val="00DA2351"/>
    <w:rsid w:val="00DA249E"/>
    <w:rsid w:val="00DA2D3D"/>
    <w:rsid w:val="00DA341E"/>
    <w:rsid w:val="00DA3855"/>
    <w:rsid w:val="00DA4C30"/>
    <w:rsid w:val="00DA6A44"/>
    <w:rsid w:val="00DB145E"/>
    <w:rsid w:val="00DB1A94"/>
    <w:rsid w:val="00DB1C97"/>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3C04"/>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B8A"/>
    <w:rsid w:val="00DF7C87"/>
    <w:rsid w:val="00E009B0"/>
    <w:rsid w:val="00E00A12"/>
    <w:rsid w:val="00E00B39"/>
    <w:rsid w:val="00E00C49"/>
    <w:rsid w:val="00E01C9C"/>
    <w:rsid w:val="00E0219D"/>
    <w:rsid w:val="00E04C0F"/>
    <w:rsid w:val="00E0570B"/>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414F"/>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1E16"/>
    <w:rsid w:val="00E53730"/>
    <w:rsid w:val="00E5438D"/>
    <w:rsid w:val="00E54511"/>
    <w:rsid w:val="00E54E50"/>
    <w:rsid w:val="00E55288"/>
    <w:rsid w:val="00E57577"/>
    <w:rsid w:val="00E603DF"/>
    <w:rsid w:val="00E62043"/>
    <w:rsid w:val="00E626B9"/>
    <w:rsid w:val="00E627C9"/>
    <w:rsid w:val="00E630F3"/>
    <w:rsid w:val="00E6332F"/>
    <w:rsid w:val="00E637C9"/>
    <w:rsid w:val="00E6402D"/>
    <w:rsid w:val="00E664B7"/>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FDF"/>
    <w:rsid w:val="00E96450"/>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AD8"/>
    <w:rsid w:val="00EF6B90"/>
    <w:rsid w:val="00EF704C"/>
    <w:rsid w:val="00EF7807"/>
    <w:rsid w:val="00EF79F7"/>
    <w:rsid w:val="00F006C0"/>
    <w:rsid w:val="00F0125F"/>
    <w:rsid w:val="00F019AA"/>
    <w:rsid w:val="00F0267E"/>
    <w:rsid w:val="00F02686"/>
    <w:rsid w:val="00F030C0"/>
    <w:rsid w:val="00F03291"/>
    <w:rsid w:val="00F03A85"/>
    <w:rsid w:val="00F0459B"/>
    <w:rsid w:val="00F04E15"/>
    <w:rsid w:val="00F05DF3"/>
    <w:rsid w:val="00F069EA"/>
    <w:rsid w:val="00F070E5"/>
    <w:rsid w:val="00F07DDE"/>
    <w:rsid w:val="00F11675"/>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8E"/>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802"/>
    <w:rsid w:val="00F85B72"/>
    <w:rsid w:val="00F86540"/>
    <w:rsid w:val="00F865CE"/>
    <w:rsid w:val="00F8766F"/>
    <w:rsid w:val="00F90282"/>
    <w:rsid w:val="00F91082"/>
    <w:rsid w:val="00F9116D"/>
    <w:rsid w:val="00F91A9A"/>
    <w:rsid w:val="00F92634"/>
    <w:rsid w:val="00F93ABB"/>
    <w:rsid w:val="00F94D79"/>
    <w:rsid w:val="00F9658C"/>
    <w:rsid w:val="00F97A7F"/>
    <w:rsid w:val="00FA0273"/>
    <w:rsid w:val="00FA0889"/>
    <w:rsid w:val="00FA16E7"/>
    <w:rsid w:val="00FA31C7"/>
    <w:rsid w:val="00FA3FAD"/>
    <w:rsid w:val="00FA472D"/>
    <w:rsid w:val="00FA4F73"/>
    <w:rsid w:val="00FA663D"/>
    <w:rsid w:val="00FA681F"/>
    <w:rsid w:val="00FB0CBF"/>
    <w:rsid w:val="00FB18F6"/>
    <w:rsid w:val="00FB2A52"/>
    <w:rsid w:val="00FB3F92"/>
    <w:rsid w:val="00FB52C7"/>
    <w:rsid w:val="00FB57DC"/>
    <w:rsid w:val="00FB6E19"/>
    <w:rsid w:val="00FB71F6"/>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301BC3"/>
    <w:rsid w:val="014E3145"/>
    <w:rsid w:val="01AF3D99"/>
    <w:rsid w:val="02511F9D"/>
    <w:rsid w:val="0256414F"/>
    <w:rsid w:val="0279515A"/>
    <w:rsid w:val="028C11CF"/>
    <w:rsid w:val="02E65399"/>
    <w:rsid w:val="038D2040"/>
    <w:rsid w:val="03A314B8"/>
    <w:rsid w:val="03D82B98"/>
    <w:rsid w:val="03F83E8B"/>
    <w:rsid w:val="04877F8F"/>
    <w:rsid w:val="04EE7589"/>
    <w:rsid w:val="05C56868"/>
    <w:rsid w:val="06526D8F"/>
    <w:rsid w:val="06A03606"/>
    <w:rsid w:val="073247B4"/>
    <w:rsid w:val="076D7228"/>
    <w:rsid w:val="07B72767"/>
    <w:rsid w:val="08077E72"/>
    <w:rsid w:val="08882DD0"/>
    <w:rsid w:val="089D379E"/>
    <w:rsid w:val="08C15B48"/>
    <w:rsid w:val="09596DBB"/>
    <w:rsid w:val="09880946"/>
    <w:rsid w:val="09CC2AAC"/>
    <w:rsid w:val="0A236C6C"/>
    <w:rsid w:val="0A5D5596"/>
    <w:rsid w:val="0A652D3E"/>
    <w:rsid w:val="0A7A476A"/>
    <w:rsid w:val="0A827AFC"/>
    <w:rsid w:val="0AE308E9"/>
    <w:rsid w:val="0B326F2A"/>
    <w:rsid w:val="0B347497"/>
    <w:rsid w:val="0BA21857"/>
    <w:rsid w:val="0C1E2888"/>
    <w:rsid w:val="0C92213C"/>
    <w:rsid w:val="0D147059"/>
    <w:rsid w:val="0D84032B"/>
    <w:rsid w:val="0D984FC2"/>
    <w:rsid w:val="0E583368"/>
    <w:rsid w:val="0E9E7466"/>
    <w:rsid w:val="0EEA3C7F"/>
    <w:rsid w:val="0F094998"/>
    <w:rsid w:val="0F2A74C4"/>
    <w:rsid w:val="0F9D7E9C"/>
    <w:rsid w:val="0FBE3AB4"/>
    <w:rsid w:val="0FED6723"/>
    <w:rsid w:val="107A50D0"/>
    <w:rsid w:val="10A27F31"/>
    <w:rsid w:val="10D543B3"/>
    <w:rsid w:val="10E805B3"/>
    <w:rsid w:val="113D0356"/>
    <w:rsid w:val="114159B8"/>
    <w:rsid w:val="11927058"/>
    <w:rsid w:val="1242504C"/>
    <w:rsid w:val="13AF4F03"/>
    <w:rsid w:val="13F77367"/>
    <w:rsid w:val="1419797D"/>
    <w:rsid w:val="141F373E"/>
    <w:rsid w:val="14736E66"/>
    <w:rsid w:val="147F458F"/>
    <w:rsid w:val="1534169A"/>
    <w:rsid w:val="155D5E23"/>
    <w:rsid w:val="15C03E03"/>
    <w:rsid w:val="15E6695F"/>
    <w:rsid w:val="160E2A54"/>
    <w:rsid w:val="162A25EB"/>
    <w:rsid w:val="1654237A"/>
    <w:rsid w:val="16FD2A55"/>
    <w:rsid w:val="17067C1A"/>
    <w:rsid w:val="17342732"/>
    <w:rsid w:val="17366761"/>
    <w:rsid w:val="177C01F0"/>
    <w:rsid w:val="179E3EFA"/>
    <w:rsid w:val="17CE6630"/>
    <w:rsid w:val="17D44AEF"/>
    <w:rsid w:val="18B66F87"/>
    <w:rsid w:val="18E97771"/>
    <w:rsid w:val="19316F5C"/>
    <w:rsid w:val="194A2131"/>
    <w:rsid w:val="1A031CD5"/>
    <w:rsid w:val="1A302A88"/>
    <w:rsid w:val="1A3D178E"/>
    <w:rsid w:val="1ADA49A5"/>
    <w:rsid w:val="1AFF0AFE"/>
    <w:rsid w:val="1B4F19F8"/>
    <w:rsid w:val="1BA551EB"/>
    <w:rsid w:val="1C636065"/>
    <w:rsid w:val="1CE301BF"/>
    <w:rsid w:val="1D651F67"/>
    <w:rsid w:val="1E4D6B9A"/>
    <w:rsid w:val="1E873539"/>
    <w:rsid w:val="1EA90CE7"/>
    <w:rsid w:val="1ECC44FA"/>
    <w:rsid w:val="1F063325"/>
    <w:rsid w:val="1F650284"/>
    <w:rsid w:val="1F6A5D0E"/>
    <w:rsid w:val="1FBC5DF5"/>
    <w:rsid w:val="1FF90588"/>
    <w:rsid w:val="20AB2D5F"/>
    <w:rsid w:val="20B2643C"/>
    <w:rsid w:val="20C3623F"/>
    <w:rsid w:val="21781212"/>
    <w:rsid w:val="21B83F86"/>
    <w:rsid w:val="21C57352"/>
    <w:rsid w:val="221178A8"/>
    <w:rsid w:val="221213CF"/>
    <w:rsid w:val="22172B69"/>
    <w:rsid w:val="221F2CD4"/>
    <w:rsid w:val="22327A92"/>
    <w:rsid w:val="224F6236"/>
    <w:rsid w:val="231D53A2"/>
    <w:rsid w:val="236D5383"/>
    <w:rsid w:val="238732BF"/>
    <w:rsid w:val="23A223D8"/>
    <w:rsid w:val="23B7504C"/>
    <w:rsid w:val="245416F5"/>
    <w:rsid w:val="24554E1C"/>
    <w:rsid w:val="24571307"/>
    <w:rsid w:val="25110A2A"/>
    <w:rsid w:val="251E16D3"/>
    <w:rsid w:val="256C0944"/>
    <w:rsid w:val="25951FC5"/>
    <w:rsid w:val="26252AC2"/>
    <w:rsid w:val="26446DE3"/>
    <w:rsid w:val="266638BE"/>
    <w:rsid w:val="269669E7"/>
    <w:rsid w:val="26A46F64"/>
    <w:rsid w:val="26D7699F"/>
    <w:rsid w:val="27DD6127"/>
    <w:rsid w:val="27E1560A"/>
    <w:rsid w:val="28232902"/>
    <w:rsid w:val="28710C56"/>
    <w:rsid w:val="28B355CE"/>
    <w:rsid w:val="28C122CB"/>
    <w:rsid w:val="294C3122"/>
    <w:rsid w:val="29912F65"/>
    <w:rsid w:val="2A2829FB"/>
    <w:rsid w:val="2B774624"/>
    <w:rsid w:val="2C01385B"/>
    <w:rsid w:val="2C62269A"/>
    <w:rsid w:val="2C7A72BE"/>
    <w:rsid w:val="2C8E73C8"/>
    <w:rsid w:val="2C9A7D75"/>
    <w:rsid w:val="2CB35A22"/>
    <w:rsid w:val="2CC17412"/>
    <w:rsid w:val="2CC442FD"/>
    <w:rsid w:val="2D380715"/>
    <w:rsid w:val="2D5A2500"/>
    <w:rsid w:val="2D7C1E99"/>
    <w:rsid w:val="2DC11E34"/>
    <w:rsid w:val="2E482E34"/>
    <w:rsid w:val="2E80736E"/>
    <w:rsid w:val="2E9976CE"/>
    <w:rsid w:val="2F185661"/>
    <w:rsid w:val="2F401D3C"/>
    <w:rsid w:val="2F4A2072"/>
    <w:rsid w:val="2F5616F3"/>
    <w:rsid w:val="2F5B24E1"/>
    <w:rsid w:val="2F8570E5"/>
    <w:rsid w:val="2F861FE6"/>
    <w:rsid w:val="2FA95C88"/>
    <w:rsid w:val="2FC35783"/>
    <w:rsid w:val="2FD0651A"/>
    <w:rsid w:val="2FE5227E"/>
    <w:rsid w:val="301D01B9"/>
    <w:rsid w:val="3041370F"/>
    <w:rsid w:val="30683756"/>
    <w:rsid w:val="312B50A3"/>
    <w:rsid w:val="31577822"/>
    <w:rsid w:val="31894FD2"/>
    <w:rsid w:val="32153857"/>
    <w:rsid w:val="3245173D"/>
    <w:rsid w:val="32453A27"/>
    <w:rsid w:val="32491755"/>
    <w:rsid w:val="3263064A"/>
    <w:rsid w:val="32A43132"/>
    <w:rsid w:val="32AC0C06"/>
    <w:rsid w:val="32CD0FC9"/>
    <w:rsid w:val="332544EC"/>
    <w:rsid w:val="33344EF5"/>
    <w:rsid w:val="34B6221F"/>
    <w:rsid w:val="34CB74C6"/>
    <w:rsid w:val="34DD2CA2"/>
    <w:rsid w:val="34E55B2C"/>
    <w:rsid w:val="350E25B2"/>
    <w:rsid w:val="3534722A"/>
    <w:rsid w:val="3537750C"/>
    <w:rsid w:val="3537798C"/>
    <w:rsid w:val="35443029"/>
    <w:rsid w:val="35447564"/>
    <w:rsid w:val="35C13FC9"/>
    <w:rsid w:val="364257B6"/>
    <w:rsid w:val="3692554F"/>
    <w:rsid w:val="379D082D"/>
    <w:rsid w:val="37B3778C"/>
    <w:rsid w:val="37EA5922"/>
    <w:rsid w:val="37F61406"/>
    <w:rsid w:val="38276B93"/>
    <w:rsid w:val="383F77CE"/>
    <w:rsid w:val="38663F9A"/>
    <w:rsid w:val="38741163"/>
    <w:rsid w:val="38AC3431"/>
    <w:rsid w:val="392F2E16"/>
    <w:rsid w:val="39E00529"/>
    <w:rsid w:val="3A0B64A7"/>
    <w:rsid w:val="3A574DDA"/>
    <w:rsid w:val="3AD3075A"/>
    <w:rsid w:val="3AF74C02"/>
    <w:rsid w:val="3B7822F8"/>
    <w:rsid w:val="3C0059A5"/>
    <w:rsid w:val="3C134E78"/>
    <w:rsid w:val="3C453DED"/>
    <w:rsid w:val="3CC15B98"/>
    <w:rsid w:val="3D1654D9"/>
    <w:rsid w:val="3D177DC9"/>
    <w:rsid w:val="3D3B4C45"/>
    <w:rsid w:val="3DB459DE"/>
    <w:rsid w:val="3DF6345D"/>
    <w:rsid w:val="3E2B5515"/>
    <w:rsid w:val="3E4B157D"/>
    <w:rsid w:val="3E4D4F28"/>
    <w:rsid w:val="3EDC6C98"/>
    <w:rsid w:val="3EE13701"/>
    <w:rsid w:val="3F1A4BB3"/>
    <w:rsid w:val="4012098A"/>
    <w:rsid w:val="40192BA6"/>
    <w:rsid w:val="403D259E"/>
    <w:rsid w:val="4044666A"/>
    <w:rsid w:val="40751F09"/>
    <w:rsid w:val="410F5816"/>
    <w:rsid w:val="4158226E"/>
    <w:rsid w:val="41766EA9"/>
    <w:rsid w:val="423112D6"/>
    <w:rsid w:val="42550A18"/>
    <w:rsid w:val="42591699"/>
    <w:rsid w:val="42955F29"/>
    <w:rsid w:val="429D496A"/>
    <w:rsid w:val="42F473A1"/>
    <w:rsid w:val="43821D74"/>
    <w:rsid w:val="441E62C0"/>
    <w:rsid w:val="4434750B"/>
    <w:rsid w:val="45325D14"/>
    <w:rsid w:val="45811C7C"/>
    <w:rsid w:val="458868B3"/>
    <w:rsid w:val="45906116"/>
    <w:rsid w:val="45931B8C"/>
    <w:rsid w:val="46043C2E"/>
    <w:rsid w:val="467D515B"/>
    <w:rsid w:val="468B3EFB"/>
    <w:rsid w:val="470A6193"/>
    <w:rsid w:val="47145F54"/>
    <w:rsid w:val="47385210"/>
    <w:rsid w:val="47C95660"/>
    <w:rsid w:val="47DC4F5C"/>
    <w:rsid w:val="48B40671"/>
    <w:rsid w:val="48C92B6A"/>
    <w:rsid w:val="49144E77"/>
    <w:rsid w:val="4951199B"/>
    <w:rsid w:val="49786DD6"/>
    <w:rsid w:val="499B5738"/>
    <w:rsid w:val="499F244D"/>
    <w:rsid w:val="49EA1E21"/>
    <w:rsid w:val="49FE381C"/>
    <w:rsid w:val="4A973F3F"/>
    <w:rsid w:val="4AC11FA6"/>
    <w:rsid w:val="4AF96BC7"/>
    <w:rsid w:val="4B334C8A"/>
    <w:rsid w:val="4B862A85"/>
    <w:rsid w:val="4C526437"/>
    <w:rsid w:val="4CA775AA"/>
    <w:rsid w:val="4CEF36E2"/>
    <w:rsid w:val="4CEF4DC5"/>
    <w:rsid w:val="4D18523E"/>
    <w:rsid w:val="4D3E70E5"/>
    <w:rsid w:val="4D9B4A18"/>
    <w:rsid w:val="4DB5479D"/>
    <w:rsid w:val="4E257655"/>
    <w:rsid w:val="4E531B40"/>
    <w:rsid w:val="4F372380"/>
    <w:rsid w:val="4F372FFB"/>
    <w:rsid w:val="4FAA3CEB"/>
    <w:rsid w:val="4FAA5CB6"/>
    <w:rsid w:val="4FC60063"/>
    <w:rsid w:val="4FEE6581"/>
    <w:rsid w:val="5025116D"/>
    <w:rsid w:val="5034652A"/>
    <w:rsid w:val="50692048"/>
    <w:rsid w:val="50C80BF1"/>
    <w:rsid w:val="50C8196E"/>
    <w:rsid w:val="51982AC4"/>
    <w:rsid w:val="52395ECD"/>
    <w:rsid w:val="52B30F16"/>
    <w:rsid w:val="52C10D75"/>
    <w:rsid w:val="53607C15"/>
    <w:rsid w:val="53C27FF8"/>
    <w:rsid w:val="545F7D39"/>
    <w:rsid w:val="549E1A80"/>
    <w:rsid w:val="54C13EBA"/>
    <w:rsid w:val="54C658F4"/>
    <w:rsid w:val="54FD54D1"/>
    <w:rsid w:val="550C4BD7"/>
    <w:rsid w:val="55105102"/>
    <w:rsid w:val="55143F84"/>
    <w:rsid w:val="554C1D56"/>
    <w:rsid w:val="55572986"/>
    <w:rsid w:val="55E922FF"/>
    <w:rsid w:val="55F2605C"/>
    <w:rsid w:val="565340FA"/>
    <w:rsid w:val="577E64AD"/>
    <w:rsid w:val="57AB5970"/>
    <w:rsid w:val="57FA1FD8"/>
    <w:rsid w:val="58726B85"/>
    <w:rsid w:val="59203CEE"/>
    <w:rsid w:val="59C51676"/>
    <w:rsid w:val="59D15A7D"/>
    <w:rsid w:val="5A2F2CC8"/>
    <w:rsid w:val="5AD60C24"/>
    <w:rsid w:val="5B883D7F"/>
    <w:rsid w:val="5B8C440C"/>
    <w:rsid w:val="5C10702D"/>
    <w:rsid w:val="5C152601"/>
    <w:rsid w:val="5C591F03"/>
    <w:rsid w:val="5C8A1B2F"/>
    <w:rsid w:val="5C9322D3"/>
    <w:rsid w:val="5CCF037C"/>
    <w:rsid w:val="5D2378DB"/>
    <w:rsid w:val="5D432E79"/>
    <w:rsid w:val="5D49027D"/>
    <w:rsid w:val="5D6816BE"/>
    <w:rsid w:val="5EC63716"/>
    <w:rsid w:val="5F561B72"/>
    <w:rsid w:val="5F7C6065"/>
    <w:rsid w:val="606007BB"/>
    <w:rsid w:val="60AC7F66"/>
    <w:rsid w:val="60CE22A3"/>
    <w:rsid w:val="61BF10D9"/>
    <w:rsid w:val="61DD6092"/>
    <w:rsid w:val="622B1997"/>
    <w:rsid w:val="62AC22DC"/>
    <w:rsid w:val="62E74147"/>
    <w:rsid w:val="62E914B5"/>
    <w:rsid w:val="63893625"/>
    <w:rsid w:val="63A22BFD"/>
    <w:rsid w:val="63B03DF2"/>
    <w:rsid w:val="64376A8F"/>
    <w:rsid w:val="64CF0C79"/>
    <w:rsid w:val="64E45EF7"/>
    <w:rsid w:val="64EC48EB"/>
    <w:rsid w:val="6534146F"/>
    <w:rsid w:val="657B59A0"/>
    <w:rsid w:val="6650690F"/>
    <w:rsid w:val="6691014E"/>
    <w:rsid w:val="66A62E2A"/>
    <w:rsid w:val="66BB3E2B"/>
    <w:rsid w:val="66C87CCE"/>
    <w:rsid w:val="66CB773F"/>
    <w:rsid w:val="66DC0AFB"/>
    <w:rsid w:val="670C7067"/>
    <w:rsid w:val="674A6FE9"/>
    <w:rsid w:val="677435B2"/>
    <w:rsid w:val="67977AB4"/>
    <w:rsid w:val="67EF75F1"/>
    <w:rsid w:val="68050AF7"/>
    <w:rsid w:val="69124F16"/>
    <w:rsid w:val="69732B35"/>
    <w:rsid w:val="69CD5C14"/>
    <w:rsid w:val="69CF0D33"/>
    <w:rsid w:val="6A19661F"/>
    <w:rsid w:val="6AB27E6E"/>
    <w:rsid w:val="6B9946B3"/>
    <w:rsid w:val="6C2442AD"/>
    <w:rsid w:val="6C276F3A"/>
    <w:rsid w:val="6C7007C7"/>
    <w:rsid w:val="6C866386"/>
    <w:rsid w:val="6C8C3DDD"/>
    <w:rsid w:val="6DC7010B"/>
    <w:rsid w:val="6DE73815"/>
    <w:rsid w:val="6DE76850"/>
    <w:rsid w:val="6E3901AC"/>
    <w:rsid w:val="6E99614C"/>
    <w:rsid w:val="6EB979C9"/>
    <w:rsid w:val="6F0D3831"/>
    <w:rsid w:val="6F324E79"/>
    <w:rsid w:val="6F395827"/>
    <w:rsid w:val="6FB20BD4"/>
    <w:rsid w:val="6FBA59BE"/>
    <w:rsid w:val="70296B3E"/>
    <w:rsid w:val="70611204"/>
    <w:rsid w:val="71B95393"/>
    <w:rsid w:val="72E84309"/>
    <w:rsid w:val="745F33D9"/>
    <w:rsid w:val="74746816"/>
    <w:rsid w:val="74FA2C30"/>
    <w:rsid w:val="753C02EF"/>
    <w:rsid w:val="754D5C4B"/>
    <w:rsid w:val="75780057"/>
    <w:rsid w:val="758D2CDA"/>
    <w:rsid w:val="759C2D27"/>
    <w:rsid w:val="75BF4344"/>
    <w:rsid w:val="761E6F06"/>
    <w:rsid w:val="76C240A7"/>
    <w:rsid w:val="76CF4852"/>
    <w:rsid w:val="775246B7"/>
    <w:rsid w:val="77540AB1"/>
    <w:rsid w:val="77D73C13"/>
    <w:rsid w:val="781D7EBF"/>
    <w:rsid w:val="781E69D1"/>
    <w:rsid w:val="796007E9"/>
    <w:rsid w:val="7A263B6B"/>
    <w:rsid w:val="7AF46346"/>
    <w:rsid w:val="7B0F5EBF"/>
    <w:rsid w:val="7B130FB9"/>
    <w:rsid w:val="7B2F1004"/>
    <w:rsid w:val="7B3545F1"/>
    <w:rsid w:val="7BF64EDE"/>
    <w:rsid w:val="7C400C1E"/>
    <w:rsid w:val="7C7D6ECB"/>
    <w:rsid w:val="7C7F3FAA"/>
    <w:rsid w:val="7DD11708"/>
    <w:rsid w:val="7EA63707"/>
    <w:rsid w:val="7EBD579E"/>
    <w:rsid w:val="7EC167BD"/>
    <w:rsid w:val="7F1D3154"/>
    <w:rsid w:val="7F272D9E"/>
    <w:rsid w:val="7F6E730A"/>
    <w:rsid w:val="7FC5074F"/>
    <w:rsid w:val="A377B1A4"/>
    <w:rsid w:val="FBBF1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4"/>
    <w:qFormat/>
    <w:uiPriority w:val="9"/>
    <w:pPr>
      <w:keepNext/>
      <w:keepLines/>
      <w:spacing w:before="340" w:after="330" w:line="578" w:lineRule="auto"/>
      <w:outlineLvl w:val="0"/>
    </w:pPr>
    <w:rPr>
      <w:kern w:val="44"/>
      <w:sz w:val="44"/>
      <w:szCs w:val="44"/>
    </w:rPr>
  </w:style>
  <w:style w:type="paragraph" w:styleId="4">
    <w:name w:val="heading 2"/>
    <w:basedOn w:val="1"/>
    <w:next w:val="1"/>
    <w:link w:val="45"/>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1"/>
    <w:link w:val="46"/>
    <w:qFormat/>
    <w:uiPriority w:val="9"/>
    <w:pPr>
      <w:keepNext/>
      <w:keepLines/>
      <w:spacing w:before="280" w:after="290" w:line="376" w:lineRule="auto"/>
      <w:outlineLvl w:val="4"/>
    </w:pPr>
    <w:rPr>
      <w:b/>
      <w:bCs/>
      <w:sz w:val="28"/>
      <w:szCs w:val="28"/>
    </w:rPr>
  </w:style>
  <w:style w:type="paragraph" w:styleId="7">
    <w:name w:val="heading 6"/>
    <w:basedOn w:val="1"/>
    <w:next w:val="8"/>
    <w:qFormat/>
    <w:uiPriority w:val="0"/>
    <w:pPr>
      <w:keepNext/>
      <w:keepLines/>
      <w:spacing w:before="240" w:after="64" w:line="320" w:lineRule="auto"/>
      <w:outlineLvl w:val="5"/>
    </w:pPr>
    <w:rPr>
      <w:rFonts w:ascii="Arial" w:hAnsi="Arial" w:eastAsia="黑体"/>
      <w:b/>
      <w:sz w:val="24"/>
    </w:rPr>
  </w:style>
  <w:style w:type="paragraph" w:styleId="9">
    <w:name w:val="heading 8"/>
    <w:basedOn w:val="1"/>
    <w:next w:val="1"/>
    <w:link w:val="47"/>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5">
    <w:name w:val="Default Paragraph Font"/>
    <w:autoRedefine/>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0"/>
    <w:pPr>
      <w:ind w:firstLine="420"/>
    </w:pPr>
    <w:rPr>
      <w:szCs w:val="20"/>
    </w:rPr>
  </w:style>
  <w:style w:type="paragraph" w:styleId="10">
    <w:name w:val="index 8"/>
    <w:basedOn w:val="1"/>
    <w:next w:val="1"/>
    <w:qFormat/>
    <w:uiPriority w:val="0"/>
    <w:pPr>
      <w:ind w:left="1400" w:leftChars="140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8"/>
    <w:autoRedefine/>
    <w:qFormat/>
    <w:uiPriority w:val="0"/>
    <w:pPr>
      <w:jc w:val="left"/>
    </w:pPr>
  </w:style>
  <w:style w:type="paragraph" w:styleId="13">
    <w:name w:val="Body Text 3"/>
    <w:basedOn w:val="1"/>
    <w:link w:val="49"/>
    <w:autoRedefine/>
    <w:unhideWhenUsed/>
    <w:qFormat/>
    <w:uiPriority w:val="99"/>
    <w:pPr>
      <w:spacing w:after="120"/>
    </w:pPr>
    <w:rPr>
      <w:sz w:val="16"/>
      <w:szCs w:val="16"/>
    </w:rPr>
  </w:style>
  <w:style w:type="paragraph" w:styleId="14">
    <w:name w:val="Body Text"/>
    <w:basedOn w:val="1"/>
    <w:next w:val="1"/>
    <w:link w:val="50"/>
    <w:autoRedefine/>
    <w:unhideWhenUsed/>
    <w:qFormat/>
    <w:uiPriority w:val="0"/>
    <w:pPr>
      <w:spacing w:after="120"/>
    </w:pPr>
  </w:style>
  <w:style w:type="paragraph" w:styleId="15">
    <w:name w:val="Body Text Indent"/>
    <w:basedOn w:val="1"/>
    <w:link w:val="51"/>
    <w:autoRedefine/>
    <w:qFormat/>
    <w:uiPriority w:val="0"/>
    <w:pPr>
      <w:ind w:firstLine="830" w:firstLineChars="352"/>
    </w:pPr>
    <w:rPr>
      <w:rFonts w:ascii="仿宋_GB2312" w:eastAsia="仿宋_GB2312"/>
      <w:kern w:val="0"/>
      <w:sz w:val="32"/>
      <w:szCs w:val="20"/>
    </w:rPr>
  </w:style>
  <w:style w:type="paragraph" w:styleId="16">
    <w:name w:val="List 2"/>
    <w:basedOn w:val="1"/>
    <w:autoRedefine/>
    <w:unhideWhenUsed/>
    <w:qFormat/>
    <w:uiPriority w:val="99"/>
    <w:pPr>
      <w:ind w:left="100" w:leftChars="200" w:hanging="200" w:hangingChars="200"/>
      <w:contextualSpacing/>
    </w:pPr>
  </w:style>
  <w:style w:type="paragraph" w:styleId="17">
    <w:name w:val="Block Text"/>
    <w:basedOn w:val="1"/>
    <w:autoRedefine/>
    <w:unhideWhenUsed/>
    <w:qFormat/>
    <w:uiPriority w:val="99"/>
    <w:pPr>
      <w:spacing w:after="120"/>
      <w:ind w:left="1440" w:leftChars="700" w:right="700" w:rightChars="700"/>
    </w:pPr>
  </w:style>
  <w:style w:type="paragraph" w:styleId="18">
    <w:name w:val="toc 5"/>
    <w:basedOn w:val="1"/>
    <w:next w:val="1"/>
    <w:unhideWhenUsed/>
    <w:qFormat/>
    <w:uiPriority w:val="39"/>
    <w:pPr>
      <w:ind w:left="840"/>
      <w:jc w:val="left"/>
    </w:pPr>
    <w:rPr>
      <w:rFonts w:eastAsia="Calibri"/>
      <w:sz w:val="20"/>
      <w:szCs w:val="20"/>
    </w:rPr>
  </w:style>
  <w:style w:type="paragraph" w:styleId="19">
    <w:name w:val="Plain Text"/>
    <w:basedOn w:val="1"/>
    <w:next w:val="20"/>
    <w:link w:val="43"/>
    <w:qFormat/>
    <w:uiPriority w:val="0"/>
    <w:rPr>
      <w:rFonts w:ascii="宋体" w:hAnsi="Courier New"/>
      <w:kern w:val="0"/>
      <w:sz w:val="20"/>
      <w:szCs w:val="21"/>
    </w:rPr>
  </w:style>
  <w:style w:type="paragraph" w:styleId="20">
    <w:name w:val="Date"/>
    <w:basedOn w:val="1"/>
    <w:next w:val="1"/>
    <w:link w:val="52"/>
    <w:autoRedefine/>
    <w:unhideWhenUsed/>
    <w:qFormat/>
    <w:uiPriority w:val="99"/>
    <w:pPr>
      <w:ind w:left="100" w:leftChars="2500"/>
    </w:pPr>
  </w:style>
  <w:style w:type="paragraph" w:styleId="21">
    <w:name w:val="Balloon Text"/>
    <w:basedOn w:val="1"/>
    <w:semiHidden/>
    <w:qFormat/>
    <w:uiPriority w:val="0"/>
    <w:rPr>
      <w:sz w:val="18"/>
      <w:szCs w:val="18"/>
    </w:rPr>
  </w:style>
  <w:style w:type="paragraph" w:styleId="22">
    <w:name w:val="footer"/>
    <w:basedOn w:val="1"/>
    <w:link w:val="53"/>
    <w:unhideWhenUsed/>
    <w:qFormat/>
    <w:uiPriority w:val="99"/>
    <w:pPr>
      <w:tabs>
        <w:tab w:val="center" w:pos="4153"/>
        <w:tab w:val="right" w:pos="8306"/>
      </w:tabs>
      <w:snapToGrid w:val="0"/>
      <w:jc w:val="left"/>
    </w:pPr>
    <w:rPr>
      <w:kern w:val="0"/>
      <w:sz w:val="18"/>
      <w:szCs w:val="18"/>
    </w:rPr>
  </w:style>
  <w:style w:type="paragraph" w:styleId="23">
    <w:name w:val="envelope return"/>
    <w:basedOn w:val="1"/>
    <w:autoRedefine/>
    <w:qFormat/>
    <w:uiPriority w:val="0"/>
    <w:pPr>
      <w:adjustRightInd w:val="0"/>
      <w:snapToGrid w:val="0"/>
      <w:spacing w:line="360" w:lineRule="atLeast"/>
      <w:ind w:firstLine="640" w:firstLineChars="200"/>
    </w:pPr>
    <w:rPr>
      <w:rFonts w:ascii="Arial" w:hAnsi="Arial"/>
    </w:rPr>
  </w:style>
  <w:style w:type="paragraph" w:styleId="24">
    <w:name w:val="header"/>
    <w:basedOn w:val="1"/>
    <w:link w:val="5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style>
  <w:style w:type="paragraph" w:styleId="26">
    <w:name w:val="toc 2"/>
    <w:basedOn w:val="1"/>
    <w:next w:val="1"/>
    <w:unhideWhenUsed/>
    <w:qFormat/>
    <w:uiPriority w:val="39"/>
    <w:pPr>
      <w:tabs>
        <w:tab w:val="right" w:leader="dot" w:pos="8296"/>
      </w:tabs>
      <w:ind w:left="420" w:leftChars="200"/>
    </w:pPr>
  </w:style>
  <w:style w:type="paragraph" w:styleId="27">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8">
    <w:name w:val="Normal (Web)"/>
    <w:basedOn w:val="1"/>
    <w:autoRedefine/>
    <w:unhideWhenUsed/>
    <w:qFormat/>
    <w:uiPriority w:val="99"/>
    <w:rPr>
      <w:rFonts w:ascii="Calibri" w:hAnsi="Calibri"/>
      <w:kern w:val="0"/>
      <w:sz w:val="24"/>
    </w:rPr>
  </w:style>
  <w:style w:type="paragraph" w:styleId="29">
    <w:name w:val="Title"/>
    <w:basedOn w:val="1"/>
    <w:next w:val="1"/>
    <w:autoRedefine/>
    <w:qFormat/>
    <w:uiPriority w:val="10"/>
    <w:pPr>
      <w:spacing w:before="240" w:after="60"/>
      <w:jc w:val="center"/>
      <w:outlineLvl w:val="0"/>
    </w:pPr>
    <w:rPr>
      <w:rFonts w:ascii="Cambria" w:hAnsi="Cambria"/>
      <w:b/>
      <w:bCs/>
      <w:sz w:val="32"/>
      <w:szCs w:val="32"/>
    </w:rPr>
  </w:style>
  <w:style w:type="paragraph" w:styleId="30">
    <w:name w:val="annotation subject"/>
    <w:basedOn w:val="12"/>
    <w:next w:val="12"/>
    <w:link w:val="56"/>
    <w:autoRedefine/>
    <w:qFormat/>
    <w:uiPriority w:val="99"/>
    <w:rPr>
      <w:b/>
      <w:bCs/>
    </w:rPr>
  </w:style>
  <w:style w:type="paragraph" w:styleId="31">
    <w:name w:val="Body Text First Indent"/>
    <w:basedOn w:val="14"/>
    <w:qFormat/>
    <w:uiPriority w:val="0"/>
    <w:pPr>
      <w:spacing w:after="0" w:line="380" w:lineRule="exact"/>
      <w:ind w:firstLine="420" w:firstLineChars="100"/>
    </w:pPr>
    <w:rPr>
      <w:rFonts w:ascii="宋体" w:hAnsi="Courier New"/>
      <w:kern w:val="0"/>
      <w:sz w:val="20"/>
      <w:szCs w:val="21"/>
    </w:rPr>
  </w:style>
  <w:style w:type="paragraph" w:styleId="32">
    <w:name w:val="Body Text First Indent 2"/>
    <w:basedOn w:val="1"/>
    <w:unhideWhenUsed/>
    <w:qFormat/>
    <w:uiPriority w:val="99"/>
    <w:pPr>
      <w:spacing w:line="200" w:lineRule="exact"/>
      <w:ind w:firstLine="420" w:firstLineChars="200"/>
    </w:pPr>
    <w:rPr>
      <w:rFonts w:ascii="宋体" w:hAnsi="Courier New"/>
      <w:spacing w:val="-4"/>
      <w:sz w:val="18"/>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qFormat/>
    <w:uiPriority w:val="0"/>
    <w:rPr>
      <w:b/>
    </w:rPr>
  </w:style>
  <w:style w:type="character" w:styleId="37">
    <w:name w:val="endnote reference"/>
    <w:autoRedefine/>
    <w:unhideWhenUsed/>
    <w:qFormat/>
    <w:uiPriority w:val="99"/>
    <w:rPr>
      <w:vertAlign w:val="superscript"/>
    </w:rPr>
  </w:style>
  <w:style w:type="character" w:styleId="38">
    <w:name w:val="page number"/>
    <w:basedOn w:val="35"/>
    <w:qFormat/>
    <w:uiPriority w:val="0"/>
  </w:style>
  <w:style w:type="character" w:styleId="39">
    <w:name w:val="Hyperlink"/>
    <w:autoRedefine/>
    <w:unhideWhenUsed/>
    <w:qFormat/>
    <w:uiPriority w:val="99"/>
    <w:rPr>
      <w:color w:val="0000FF"/>
      <w:u w:val="single"/>
    </w:rPr>
  </w:style>
  <w:style w:type="character" w:styleId="40">
    <w:name w:val="annotation reference"/>
    <w:autoRedefine/>
    <w:qFormat/>
    <w:uiPriority w:val="0"/>
    <w:rPr>
      <w:sz w:val="21"/>
      <w:szCs w:val="21"/>
    </w:rPr>
  </w:style>
  <w:style w:type="character" w:styleId="41">
    <w:name w:val="HTML Sample"/>
    <w:basedOn w:val="35"/>
    <w:autoRedefine/>
    <w:semiHidden/>
    <w:unhideWhenUsed/>
    <w:qFormat/>
    <w:uiPriority w:val="99"/>
    <w:rPr>
      <w:rFonts w:ascii="Courier New" w:hAnsi="Courier New"/>
    </w:rPr>
  </w:style>
  <w:style w:type="paragraph" w:customStyle="1" w:styleId="42">
    <w:name w:val="TOC 标题2"/>
    <w:next w:val="1"/>
    <w:qFormat/>
    <w:uiPriority w:val="99"/>
    <w:pPr>
      <w:wordWrap w:val="0"/>
    </w:pPr>
    <w:rPr>
      <w:rFonts w:ascii="Calibri" w:hAnsi="Calibri" w:eastAsia="宋体" w:cs="Times New Roman"/>
      <w:sz w:val="32"/>
      <w:lang w:val="en-US" w:eastAsia="zh-CN" w:bidi="ar-SA"/>
    </w:rPr>
  </w:style>
  <w:style w:type="character" w:customStyle="1" w:styleId="43">
    <w:name w:val="纯文本 Char1"/>
    <w:link w:val="19"/>
    <w:autoRedefine/>
    <w:qFormat/>
    <w:uiPriority w:val="0"/>
    <w:rPr>
      <w:rFonts w:ascii="宋体" w:hAnsi="Courier New" w:eastAsia="宋体" w:cs="Courier New"/>
      <w:szCs w:val="21"/>
    </w:rPr>
  </w:style>
  <w:style w:type="character" w:customStyle="1" w:styleId="44">
    <w:name w:val="标题 1 Char"/>
    <w:link w:val="2"/>
    <w:qFormat/>
    <w:uiPriority w:val="9"/>
    <w:rPr>
      <w:b/>
      <w:bCs/>
      <w:kern w:val="44"/>
      <w:sz w:val="44"/>
      <w:szCs w:val="44"/>
    </w:rPr>
  </w:style>
  <w:style w:type="character" w:customStyle="1" w:styleId="45">
    <w:name w:val="标题 2 Char1"/>
    <w:link w:val="4"/>
    <w:autoRedefine/>
    <w:qFormat/>
    <w:uiPriority w:val="9"/>
    <w:rPr>
      <w:rFonts w:ascii="Cambria" w:hAnsi="Cambria" w:eastAsia="宋体" w:cs="Times New Roman"/>
      <w:b/>
      <w:bCs/>
      <w:kern w:val="2"/>
      <w:sz w:val="32"/>
      <w:szCs w:val="32"/>
    </w:rPr>
  </w:style>
  <w:style w:type="character" w:customStyle="1" w:styleId="46">
    <w:name w:val="标题 5 Char"/>
    <w:link w:val="6"/>
    <w:semiHidden/>
    <w:qFormat/>
    <w:uiPriority w:val="9"/>
    <w:rPr>
      <w:rFonts w:ascii="Times New Roman" w:hAnsi="Times New Roman"/>
      <w:b/>
      <w:bCs/>
      <w:kern w:val="2"/>
      <w:sz w:val="28"/>
      <w:szCs w:val="28"/>
    </w:rPr>
  </w:style>
  <w:style w:type="character" w:customStyle="1" w:styleId="47">
    <w:name w:val="标题 8 Char1"/>
    <w:link w:val="9"/>
    <w:semiHidden/>
    <w:qFormat/>
    <w:uiPriority w:val="9"/>
    <w:rPr>
      <w:rFonts w:ascii="等线 Light" w:hAnsi="等线 Light" w:eastAsia="等线 Light" w:cs="Times New Roman"/>
      <w:kern w:val="2"/>
      <w:sz w:val="24"/>
      <w:szCs w:val="24"/>
    </w:rPr>
  </w:style>
  <w:style w:type="character" w:customStyle="1" w:styleId="48">
    <w:name w:val="批注文字 Char1"/>
    <w:link w:val="12"/>
    <w:qFormat/>
    <w:uiPriority w:val="0"/>
    <w:rPr>
      <w:rFonts w:ascii="Times New Roman" w:hAnsi="Times New Roman"/>
      <w:kern w:val="2"/>
      <w:sz w:val="21"/>
      <w:szCs w:val="24"/>
    </w:rPr>
  </w:style>
  <w:style w:type="character" w:customStyle="1" w:styleId="49">
    <w:name w:val="正文文本 3 Char"/>
    <w:link w:val="13"/>
    <w:semiHidden/>
    <w:qFormat/>
    <w:uiPriority w:val="99"/>
    <w:rPr>
      <w:kern w:val="2"/>
      <w:sz w:val="16"/>
      <w:szCs w:val="16"/>
    </w:rPr>
  </w:style>
  <w:style w:type="character" w:customStyle="1" w:styleId="50">
    <w:name w:val="正文文本 Char1"/>
    <w:link w:val="14"/>
    <w:qFormat/>
    <w:uiPriority w:val="0"/>
    <w:rPr>
      <w:rFonts w:ascii="Times New Roman" w:hAnsi="Times New Roman"/>
      <w:kern w:val="2"/>
      <w:sz w:val="21"/>
      <w:szCs w:val="24"/>
    </w:rPr>
  </w:style>
  <w:style w:type="character" w:customStyle="1" w:styleId="51">
    <w:name w:val="正文文本缩进 Char"/>
    <w:link w:val="15"/>
    <w:qFormat/>
    <w:uiPriority w:val="0"/>
    <w:rPr>
      <w:rFonts w:ascii="仿宋_GB2312" w:hAnsi="Times New Roman" w:eastAsia="仿宋_GB2312" w:cs="Times New Roman"/>
      <w:sz w:val="32"/>
      <w:szCs w:val="20"/>
    </w:rPr>
  </w:style>
  <w:style w:type="character" w:customStyle="1" w:styleId="52">
    <w:name w:val="日期 Char"/>
    <w:link w:val="20"/>
    <w:semiHidden/>
    <w:qFormat/>
    <w:uiPriority w:val="99"/>
    <w:rPr>
      <w:rFonts w:ascii="Times New Roman" w:hAnsi="Times New Roman"/>
      <w:kern w:val="2"/>
      <w:sz w:val="21"/>
      <w:szCs w:val="24"/>
    </w:rPr>
  </w:style>
  <w:style w:type="character" w:customStyle="1" w:styleId="53">
    <w:name w:val="页脚 Char"/>
    <w:link w:val="22"/>
    <w:qFormat/>
    <w:uiPriority w:val="99"/>
    <w:rPr>
      <w:sz w:val="18"/>
      <w:szCs w:val="18"/>
    </w:rPr>
  </w:style>
  <w:style w:type="character" w:customStyle="1" w:styleId="54">
    <w:name w:val="页眉 Char"/>
    <w:link w:val="24"/>
    <w:autoRedefine/>
    <w:qFormat/>
    <w:uiPriority w:val="99"/>
    <w:rPr>
      <w:sz w:val="18"/>
      <w:szCs w:val="18"/>
    </w:rPr>
  </w:style>
  <w:style w:type="character" w:customStyle="1" w:styleId="55">
    <w:name w:val="HTML 预设格式 Char"/>
    <w:link w:val="27"/>
    <w:autoRedefine/>
    <w:qFormat/>
    <w:uiPriority w:val="0"/>
    <w:rPr>
      <w:rFonts w:ascii="宋体" w:hAnsi="宋体"/>
      <w:sz w:val="24"/>
      <w:szCs w:val="24"/>
    </w:rPr>
  </w:style>
  <w:style w:type="character" w:customStyle="1" w:styleId="56">
    <w:name w:val="批注主题 Char"/>
    <w:link w:val="30"/>
    <w:autoRedefine/>
    <w:qFormat/>
    <w:uiPriority w:val="99"/>
    <w:rPr>
      <w:rFonts w:ascii="Times New Roman" w:hAnsi="Times New Roman"/>
      <w:b/>
      <w:bCs/>
      <w:kern w:val="2"/>
      <w:sz w:val="21"/>
      <w:szCs w:val="24"/>
    </w:rPr>
  </w:style>
  <w:style w:type="character" w:customStyle="1" w:styleId="57">
    <w:name w:val="标题 1 字符1"/>
    <w:autoRedefine/>
    <w:qFormat/>
    <w:uiPriority w:val="0"/>
    <w:rPr>
      <w:b/>
      <w:bCs/>
      <w:kern w:val="44"/>
      <w:sz w:val="44"/>
      <w:szCs w:val="44"/>
    </w:rPr>
  </w:style>
  <w:style w:type="character" w:customStyle="1" w:styleId="58">
    <w:name w:val="textcontents"/>
    <w:autoRedefine/>
    <w:qFormat/>
    <w:uiPriority w:val="0"/>
  </w:style>
  <w:style w:type="character" w:customStyle="1" w:styleId="59">
    <w:name w:val="批注文字 Char"/>
    <w:autoRedefine/>
    <w:qFormat/>
    <w:uiPriority w:val="0"/>
    <w:rPr>
      <w:rFonts w:ascii="Times New Roman" w:hAnsi="Times New Roman"/>
      <w:kern w:val="2"/>
      <w:sz w:val="21"/>
      <w:szCs w:val="24"/>
    </w:rPr>
  </w:style>
  <w:style w:type="character" w:customStyle="1" w:styleId="60">
    <w:name w:val="纯文本 字符"/>
    <w:autoRedefine/>
    <w:qFormat/>
    <w:uiPriority w:val="0"/>
    <w:rPr>
      <w:rFonts w:ascii="宋体" w:hAnsi="Courier New" w:eastAsia="宋体" w:cs="Courier New"/>
      <w:szCs w:val="21"/>
    </w:rPr>
  </w:style>
  <w:style w:type="character" w:customStyle="1" w:styleId="61">
    <w:name w:val="纯文本 Char"/>
    <w:autoRedefine/>
    <w:qFormat/>
    <w:uiPriority w:val="0"/>
    <w:rPr>
      <w:rFonts w:ascii="宋体" w:hAnsi="Courier New" w:eastAsia="宋体" w:cs="Courier New"/>
      <w:szCs w:val="21"/>
    </w:rPr>
  </w:style>
  <w:style w:type="character" w:customStyle="1" w:styleId="62">
    <w:name w:val="纯文本 字符2"/>
    <w:autoRedefine/>
    <w:qFormat/>
    <w:uiPriority w:val="0"/>
    <w:rPr>
      <w:rFonts w:ascii="宋体" w:hAnsi="Courier New" w:eastAsia="宋体" w:cs="Courier New"/>
      <w:szCs w:val="21"/>
    </w:rPr>
  </w:style>
  <w:style w:type="character" w:customStyle="1" w:styleId="63">
    <w:name w:val="批注文字 字符1"/>
    <w:autoRedefine/>
    <w:qFormat/>
    <w:uiPriority w:val="0"/>
    <w:rPr>
      <w:rFonts w:ascii="Times New Roman" w:hAnsi="Times New Roman"/>
      <w:kern w:val="2"/>
      <w:sz w:val="21"/>
      <w:szCs w:val="24"/>
    </w:rPr>
  </w:style>
  <w:style w:type="character" w:customStyle="1" w:styleId="64">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纯文本 字符1"/>
    <w:autoRedefine/>
    <w:qFormat/>
    <w:uiPriority w:val="0"/>
    <w:rPr>
      <w:rFonts w:ascii="宋体" w:hAnsi="Courier New"/>
    </w:rPr>
  </w:style>
  <w:style w:type="character" w:customStyle="1" w:styleId="66">
    <w:name w:val="正文文本 Char"/>
    <w:autoRedefine/>
    <w:qFormat/>
    <w:uiPriority w:val="0"/>
    <w:rPr>
      <w:rFonts w:ascii="Times New Roman" w:hAnsi="Times New Roman"/>
      <w:kern w:val="2"/>
      <w:sz w:val="21"/>
      <w:szCs w:val="24"/>
    </w:rPr>
  </w:style>
  <w:style w:type="character" w:customStyle="1" w:styleId="67">
    <w:name w:val="批注文字 字符"/>
    <w:autoRedefine/>
    <w:qFormat/>
    <w:uiPriority w:val="0"/>
    <w:rPr>
      <w:rFonts w:ascii="Times New Roman" w:hAnsi="Times New Roman"/>
      <w:kern w:val="2"/>
      <w:sz w:val="21"/>
      <w:szCs w:val="24"/>
    </w:rPr>
  </w:style>
  <w:style w:type="character" w:customStyle="1" w:styleId="68">
    <w:name w:val="标题 2 Char"/>
    <w:autoRedefine/>
    <w:qFormat/>
    <w:uiPriority w:val="9"/>
    <w:rPr>
      <w:rFonts w:ascii="Cambria" w:hAnsi="Cambria" w:eastAsia="宋体" w:cs="Times New Roman"/>
      <w:b/>
      <w:bCs/>
      <w:kern w:val="2"/>
      <w:sz w:val="32"/>
      <w:szCs w:val="32"/>
    </w:rPr>
  </w:style>
  <w:style w:type="character" w:customStyle="1" w:styleId="69">
    <w:name w:val="标题 8 Char"/>
    <w:autoRedefine/>
    <w:qFormat/>
    <w:uiPriority w:val="0"/>
    <w:rPr>
      <w:rFonts w:ascii="Arial" w:hAnsi="Arial" w:eastAsia="黑体"/>
      <w:kern w:val="2"/>
      <w:sz w:val="24"/>
      <w:szCs w:val="24"/>
    </w:rPr>
  </w:style>
  <w:style w:type="character" w:customStyle="1" w:styleId="70">
    <w:name w:val="apple-style-span"/>
    <w:autoRedefine/>
    <w:qFormat/>
    <w:uiPriority w:val="0"/>
  </w:style>
  <w:style w:type="paragraph" w:customStyle="1" w:styleId="71">
    <w:name w:val="默认段落字体 Para Char Char Char Char Char Char Char Char Char1 Char Char Char Char"/>
    <w:basedOn w:val="1"/>
    <w:autoRedefine/>
    <w:qFormat/>
    <w:uiPriority w:val="0"/>
    <w:rPr>
      <w:rFonts w:ascii="Tahoma" w:hAnsi="Tahoma"/>
      <w:sz w:val="24"/>
      <w:szCs w:val="20"/>
    </w:rPr>
  </w:style>
  <w:style w:type="paragraph" w:customStyle="1" w:styleId="72">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73">
    <w:name w:val="List Paragraph"/>
    <w:basedOn w:val="1"/>
    <w:autoRedefine/>
    <w:qFormat/>
    <w:uiPriority w:val="34"/>
    <w:pPr>
      <w:ind w:firstLine="420" w:firstLineChars="200"/>
    </w:pPr>
  </w:style>
  <w:style w:type="paragraph" w:customStyle="1" w:styleId="74">
    <w:name w:val="Table Paragraph"/>
    <w:basedOn w:val="1"/>
    <w:autoRedefine/>
    <w:qFormat/>
    <w:uiPriority w:val="1"/>
    <w:pPr>
      <w:jc w:val="left"/>
    </w:pPr>
    <w:rPr>
      <w:rFonts w:ascii="Calibri" w:hAnsi="Calibri"/>
      <w:kern w:val="0"/>
      <w:sz w:val="22"/>
      <w:szCs w:val="22"/>
      <w:lang w:eastAsia="en-US"/>
    </w:rPr>
  </w:style>
  <w:style w:type="character" w:customStyle="1" w:styleId="75">
    <w:name w:val="正文文本 字符"/>
    <w:autoRedefine/>
    <w:qFormat/>
    <w:uiPriority w:val="0"/>
    <w:rPr>
      <w:rFonts w:ascii="Times New Roman" w:hAnsi="Times New Roman"/>
      <w:kern w:val="2"/>
      <w:sz w:val="21"/>
      <w:szCs w:val="24"/>
    </w:rPr>
  </w:style>
  <w:style w:type="character" w:customStyle="1" w:styleId="76">
    <w:name w:val="font21"/>
    <w:autoRedefine/>
    <w:qFormat/>
    <w:uiPriority w:val="0"/>
    <w:rPr>
      <w:rFonts w:hint="default" w:ascii="Times New Roman" w:hAnsi="Times New Roman" w:cs="Times New Roman"/>
      <w:color w:val="000000"/>
      <w:sz w:val="20"/>
      <w:szCs w:val="20"/>
      <w:u w:val="none"/>
    </w:rPr>
  </w:style>
  <w:style w:type="paragraph" w:customStyle="1" w:styleId="77">
    <w:name w:val="无间隔1"/>
    <w:basedOn w:val="1"/>
    <w:autoRedefine/>
    <w:qFormat/>
    <w:uiPriority w:val="0"/>
    <w:rPr>
      <w:rFonts w:ascii="Calibri" w:hAnsi="Calibri" w:cs="宋体"/>
      <w:szCs w:val="21"/>
    </w:rPr>
  </w:style>
  <w:style w:type="paragraph" w:customStyle="1" w:styleId="78">
    <w:name w:val="_Style 3"/>
    <w:basedOn w:val="1"/>
    <w:autoRedefine/>
    <w:qFormat/>
    <w:uiPriority w:val="0"/>
  </w:style>
  <w:style w:type="character" w:customStyle="1" w:styleId="79">
    <w:name w:val="font01"/>
    <w:basedOn w:val="35"/>
    <w:autoRedefine/>
    <w:qFormat/>
    <w:uiPriority w:val="0"/>
    <w:rPr>
      <w:rFonts w:hint="eastAsia" w:ascii="宋体" w:hAnsi="宋体" w:eastAsia="宋体" w:cs="宋体"/>
      <w:color w:val="000000"/>
      <w:sz w:val="22"/>
      <w:szCs w:val="22"/>
      <w:u w:val="none"/>
    </w:rPr>
  </w:style>
  <w:style w:type="character" w:customStyle="1" w:styleId="80">
    <w:name w:val="font11"/>
    <w:basedOn w:val="35"/>
    <w:autoRedefine/>
    <w:qFormat/>
    <w:uiPriority w:val="0"/>
    <w:rPr>
      <w:rFonts w:hint="eastAsia" w:ascii="宋体" w:hAnsi="宋体" w:eastAsia="宋体" w:cs="宋体"/>
      <w:b/>
      <w:bCs/>
      <w:color w:val="FF0000"/>
      <w:sz w:val="22"/>
      <w:szCs w:val="22"/>
      <w:u w:val="none"/>
    </w:rPr>
  </w:style>
  <w:style w:type="character" w:customStyle="1" w:styleId="81">
    <w:name w:val="font31"/>
    <w:basedOn w:val="35"/>
    <w:autoRedefine/>
    <w:qFormat/>
    <w:uiPriority w:val="0"/>
    <w:rPr>
      <w:rFonts w:hint="eastAsia" w:ascii="宋体" w:hAnsi="宋体" w:eastAsia="宋体" w:cs="宋体"/>
      <w:color w:val="000000"/>
      <w:sz w:val="22"/>
      <w:szCs w:val="22"/>
      <w:u w:val="none"/>
    </w:rPr>
  </w:style>
  <w:style w:type="paragraph" w:customStyle="1" w:styleId="82">
    <w:name w:val="样式 标题 2 + 宋体"/>
    <w:basedOn w:val="4"/>
    <w:qFormat/>
    <w:uiPriority w:val="99"/>
    <w:rPr>
      <w:rFonts w:ascii="宋体" w:hAnsi="宋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62</Pages>
  <Words>13795</Words>
  <Characters>14759</Characters>
  <Lines>450</Lines>
  <Paragraphs>126</Paragraphs>
  <TotalTime>75</TotalTime>
  <ScaleCrop>false</ScaleCrop>
  <LinksUpToDate>false</LinksUpToDate>
  <CharactersWithSpaces>15093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2020-07-13T10:59:00Z</dcterms:created>
  <dc:creator>唐冰</dc:creator>
  <cp:lastModifiedBy>@黎先生</cp:lastModifiedBy>
  <cp:lastPrinted>2026-03-12T02:55:00Z</cp:lastPrinted>
  <dcterms:modified xsi:type="dcterms:W3CDTF">2026-03-13T08:48:12Z</dcterms:modified>
  <dc:title>竞争性谈判文件规范</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30ABB0B0F29C48D6BC3EAFFC278D0D1D</vt:lpwstr>
  </property>
  <property fmtid="{D5CDD505-2E9C-101B-9397-08002B2CF9AE}" pid="4" name="KSOTemplateDocerSaveRecord">
    <vt:lpwstr>eyJoZGlkIjoiMWExMzA5YTMwYjA3YTJhMTVjNmIzMDhlYjJlMWU5Y2YiLCJ1c2VySWQiOiIzMzk0OTM2MjkifQ==</vt:lpwstr>
  </property>
</Properties>
</file>