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9E4BEB">
      <w:pPr>
        <w:snapToGrid w:val="0"/>
        <w:spacing w:before="156" w:beforeLines="50" w:line="360" w:lineRule="auto"/>
        <w:jc w:val="center"/>
        <w:rPr>
          <w:rFonts w:ascii="华文新魏" w:hAnsi="宋体" w:eastAsia="华文新魏"/>
          <w:color w:val="auto"/>
          <w:sz w:val="72"/>
          <w:szCs w:val="72"/>
          <w:highlight w:val="none"/>
        </w:rPr>
      </w:pPr>
      <w:r>
        <w:rPr>
          <w:rFonts w:hint="eastAsia" w:ascii="华文新魏" w:hAnsi="宋体" w:eastAsia="华文新魏"/>
          <w:color w:val="auto"/>
          <w:sz w:val="72"/>
          <w:szCs w:val="72"/>
          <w:highlight w:val="none"/>
        </w:rPr>
        <w:drawing>
          <wp:anchor distT="0" distB="0" distL="114300" distR="114300" simplePos="0" relativeHeight="251659264" behindDoc="0" locked="0" layoutInCell="1" allowOverlap="1">
            <wp:simplePos x="0" y="0"/>
            <wp:positionH relativeFrom="column">
              <wp:posOffset>-234315</wp:posOffset>
            </wp:positionH>
            <wp:positionV relativeFrom="paragraph">
              <wp:posOffset>315595</wp:posOffset>
            </wp:positionV>
            <wp:extent cx="6305550" cy="1224915"/>
            <wp:effectExtent l="0" t="0" r="0" b="13335"/>
            <wp:wrapNone/>
            <wp:docPr id="1" name="图片 4" descr="画板 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画板 2_00"/>
                    <pic:cNvPicPr>
                      <a:picLocks noChangeAspect="1"/>
                    </pic:cNvPicPr>
                  </pic:nvPicPr>
                  <pic:blipFill>
                    <a:blip r:embed="rId12"/>
                    <a:stretch>
                      <a:fillRect/>
                    </a:stretch>
                  </pic:blipFill>
                  <pic:spPr>
                    <a:xfrm>
                      <a:off x="0" y="0"/>
                      <a:ext cx="6305550" cy="1224915"/>
                    </a:xfrm>
                    <a:prstGeom prst="rect">
                      <a:avLst/>
                    </a:prstGeom>
                    <a:noFill/>
                    <a:ln>
                      <a:noFill/>
                    </a:ln>
                  </pic:spPr>
                </pic:pic>
              </a:graphicData>
            </a:graphic>
          </wp:anchor>
        </w:drawing>
      </w:r>
    </w:p>
    <w:p w14:paraId="22DC645F">
      <w:pPr>
        <w:snapToGrid w:val="0"/>
        <w:spacing w:before="156" w:beforeLines="50" w:line="360" w:lineRule="auto"/>
        <w:jc w:val="center"/>
        <w:rPr>
          <w:rFonts w:ascii="华文新魏" w:hAnsi="宋体" w:eastAsia="华文新魏"/>
          <w:color w:val="auto"/>
          <w:sz w:val="72"/>
          <w:szCs w:val="72"/>
          <w:highlight w:val="none"/>
        </w:rPr>
      </w:pPr>
    </w:p>
    <w:p w14:paraId="39411273">
      <w:pPr>
        <w:snapToGrid w:val="0"/>
        <w:spacing w:before="156" w:beforeLines="50" w:line="360" w:lineRule="auto"/>
        <w:jc w:val="center"/>
        <w:rPr>
          <w:rFonts w:ascii="华文新魏" w:hAnsi="宋体" w:eastAsia="华文新魏"/>
          <w:color w:val="auto"/>
          <w:sz w:val="120"/>
          <w:szCs w:val="120"/>
          <w:highlight w:val="none"/>
        </w:rPr>
      </w:pPr>
      <w:r>
        <w:rPr>
          <w:rFonts w:hint="eastAsia" w:ascii="华文新魏" w:hAnsi="宋体" w:eastAsia="华文新魏"/>
          <w:color w:val="auto"/>
          <w:sz w:val="72"/>
          <w:szCs w:val="72"/>
          <w:highlight w:val="none"/>
        </w:rPr>
        <w:t>竞争性磋商文件</w:t>
      </w:r>
    </w:p>
    <w:p w14:paraId="7A0F8B19">
      <w:pPr>
        <w:snapToGrid w:val="0"/>
        <w:spacing w:before="156" w:beforeLines="50" w:line="360" w:lineRule="auto"/>
        <w:jc w:val="center"/>
        <w:rPr>
          <w:rFonts w:ascii="仿宋_GB2312" w:hAnsi="宋体" w:eastAsia="仿宋_GB2312"/>
          <w:b/>
          <w:color w:val="auto"/>
          <w:sz w:val="48"/>
          <w:szCs w:val="48"/>
          <w:highlight w:val="none"/>
        </w:rPr>
      </w:pPr>
      <w:r>
        <w:rPr>
          <w:rFonts w:hint="eastAsia" w:ascii="仿宋_GB2312" w:hAnsi="宋体" w:eastAsia="仿宋_GB2312"/>
          <w:b/>
          <w:color w:val="auto"/>
          <w:sz w:val="48"/>
          <w:szCs w:val="48"/>
          <w:highlight w:val="none"/>
        </w:rPr>
        <w:t>（全流程电子化采购）</w:t>
      </w:r>
    </w:p>
    <w:p w14:paraId="4CAC962C">
      <w:pPr>
        <w:snapToGrid w:val="0"/>
        <w:spacing w:before="156" w:beforeLines="50" w:line="360" w:lineRule="auto"/>
        <w:jc w:val="center"/>
        <w:rPr>
          <w:rFonts w:ascii="仿宋_GB2312" w:hAnsi="宋体" w:eastAsia="仿宋_GB2312"/>
          <w:b/>
          <w:color w:val="auto"/>
          <w:sz w:val="48"/>
          <w:szCs w:val="48"/>
          <w:highlight w:val="none"/>
        </w:rPr>
      </w:pPr>
    </w:p>
    <w:p w14:paraId="092369E5">
      <w:pPr>
        <w:snapToGrid w:val="0"/>
        <w:spacing w:before="156" w:beforeLines="50" w:line="360" w:lineRule="auto"/>
        <w:jc w:val="center"/>
        <w:rPr>
          <w:rFonts w:ascii="仿宋_GB2312" w:hAnsi="宋体" w:eastAsia="仿宋_GB2312"/>
          <w:b/>
          <w:color w:val="auto"/>
          <w:sz w:val="48"/>
          <w:szCs w:val="48"/>
          <w:highlight w:val="none"/>
        </w:rPr>
      </w:pPr>
    </w:p>
    <w:p w14:paraId="1BDCAB77">
      <w:pPr>
        <w:pStyle w:val="16"/>
        <w:snapToGrid w:val="0"/>
        <w:spacing w:line="360" w:lineRule="auto"/>
        <w:ind w:firstLine="1193" w:firstLineChars="396"/>
        <w:rPr>
          <w:rFonts w:ascii="仿宋_GB2312" w:hAnsi="宋体" w:eastAsia="仿宋_GB2312"/>
          <w:b/>
          <w:bCs/>
          <w:color w:val="auto"/>
          <w:sz w:val="30"/>
          <w:szCs w:val="30"/>
          <w:highlight w:val="none"/>
        </w:rPr>
      </w:pPr>
    </w:p>
    <w:p w14:paraId="2A43CEC6">
      <w:pPr>
        <w:pStyle w:val="16"/>
        <w:snapToGrid w:val="0"/>
        <w:spacing w:line="360" w:lineRule="auto"/>
        <w:ind w:left="2401" w:leftChars="568" w:hanging="1208" w:hangingChars="401"/>
        <w:rPr>
          <w:rFonts w:ascii="仿宋_GB2312" w:hAnsi="宋体" w:eastAsia="仿宋_GB2312"/>
          <w:b/>
          <w:bCs/>
          <w:color w:val="auto"/>
          <w:sz w:val="30"/>
          <w:szCs w:val="30"/>
          <w:highlight w:val="none"/>
        </w:rPr>
      </w:pPr>
      <w:r>
        <w:rPr>
          <w:rFonts w:hint="eastAsia" w:ascii="仿宋_GB2312" w:hAnsi="宋体" w:eastAsia="仿宋_GB2312"/>
          <w:b/>
          <w:bCs/>
          <w:color w:val="auto"/>
          <w:sz w:val="30"/>
          <w:szCs w:val="30"/>
          <w:highlight w:val="none"/>
        </w:rPr>
        <w:t>项目</w:t>
      </w:r>
      <w:r>
        <w:rPr>
          <w:rFonts w:hint="eastAsia" w:ascii="仿宋_GB2312" w:hAnsi="宋体" w:eastAsia="仿宋_GB2312" w:cs="Courier New"/>
          <w:b/>
          <w:bCs/>
          <w:color w:val="auto"/>
          <w:w w:val="95"/>
          <w:sz w:val="30"/>
          <w:szCs w:val="30"/>
          <w:highlight w:val="none"/>
        </w:rPr>
        <w:t>名称</w:t>
      </w:r>
      <w:r>
        <w:rPr>
          <w:rFonts w:hint="eastAsia" w:ascii="仿宋_GB2312" w:hAnsi="宋体" w:eastAsia="仿宋_GB2312"/>
          <w:b/>
          <w:bCs/>
          <w:color w:val="auto"/>
          <w:sz w:val="30"/>
          <w:szCs w:val="30"/>
          <w:highlight w:val="none"/>
        </w:rPr>
        <w:t>：广西国土空间规划实施监测网络建设试点项目</w:t>
      </w:r>
    </w:p>
    <w:p w14:paraId="68A4E2A3">
      <w:pPr>
        <w:snapToGrid w:val="0"/>
        <w:spacing w:line="360" w:lineRule="auto"/>
        <w:ind w:firstLine="1145" w:firstLineChars="400"/>
        <w:rPr>
          <w:rFonts w:hint="eastAsia" w:ascii="仿宋_GB2312" w:hAnsi="宋体" w:eastAsia="仿宋_GB2312"/>
          <w:color w:val="auto"/>
          <w:sz w:val="30"/>
          <w:szCs w:val="72"/>
          <w:highlight w:val="none"/>
          <w:lang w:eastAsia="zh-CN"/>
        </w:rPr>
      </w:pPr>
      <w:r>
        <w:rPr>
          <w:rFonts w:hint="eastAsia" w:ascii="仿宋_GB2312" w:hAnsi="宋体" w:eastAsia="仿宋_GB2312" w:cs="Courier New"/>
          <w:b/>
          <w:bCs/>
          <w:color w:val="auto"/>
          <w:w w:val="95"/>
          <w:sz w:val="30"/>
          <w:szCs w:val="30"/>
          <w:highlight w:val="none"/>
        </w:rPr>
        <w:t>项目</w:t>
      </w:r>
      <w:r>
        <w:rPr>
          <w:rFonts w:hint="eastAsia" w:ascii="仿宋_GB2312" w:hAnsi="宋体" w:eastAsia="仿宋_GB2312"/>
          <w:b/>
          <w:bCs/>
          <w:color w:val="auto"/>
          <w:sz w:val="30"/>
          <w:szCs w:val="30"/>
          <w:highlight w:val="none"/>
        </w:rPr>
        <w:t>编号</w:t>
      </w:r>
      <w:r>
        <w:rPr>
          <w:rFonts w:hint="eastAsia" w:ascii="仿宋_GB2312" w:hAnsi="宋体" w:eastAsia="仿宋_GB2312" w:cs="Courier New"/>
          <w:b/>
          <w:bCs/>
          <w:color w:val="auto"/>
          <w:w w:val="95"/>
          <w:sz w:val="30"/>
          <w:szCs w:val="30"/>
          <w:highlight w:val="none"/>
        </w:rPr>
        <w:t>：</w:t>
      </w:r>
      <w:r>
        <w:rPr>
          <w:rFonts w:hint="eastAsia" w:ascii="宋体" w:hAnsi="宋体" w:eastAsia="仿宋_GB2312" w:cs="宋体"/>
          <w:b/>
          <w:bCs/>
          <w:color w:val="auto"/>
          <w:w w:val="95"/>
          <w:sz w:val="30"/>
          <w:szCs w:val="30"/>
          <w:highlight w:val="none"/>
          <w:lang w:eastAsia="zh-CN"/>
        </w:rPr>
        <w:t>GXZC2025-C3-003900-ZXXM</w:t>
      </w:r>
    </w:p>
    <w:p w14:paraId="08529291">
      <w:pPr>
        <w:pStyle w:val="16"/>
        <w:snapToGrid w:val="0"/>
        <w:spacing w:line="360" w:lineRule="auto"/>
        <w:ind w:firstLine="1125" w:firstLineChars="393"/>
        <w:rPr>
          <w:rFonts w:ascii="仿宋_GB2312" w:hAnsi="宋体" w:eastAsia="仿宋_GB2312"/>
          <w:b/>
          <w:bCs/>
          <w:color w:val="auto"/>
          <w:w w:val="95"/>
          <w:sz w:val="30"/>
          <w:szCs w:val="30"/>
          <w:highlight w:val="none"/>
        </w:rPr>
      </w:pPr>
    </w:p>
    <w:p w14:paraId="5DEDE0C2">
      <w:pPr>
        <w:pStyle w:val="16"/>
        <w:snapToGrid w:val="0"/>
        <w:spacing w:line="360" w:lineRule="auto"/>
        <w:ind w:firstLine="1125" w:firstLineChars="393"/>
        <w:rPr>
          <w:rFonts w:ascii="仿宋_GB2312" w:hAnsi="宋体" w:eastAsia="仿宋_GB2312"/>
          <w:b/>
          <w:bCs/>
          <w:color w:val="auto"/>
          <w:w w:val="95"/>
          <w:sz w:val="30"/>
          <w:szCs w:val="30"/>
          <w:highlight w:val="none"/>
        </w:rPr>
      </w:pPr>
      <w:r>
        <w:rPr>
          <w:rFonts w:hint="eastAsia" w:ascii="仿宋_GB2312" w:hAnsi="宋体" w:eastAsia="仿宋_GB2312"/>
          <w:b/>
          <w:bCs/>
          <w:color w:val="auto"/>
          <w:w w:val="95"/>
          <w:sz w:val="30"/>
          <w:szCs w:val="30"/>
          <w:highlight w:val="none"/>
        </w:rPr>
        <w:t>采 购 人：广西壮族自治区自然资源厅</w:t>
      </w:r>
    </w:p>
    <w:p w14:paraId="563A2F2B">
      <w:pPr>
        <w:pStyle w:val="16"/>
        <w:snapToGrid w:val="0"/>
        <w:spacing w:line="360" w:lineRule="auto"/>
        <w:ind w:firstLine="1125" w:firstLineChars="393"/>
        <w:rPr>
          <w:rFonts w:ascii="仿宋_GB2312" w:hAnsi="宋体" w:eastAsia="仿宋_GB2312"/>
          <w:b/>
          <w:bCs/>
          <w:color w:val="auto"/>
          <w:w w:val="95"/>
          <w:sz w:val="30"/>
          <w:szCs w:val="30"/>
          <w:highlight w:val="none"/>
        </w:rPr>
      </w:pPr>
      <w:r>
        <w:rPr>
          <w:rFonts w:hint="eastAsia" w:ascii="仿宋_GB2312" w:hAnsi="宋体" w:eastAsia="仿宋_GB2312"/>
          <w:b/>
          <w:bCs/>
          <w:color w:val="auto"/>
          <w:w w:val="95"/>
          <w:sz w:val="30"/>
          <w:szCs w:val="30"/>
          <w:highlight w:val="none"/>
        </w:rPr>
        <w:t>采购代理机构：广西众鑫工程项目管理有限公司</w:t>
      </w:r>
    </w:p>
    <w:p w14:paraId="08A83C89">
      <w:pPr>
        <w:spacing w:line="360" w:lineRule="auto"/>
        <w:jc w:val="center"/>
        <w:rPr>
          <w:rFonts w:ascii="宋体" w:hAnsi="宋体"/>
          <w:b/>
          <w:color w:val="auto"/>
          <w:sz w:val="44"/>
          <w:szCs w:val="44"/>
          <w:highlight w:val="none"/>
        </w:rPr>
      </w:pPr>
      <w:r>
        <w:rPr>
          <w:rFonts w:hint="eastAsia" w:ascii="仿宋_GB2312" w:hAnsi="宋体" w:eastAsia="仿宋_GB2312"/>
          <w:b/>
          <w:bCs/>
          <w:color w:val="auto"/>
          <w:w w:val="95"/>
          <w:sz w:val="30"/>
          <w:szCs w:val="30"/>
          <w:highlight w:val="none"/>
        </w:rPr>
        <w:t>2025年12月</w:t>
      </w:r>
      <w:r>
        <w:rPr>
          <w:rFonts w:hint="eastAsia" w:ascii="仿宋_GB2312" w:hAnsi="宋体" w:eastAsia="仿宋_GB2312"/>
          <w:b/>
          <w:bCs/>
          <w:color w:val="auto"/>
          <w:w w:val="95"/>
          <w:sz w:val="30"/>
          <w:szCs w:val="30"/>
          <w:highlight w:val="none"/>
          <w:lang w:val="en-US" w:eastAsia="zh-CN"/>
        </w:rPr>
        <w:t>15</w:t>
      </w:r>
      <w:r>
        <w:rPr>
          <w:rFonts w:hint="eastAsia" w:ascii="仿宋_GB2312" w:hAnsi="宋体" w:eastAsia="仿宋_GB2312"/>
          <w:b/>
          <w:bCs/>
          <w:color w:val="auto"/>
          <w:w w:val="95"/>
          <w:sz w:val="30"/>
          <w:szCs w:val="30"/>
          <w:highlight w:val="none"/>
        </w:rPr>
        <w:t>日</w:t>
      </w:r>
      <w:r>
        <w:rPr>
          <w:rFonts w:ascii="宋体" w:hAnsi="宋体"/>
          <w:b/>
          <w:color w:val="auto"/>
          <w:sz w:val="44"/>
          <w:szCs w:val="44"/>
          <w:highlight w:val="none"/>
        </w:rPr>
        <w:br w:type="page"/>
      </w:r>
      <w:r>
        <w:rPr>
          <w:rFonts w:hint="eastAsia" w:ascii="宋体" w:hAnsi="宋体"/>
          <w:b/>
          <w:color w:val="auto"/>
          <w:sz w:val="44"/>
          <w:szCs w:val="44"/>
          <w:highlight w:val="none"/>
        </w:rPr>
        <w:t>目  录</w:t>
      </w:r>
    </w:p>
    <w:p w14:paraId="2846F577">
      <w:pPr>
        <w:spacing w:line="400" w:lineRule="exact"/>
        <w:jc w:val="center"/>
        <w:rPr>
          <w:rFonts w:ascii="宋体" w:hAnsi="宋体"/>
          <w:b/>
          <w:color w:val="auto"/>
          <w:sz w:val="44"/>
          <w:szCs w:val="44"/>
          <w:highlight w:val="none"/>
        </w:rPr>
      </w:pPr>
    </w:p>
    <w:p w14:paraId="75654B55">
      <w:pPr>
        <w:pStyle w:val="22"/>
        <w:tabs>
          <w:tab w:val="right" w:leader="dot" w:pos="8869"/>
        </w:tabs>
        <w:snapToGrid w:val="0"/>
        <w:spacing w:line="500" w:lineRule="atLeast"/>
        <w:rPr>
          <w:rFonts w:ascii="宋体" w:hAnsi="宋体"/>
          <w:b/>
          <w:color w:val="auto"/>
          <w:sz w:val="24"/>
          <w:highlight w:val="none"/>
        </w:rPr>
      </w:pPr>
      <w:r>
        <w:rPr>
          <w:rFonts w:ascii="宋体" w:hAnsi="宋体"/>
          <w:b/>
          <w:color w:val="auto"/>
          <w:sz w:val="24"/>
          <w:highlight w:val="none"/>
        </w:rPr>
        <w:fldChar w:fldCharType="begin"/>
      </w:r>
      <w:r>
        <w:rPr>
          <w:rFonts w:ascii="宋体" w:hAnsi="宋体"/>
          <w:b/>
          <w:color w:val="auto"/>
          <w:sz w:val="24"/>
          <w:highlight w:val="none"/>
        </w:rPr>
        <w:instrText xml:space="preserve"> </w:instrText>
      </w:r>
      <w:r>
        <w:rPr>
          <w:rFonts w:hint="eastAsia" w:ascii="宋体" w:hAnsi="宋体"/>
          <w:b/>
          <w:color w:val="auto"/>
          <w:sz w:val="24"/>
          <w:highlight w:val="none"/>
        </w:rPr>
        <w:instrText xml:space="preserve">TOC \o "1-3" \h \z \u</w:instrText>
      </w:r>
      <w:r>
        <w:rPr>
          <w:rFonts w:ascii="宋体" w:hAnsi="宋体"/>
          <w:b/>
          <w:color w:val="auto"/>
          <w:sz w:val="24"/>
          <w:highlight w:val="none"/>
        </w:rPr>
        <w:instrText xml:space="preserve"> </w:instrText>
      </w:r>
      <w:r>
        <w:rPr>
          <w:rFonts w:ascii="宋体" w:hAnsi="宋体"/>
          <w:b/>
          <w:color w:val="auto"/>
          <w:sz w:val="24"/>
          <w:highlight w:val="none"/>
        </w:rPr>
        <w:fldChar w:fldCharType="separate"/>
      </w:r>
      <w:r>
        <w:rPr>
          <w:color w:val="auto"/>
          <w:highlight w:val="none"/>
        </w:rPr>
        <w:fldChar w:fldCharType="begin"/>
      </w:r>
      <w:r>
        <w:rPr>
          <w:color w:val="auto"/>
          <w:highlight w:val="none"/>
        </w:rPr>
        <w:instrText xml:space="preserve"> HYPERLINK \l "_Toc74323456" </w:instrText>
      </w:r>
      <w:r>
        <w:rPr>
          <w:color w:val="auto"/>
          <w:highlight w:val="none"/>
        </w:rPr>
        <w:fldChar w:fldCharType="separate"/>
      </w:r>
      <w:r>
        <w:rPr>
          <w:rStyle w:val="31"/>
          <w:rFonts w:hint="eastAsia" w:ascii="宋体" w:hAnsi="宋体"/>
          <w:b/>
          <w:color w:val="auto"/>
          <w:sz w:val="24"/>
          <w:highlight w:val="none"/>
        </w:rPr>
        <w:t>第一章</w:t>
      </w:r>
      <w:r>
        <w:rPr>
          <w:rStyle w:val="31"/>
          <w:rFonts w:ascii="宋体" w:hAnsi="宋体"/>
          <w:b/>
          <w:color w:val="auto"/>
          <w:sz w:val="24"/>
          <w:highlight w:val="none"/>
        </w:rPr>
        <w:t xml:space="preserve"> </w:t>
      </w:r>
      <w:r>
        <w:rPr>
          <w:rStyle w:val="31"/>
          <w:rFonts w:hint="eastAsia" w:ascii="宋体" w:hAnsi="宋体"/>
          <w:b/>
          <w:color w:val="auto"/>
          <w:sz w:val="24"/>
          <w:highlight w:val="none"/>
        </w:rPr>
        <w:t>竞争性磋商公告</w:t>
      </w:r>
      <w:r>
        <w:rPr>
          <w:rFonts w:ascii="宋体" w:hAnsi="宋体"/>
          <w:b/>
          <w:color w:val="auto"/>
          <w:sz w:val="24"/>
          <w:highlight w:val="none"/>
        </w:rPr>
        <w:tab/>
      </w:r>
      <w:r>
        <w:rPr>
          <w:rFonts w:ascii="宋体" w:hAnsi="宋体"/>
          <w:b/>
          <w:color w:val="auto"/>
          <w:sz w:val="24"/>
          <w:highlight w:val="none"/>
        </w:rPr>
        <w:fldChar w:fldCharType="begin"/>
      </w:r>
      <w:r>
        <w:rPr>
          <w:rFonts w:ascii="宋体" w:hAnsi="宋体"/>
          <w:b/>
          <w:color w:val="auto"/>
          <w:sz w:val="24"/>
          <w:highlight w:val="none"/>
        </w:rPr>
        <w:instrText xml:space="preserve"> PAGEREF _Toc74323456 \h </w:instrText>
      </w:r>
      <w:r>
        <w:rPr>
          <w:rFonts w:ascii="宋体" w:hAnsi="宋体"/>
          <w:b/>
          <w:color w:val="auto"/>
          <w:sz w:val="24"/>
          <w:highlight w:val="none"/>
        </w:rPr>
        <w:fldChar w:fldCharType="separate"/>
      </w:r>
      <w:r>
        <w:rPr>
          <w:rFonts w:ascii="宋体" w:hAnsi="宋体"/>
          <w:b/>
          <w:color w:val="auto"/>
          <w:sz w:val="24"/>
          <w:highlight w:val="none"/>
        </w:rPr>
        <w:t>1</w:t>
      </w:r>
      <w:r>
        <w:rPr>
          <w:rFonts w:ascii="宋体" w:hAnsi="宋体"/>
          <w:b/>
          <w:color w:val="auto"/>
          <w:sz w:val="24"/>
          <w:highlight w:val="none"/>
        </w:rPr>
        <w:fldChar w:fldCharType="end"/>
      </w:r>
      <w:r>
        <w:rPr>
          <w:rFonts w:ascii="宋体" w:hAnsi="宋体"/>
          <w:b/>
          <w:color w:val="auto"/>
          <w:sz w:val="24"/>
          <w:highlight w:val="none"/>
        </w:rPr>
        <w:fldChar w:fldCharType="end"/>
      </w:r>
    </w:p>
    <w:p w14:paraId="49F9F30E">
      <w:pPr>
        <w:pStyle w:val="22"/>
        <w:tabs>
          <w:tab w:val="right" w:leader="dot" w:pos="8869"/>
        </w:tabs>
        <w:snapToGrid w:val="0"/>
        <w:spacing w:line="500" w:lineRule="atLeast"/>
        <w:rPr>
          <w:rFonts w:ascii="宋体" w:hAnsi="宋体"/>
          <w:b/>
          <w:color w:val="auto"/>
          <w:sz w:val="24"/>
          <w:highlight w:val="none"/>
        </w:rPr>
      </w:pPr>
      <w:r>
        <w:rPr>
          <w:color w:val="auto"/>
          <w:highlight w:val="none"/>
        </w:rPr>
        <w:fldChar w:fldCharType="begin"/>
      </w:r>
      <w:r>
        <w:rPr>
          <w:color w:val="auto"/>
          <w:highlight w:val="none"/>
        </w:rPr>
        <w:instrText xml:space="preserve"> HYPERLINK \l "_Toc74323457" </w:instrText>
      </w:r>
      <w:r>
        <w:rPr>
          <w:color w:val="auto"/>
          <w:highlight w:val="none"/>
        </w:rPr>
        <w:fldChar w:fldCharType="separate"/>
      </w:r>
      <w:r>
        <w:rPr>
          <w:rStyle w:val="31"/>
          <w:rFonts w:hint="eastAsia" w:ascii="宋体" w:hAnsi="宋体"/>
          <w:b/>
          <w:color w:val="auto"/>
          <w:sz w:val="24"/>
          <w:highlight w:val="none"/>
        </w:rPr>
        <w:t>第二章</w:t>
      </w:r>
      <w:r>
        <w:rPr>
          <w:rStyle w:val="31"/>
          <w:rFonts w:ascii="宋体" w:hAnsi="宋体"/>
          <w:b/>
          <w:color w:val="auto"/>
          <w:sz w:val="24"/>
          <w:highlight w:val="none"/>
        </w:rPr>
        <w:t xml:space="preserve"> </w:t>
      </w:r>
      <w:r>
        <w:rPr>
          <w:rStyle w:val="31"/>
          <w:rFonts w:hint="eastAsia" w:ascii="宋体" w:hAnsi="宋体"/>
          <w:b/>
          <w:color w:val="auto"/>
          <w:sz w:val="24"/>
          <w:highlight w:val="none"/>
        </w:rPr>
        <w:t>供应</w:t>
      </w:r>
      <w:bookmarkStart w:id="0" w:name="_Hlt82161237"/>
      <w:r>
        <w:rPr>
          <w:rStyle w:val="31"/>
          <w:rFonts w:hint="eastAsia" w:ascii="宋体" w:hAnsi="宋体"/>
          <w:b/>
          <w:color w:val="auto"/>
          <w:sz w:val="24"/>
          <w:highlight w:val="none"/>
        </w:rPr>
        <w:t>商</w:t>
      </w:r>
      <w:bookmarkEnd w:id="0"/>
      <w:r>
        <w:rPr>
          <w:rStyle w:val="31"/>
          <w:rFonts w:hint="eastAsia" w:ascii="宋体" w:hAnsi="宋体"/>
          <w:b/>
          <w:color w:val="auto"/>
          <w:sz w:val="24"/>
          <w:highlight w:val="none"/>
        </w:rPr>
        <w:t>须知</w:t>
      </w:r>
      <w:r>
        <w:rPr>
          <w:rFonts w:ascii="宋体" w:hAnsi="宋体"/>
          <w:b/>
          <w:color w:val="auto"/>
          <w:sz w:val="24"/>
          <w:highlight w:val="none"/>
        </w:rPr>
        <w:tab/>
      </w:r>
      <w:r>
        <w:rPr>
          <w:rFonts w:ascii="宋体" w:hAnsi="宋体"/>
          <w:b/>
          <w:color w:val="auto"/>
          <w:sz w:val="24"/>
          <w:highlight w:val="none"/>
        </w:rPr>
        <w:fldChar w:fldCharType="begin"/>
      </w:r>
      <w:r>
        <w:rPr>
          <w:rFonts w:ascii="宋体" w:hAnsi="宋体"/>
          <w:b/>
          <w:color w:val="auto"/>
          <w:sz w:val="24"/>
          <w:highlight w:val="none"/>
        </w:rPr>
        <w:instrText xml:space="preserve"> PAGEREF _Toc74323457 \h </w:instrText>
      </w:r>
      <w:r>
        <w:rPr>
          <w:rFonts w:ascii="宋体" w:hAnsi="宋体"/>
          <w:b/>
          <w:color w:val="auto"/>
          <w:sz w:val="24"/>
          <w:highlight w:val="none"/>
        </w:rPr>
        <w:fldChar w:fldCharType="separate"/>
      </w:r>
      <w:r>
        <w:rPr>
          <w:rFonts w:ascii="宋体" w:hAnsi="宋体"/>
          <w:b/>
          <w:color w:val="auto"/>
          <w:sz w:val="24"/>
          <w:highlight w:val="none"/>
        </w:rPr>
        <w:t>4</w:t>
      </w:r>
      <w:r>
        <w:rPr>
          <w:rFonts w:ascii="宋体" w:hAnsi="宋体"/>
          <w:b/>
          <w:color w:val="auto"/>
          <w:sz w:val="24"/>
          <w:highlight w:val="none"/>
        </w:rPr>
        <w:fldChar w:fldCharType="end"/>
      </w:r>
      <w:r>
        <w:rPr>
          <w:rFonts w:ascii="宋体" w:hAnsi="宋体"/>
          <w:b/>
          <w:color w:val="auto"/>
          <w:sz w:val="24"/>
          <w:highlight w:val="none"/>
        </w:rPr>
        <w:fldChar w:fldCharType="end"/>
      </w:r>
    </w:p>
    <w:p w14:paraId="3EB29200">
      <w:pPr>
        <w:pStyle w:val="22"/>
        <w:tabs>
          <w:tab w:val="right" w:leader="dot" w:pos="8869"/>
        </w:tabs>
        <w:snapToGrid w:val="0"/>
        <w:spacing w:line="500" w:lineRule="atLeast"/>
        <w:rPr>
          <w:rFonts w:ascii="宋体" w:hAnsi="宋体"/>
          <w:b/>
          <w:color w:val="auto"/>
          <w:sz w:val="24"/>
          <w:highlight w:val="none"/>
        </w:rPr>
      </w:pPr>
      <w:r>
        <w:rPr>
          <w:color w:val="auto"/>
          <w:highlight w:val="none"/>
        </w:rPr>
        <w:fldChar w:fldCharType="begin"/>
      </w:r>
      <w:r>
        <w:rPr>
          <w:color w:val="auto"/>
          <w:highlight w:val="none"/>
        </w:rPr>
        <w:instrText xml:space="preserve"> HYPERLINK \l "_Toc74323458" </w:instrText>
      </w:r>
      <w:r>
        <w:rPr>
          <w:color w:val="auto"/>
          <w:highlight w:val="none"/>
        </w:rPr>
        <w:fldChar w:fldCharType="separate"/>
      </w:r>
      <w:r>
        <w:rPr>
          <w:rStyle w:val="31"/>
          <w:rFonts w:hint="eastAsia" w:ascii="宋体" w:hAnsi="宋体"/>
          <w:b/>
          <w:color w:val="auto"/>
          <w:sz w:val="24"/>
          <w:highlight w:val="none"/>
        </w:rPr>
        <w:t>第三章</w:t>
      </w:r>
      <w:r>
        <w:rPr>
          <w:rStyle w:val="31"/>
          <w:rFonts w:ascii="宋体" w:hAnsi="宋体"/>
          <w:b/>
          <w:color w:val="auto"/>
          <w:sz w:val="24"/>
          <w:highlight w:val="none"/>
        </w:rPr>
        <w:t xml:space="preserve"> </w:t>
      </w:r>
      <w:r>
        <w:rPr>
          <w:rStyle w:val="31"/>
          <w:rFonts w:hint="eastAsia" w:ascii="宋体" w:hAnsi="宋体"/>
          <w:b/>
          <w:color w:val="auto"/>
          <w:sz w:val="24"/>
          <w:highlight w:val="none"/>
        </w:rPr>
        <w:t>采</w:t>
      </w:r>
      <w:bookmarkStart w:id="1" w:name="_Hlt96537845"/>
      <w:r>
        <w:rPr>
          <w:rStyle w:val="31"/>
          <w:rFonts w:hint="eastAsia" w:ascii="宋体" w:hAnsi="宋体"/>
          <w:b/>
          <w:color w:val="auto"/>
          <w:sz w:val="24"/>
          <w:highlight w:val="none"/>
        </w:rPr>
        <w:t>购</w:t>
      </w:r>
      <w:bookmarkEnd w:id="1"/>
      <w:bookmarkStart w:id="2" w:name="_Hlt96536635"/>
      <w:r>
        <w:rPr>
          <w:rStyle w:val="31"/>
          <w:rFonts w:hint="eastAsia" w:ascii="宋体" w:hAnsi="宋体"/>
          <w:b/>
          <w:color w:val="auto"/>
          <w:sz w:val="24"/>
          <w:highlight w:val="none"/>
        </w:rPr>
        <w:t>需</w:t>
      </w:r>
      <w:bookmarkEnd w:id="2"/>
      <w:bookmarkStart w:id="3" w:name="_Hlt82166940"/>
      <w:r>
        <w:rPr>
          <w:rStyle w:val="31"/>
          <w:rFonts w:hint="eastAsia" w:ascii="宋体" w:hAnsi="宋体"/>
          <w:b/>
          <w:color w:val="auto"/>
          <w:sz w:val="24"/>
          <w:highlight w:val="none"/>
        </w:rPr>
        <w:t>求</w:t>
      </w:r>
      <w:bookmarkEnd w:id="3"/>
      <w:bookmarkStart w:id="4" w:name="_Hlt96536627"/>
      <w:bookmarkStart w:id="5" w:name="_Hlt96507423"/>
      <w:bookmarkStart w:id="6" w:name="_Hlt96507424"/>
      <w:r>
        <w:rPr>
          <w:rFonts w:ascii="宋体" w:hAnsi="宋体"/>
          <w:b/>
          <w:color w:val="auto"/>
          <w:sz w:val="24"/>
          <w:highlight w:val="none"/>
        </w:rPr>
        <w:tab/>
      </w:r>
      <w:bookmarkEnd w:id="4"/>
      <w:bookmarkEnd w:id="5"/>
      <w:bookmarkEnd w:id="6"/>
      <w:r>
        <w:rPr>
          <w:rFonts w:hint="eastAsia" w:ascii="宋体" w:hAnsi="宋体"/>
          <w:b/>
          <w:color w:val="auto"/>
          <w:sz w:val="24"/>
          <w:highlight w:val="none"/>
        </w:rPr>
        <w:t>2</w:t>
      </w:r>
      <w:r>
        <w:rPr>
          <w:rFonts w:hint="eastAsia" w:ascii="宋体" w:hAnsi="宋体"/>
          <w:b/>
          <w:color w:val="auto"/>
          <w:sz w:val="24"/>
          <w:highlight w:val="none"/>
        </w:rPr>
        <w:fldChar w:fldCharType="end"/>
      </w:r>
      <w:r>
        <w:rPr>
          <w:rStyle w:val="31"/>
          <w:rFonts w:hint="eastAsia" w:ascii="宋体" w:hAnsi="宋体"/>
          <w:b/>
          <w:color w:val="auto"/>
          <w:sz w:val="24"/>
          <w:highlight w:val="none"/>
        </w:rPr>
        <w:t>5</w:t>
      </w:r>
    </w:p>
    <w:p w14:paraId="2418D5E4">
      <w:pPr>
        <w:pStyle w:val="22"/>
        <w:tabs>
          <w:tab w:val="right" w:leader="dot" w:pos="8869"/>
        </w:tabs>
        <w:snapToGrid w:val="0"/>
        <w:spacing w:line="500" w:lineRule="atLeast"/>
        <w:rPr>
          <w:rFonts w:ascii="宋体" w:hAnsi="宋体"/>
          <w:b/>
          <w:color w:val="auto"/>
          <w:sz w:val="24"/>
          <w:highlight w:val="none"/>
        </w:rPr>
      </w:pPr>
      <w:r>
        <w:rPr>
          <w:color w:val="auto"/>
          <w:highlight w:val="none"/>
        </w:rPr>
        <w:fldChar w:fldCharType="begin"/>
      </w:r>
      <w:r>
        <w:rPr>
          <w:color w:val="auto"/>
          <w:highlight w:val="none"/>
        </w:rPr>
        <w:instrText xml:space="preserve"> HYPERLINK \l "_Toc74323459" </w:instrText>
      </w:r>
      <w:r>
        <w:rPr>
          <w:color w:val="auto"/>
          <w:highlight w:val="none"/>
        </w:rPr>
        <w:fldChar w:fldCharType="separate"/>
      </w:r>
      <w:r>
        <w:rPr>
          <w:rStyle w:val="31"/>
          <w:rFonts w:hint="eastAsia" w:ascii="宋体" w:hAnsi="宋体"/>
          <w:b/>
          <w:color w:val="auto"/>
          <w:sz w:val="24"/>
          <w:highlight w:val="none"/>
        </w:rPr>
        <w:t>第四章</w:t>
      </w:r>
      <w:r>
        <w:rPr>
          <w:rStyle w:val="31"/>
          <w:rFonts w:ascii="宋体" w:hAnsi="宋体"/>
          <w:b/>
          <w:color w:val="auto"/>
          <w:sz w:val="24"/>
          <w:highlight w:val="none"/>
        </w:rPr>
        <w:t xml:space="preserve"> </w:t>
      </w:r>
      <w:r>
        <w:rPr>
          <w:rStyle w:val="31"/>
          <w:rFonts w:hint="eastAsia" w:ascii="宋体" w:hAnsi="宋体"/>
          <w:b/>
          <w:color w:val="auto"/>
          <w:sz w:val="24"/>
          <w:highlight w:val="none"/>
        </w:rPr>
        <w:t>评审</w:t>
      </w:r>
      <w:bookmarkStart w:id="7" w:name="_Hlt96525927"/>
      <w:r>
        <w:rPr>
          <w:rStyle w:val="31"/>
          <w:rFonts w:hint="eastAsia" w:ascii="宋体" w:hAnsi="宋体"/>
          <w:b/>
          <w:color w:val="auto"/>
          <w:sz w:val="24"/>
          <w:highlight w:val="none"/>
        </w:rPr>
        <w:t>程</w:t>
      </w:r>
      <w:bookmarkEnd w:id="7"/>
      <w:r>
        <w:rPr>
          <w:rStyle w:val="31"/>
          <w:rFonts w:hint="eastAsia" w:ascii="宋体" w:hAnsi="宋体"/>
          <w:b/>
          <w:color w:val="auto"/>
          <w:sz w:val="24"/>
          <w:highlight w:val="none"/>
        </w:rPr>
        <w:t>序</w:t>
      </w:r>
      <w:bookmarkStart w:id="8" w:name="_Hlt96537777"/>
      <w:r>
        <w:rPr>
          <w:rStyle w:val="31"/>
          <w:rFonts w:hint="eastAsia" w:ascii="宋体" w:hAnsi="宋体"/>
          <w:b/>
          <w:color w:val="auto"/>
          <w:sz w:val="24"/>
          <w:highlight w:val="none"/>
        </w:rPr>
        <w:t>、</w:t>
      </w:r>
      <w:bookmarkEnd w:id="8"/>
      <w:bookmarkStart w:id="9" w:name="_Hlt82166000"/>
      <w:r>
        <w:rPr>
          <w:rStyle w:val="31"/>
          <w:rFonts w:hint="eastAsia" w:ascii="宋体" w:hAnsi="宋体"/>
          <w:b/>
          <w:color w:val="auto"/>
          <w:sz w:val="24"/>
          <w:highlight w:val="none"/>
        </w:rPr>
        <w:t>评</w:t>
      </w:r>
      <w:bookmarkEnd w:id="9"/>
      <w:bookmarkStart w:id="10" w:name="_Hlt96528815"/>
      <w:r>
        <w:rPr>
          <w:rStyle w:val="31"/>
          <w:rFonts w:hint="eastAsia" w:ascii="宋体" w:hAnsi="宋体"/>
          <w:b/>
          <w:color w:val="auto"/>
          <w:sz w:val="24"/>
          <w:highlight w:val="none"/>
        </w:rPr>
        <w:t>审</w:t>
      </w:r>
      <w:bookmarkEnd w:id="10"/>
      <w:r>
        <w:rPr>
          <w:rStyle w:val="31"/>
          <w:rFonts w:hint="eastAsia" w:ascii="宋体" w:hAnsi="宋体"/>
          <w:b/>
          <w:color w:val="auto"/>
          <w:sz w:val="24"/>
          <w:highlight w:val="none"/>
        </w:rPr>
        <w:t>方法和评审标准</w:t>
      </w:r>
      <w:r>
        <w:rPr>
          <w:rFonts w:ascii="宋体" w:hAnsi="宋体"/>
          <w:b/>
          <w:color w:val="auto"/>
          <w:sz w:val="24"/>
          <w:highlight w:val="none"/>
        </w:rPr>
        <w:tab/>
      </w:r>
      <w:r>
        <w:rPr>
          <w:rFonts w:ascii="宋体" w:hAnsi="宋体"/>
          <w:b/>
          <w:color w:val="auto"/>
          <w:sz w:val="24"/>
          <w:highlight w:val="none"/>
        </w:rPr>
        <w:fldChar w:fldCharType="end"/>
      </w:r>
      <w:r>
        <w:rPr>
          <w:rStyle w:val="31"/>
          <w:rFonts w:hint="eastAsia" w:ascii="宋体" w:hAnsi="宋体"/>
          <w:b/>
          <w:color w:val="auto"/>
          <w:sz w:val="24"/>
          <w:highlight w:val="none"/>
        </w:rPr>
        <w:t>28</w:t>
      </w:r>
    </w:p>
    <w:p w14:paraId="601705AB">
      <w:pPr>
        <w:pStyle w:val="22"/>
        <w:tabs>
          <w:tab w:val="right" w:leader="dot" w:pos="8869"/>
        </w:tabs>
        <w:snapToGrid w:val="0"/>
        <w:spacing w:line="500" w:lineRule="atLeast"/>
        <w:rPr>
          <w:rFonts w:ascii="宋体" w:hAnsi="宋体"/>
          <w:b/>
          <w:color w:val="auto"/>
          <w:sz w:val="24"/>
          <w:highlight w:val="none"/>
        </w:rPr>
      </w:pPr>
      <w:r>
        <w:rPr>
          <w:color w:val="auto"/>
          <w:highlight w:val="none"/>
        </w:rPr>
        <w:fldChar w:fldCharType="begin"/>
      </w:r>
      <w:r>
        <w:rPr>
          <w:color w:val="auto"/>
          <w:highlight w:val="none"/>
        </w:rPr>
        <w:instrText xml:space="preserve"> HYPERLINK \l "_Toc74323460" </w:instrText>
      </w:r>
      <w:r>
        <w:rPr>
          <w:color w:val="auto"/>
          <w:highlight w:val="none"/>
        </w:rPr>
        <w:fldChar w:fldCharType="separate"/>
      </w:r>
      <w:r>
        <w:rPr>
          <w:rStyle w:val="31"/>
          <w:rFonts w:hint="eastAsia" w:ascii="宋体" w:hAnsi="宋体"/>
          <w:b/>
          <w:color w:val="auto"/>
          <w:sz w:val="24"/>
          <w:highlight w:val="none"/>
        </w:rPr>
        <w:t>第五章</w:t>
      </w:r>
      <w:r>
        <w:rPr>
          <w:rStyle w:val="31"/>
          <w:rFonts w:ascii="宋体" w:hAnsi="宋体"/>
          <w:b/>
          <w:color w:val="auto"/>
          <w:sz w:val="24"/>
          <w:highlight w:val="none"/>
        </w:rPr>
        <w:t xml:space="preserve"> </w:t>
      </w:r>
      <w:r>
        <w:rPr>
          <w:rStyle w:val="31"/>
          <w:rFonts w:hint="eastAsia" w:ascii="宋体" w:hAnsi="宋体"/>
          <w:b/>
          <w:color w:val="auto"/>
          <w:sz w:val="24"/>
          <w:highlight w:val="none"/>
        </w:rPr>
        <w:t>响应文件格式</w:t>
      </w:r>
      <w:r>
        <w:rPr>
          <w:rFonts w:ascii="宋体" w:hAnsi="宋体"/>
          <w:b/>
          <w:color w:val="auto"/>
          <w:sz w:val="24"/>
          <w:highlight w:val="none"/>
        </w:rPr>
        <w:tab/>
      </w:r>
      <w:r>
        <w:rPr>
          <w:rFonts w:ascii="宋体" w:hAnsi="宋体"/>
          <w:b/>
          <w:color w:val="auto"/>
          <w:sz w:val="24"/>
          <w:highlight w:val="none"/>
        </w:rPr>
        <w:fldChar w:fldCharType="begin"/>
      </w:r>
      <w:r>
        <w:rPr>
          <w:rFonts w:ascii="宋体" w:hAnsi="宋体"/>
          <w:b/>
          <w:color w:val="auto"/>
          <w:sz w:val="24"/>
          <w:highlight w:val="none"/>
        </w:rPr>
        <w:instrText xml:space="preserve"> PAGEREF _Toc74323460 \h </w:instrText>
      </w:r>
      <w:r>
        <w:rPr>
          <w:rFonts w:ascii="宋体" w:hAnsi="宋体"/>
          <w:b/>
          <w:color w:val="auto"/>
          <w:sz w:val="24"/>
          <w:highlight w:val="none"/>
        </w:rPr>
        <w:fldChar w:fldCharType="separate"/>
      </w:r>
      <w:r>
        <w:rPr>
          <w:rFonts w:ascii="宋体" w:hAnsi="宋体"/>
          <w:b/>
          <w:color w:val="auto"/>
          <w:sz w:val="24"/>
          <w:highlight w:val="none"/>
        </w:rPr>
        <w:t>36</w:t>
      </w:r>
      <w:r>
        <w:rPr>
          <w:rFonts w:ascii="宋体" w:hAnsi="宋体"/>
          <w:b/>
          <w:color w:val="auto"/>
          <w:sz w:val="24"/>
          <w:highlight w:val="none"/>
        </w:rPr>
        <w:fldChar w:fldCharType="end"/>
      </w:r>
      <w:r>
        <w:rPr>
          <w:rFonts w:ascii="宋体" w:hAnsi="宋体"/>
          <w:b/>
          <w:color w:val="auto"/>
          <w:sz w:val="24"/>
          <w:highlight w:val="none"/>
        </w:rPr>
        <w:fldChar w:fldCharType="end"/>
      </w:r>
    </w:p>
    <w:p w14:paraId="5FE0D030">
      <w:pPr>
        <w:pStyle w:val="22"/>
        <w:tabs>
          <w:tab w:val="right" w:leader="dot" w:pos="8869"/>
        </w:tabs>
        <w:snapToGrid w:val="0"/>
        <w:spacing w:line="500" w:lineRule="atLeast"/>
        <w:rPr>
          <w:rFonts w:ascii="宋体" w:hAnsi="宋体"/>
          <w:color w:val="auto"/>
          <w:sz w:val="24"/>
          <w:highlight w:val="none"/>
        </w:rPr>
      </w:pPr>
      <w:r>
        <w:rPr>
          <w:color w:val="auto"/>
          <w:highlight w:val="none"/>
        </w:rPr>
        <w:fldChar w:fldCharType="begin"/>
      </w:r>
      <w:r>
        <w:rPr>
          <w:color w:val="auto"/>
          <w:highlight w:val="none"/>
        </w:rPr>
        <w:instrText xml:space="preserve"> HYPERLINK \l "_Toc74323461" </w:instrText>
      </w:r>
      <w:r>
        <w:rPr>
          <w:color w:val="auto"/>
          <w:highlight w:val="none"/>
        </w:rPr>
        <w:fldChar w:fldCharType="separate"/>
      </w:r>
      <w:r>
        <w:rPr>
          <w:rStyle w:val="31"/>
          <w:rFonts w:hint="eastAsia" w:ascii="宋体" w:hAnsi="宋体"/>
          <w:b/>
          <w:color w:val="auto"/>
          <w:sz w:val="24"/>
          <w:highlight w:val="none"/>
        </w:rPr>
        <w:t>第六章</w:t>
      </w:r>
      <w:r>
        <w:rPr>
          <w:rStyle w:val="31"/>
          <w:rFonts w:ascii="宋体" w:hAnsi="宋体"/>
          <w:b/>
          <w:color w:val="auto"/>
          <w:sz w:val="24"/>
          <w:highlight w:val="none"/>
        </w:rPr>
        <w:t xml:space="preserve"> </w:t>
      </w:r>
      <w:r>
        <w:rPr>
          <w:rStyle w:val="31"/>
          <w:rFonts w:hint="eastAsia" w:ascii="宋体" w:hAnsi="宋体"/>
          <w:b/>
          <w:color w:val="auto"/>
          <w:sz w:val="24"/>
          <w:highlight w:val="none"/>
        </w:rPr>
        <w:t>合同</w:t>
      </w:r>
      <w:bookmarkStart w:id="11" w:name="_Hlt96536638"/>
      <w:r>
        <w:rPr>
          <w:rStyle w:val="31"/>
          <w:rFonts w:hint="eastAsia" w:ascii="宋体" w:hAnsi="宋体"/>
          <w:b/>
          <w:color w:val="auto"/>
          <w:sz w:val="24"/>
          <w:highlight w:val="none"/>
        </w:rPr>
        <w:t>文</w:t>
      </w:r>
      <w:bookmarkEnd w:id="11"/>
      <w:r>
        <w:rPr>
          <w:rStyle w:val="31"/>
          <w:rFonts w:hint="eastAsia" w:ascii="宋体" w:hAnsi="宋体"/>
          <w:b/>
          <w:color w:val="auto"/>
          <w:sz w:val="24"/>
          <w:highlight w:val="none"/>
        </w:rPr>
        <w:t>本</w:t>
      </w:r>
      <w:bookmarkStart w:id="12" w:name="_Hlt96539000"/>
      <w:r>
        <w:rPr>
          <w:rFonts w:ascii="宋体" w:hAnsi="宋体"/>
          <w:b/>
          <w:color w:val="auto"/>
          <w:sz w:val="24"/>
          <w:highlight w:val="none"/>
        </w:rPr>
        <w:tab/>
      </w:r>
      <w:bookmarkEnd w:id="12"/>
      <w:bookmarkStart w:id="13" w:name="_Hlt96537800"/>
      <w:bookmarkStart w:id="14" w:name="_Hlt96537719"/>
      <w:r>
        <w:rPr>
          <w:rFonts w:ascii="宋体" w:hAnsi="宋体"/>
          <w:b/>
          <w:color w:val="auto"/>
          <w:sz w:val="24"/>
          <w:highlight w:val="none"/>
        </w:rPr>
        <w:fldChar w:fldCharType="begin"/>
      </w:r>
      <w:r>
        <w:rPr>
          <w:rFonts w:ascii="宋体" w:hAnsi="宋体"/>
          <w:b/>
          <w:color w:val="auto"/>
          <w:sz w:val="24"/>
          <w:highlight w:val="none"/>
        </w:rPr>
        <w:instrText xml:space="preserve"> PAGEREF _Toc74323461 \h </w:instrText>
      </w:r>
      <w:r>
        <w:rPr>
          <w:rFonts w:ascii="宋体" w:hAnsi="宋体"/>
          <w:b/>
          <w:color w:val="auto"/>
          <w:sz w:val="24"/>
          <w:highlight w:val="none"/>
        </w:rPr>
        <w:fldChar w:fldCharType="separate"/>
      </w:r>
      <w:r>
        <w:rPr>
          <w:rFonts w:ascii="宋体" w:hAnsi="宋体"/>
          <w:b/>
          <w:color w:val="auto"/>
          <w:sz w:val="24"/>
          <w:highlight w:val="none"/>
        </w:rPr>
        <w:t>70</w:t>
      </w:r>
      <w:r>
        <w:rPr>
          <w:rFonts w:ascii="宋体" w:hAnsi="宋体"/>
          <w:b/>
          <w:color w:val="auto"/>
          <w:sz w:val="24"/>
          <w:highlight w:val="none"/>
        </w:rPr>
        <w:fldChar w:fldCharType="end"/>
      </w:r>
      <w:bookmarkEnd w:id="13"/>
      <w:bookmarkEnd w:id="14"/>
      <w:r>
        <w:rPr>
          <w:rFonts w:ascii="宋体" w:hAnsi="宋体"/>
          <w:b/>
          <w:color w:val="auto"/>
          <w:sz w:val="24"/>
          <w:highlight w:val="none"/>
        </w:rPr>
        <w:fldChar w:fldCharType="end"/>
      </w:r>
    </w:p>
    <w:p w14:paraId="5C0CAC66">
      <w:pPr>
        <w:pStyle w:val="23"/>
        <w:tabs>
          <w:tab w:val="right" w:leader="dot" w:pos="8931"/>
          <w:tab w:val="clear" w:pos="8296"/>
        </w:tabs>
        <w:snapToGrid w:val="0"/>
        <w:spacing w:line="500" w:lineRule="atLeast"/>
        <w:ind w:left="0" w:leftChars="0"/>
        <w:rPr>
          <w:rFonts w:ascii="宋体" w:hAnsi="宋体"/>
          <w:b/>
          <w:color w:val="auto"/>
          <w:sz w:val="24"/>
          <w:highlight w:val="none"/>
        </w:rPr>
      </w:pPr>
      <w:r>
        <w:rPr>
          <w:rFonts w:ascii="宋体" w:hAnsi="宋体"/>
          <w:b/>
          <w:color w:val="auto"/>
          <w:sz w:val="24"/>
          <w:highlight w:val="none"/>
        </w:rPr>
        <w:fldChar w:fldCharType="end"/>
      </w:r>
    </w:p>
    <w:p w14:paraId="0DA8AE26">
      <w:pPr>
        <w:spacing w:line="400" w:lineRule="exact"/>
        <w:jc w:val="left"/>
        <w:rPr>
          <w:rFonts w:ascii="宋体" w:hAnsi="宋体"/>
          <w:b/>
          <w:color w:val="auto"/>
          <w:sz w:val="32"/>
          <w:szCs w:val="32"/>
          <w:highlight w:val="none"/>
        </w:rPr>
      </w:pPr>
    </w:p>
    <w:p w14:paraId="1B8A6370">
      <w:pPr>
        <w:spacing w:line="400" w:lineRule="exact"/>
        <w:jc w:val="center"/>
        <w:rPr>
          <w:rFonts w:ascii="宋体" w:hAnsi="宋体"/>
          <w:b/>
          <w:color w:val="auto"/>
          <w:sz w:val="32"/>
          <w:szCs w:val="32"/>
          <w:highlight w:val="none"/>
        </w:rPr>
      </w:pPr>
    </w:p>
    <w:p w14:paraId="322C6B46">
      <w:pPr>
        <w:spacing w:line="400" w:lineRule="exact"/>
        <w:jc w:val="center"/>
        <w:rPr>
          <w:rFonts w:ascii="宋体" w:hAnsi="宋体"/>
          <w:b/>
          <w:color w:val="auto"/>
          <w:sz w:val="32"/>
          <w:szCs w:val="32"/>
          <w:highlight w:val="none"/>
        </w:rPr>
      </w:pPr>
    </w:p>
    <w:p w14:paraId="13D15DDD">
      <w:pPr>
        <w:spacing w:line="400" w:lineRule="exact"/>
        <w:jc w:val="center"/>
        <w:rPr>
          <w:rFonts w:ascii="宋体" w:hAnsi="宋体"/>
          <w:b/>
          <w:color w:val="auto"/>
          <w:sz w:val="32"/>
          <w:szCs w:val="32"/>
          <w:highlight w:val="none"/>
        </w:rPr>
      </w:pPr>
    </w:p>
    <w:p w14:paraId="79290EB6">
      <w:pPr>
        <w:spacing w:line="400" w:lineRule="exact"/>
        <w:jc w:val="center"/>
        <w:rPr>
          <w:rFonts w:ascii="宋体" w:hAnsi="宋体"/>
          <w:b/>
          <w:color w:val="auto"/>
          <w:sz w:val="32"/>
          <w:szCs w:val="32"/>
          <w:highlight w:val="none"/>
        </w:rPr>
      </w:pPr>
    </w:p>
    <w:p w14:paraId="4199D459">
      <w:pPr>
        <w:spacing w:line="400" w:lineRule="exact"/>
        <w:rPr>
          <w:rFonts w:ascii="宋体" w:hAnsi="宋体"/>
          <w:b/>
          <w:color w:val="auto"/>
          <w:sz w:val="32"/>
          <w:szCs w:val="32"/>
          <w:highlight w:val="none"/>
        </w:rPr>
        <w:sectPr>
          <w:headerReference r:id="rId4" w:type="first"/>
          <w:footerReference r:id="rId6" w:type="first"/>
          <w:headerReference r:id="rId3" w:type="default"/>
          <w:footerReference r:id="rId5" w:type="default"/>
          <w:pgSz w:w="11906" w:h="16838"/>
          <w:pgMar w:top="1440" w:right="1440" w:bottom="1440" w:left="1587" w:header="851" w:footer="992" w:gutter="0"/>
          <w:pgNumType w:start="0"/>
          <w:cols w:space="720" w:num="1"/>
          <w:titlePg/>
          <w:docGrid w:type="lines" w:linePitch="312" w:charSpace="0"/>
        </w:sectPr>
      </w:pPr>
    </w:p>
    <w:p w14:paraId="77372D3A">
      <w:pPr>
        <w:pStyle w:val="2"/>
        <w:jc w:val="center"/>
        <w:rPr>
          <w:color w:val="auto"/>
          <w:highlight w:val="none"/>
        </w:rPr>
      </w:pPr>
      <w:bookmarkStart w:id="15" w:name="_Toc74323456"/>
      <w:r>
        <w:rPr>
          <w:rFonts w:hint="eastAsia"/>
          <w:color w:val="auto"/>
          <w:highlight w:val="none"/>
        </w:rPr>
        <w:t>第一章 竞争性磋商公告</w:t>
      </w:r>
      <w:bookmarkEnd w:id="15"/>
    </w:p>
    <w:p w14:paraId="3737140C">
      <w:pPr>
        <w:spacing w:line="400" w:lineRule="exact"/>
        <w:jc w:val="center"/>
        <w:rPr>
          <w:rFonts w:ascii="宋体" w:hAnsi="宋体"/>
          <w:b/>
          <w:bCs/>
          <w:color w:val="auto"/>
          <w:sz w:val="32"/>
          <w:szCs w:val="32"/>
          <w:highlight w:val="none"/>
        </w:rPr>
      </w:pPr>
      <w:r>
        <w:rPr>
          <w:rFonts w:hint="eastAsia" w:ascii="宋体" w:hAnsi="宋体"/>
          <w:b/>
          <w:bCs/>
          <w:color w:val="auto"/>
          <w:sz w:val="32"/>
          <w:szCs w:val="32"/>
          <w:highlight w:val="none"/>
        </w:rPr>
        <w:t>广西众鑫工程项目管理有限公司关于</w:t>
      </w:r>
      <w:bookmarkStart w:id="16" w:name="OLE_LINK2"/>
      <w:r>
        <w:rPr>
          <w:rFonts w:hint="eastAsia" w:ascii="宋体" w:hAnsi="宋体"/>
          <w:b/>
          <w:bCs/>
          <w:color w:val="auto"/>
          <w:sz w:val="32"/>
          <w:szCs w:val="32"/>
          <w:highlight w:val="none"/>
        </w:rPr>
        <w:t>广西国土空间规划实施监测网络建设试点项目（项目编号：</w:t>
      </w:r>
      <w:r>
        <w:rPr>
          <w:rFonts w:hint="eastAsia" w:ascii="宋体" w:hAnsi="宋体" w:cs="宋体"/>
          <w:b/>
          <w:bCs/>
          <w:color w:val="auto"/>
          <w:w w:val="95"/>
          <w:sz w:val="30"/>
          <w:szCs w:val="30"/>
          <w:highlight w:val="none"/>
          <w:lang w:eastAsia="zh-CN"/>
        </w:rPr>
        <w:t>GXZC2025-C3-003900-ZXXM</w:t>
      </w:r>
      <w:r>
        <w:rPr>
          <w:rFonts w:hint="eastAsia" w:ascii="宋体" w:hAnsi="宋体"/>
          <w:b/>
          <w:bCs/>
          <w:color w:val="auto"/>
          <w:sz w:val="32"/>
          <w:szCs w:val="32"/>
          <w:highlight w:val="none"/>
        </w:rPr>
        <w:t>）</w:t>
      </w:r>
      <w:bookmarkEnd w:id="16"/>
      <w:r>
        <w:rPr>
          <w:rFonts w:hint="eastAsia" w:ascii="宋体" w:hAnsi="宋体"/>
          <w:b/>
          <w:bCs/>
          <w:color w:val="auto"/>
          <w:sz w:val="32"/>
          <w:szCs w:val="32"/>
          <w:highlight w:val="none"/>
        </w:rPr>
        <w:t>竞争性磋商公告</w:t>
      </w:r>
    </w:p>
    <w:p w14:paraId="536B5825">
      <w:pPr>
        <w:spacing w:line="360" w:lineRule="auto"/>
        <w:rPr>
          <w:rFonts w:ascii="宋体" w:hAnsi="宋体"/>
          <w:color w:val="auto"/>
          <w:szCs w:val="21"/>
          <w:highlight w:val="none"/>
        </w:rPr>
      </w:pPr>
    </w:p>
    <w:p w14:paraId="0312F56E">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rPr>
      </w:pPr>
      <w:bookmarkStart w:id="17" w:name="_Hlk37430271"/>
      <w:r>
        <w:rPr>
          <w:rFonts w:hint="eastAsia" w:ascii="宋体" w:hAnsi="宋体"/>
          <w:color w:val="auto"/>
          <w:szCs w:val="21"/>
          <w:highlight w:val="none"/>
        </w:rPr>
        <w:t>项目概况</w:t>
      </w:r>
    </w:p>
    <w:p w14:paraId="2C674DFF">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rPr>
      </w:pPr>
      <w:r>
        <w:rPr>
          <w:rFonts w:hint="eastAsia" w:ascii="宋体" w:hAnsi="宋体"/>
          <w:color w:val="auto"/>
          <w:szCs w:val="21"/>
          <w:highlight w:val="none"/>
          <w:u w:val="single"/>
        </w:rPr>
        <w:t>广西国土空间规划实施监测网络建设试点</w:t>
      </w:r>
      <w:r>
        <w:rPr>
          <w:rFonts w:hint="eastAsia" w:ascii="宋体" w:hAnsi="宋体"/>
          <w:color w:val="auto"/>
          <w:szCs w:val="21"/>
          <w:highlight w:val="none"/>
        </w:rPr>
        <w:t>项目的潜在供应商应在广西政府采购云平台（https://www.gcy.zfcg.gxzf.gov.cn/）获取（下载）竞争性磋商文件，并于2025年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26</w:t>
      </w:r>
      <w:r>
        <w:rPr>
          <w:rFonts w:hint="eastAsia" w:ascii="宋体" w:hAnsi="宋体"/>
          <w:color w:val="auto"/>
          <w:szCs w:val="21"/>
          <w:highlight w:val="none"/>
        </w:rPr>
        <w:t>日09时00分（</w:t>
      </w:r>
      <w:r>
        <w:rPr>
          <w:rFonts w:hint="eastAsia" w:ascii="宋体" w:hAnsi="宋体"/>
          <w:bCs/>
          <w:color w:val="auto"/>
          <w:szCs w:val="21"/>
          <w:highlight w:val="none"/>
        </w:rPr>
        <w:t>北京时间）前提交（上传）</w:t>
      </w:r>
      <w:r>
        <w:rPr>
          <w:rFonts w:hint="eastAsia" w:ascii="宋体" w:hAnsi="宋体"/>
          <w:color w:val="auto"/>
          <w:szCs w:val="21"/>
          <w:highlight w:val="none"/>
        </w:rPr>
        <w:t>响应</w:t>
      </w:r>
      <w:r>
        <w:rPr>
          <w:rFonts w:hint="eastAsia" w:ascii="宋体" w:hAnsi="宋体"/>
          <w:bCs/>
          <w:color w:val="auto"/>
          <w:szCs w:val="21"/>
          <w:highlight w:val="none"/>
        </w:rPr>
        <w:t>文件</w:t>
      </w:r>
      <w:r>
        <w:rPr>
          <w:rFonts w:hint="eastAsia" w:ascii="宋体" w:hAnsi="宋体"/>
          <w:color w:val="auto"/>
          <w:szCs w:val="21"/>
          <w:highlight w:val="none"/>
        </w:rPr>
        <w:t>。</w:t>
      </w:r>
    </w:p>
    <w:p w14:paraId="45A2FA6C">
      <w:pPr>
        <w:spacing w:line="360" w:lineRule="auto"/>
        <w:rPr>
          <w:rFonts w:ascii="宋体" w:hAnsi="宋体"/>
          <w:color w:val="auto"/>
          <w:szCs w:val="21"/>
          <w:highlight w:val="none"/>
        </w:rPr>
      </w:pPr>
    </w:p>
    <w:p w14:paraId="791960A0">
      <w:pPr>
        <w:ind w:firstLine="354" w:firstLineChars="147"/>
        <w:rPr>
          <w:rFonts w:ascii="黑体" w:hAnsi="黑体" w:eastAsia="黑体"/>
          <w:b/>
          <w:color w:val="auto"/>
          <w:sz w:val="24"/>
          <w:highlight w:val="none"/>
        </w:rPr>
      </w:pPr>
      <w:bookmarkStart w:id="18" w:name="_Toc28359089"/>
      <w:bookmarkStart w:id="19" w:name="_Toc35393629"/>
      <w:bookmarkStart w:id="20" w:name="_Toc44229878"/>
      <w:bookmarkStart w:id="21" w:name="_Toc35393798"/>
      <w:bookmarkStart w:id="22" w:name="_Toc71365905"/>
      <w:bookmarkStart w:id="23" w:name="_Toc28359012"/>
      <w:r>
        <w:rPr>
          <w:rFonts w:hint="eastAsia" w:ascii="黑体" w:hAnsi="黑体" w:eastAsia="黑体"/>
          <w:b/>
          <w:color w:val="auto"/>
          <w:sz w:val="24"/>
          <w:highlight w:val="none"/>
        </w:rPr>
        <w:t>一、项目基本情况</w:t>
      </w:r>
      <w:bookmarkEnd w:id="18"/>
      <w:bookmarkEnd w:id="19"/>
      <w:bookmarkEnd w:id="20"/>
      <w:bookmarkEnd w:id="21"/>
      <w:bookmarkEnd w:id="22"/>
      <w:bookmarkEnd w:id="23"/>
    </w:p>
    <w:p w14:paraId="1AED6320">
      <w:pPr>
        <w:spacing w:line="360" w:lineRule="auto"/>
        <w:ind w:left="420" w:leftChars="200"/>
        <w:rPr>
          <w:rFonts w:hint="eastAsia" w:ascii="宋体" w:hAnsi="宋体" w:eastAsia="宋体"/>
          <w:color w:val="auto"/>
          <w:szCs w:val="21"/>
          <w:highlight w:val="none"/>
          <w:lang w:eastAsia="zh-CN"/>
        </w:rPr>
      </w:pPr>
      <w:r>
        <w:rPr>
          <w:rFonts w:hint="eastAsia" w:ascii="宋体" w:hAnsi="宋体"/>
          <w:color w:val="auto"/>
          <w:szCs w:val="21"/>
          <w:highlight w:val="none"/>
        </w:rPr>
        <w:t>1.项目编号：</w:t>
      </w:r>
      <w:r>
        <w:rPr>
          <w:rFonts w:hint="eastAsia" w:ascii="宋体" w:hAnsi="宋体"/>
          <w:color w:val="auto"/>
          <w:szCs w:val="21"/>
          <w:highlight w:val="none"/>
          <w:lang w:eastAsia="zh-CN"/>
        </w:rPr>
        <w:t>GXZC2025-C3-003900-ZXXM</w:t>
      </w:r>
    </w:p>
    <w:p w14:paraId="0654D050">
      <w:pPr>
        <w:spacing w:line="360" w:lineRule="auto"/>
        <w:ind w:left="420" w:leftChars="200"/>
        <w:rPr>
          <w:rFonts w:ascii="宋体" w:hAnsi="宋体"/>
          <w:color w:val="auto"/>
          <w:szCs w:val="21"/>
          <w:highlight w:val="none"/>
        </w:rPr>
      </w:pPr>
      <w:r>
        <w:rPr>
          <w:rFonts w:hint="eastAsia" w:ascii="宋体" w:hAnsi="宋体"/>
          <w:color w:val="auto"/>
          <w:szCs w:val="21"/>
          <w:highlight w:val="none"/>
        </w:rPr>
        <w:t>2.政府采购计划文号：</w:t>
      </w:r>
      <w:bookmarkStart w:id="24" w:name="OLE_LINK27"/>
      <w:r>
        <w:rPr>
          <w:rFonts w:hint="eastAsia" w:ascii="宋体" w:hAnsi="宋体"/>
          <w:color w:val="auto"/>
          <w:szCs w:val="21"/>
          <w:highlight w:val="none"/>
        </w:rPr>
        <w:t xml:space="preserve">广西政采[2025]23517号 </w:t>
      </w:r>
    </w:p>
    <w:bookmarkEnd w:id="24"/>
    <w:p w14:paraId="49692030">
      <w:pPr>
        <w:spacing w:line="360" w:lineRule="auto"/>
        <w:ind w:left="420" w:leftChars="200"/>
        <w:rPr>
          <w:rFonts w:ascii="宋体" w:hAnsi="宋体"/>
          <w:color w:val="auto"/>
          <w:szCs w:val="21"/>
          <w:highlight w:val="none"/>
        </w:rPr>
      </w:pPr>
      <w:r>
        <w:rPr>
          <w:rFonts w:hint="eastAsia" w:ascii="宋体" w:hAnsi="宋体"/>
          <w:color w:val="auto"/>
          <w:szCs w:val="21"/>
          <w:highlight w:val="none"/>
        </w:rPr>
        <w:t>3.项目名称：广西国土空间规划实施监测网络建设试点项目</w:t>
      </w:r>
    </w:p>
    <w:p w14:paraId="3B441190">
      <w:pPr>
        <w:spacing w:line="360" w:lineRule="auto"/>
        <w:ind w:left="420" w:leftChars="200"/>
        <w:rPr>
          <w:rFonts w:ascii="宋体" w:hAnsi="宋体"/>
          <w:color w:val="auto"/>
          <w:szCs w:val="21"/>
          <w:highlight w:val="none"/>
        </w:rPr>
      </w:pPr>
      <w:r>
        <w:rPr>
          <w:rFonts w:hint="eastAsia" w:ascii="宋体" w:hAnsi="宋体"/>
          <w:color w:val="auto"/>
          <w:szCs w:val="21"/>
          <w:highlight w:val="none"/>
        </w:rPr>
        <w:t>4.采购方式：竞争性磋商</w:t>
      </w:r>
    </w:p>
    <w:p w14:paraId="4E826837">
      <w:pPr>
        <w:spacing w:line="360" w:lineRule="auto"/>
        <w:ind w:left="420" w:leftChars="200"/>
        <w:rPr>
          <w:rFonts w:ascii="宋体" w:hAnsi="宋体"/>
          <w:color w:val="auto"/>
          <w:szCs w:val="21"/>
          <w:highlight w:val="none"/>
        </w:rPr>
      </w:pPr>
      <w:r>
        <w:rPr>
          <w:rFonts w:hint="eastAsia" w:ascii="宋体" w:hAnsi="宋体"/>
          <w:color w:val="auto"/>
          <w:szCs w:val="21"/>
          <w:highlight w:val="none"/>
        </w:rPr>
        <w:t>5.</w:t>
      </w:r>
      <w:bookmarkStart w:id="25" w:name="OLE_LINK1"/>
      <w:r>
        <w:rPr>
          <w:rFonts w:hint="eastAsia" w:ascii="宋体" w:hAnsi="宋体"/>
          <w:color w:val="auto"/>
          <w:szCs w:val="21"/>
          <w:highlight w:val="none"/>
        </w:rPr>
        <w:t>预算金额：2769800.00元</w:t>
      </w:r>
      <w:bookmarkEnd w:id="25"/>
      <w:r>
        <w:rPr>
          <w:rFonts w:hint="eastAsia" w:ascii="宋体" w:hAnsi="宋体"/>
          <w:color w:val="auto"/>
          <w:szCs w:val="21"/>
          <w:highlight w:val="none"/>
        </w:rPr>
        <w:t xml:space="preserve"> </w:t>
      </w:r>
    </w:p>
    <w:p w14:paraId="515D1B4E">
      <w:pPr>
        <w:spacing w:line="360" w:lineRule="auto"/>
        <w:ind w:left="420" w:leftChars="200"/>
        <w:rPr>
          <w:rFonts w:ascii="宋体" w:hAnsi="宋体"/>
          <w:color w:val="auto"/>
          <w:szCs w:val="21"/>
          <w:highlight w:val="none"/>
        </w:rPr>
      </w:pPr>
      <w:r>
        <w:rPr>
          <w:rFonts w:hint="eastAsia" w:ascii="宋体" w:hAnsi="宋体"/>
          <w:color w:val="auto"/>
          <w:szCs w:val="21"/>
          <w:highlight w:val="none"/>
        </w:rPr>
        <w:t>6.最高限价：同预算金额</w:t>
      </w:r>
    </w:p>
    <w:p w14:paraId="46C8F611">
      <w:pPr>
        <w:spacing w:line="360" w:lineRule="auto"/>
        <w:ind w:left="420" w:leftChars="200"/>
        <w:rPr>
          <w:rFonts w:ascii="宋体" w:hAnsi="宋体"/>
          <w:color w:val="auto"/>
          <w:szCs w:val="21"/>
          <w:highlight w:val="none"/>
        </w:rPr>
      </w:pPr>
      <w:r>
        <w:rPr>
          <w:rFonts w:hint="eastAsia" w:ascii="宋体" w:hAnsi="宋体"/>
          <w:color w:val="auto"/>
          <w:szCs w:val="21"/>
          <w:highlight w:val="none"/>
        </w:rPr>
        <w:t>7.采购需求：广西国土空间规划实施监测网络建设试点项目1项，具体详见第三章采购需求。</w:t>
      </w:r>
    </w:p>
    <w:p w14:paraId="4BE17F5A">
      <w:pPr>
        <w:spacing w:line="360" w:lineRule="auto"/>
        <w:ind w:left="420" w:leftChars="200"/>
        <w:rPr>
          <w:rFonts w:ascii="宋体" w:hAnsi="宋体"/>
          <w:color w:val="auto"/>
          <w:szCs w:val="21"/>
          <w:highlight w:val="none"/>
        </w:rPr>
      </w:pPr>
      <w:r>
        <w:rPr>
          <w:rFonts w:hint="eastAsia" w:ascii="宋体" w:hAnsi="宋体"/>
          <w:color w:val="auto"/>
          <w:szCs w:val="21"/>
          <w:highlight w:val="none"/>
        </w:rPr>
        <w:t>8.合同履约期限：</w:t>
      </w:r>
      <w:r>
        <w:rPr>
          <w:rFonts w:hint="eastAsia" w:ascii="宋体" w:hAnsi="宋体" w:cs="宋体"/>
          <w:bCs/>
          <w:color w:val="auto"/>
          <w:kern w:val="0"/>
          <w:szCs w:val="21"/>
          <w:highlight w:val="none"/>
        </w:rPr>
        <w:t>2026年12月30日前完成。</w:t>
      </w:r>
    </w:p>
    <w:p w14:paraId="5F58415D">
      <w:pPr>
        <w:spacing w:line="360" w:lineRule="auto"/>
        <w:ind w:left="420" w:leftChars="200"/>
        <w:rPr>
          <w:rFonts w:ascii="宋体" w:hAnsi="宋体"/>
          <w:color w:val="auto"/>
          <w:szCs w:val="21"/>
          <w:highlight w:val="none"/>
        </w:rPr>
      </w:pPr>
      <w:r>
        <w:rPr>
          <w:rFonts w:hint="eastAsia" w:ascii="宋体" w:hAnsi="宋体"/>
          <w:color w:val="auto"/>
          <w:szCs w:val="21"/>
          <w:highlight w:val="none"/>
        </w:rPr>
        <w:t>标项名称：广西国土空间规划实施监测网络建设试点项目</w:t>
      </w:r>
    </w:p>
    <w:p w14:paraId="6F0AB18B">
      <w:pPr>
        <w:tabs>
          <w:tab w:val="left" w:pos="312"/>
        </w:tabs>
        <w:spacing w:line="360" w:lineRule="auto"/>
        <w:ind w:left="420" w:leftChars="200"/>
        <w:rPr>
          <w:rFonts w:ascii="宋体" w:hAnsi="宋体"/>
          <w:color w:val="auto"/>
          <w:szCs w:val="21"/>
          <w:highlight w:val="none"/>
        </w:rPr>
      </w:pPr>
      <w:r>
        <w:rPr>
          <w:rFonts w:hint="eastAsia" w:ascii="宋体" w:hAnsi="宋体"/>
          <w:color w:val="auto"/>
          <w:szCs w:val="21"/>
          <w:highlight w:val="none"/>
        </w:rPr>
        <w:t>9.本标项（是）接受联合体竞标。</w:t>
      </w:r>
    </w:p>
    <w:p w14:paraId="11BE22D8">
      <w:pPr>
        <w:numPr>
          <w:ilvl w:val="-1"/>
          <w:numId w:val="0"/>
        </w:numPr>
        <w:tabs>
          <w:tab w:val="left" w:pos="312"/>
        </w:tabs>
        <w:spacing w:line="360" w:lineRule="auto"/>
        <w:ind w:left="420" w:leftChars="200"/>
        <w:rPr>
          <w:rFonts w:hint="eastAsia" w:ascii="宋体" w:hAnsi="宋体" w:cs="Times New Roman"/>
          <w:bCs w:val="0"/>
          <w:color w:val="auto"/>
          <w:kern w:val="2"/>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备注：/</w:t>
      </w:r>
    </w:p>
    <w:p w14:paraId="1C2141B2">
      <w:pPr>
        <w:ind w:firstLine="354" w:firstLineChars="147"/>
        <w:rPr>
          <w:rFonts w:ascii="黑体" w:hAnsi="黑体" w:eastAsia="黑体"/>
          <w:b/>
          <w:color w:val="auto"/>
          <w:sz w:val="24"/>
          <w:highlight w:val="none"/>
        </w:rPr>
      </w:pPr>
      <w:bookmarkStart w:id="26" w:name="_Toc44229879"/>
      <w:bookmarkStart w:id="27" w:name="_Toc35393630"/>
      <w:bookmarkStart w:id="28" w:name="_Toc35393799"/>
      <w:bookmarkStart w:id="29" w:name="_Toc71365906"/>
      <w:bookmarkStart w:id="30" w:name="_Toc28359013"/>
      <w:bookmarkStart w:id="31" w:name="_Toc28359090"/>
      <w:r>
        <w:rPr>
          <w:rFonts w:hint="eastAsia" w:ascii="黑体" w:hAnsi="黑体" w:eastAsia="黑体"/>
          <w:b/>
          <w:color w:val="auto"/>
          <w:sz w:val="24"/>
          <w:highlight w:val="none"/>
        </w:rPr>
        <w:t>二、申请人的资格条件：</w:t>
      </w:r>
      <w:bookmarkEnd w:id="26"/>
      <w:bookmarkEnd w:id="27"/>
      <w:bookmarkEnd w:id="28"/>
      <w:bookmarkEnd w:id="29"/>
      <w:bookmarkEnd w:id="30"/>
      <w:bookmarkEnd w:id="31"/>
    </w:p>
    <w:p w14:paraId="5C81CEF7">
      <w:pPr>
        <w:spacing w:line="360" w:lineRule="auto"/>
        <w:ind w:firstLine="420" w:firstLineChars="200"/>
        <w:rPr>
          <w:rFonts w:ascii="宋体" w:hAnsi="宋体"/>
          <w:color w:val="auto"/>
          <w:szCs w:val="21"/>
          <w:highlight w:val="none"/>
        </w:rPr>
      </w:pPr>
      <w:bookmarkStart w:id="32" w:name="OLE_LINK19"/>
      <w:bookmarkStart w:id="33" w:name="OLE_LINK11"/>
      <w:bookmarkStart w:id="34" w:name="OLE_LINK20"/>
      <w:bookmarkStart w:id="35" w:name="_Toc28359014"/>
      <w:bookmarkStart w:id="36" w:name="_Toc35393631"/>
      <w:bookmarkStart w:id="37" w:name="_Toc35393800"/>
      <w:bookmarkStart w:id="38" w:name="_Toc28359091"/>
      <w:bookmarkStart w:id="39" w:name="_Toc44229880"/>
      <w:r>
        <w:rPr>
          <w:rFonts w:hint="eastAsia" w:ascii="宋体" w:hAnsi="宋体"/>
          <w:color w:val="auto"/>
          <w:szCs w:val="21"/>
          <w:highlight w:val="none"/>
        </w:rPr>
        <w:t>1.满足《中华人民共和国政府采购法》第二十二条规定；</w:t>
      </w:r>
    </w:p>
    <w:p w14:paraId="7E691375">
      <w:pPr>
        <w:spacing w:line="360" w:lineRule="auto"/>
        <w:ind w:firstLine="420" w:firstLineChars="200"/>
        <w:rPr>
          <w:rFonts w:ascii="宋体" w:hAnsi="宋体"/>
          <w:color w:val="auto"/>
          <w:szCs w:val="21"/>
        </w:rPr>
      </w:pPr>
      <w:r>
        <w:rPr>
          <w:rFonts w:hint="eastAsia" w:ascii="宋体" w:hAnsi="宋体"/>
          <w:color w:val="auto"/>
          <w:szCs w:val="21"/>
          <w:highlight w:val="none"/>
        </w:rPr>
        <w:t>2.落实政府采购政策需满足的资格要求：</w:t>
      </w:r>
      <w:r>
        <w:rPr>
          <w:rFonts w:hint="eastAsia" w:ascii="宋体" w:hAnsi="宋体"/>
          <w:color w:val="000000" w:themeColor="text1"/>
          <w:szCs w:val="21"/>
          <w14:textFill>
            <w14:solidFill>
              <w14:schemeClr w14:val="tx1"/>
            </w14:solidFill>
          </w14:textFill>
        </w:rPr>
        <w:t>本项目为预留份额面向中小企业采购</w:t>
      </w:r>
      <w:r>
        <w:rPr>
          <w:rFonts w:hint="eastAsia" w:ascii="宋体" w:hAnsi="宋体"/>
          <w:color w:val="auto"/>
          <w:szCs w:val="21"/>
        </w:rPr>
        <w:t>的项目（中小企业指中小企业或监狱企业或残疾人福利性企业）；</w:t>
      </w:r>
    </w:p>
    <w:p w14:paraId="510ACCF7">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hint="eastAsia" w:ascii="宋体" w:hAnsi="宋体"/>
          <w:color w:val="000000" w:themeColor="text1"/>
          <w:szCs w:val="21"/>
          <w:lang w:val="en-US" w:eastAsia="zh-CN"/>
          <w14:textFill>
            <w14:solidFill>
              <w14:schemeClr w14:val="tx1"/>
            </w14:solidFill>
          </w14:textFill>
        </w:rPr>
        <w:t>竞</w:t>
      </w:r>
      <w:r>
        <w:rPr>
          <w:rFonts w:hint="eastAsia" w:ascii="宋体" w:hAnsi="宋体"/>
          <w:color w:val="000000" w:themeColor="text1"/>
          <w:szCs w:val="21"/>
          <w14:textFill>
            <w14:solidFill>
              <w14:schemeClr w14:val="tx1"/>
            </w14:solidFill>
          </w14:textFill>
        </w:rPr>
        <w:t>标人提供的服务由中小企业承接的，由</w:t>
      </w:r>
      <w:r>
        <w:rPr>
          <w:rFonts w:hint="eastAsia" w:ascii="宋体" w:hAnsi="宋体"/>
          <w:color w:val="000000" w:themeColor="text1"/>
          <w:szCs w:val="21"/>
          <w:lang w:val="en-US" w:eastAsia="zh-CN"/>
          <w14:textFill>
            <w14:solidFill>
              <w14:schemeClr w14:val="tx1"/>
            </w14:solidFill>
          </w14:textFill>
        </w:rPr>
        <w:t>竞</w:t>
      </w:r>
      <w:r>
        <w:rPr>
          <w:rFonts w:hint="eastAsia" w:ascii="宋体" w:hAnsi="宋体"/>
          <w:color w:val="000000" w:themeColor="text1"/>
          <w:szCs w:val="21"/>
          <w14:textFill>
            <w14:solidFill>
              <w14:schemeClr w14:val="tx1"/>
            </w14:solidFill>
          </w14:textFill>
        </w:rPr>
        <w:t>标人按采购文件要求出具《中小企业声明函》；</w:t>
      </w:r>
    </w:p>
    <w:p w14:paraId="73B91E36">
      <w:pPr>
        <w:spacing w:line="360" w:lineRule="auto"/>
        <w:ind w:firstLine="420" w:firstLineChars="200"/>
        <w:rPr>
          <w:rFonts w:ascii="宋体" w:hAnsi="宋体"/>
          <w:color w:val="auto"/>
          <w:szCs w:val="21"/>
          <w:highlight w:val="none"/>
        </w:rPr>
      </w:pPr>
      <w:r>
        <w:rPr>
          <w:rFonts w:hint="eastAsia" w:ascii="宋体" w:hAnsi="宋体"/>
          <w:color w:val="000000" w:themeColor="text1"/>
          <w:szCs w:val="21"/>
          <w14:textFill>
            <w14:solidFill>
              <w14:schemeClr w14:val="tx1"/>
            </w14:solidFill>
          </w14:textFill>
        </w:rPr>
        <w:t>（2）</w:t>
      </w:r>
      <w:r>
        <w:rPr>
          <w:rFonts w:hint="eastAsia" w:ascii="宋体" w:hAnsi="宋体"/>
          <w:color w:val="000000" w:themeColor="text1"/>
          <w:szCs w:val="21"/>
          <w:lang w:val="en-US" w:eastAsia="zh-CN"/>
          <w14:textFill>
            <w14:solidFill>
              <w14:schemeClr w14:val="tx1"/>
            </w14:solidFill>
          </w14:textFill>
        </w:rPr>
        <w:t>竞标人提供的服务由大型企业承接的，竞标人须与中小企业组成联合体参与竞标，且中小企业占的本采购合同金额的比例不得低于30%</w:t>
      </w:r>
      <w:r>
        <w:rPr>
          <w:rFonts w:hint="eastAsia" w:ascii="宋体" w:hAnsi="宋体"/>
          <w:color w:val="auto"/>
          <w:szCs w:val="21"/>
          <w:highlight w:val="none"/>
        </w:rPr>
        <w:t>；</w:t>
      </w:r>
      <w:bookmarkStart w:id="203" w:name="_GoBack"/>
      <w:bookmarkEnd w:id="203"/>
    </w:p>
    <w:p w14:paraId="7F931D9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注：政府采购活动中，监狱企业、残疾人福利性单位视同小型、微型企业，享受预留份额等促进中小企业发展的政府采购政策。（须提供残疾人福利性单位声明函或提供监狱企业证明材料）。</w:t>
      </w:r>
    </w:p>
    <w:p w14:paraId="7764451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3.本项目的特定资格要求：无。</w:t>
      </w:r>
    </w:p>
    <w:p w14:paraId="7A5AC3CD">
      <w:pPr>
        <w:pStyle w:val="74"/>
        <w:spacing w:line="440" w:lineRule="exact"/>
        <w:ind w:firstLine="420" w:firstLineChars="200"/>
        <w:rPr>
          <w:rFonts w:ascii="宋体" w:hAnsi="宋体"/>
          <w:color w:val="auto"/>
          <w:szCs w:val="21"/>
          <w:highlight w:val="none"/>
        </w:rPr>
      </w:pPr>
      <w:r>
        <w:rPr>
          <w:rFonts w:ascii="宋体" w:hAnsi="宋体"/>
          <w:color w:val="auto"/>
          <w:szCs w:val="21"/>
          <w:highlight w:val="none"/>
        </w:rPr>
        <w:t>4.本项目的特定条件：无；</w:t>
      </w:r>
    </w:p>
    <w:p w14:paraId="4D6A002B">
      <w:pPr>
        <w:pStyle w:val="74"/>
        <w:spacing w:line="440" w:lineRule="exact"/>
        <w:ind w:firstLine="420" w:firstLineChars="200"/>
        <w:jc w:val="left"/>
        <w:rPr>
          <w:rFonts w:ascii="宋体" w:hAnsi="宋体" w:cs="Arial"/>
          <w:color w:val="auto"/>
          <w:szCs w:val="21"/>
          <w:highlight w:val="none"/>
        </w:rPr>
      </w:pPr>
      <w:bookmarkStart w:id="40" w:name="OLE_LINK21"/>
      <w:r>
        <w:rPr>
          <w:rFonts w:ascii="宋体" w:hAnsi="宋体" w:cs="宋体"/>
          <w:bCs/>
          <w:color w:val="auto"/>
          <w:szCs w:val="21"/>
          <w:highlight w:val="none"/>
        </w:rPr>
        <w:t>5.</w:t>
      </w:r>
      <w:r>
        <w:rPr>
          <w:rFonts w:ascii="宋体" w:hAnsi="宋体" w:cs="Arial"/>
          <w:color w:val="auto"/>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r>
        <w:rPr>
          <w:rFonts w:hint="eastAsia" w:ascii="宋体" w:hAnsi="宋体" w:cs="Arial"/>
          <w:color w:val="auto"/>
          <w:szCs w:val="21"/>
          <w:highlight w:val="none"/>
        </w:rPr>
        <w:t>；</w:t>
      </w:r>
    </w:p>
    <w:p w14:paraId="3DCF14CF">
      <w:pPr>
        <w:spacing w:line="360" w:lineRule="auto"/>
        <w:ind w:firstLine="420" w:firstLineChars="200"/>
        <w:rPr>
          <w:rFonts w:ascii="宋体" w:hAnsi="宋体"/>
          <w:color w:val="auto"/>
          <w:szCs w:val="21"/>
          <w:highlight w:val="none"/>
        </w:rPr>
      </w:pPr>
      <w:r>
        <w:rPr>
          <w:rFonts w:ascii="宋体" w:hAnsi="宋体" w:cs="Arial"/>
          <w:color w:val="auto"/>
          <w:szCs w:val="21"/>
          <w:highlight w:val="none"/>
        </w:rPr>
        <w:t>6.对在“信用中国”网站</w:t>
      </w:r>
      <w:r>
        <w:rPr>
          <w:rFonts w:hint="eastAsia" w:ascii="宋体" w:hAnsi="宋体" w:cs="Arial"/>
          <w:color w:val="auto"/>
          <w:szCs w:val="21"/>
          <w:highlight w:val="none"/>
        </w:rPr>
        <w:t>（</w:t>
      </w:r>
      <w:r>
        <w:rPr>
          <w:rFonts w:ascii="宋体" w:hAnsi="宋体" w:cs="Arial"/>
          <w:color w:val="auto"/>
          <w:szCs w:val="21"/>
          <w:highlight w:val="none"/>
        </w:rPr>
        <w:t>www.creditchina.gov.cn</w:t>
      </w:r>
      <w:r>
        <w:rPr>
          <w:rFonts w:hint="eastAsia" w:ascii="宋体" w:hAnsi="宋体" w:cs="Arial"/>
          <w:color w:val="auto"/>
          <w:szCs w:val="21"/>
          <w:highlight w:val="none"/>
        </w:rPr>
        <w:t>）</w:t>
      </w:r>
      <w:r>
        <w:rPr>
          <w:rFonts w:ascii="宋体" w:hAnsi="宋体" w:cs="Arial"/>
          <w:color w:val="auto"/>
          <w:szCs w:val="21"/>
          <w:highlight w:val="none"/>
        </w:rPr>
        <w:t xml:space="preserve"> 、中国政府采购网</w:t>
      </w:r>
      <w:r>
        <w:rPr>
          <w:rFonts w:hint="eastAsia" w:ascii="宋体" w:hAnsi="宋体" w:cs="Arial"/>
          <w:color w:val="auto"/>
          <w:szCs w:val="21"/>
          <w:highlight w:val="none"/>
        </w:rPr>
        <w:t>（</w:t>
      </w:r>
      <w:r>
        <w:rPr>
          <w:rFonts w:ascii="宋体" w:hAnsi="宋体" w:cs="Arial"/>
          <w:color w:val="auto"/>
          <w:szCs w:val="21"/>
          <w:highlight w:val="none"/>
        </w:rPr>
        <w:t>www.ccgp.gov.cn</w:t>
      </w:r>
      <w:r>
        <w:rPr>
          <w:rFonts w:hint="eastAsia" w:ascii="宋体" w:hAnsi="宋体" w:cs="Arial"/>
          <w:color w:val="auto"/>
          <w:szCs w:val="21"/>
          <w:highlight w:val="none"/>
        </w:rPr>
        <w:t>）</w:t>
      </w:r>
      <w:r>
        <w:rPr>
          <w:rFonts w:ascii="宋体" w:hAnsi="宋体" w:cs="Arial"/>
          <w:color w:val="auto"/>
          <w:szCs w:val="21"/>
          <w:highlight w:val="none"/>
        </w:rPr>
        <w:t>被列入失信被执行人、重大税收违法案件当事人名单、政府采购严重违法失信行为记录名单及其他不符合《中华人民共和国政府采购法》第二十二条规定条件的供应商，不得参与政府采购活动</w:t>
      </w:r>
      <w:r>
        <w:rPr>
          <w:rFonts w:hint="eastAsia" w:ascii="宋体" w:hAnsi="宋体"/>
          <w:color w:val="auto"/>
          <w:szCs w:val="21"/>
          <w:highlight w:val="none"/>
        </w:rPr>
        <w:t>。</w:t>
      </w:r>
      <w:bookmarkEnd w:id="32"/>
      <w:bookmarkEnd w:id="33"/>
      <w:bookmarkEnd w:id="34"/>
      <w:bookmarkEnd w:id="40"/>
    </w:p>
    <w:p w14:paraId="37AE7C9B">
      <w:pPr>
        <w:ind w:firstLine="354" w:firstLineChars="147"/>
        <w:rPr>
          <w:rFonts w:ascii="黑体" w:hAnsi="黑体" w:eastAsia="黑体"/>
          <w:b/>
          <w:color w:val="auto"/>
          <w:sz w:val="24"/>
          <w:highlight w:val="none"/>
        </w:rPr>
      </w:pPr>
      <w:bookmarkStart w:id="41" w:name="_Toc71365907"/>
      <w:r>
        <w:rPr>
          <w:rFonts w:hint="eastAsia" w:ascii="黑体" w:hAnsi="黑体" w:eastAsia="黑体"/>
          <w:b/>
          <w:color w:val="auto"/>
          <w:sz w:val="24"/>
          <w:highlight w:val="none"/>
        </w:rPr>
        <w:t>三、获取竞争性磋商文件</w:t>
      </w:r>
      <w:bookmarkEnd w:id="35"/>
      <w:bookmarkEnd w:id="36"/>
      <w:bookmarkEnd w:id="37"/>
      <w:bookmarkEnd w:id="38"/>
      <w:bookmarkEnd w:id="39"/>
      <w:bookmarkEnd w:id="41"/>
    </w:p>
    <w:p w14:paraId="72111139">
      <w:pPr>
        <w:spacing w:line="360" w:lineRule="auto"/>
        <w:ind w:firstLine="420" w:firstLineChars="200"/>
        <w:rPr>
          <w:rFonts w:ascii="宋体" w:hAnsi="宋体" w:cs="宋体"/>
          <w:bCs/>
          <w:color w:val="auto"/>
          <w:kern w:val="0"/>
          <w:szCs w:val="21"/>
          <w:highlight w:val="none"/>
        </w:rPr>
      </w:pPr>
      <w:bookmarkStart w:id="42" w:name="_Toc35393632"/>
      <w:bookmarkStart w:id="43" w:name="_Toc35393801"/>
      <w:bookmarkStart w:id="44" w:name="_Toc28359092"/>
      <w:bookmarkStart w:id="45" w:name="_Toc28359015"/>
      <w:bookmarkStart w:id="46" w:name="_Toc44229881"/>
      <w:r>
        <w:rPr>
          <w:rFonts w:hint="eastAsia" w:ascii="宋体" w:hAnsi="宋体" w:cs="宋体"/>
          <w:bCs/>
          <w:color w:val="auto"/>
          <w:kern w:val="0"/>
          <w:szCs w:val="21"/>
          <w:highlight w:val="none"/>
        </w:rPr>
        <w:t>时间：2025年</w:t>
      </w:r>
      <w:r>
        <w:rPr>
          <w:rFonts w:hint="eastAsia" w:ascii="宋体" w:hAnsi="宋体" w:cs="宋体"/>
          <w:bCs/>
          <w:color w:val="auto"/>
          <w:kern w:val="0"/>
          <w:szCs w:val="21"/>
          <w:highlight w:val="none"/>
          <w:lang w:val="en-US" w:eastAsia="zh-CN"/>
        </w:rPr>
        <w:t>12</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15</w:t>
      </w:r>
      <w:r>
        <w:rPr>
          <w:rFonts w:hint="eastAsia" w:ascii="宋体" w:hAnsi="宋体" w:cs="宋体"/>
          <w:bCs/>
          <w:color w:val="auto"/>
          <w:kern w:val="0"/>
          <w:szCs w:val="21"/>
          <w:highlight w:val="none"/>
        </w:rPr>
        <w:t>日至2025年</w:t>
      </w:r>
      <w:r>
        <w:rPr>
          <w:rFonts w:hint="eastAsia" w:ascii="宋体" w:hAnsi="宋体" w:cs="宋体"/>
          <w:bCs/>
          <w:color w:val="auto"/>
          <w:kern w:val="0"/>
          <w:szCs w:val="21"/>
          <w:highlight w:val="none"/>
          <w:lang w:val="en-US" w:eastAsia="zh-CN"/>
        </w:rPr>
        <w:t>12</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22</w:t>
      </w:r>
      <w:r>
        <w:rPr>
          <w:rFonts w:hint="eastAsia" w:ascii="宋体" w:hAnsi="宋体" w:cs="宋体"/>
          <w:bCs/>
          <w:color w:val="auto"/>
          <w:kern w:val="0"/>
          <w:szCs w:val="21"/>
          <w:highlight w:val="none"/>
        </w:rPr>
        <w:t>日，每天上午</w:t>
      </w:r>
      <w:r>
        <w:rPr>
          <w:rFonts w:hint="eastAsia" w:ascii="宋体" w:hAnsi="宋体" w:cs="宋体"/>
          <w:bCs/>
          <w:color w:val="auto"/>
          <w:kern w:val="0"/>
          <w:szCs w:val="21"/>
          <w:highlight w:val="none"/>
          <w:u w:val="single"/>
        </w:rPr>
        <w:t>0:00</w:t>
      </w:r>
      <w:r>
        <w:rPr>
          <w:rFonts w:hint="eastAsia" w:ascii="宋体" w:hAnsi="宋体" w:cs="宋体"/>
          <w:bCs/>
          <w:color w:val="auto"/>
          <w:kern w:val="0"/>
          <w:szCs w:val="21"/>
          <w:highlight w:val="none"/>
        </w:rPr>
        <w:t>至</w:t>
      </w:r>
      <w:r>
        <w:rPr>
          <w:rFonts w:hint="eastAsia" w:ascii="宋体" w:hAnsi="宋体" w:cs="宋体"/>
          <w:bCs/>
          <w:color w:val="auto"/>
          <w:kern w:val="0"/>
          <w:szCs w:val="21"/>
          <w:highlight w:val="none"/>
          <w:u w:val="single"/>
        </w:rPr>
        <w:t>12:00</w:t>
      </w:r>
      <w:r>
        <w:rPr>
          <w:rFonts w:hint="eastAsia" w:ascii="宋体" w:hAnsi="宋体" w:cs="宋体"/>
          <w:bCs/>
          <w:color w:val="auto"/>
          <w:kern w:val="0"/>
          <w:szCs w:val="21"/>
          <w:highlight w:val="none"/>
        </w:rPr>
        <w:t>，下午</w:t>
      </w:r>
      <w:r>
        <w:rPr>
          <w:rFonts w:hint="eastAsia" w:ascii="宋体" w:hAnsi="宋体" w:cs="宋体"/>
          <w:bCs/>
          <w:color w:val="auto"/>
          <w:kern w:val="0"/>
          <w:szCs w:val="21"/>
          <w:highlight w:val="none"/>
          <w:u w:val="single"/>
        </w:rPr>
        <w:t>12:00</w:t>
      </w:r>
      <w:r>
        <w:rPr>
          <w:rFonts w:hint="eastAsia" w:ascii="宋体" w:hAnsi="宋体" w:cs="宋体"/>
          <w:bCs/>
          <w:color w:val="auto"/>
          <w:kern w:val="0"/>
          <w:szCs w:val="21"/>
          <w:highlight w:val="none"/>
        </w:rPr>
        <w:t>至</w:t>
      </w:r>
      <w:r>
        <w:rPr>
          <w:rFonts w:hint="eastAsia" w:ascii="宋体" w:hAnsi="宋体" w:cs="宋体"/>
          <w:bCs/>
          <w:color w:val="auto"/>
          <w:kern w:val="0"/>
          <w:szCs w:val="21"/>
          <w:highlight w:val="none"/>
          <w:u w:val="single"/>
        </w:rPr>
        <w:t>23:59</w:t>
      </w:r>
      <w:r>
        <w:rPr>
          <w:rFonts w:hint="eastAsia" w:ascii="宋体" w:hAnsi="宋体" w:cs="宋体"/>
          <w:bCs/>
          <w:color w:val="auto"/>
          <w:kern w:val="0"/>
          <w:szCs w:val="21"/>
          <w:highlight w:val="none"/>
        </w:rPr>
        <w:t>（北京时间，法定节假日除外）</w:t>
      </w:r>
    </w:p>
    <w:p w14:paraId="6A4DD02C">
      <w:pPr>
        <w:spacing w:line="360" w:lineRule="auto"/>
        <w:ind w:firstLine="420" w:firstLineChars="200"/>
        <w:rPr>
          <w:rFonts w:ascii="宋体" w:hAnsi="宋体" w:cs="宋体"/>
          <w:bCs/>
          <w:color w:val="auto"/>
          <w:kern w:val="0"/>
          <w:szCs w:val="21"/>
          <w:highlight w:val="none"/>
        </w:rPr>
      </w:pPr>
      <w:r>
        <w:rPr>
          <w:rFonts w:hint="eastAsia" w:ascii="宋体" w:hAnsi="宋体" w:cs="宋体"/>
          <w:color w:val="auto"/>
          <w:kern w:val="0"/>
          <w:szCs w:val="21"/>
          <w:highlight w:val="none"/>
        </w:rPr>
        <w:t>地点</w:t>
      </w:r>
      <w:r>
        <w:rPr>
          <w:color w:val="auto"/>
          <w:highlight w:val="none"/>
        </w:rPr>
        <w:t>（网址）</w:t>
      </w:r>
      <w:r>
        <w:rPr>
          <w:rFonts w:hint="eastAsia" w:ascii="宋体" w:hAnsi="宋体" w:cs="宋体"/>
          <w:bCs/>
          <w:color w:val="auto"/>
          <w:kern w:val="0"/>
          <w:szCs w:val="21"/>
          <w:highlight w:val="none"/>
        </w:rPr>
        <w:t>：广西政府采购云平台（https://www.gcy.zfcg.gxzf.gov.cn/）</w:t>
      </w:r>
    </w:p>
    <w:p w14:paraId="1FA497AC">
      <w:pPr>
        <w:spacing w:line="360" w:lineRule="auto"/>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获取方式：网上下载。本项目不提供纸质文件，潜在供应商需在广西政府采购云平台（https://www.gcy.zfcg.gxzf.gov.cn/）-进入“项目采购”应用，在获取采购文件菜单中选择项目，获取竞争性磋商文件。电子响应文件制作需要基于广西政府采购云平台获取的磋商文件编制，通过其他方式获取磋商文件的，将有可能导致供应商无法在广西政府采购云平台编制及上传响应文件。</w:t>
      </w:r>
    </w:p>
    <w:p w14:paraId="084640DD">
      <w:pPr>
        <w:ind w:firstLine="354" w:firstLineChars="147"/>
        <w:rPr>
          <w:rFonts w:ascii="黑体" w:hAnsi="黑体" w:eastAsia="黑体"/>
          <w:b/>
          <w:color w:val="auto"/>
          <w:sz w:val="24"/>
          <w:highlight w:val="none"/>
        </w:rPr>
      </w:pPr>
      <w:bookmarkStart w:id="47" w:name="_Toc71365908"/>
      <w:r>
        <w:rPr>
          <w:rFonts w:hint="eastAsia" w:ascii="黑体" w:hAnsi="黑体" w:eastAsia="黑体"/>
          <w:b/>
          <w:color w:val="auto"/>
          <w:sz w:val="24"/>
          <w:highlight w:val="none"/>
        </w:rPr>
        <w:t>四、响应文件提交</w:t>
      </w:r>
      <w:bookmarkEnd w:id="42"/>
      <w:bookmarkEnd w:id="43"/>
      <w:bookmarkEnd w:id="44"/>
      <w:bookmarkEnd w:id="45"/>
      <w:bookmarkEnd w:id="46"/>
      <w:bookmarkEnd w:id="47"/>
    </w:p>
    <w:p w14:paraId="59C68F37">
      <w:pPr>
        <w:spacing w:line="360" w:lineRule="auto"/>
        <w:ind w:firstLine="420" w:firstLineChars="200"/>
        <w:rPr>
          <w:rFonts w:ascii="宋体" w:hAnsi="宋体" w:cs="宋体"/>
          <w:color w:val="auto"/>
          <w:szCs w:val="21"/>
          <w:highlight w:val="none"/>
          <w:u w:val="single"/>
        </w:rPr>
      </w:pPr>
      <w:bookmarkStart w:id="48" w:name="_Toc28359093"/>
      <w:bookmarkStart w:id="49" w:name="_Toc44229882"/>
      <w:bookmarkStart w:id="50" w:name="_Toc35393633"/>
      <w:bookmarkStart w:id="51" w:name="_Toc28359016"/>
      <w:bookmarkStart w:id="52" w:name="_Toc35393802"/>
      <w:r>
        <w:rPr>
          <w:rFonts w:hint="eastAsia" w:ascii="宋体" w:hAnsi="宋体"/>
          <w:color w:val="auto"/>
          <w:szCs w:val="21"/>
          <w:highlight w:val="none"/>
        </w:rPr>
        <w:t>截止时间：2025年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26</w:t>
      </w:r>
      <w:r>
        <w:rPr>
          <w:rFonts w:hint="eastAsia" w:ascii="宋体" w:hAnsi="宋体"/>
          <w:color w:val="auto"/>
          <w:szCs w:val="21"/>
          <w:highlight w:val="none"/>
        </w:rPr>
        <w:t>日09:00</w:t>
      </w:r>
      <w:r>
        <w:rPr>
          <w:rFonts w:hint="eastAsia" w:ascii="宋体" w:hAnsi="宋体"/>
          <w:bCs/>
          <w:color w:val="auto"/>
          <w:szCs w:val="21"/>
          <w:highlight w:val="none"/>
        </w:rPr>
        <w:t>（北京时间）</w:t>
      </w:r>
    </w:p>
    <w:p w14:paraId="4F79BC3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地点：请登录广西政府采购云平台投标客户端投标</w:t>
      </w:r>
    </w:p>
    <w:p w14:paraId="5AC53A9F">
      <w:pPr>
        <w:ind w:firstLine="354" w:firstLineChars="147"/>
        <w:rPr>
          <w:rFonts w:ascii="黑体" w:hAnsi="黑体" w:eastAsia="黑体"/>
          <w:b/>
          <w:color w:val="auto"/>
          <w:sz w:val="24"/>
          <w:highlight w:val="none"/>
        </w:rPr>
      </w:pPr>
      <w:bookmarkStart w:id="53" w:name="_Toc71365909"/>
      <w:r>
        <w:rPr>
          <w:rFonts w:hint="eastAsia" w:ascii="黑体" w:hAnsi="黑体" w:eastAsia="黑体"/>
          <w:b/>
          <w:color w:val="auto"/>
          <w:sz w:val="24"/>
          <w:highlight w:val="none"/>
        </w:rPr>
        <w:t>五、开启</w:t>
      </w:r>
      <w:bookmarkEnd w:id="48"/>
      <w:bookmarkEnd w:id="49"/>
      <w:bookmarkEnd w:id="50"/>
      <w:bookmarkEnd w:id="51"/>
      <w:bookmarkEnd w:id="52"/>
      <w:bookmarkEnd w:id="53"/>
    </w:p>
    <w:p w14:paraId="0955DF87">
      <w:pPr>
        <w:spacing w:line="360" w:lineRule="auto"/>
        <w:ind w:firstLine="420" w:firstLineChars="200"/>
        <w:rPr>
          <w:rFonts w:ascii="宋体" w:hAnsi="宋体"/>
          <w:bCs/>
          <w:color w:val="auto"/>
          <w:szCs w:val="21"/>
          <w:highlight w:val="none"/>
          <w:u w:val="singl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时间：2025年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26</w:t>
      </w:r>
      <w:r>
        <w:rPr>
          <w:rFonts w:hint="eastAsia" w:ascii="宋体" w:hAnsi="宋体"/>
          <w:color w:val="auto"/>
          <w:szCs w:val="21"/>
          <w:highlight w:val="none"/>
        </w:rPr>
        <w:t>日09:00</w:t>
      </w:r>
      <w:r>
        <w:rPr>
          <w:rFonts w:hint="eastAsia" w:ascii="宋体" w:hAnsi="宋体"/>
          <w:bCs/>
          <w:color w:val="auto"/>
          <w:szCs w:val="21"/>
          <w:highlight w:val="none"/>
        </w:rPr>
        <w:t>（北京时间）</w:t>
      </w:r>
    </w:p>
    <w:p w14:paraId="2853030B">
      <w:pPr>
        <w:spacing w:line="360" w:lineRule="auto"/>
        <w:ind w:firstLine="420" w:firstLineChars="200"/>
        <w:rPr>
          <w:rFonts w:ascii="宋体" w:hAnsi="宋体"/>
          <w:bCs/>
          <w:color w:val="auto"/>
          <w:szCs w:val="21"/>
          <w:highlight w:val="none"/>
          <w:u w:val="singl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地点：广西政府采购云平台（https://www.gcy.zfcg.gxzf.gov.cn/）</w:t>
      </w:r>
    </w:p>
    <w:p w14:paraId="3F125C62">
      <w:pPr>
        <w:ind w:firstLine="354" w:firstLineChars="147"/>
        <w:rPr>
          <w:rFonts w:ascii="黑体" w:hAnsi="黑体" w:eastAsia="黑体"/>
          <w:b/>
          <w:color w:val="auto"/>
          <w:sz w:val="24"/>
          <w:highlight w:val="none"/>
        </w:rPr>
      </w:pPr>
      <w:bookmarkStart w:id="54" w:name="_Toc35393634"/>
      <w:bookmarkStart w:id="55" w:name="_Toc28359017"/>
      <w:bookmarkStart w:id="56" w:name="_Toc44229883"/>
      <w:bookmarkStart w:id="57" w:name="_Toc71365910"/>
      <w:bookmarkStart w:id="58" w:name="_Toc28359094"/>
      <w:bookmarkStart w:id="59" w:name="_Toc35393803"/>
      <w:r>
        <w:rPr>
          <w:rFonts w:hint="eastAsia" w:ascii="黑体" w:hAnsi="黑体" w:eastAsia="黑体"/>
          <w:b/>
          <w:color w:val="auto"/>
          <w:sz w:val="24"/>
          <w:highlight w:val="none"/>
        </w:rPr>
        <w:t>六、公告期限</w:t>
      </w:r>
      <w:bookmarkEnd w:id="54"/>
      <w:bookmarkEnd w:id="55"/>
      <w:bookmarkEnd w:id="56"/>
      <w:bookmarkEnd w:id="57"/>
      <w:bookmarkEnd w:id="58"/>
      <w:bookmarkEnd w:id="59"/>
    </w:p>
    <w:p w14:paraId="607EDE8D">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54C38E49">
      <w:pPr>
        <w:ind w:firstLine="354" w:firstLineChars="147"/>
        <w:rPr>
          <w:rFonts w:ascii="黑体" w:hAnsi="黑体" w:eastAsia="黑体"/>
          <w:b/>
          <w:color w:val="auto"/>
          <w:sz w:val="24"/>
          <w:highlight w:val="none"/>
        </w:rPr>
      </w:pPr>
      <w:bookmarkStart w:id="60" w:name="_Toc35393804"/>
      <w:bookmarkStart w:id="61" w:name="_Toc35393635"/>
      <w:bookmarkStart w:id="62" w:name="_Toc44229884"/>
      <w:bookmarkStart w:id="63" w:name="_Toc71365911"/>
      <w:r>
        <w:rPr>
          <w:rFonts w:hint="eastAsia" w:ascii="黑体" w:hAnsi="黑体" w:eastAsia="黑体"/>
          <w:b/>
          <w:color w:val="auto"/>
          <w:sz w:val="24"/>
          <w:highlight w:val="none"/>
        </w:rPr>
        <w:t>七、其他补充事宜</w:t>
      </w:r>
      <w:bookmarkEnd w:id="60"/>
      <w:bookmarkEnd w:id="61"/>
      <w:bookmarkEnd w:id="62"/>
      <w:bookmarkEnd w:id="63"/>
    </w:p>
    <w:p w14:paraId="47C1B6C3">
      <w:pPr>
        <w:spacing w:line="360" w:lineRule="auto"/>
        <w:ind w:firstLine="420" w:firstLineChars="200"/>
        <w:rPr>
          <w:rFonts w:ascii="宋体" w:hAnsi="宋体"/>
          <w:b/>
          <w:bCs/>
          <w:color w:val="auto"/>
          <w:szCs w:val="21"/>
          <w:highlight w:val="none"/>
        </w:rPr>
      </w:pPr>
      <w:r>
        <w:rPr>
          <w:rFonts w:hint="eastAsia" w:ascii="宋体" w:hAnsi="宋体" w:cs="宋体"/>
          <w:color w:val="auto"/>
          <w:kern w:val="0"/>
          <w:szCs w:val="21"/>
          <w:highlight w:val="none"/>
        </w:rPr>
        <w:t>1. 磋商保证金：本项目需缴纳磋商保证金</w:t>
      </w:r>
      <w:r>
        <w:rPr>
          <w:rFonts w:hint="eastAsia" w:ascii="宋体" w:hAnsi="宋体"/>
          <w:b/>
          <w:bCs/>
          <w:color w:val="auto"/>
          <w:szCs w:val="21"/>
          <w:highlight w:val="none"/>
        </w:rPr>
        <w:t>。</w:t>
      </w:r>
    </w:p>
    <w:p w14:paraId="06665F9E">
      <w:pPr>
        <w:pStyle w:val="11"/>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2.网上查询地址</w:t>
      </w:r>
    </w:p>
    <w:p w14:paraId="770D331B">
      <w:pPr>
        <w:spacing w:line="360" w:lineRule="auto"/>
        <w:ind w:firstLine="420" w:firstLineChars="200"/>
        <w:rPr>
          <w:rFonts w:ascii="宋体" w:hAnsi="宋体" w:cs="宋体"/>
          <w:color w:val="auto"/>
          <w:kern w:val="0"/>
          <w:szCs w:val="21"/>
          <w:highlight w:val="none"/>
        </w:rPr>
      </w:pPr>
      <w:r>
        <w:rPr>
          <w:color w:val="auto"/>
          <w:highlight w:val="none"/>
        </w:rPr>
        <w:fldChar w:fldCharType="begin"/>
      </w:r>
      <w:r>
        <w:rPr>
          <w:color w:val="auto"/>
          <w:highlight w:val="none"/>
        </w:rPr>
        <w:instrText xml:space="preserve"> HYPERLINK "http://www.ccgp.gov.cn（中国政府采购网）、zfcg.gxzf.gov.cn（广西壮族自治区政府采购网）。" </w:instrText>
      </w:r>
      <w:r>
        <w:rPr>
          <w:color w:val="auto"/>
          <w:highlight w:val="none"/>
        </w:rPr>
        <w:fldChar w:fldCharType="separate"/>
      </w:r>
      <w:r>
        <w:rPr>
          <w:rFonts w:hint="eastAsia" w:ascii="宋体" w:hAnsi="宋体" w:cs="宋体"/>
          <w:color w:val="auto"/>
          <w:kern w:val="0"/>
          <w:szCs w:val="21"/>
          <w:highlight w:val="none"/>
        </w:rPr>
        <w:t>http：//www.ccgp.gov.cn(中国政府采购网)、http：//zfcg.gxzf.gov.cn(广西政府采购网)。</w:t>
      </w:r>
      <w:r>
        <w:rPr>
          <w:rFonts w:hint="eastAsia" w:ascii="宋体" w:hAnsi="宋体" w:cs="宋体"/>
          <w:color w:val="auto"/>
          <w:kern w:val="0"/>
          <w:szCs w:val="21"/>
          <w:highlight w:val="none"/>
        </w:rPr>
        <w:fldChar w:fldCharType="end"/>
      </w:r>
    </w:p>
    <w:p w14:paraId="4679E344">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采购意向公开链接：</w:t>
      </w:r>
    </w:p>
    <w:p w14:paraId="5F2E162D">
      <w:pPr>
        <w:spacing w:line="360" w:lineRule="auto"/>
        <w:ind w:firstLine="424" w:firstLineChars="202"/>
        <w:rPr>
          <w:rFonts w:ascii="宋体" w:hAnsi="宋体"/>
          <w:color w:val="auto"/>
          <w:szCs w:val="21"/>
          <w:highlight w:val="none"/>
        </w:rPr>
      </w:pPr>
      <w:bookmarkStart w:id="64" w:name="_Hlk37429674"/>
      <w:bookmarkStart w:id="65" w:name="_Toc35393636"/>
      <w:bookmarkStart w:id="66" w:name="_Toc44229885"/>
      <w:bookmarkStart w:id="67" w:name="_Toc28359018"/>
      <w:bookmarkStart w:id="68" w:name="_Toc35393805"/>
      <w:bookmarkStart w:id="69" w:name="_Toc28359095"/>
      <w:r>
        <w:rPr>
          <w:rFonts w:hint="eastAsia" w:ascii="宋体" w:hAnsi="宋体" w:cs="宋体"/>
          <w:color w:val="auto"/>
          <w:kern w:val="0"/>
          <w:szCs w:val="21"/>
          <w:highlight w:val="none"/>
        </w:rPr>
        <w:t>http://www.ccgp-guangxi.gov.cn/site/detail?parentId=66485&amp;articleId=bEDpltWPHPXvyPcjO5TT1A==</w:t>
      </w:r>
    </w:p>
    <w:p w14:paraId="534DC6C5">
      <w:pPr>
        <w:spacing w:line="360" w:lineRule="auto"/>
        <w:ind w:firstLine="424" w:firstLineChars="202"/>
        <w:rPr>
          <w:rFonts w:ascii="宋体" w:hAnsi="宋体" w:cs="宋体"/>
          <w:color w:val="auto"/>
          <w:kern w:val="0"/>
          <w:szCs w:val="21"/>
          <w:highlight w:val="none"/>
        </w:rPr>
      </w:pPr>
      <w:r>
        <w:rPr>
          <w:rFonts w:hint="eastAsia" w:ascii="宋体" w:hAnsi="宋体"/>
          <w:color w:val="auto"/>
          <w:szCs w:val="21"/>
          <w:highlight w:val="none"/>
        </w:rPr>
        <w:t>3</w:t>
      </w:r>
      <w:r>
        <w:rPr>
          <w:rFonts w:ascii="宋体" w:hAnsi="宋体"/>
          <w:color w:val="auto"/>
          <w:szCs w:val="21"/>
          <w:highlight w:val="none"/>
        </w:rPr>
        <w:t>.</w:t>
      </w:r>
      <w:r>
        <w:rPr>
          <w:rFonts w:hint="eastAsia" w:ascii="宋体" w:hAnsi="宋体" w:cs="宋体"/>
          <w:color w:val="auto"/>
          <w:kern w:val="0"/>
          <w:szCs w:val="21"/>
          <w:highlight w:val="none"/>
        </w:rPr>
        <w:t>本项目需要落实的政府采购政策</w:t>
      </w:r>
    </w:p>
    <w:p w14:paraId="1B1F313C">
      <w:pPr>
        <w:spacing w:line="360"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062B04A9">
      <w:pPr>
        <w:spacing w:line="360"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3EE275F2">
      <w:pPr>
        <w:spacing w:line="360"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14:paraId="112733AB">
      <w:pPr>
        <w:spacing w:line="360"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14:paraId="1283B361">
      <w:pPr>
        <w:spacing w:line="360"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（5）政府采购支持监狱企业发展。</w:t>
      </w:r>
    </w:p>
    <w:bookmarkEnd w:id="64"/>
    <w:p w14:paraId="6A8CAF5F">
      <w:pPr>
        <w:widowControl/>
        <w:spacing w:line="360" w:lineRule="auto"/>
        <w:ind w:firstLine="420" w:firstLineChars="200"/>
        <w:jc w:val="left"/>
        <w:rPr>
          <w:rFonts w:ascii="宋体" w:hAnsi="宋体"/>
          <w:color w:val="auto"/>
          <w:szCs w:val="21"/>
          <w:highlight w:val="none"/>
        </w:rPr>
      </w:pPr>
      <w:r>
        <w:rPr>
          <w:rFonts w:hint="eastAsia" w:ascii="宋体" w:hAnsi="宋体" w:cs="宋体"/>
          <w:color w:val="auto"/>
          <w:kern w:val="0"/>
          <w:szCs w:val="21"/>
          <w:highlight w:val="none"/>
        </w:rPr>
        <w:t>4.供应商</w:t>
      </w:r>
      <w:r>
        <w:rPr>
          <w:rFonts w:hint="eastAsia" w:ascii="宋体" w:hAnsi="宋体"/>
          <w:color w:val="auto"/>
          <w:szCs w:val="21"/>
          <w:highlight w:val="none"/>
        </w:rPr>
        <w:t>竞标注意事项</w:t>
      </w:r>
    </w:p>
    <w:p w14:paraId="467FC367">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本项目为全流程电子化采购项目，通过广西政府采购云平台（https://www.gcy.zfcg.gxzf.gov.cn/）实行在线电子竞标，供应商应先安装“广西政府采购云平台电子交易客户端”（请自行前往广西政府采购云平台进行下载），并按照本项目竞争性磋商文件和广西政府采购云平台的要求编制、加密后在提交响应文件截止时间前通过网络上传至广西政府采购云平台（加密的电子响应文件是指后缀名为“jmbs”的文件），供应商在广西政府采购云平台提交电子响应文件时，请填写参加远程采购活动经办人联系方式。供应商登录广西政府采购云平台，依次进入“服务中心-项目采购-操作流程-电子招投标-政府采购项目电子交易管理操作指南-供应商”查看电子竞标具体操作流程。</w:t>
      </w:r>
    </w:p>
    <w:p w14:paraId="28E475D8">
      <w:pPr>
        <w:numPr>
          <w:ilvl w:val="0"/>
          <w:numId w:val="1"/>
        </w:num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陆广西政府采购云平台，依次进入“服务中心-入驻与配置”中查看CA数字证书办理操作流程。如在操作过程中遇到问题或者需要技术支持，请致电广西政府采购云平台客服热线：95763）。</w:t>
      </w:r>
    </w:p>
    <w:p w14:paraId="2B0931D9">
      <w:pPr>
        <w:numPr>
          <w:ilvl w:val="0"/>
          <w:numId w:val="1"/>
        </w:num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CA证书在线解密：首次响应文件开启时，需携带制作响应文件时用来加密的有效数字证书（CA认证）登录广西政府采购云平台电子开标大厅现场按规定时间对加密的响应文件进行解密，否则后果自负。</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注：1）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14:paraId="0691FD40">
      <w:pPr>
        <w:numPr>
          <w:ilvl w:val="0"/>
          <w:numId w:val="1"/>
        </w:numPr>
        <w:spacing w:line="360" w:lineRule="auto"/>
        <w:ind w:firstLine="420" w:firstLineChars="200"/>
        <w:rPr>
          <w:rFonts w:ascii="宋体" w:hAnsi="宋体"/>
          <w:bCs/>
          <w:color w:val="auto"/>
          <w:szCs w:val="21"/>
          <w:highlight w:val="none"/>
        </w:rPr>
      </w:pPr>
      <w:r>
        <w:rPr>
          <w:rFonts w:hint="eastAsia" w:ascii="宋体" w:hAnsi="宋体" w:cs="宋体"/>
          <w:color w:val="auto"/>
          <w:kern w:val="0"/>
          <w:szCs w:val="21"/>
          <w:highlight w:val="none"/>
        </w:rPr>
        <w:t>供应商需要在具备有摄像头及语音功能且互联网网络状况良好的电脑登录广西政府采购云平台远程开标大厅参与本次磋商，否则后果自负。</w:t>
      </w:r>
    </w:p>
    <w:p w14:paraId="43EBB738">
      <w:pPr>
        <w:ind w:firstLine="354" w:firstLineChars="147"/>
        <w:rPr>
          <w:rFonts w:ascii="黑体" w:hAnsi="黑体" w:eastAsia="黑体"/>
          <w:b/>
          <w:color w:val="auto"/>
          <w:sz w:val="24"/>
          <w:highlight w:val="none"/>
        </w:rPr>
      </w:pPr>
      <w:r>
        <w:rPr>
          <w:rFonts w:hint="eastAsia" w:ascii="黑体" w:hAnsi="黑体" w:eastAsia="黑体"/>
          <w:b/>
          <w:color w:val="auto"/>
          <w:sz w:val="24"/>
          <w:highlight w:val="none"/>
        </w:rPr>
        <w:t>八、凡对本次采购提出询问，请按</w:t>
      </w:r>
      <w:r>
        <w:rPr>
          <w:rFonts w:ascii="黑体" w:hAnsi="黑体" w:eastAsia="黑体"/>
          <w:b/>
          <w:color w:val="auto"/>
          <w:sz w:val="24"/>
          <w:highlight w:val="none"/>
        </w:rPr>
        <w:t>以下方式</w:t>
      </w:r>
      <w:r>
        <w:rPr>
          <w:rFonts w:hint="eastAsia" w:ascii="黑体" w:hAnsi="黑体" w:eastAsia="黑体"/>
          <w:b/>
          <w:color w:val="auto"/>
          <w:sz w:val="24"/>
          <w:highlight w:val="none"/>
        </w:rPr>
        <w:t>联系。</w:t>
      </w:r>
      <w:bookmarkEnd w:id="65"/>
      <w:bookmarkEnd w:id="66"/>
      <w:bookmarkEnd w:id="67"/>
      <w:bookmarkEnd w:id="68"/>
      <w:bookmarkEnd w:id="69"/>
    </w:p>
    <w:p w14:paraId="1D1F5B37">
      <w:pPr>
        <w:spacing w:line="360" w:lineRule="auto"/>
        <w:ind w:firstLine="420" w:firstLineChars="200"/>
        <w:rPr>
          <w:rFonts w:ascii="宋体" w:hAnsi="宋体" w:cs="宋体"/>
          <w:color w:val="auto"/>
          <w:kern w:val="0"/>
          <w:szCs w:val="21"/>
          <w:highlight w:val="none"/>
        </w:rPr>
      </w:pPr>
      <w:bookmarkStart w:id="70" w:name="_Toc28359019"/>
      <w:bookmarkStart w:id="71" w:name="_Toc35393637"/>
      <w:bookmarkStart w:id="72" w:name="_Toc28359096"/>
      <w:bookmarkStart w:id="73" w:name="_Toc35393806"/>
      <w:r>
        <w:rPr>
          <w:rFonts w:hint="eastAsia" w:ascii="宋体" w:hAnsi="宋体" w:cs="宋体"/>
          <w:color w:val="auto"/>
          <w:kern w:val="0"/>
          <w:szCs w:val="21"/>
          <w:highlight w:val="none"/>
        </w:rPr>
        <w:t>1.采购人信息</w:t>
      </w:r>
    </w:p>
    <w:p w14:paraId="008D62D3">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名称：</w:t>
      </w:r>
      <w:bookmarkStart w:id="74" w:name="OLE_LINK3"/>
      <w:r>
        <w:rPr>
          <w:rFonts w:hint="eastAsia" w:ascii="宋体" w:hAnsi="宋体" w:cs="宋体"/>
          <w:color w:val="auto"/>
          <w:kern w:val="0"/>
          <w:szCs w:val="21"/>
          <w:highlight w:val="none"/>
        </w:rPr>
        <w:t>广西壮族自治区自然资源厅</w:t>
      </w:r>
    </w:p>
    <w:p w14:paraId="3391C1CE">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地址：广西壮族自治区南宁市中新路2号</w:t>
      </w:r>
    </w:p>
    <w:p w14:paraId="63DFF93D">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联系方式：李相芝 ；联系电话：0771-</w:t>
      </w:r>
      <w:bookmarkEnd w:id="74"/>
      <w:r>
        <w:rPr>
          <w:rFonts w:hint="eastAsia" w:ascii="宋体" w:hAnsi="宋体" w:cs="宋体"/>
          <w:color w:val="auto"/>
          <w:kern w:val="0"/>
          <w:szCs w:val="21"/>
          <w:highlight w:val="none"/>
        </w:rPr>
        <w:t>5388056</w:t>
      </w:r>
    </w:p>
    <w:p w14:paraId="24976867">
      <w:pPr>
        <w:spacing w:line="360" w:lineRule="auto"/>
        <w:ind w:firstLine="420" w:firstLineChars="200"/>
        <w:rPr>
          <w:rFonts w:ascii="宋体" w:hAnsi="宋体" w:cs="宋体"/>
          <w:color w:val="auto"/>
          <w:kern w:val="0"/>
          <w:szCs w:val="21"/>
          <w:highlight w:val="none"/>
        </w:rPr>
      </w:pPr>
      <w:bookmarkStart w:id="75" w:name="_Toc28359097"/>
      <w:bookmarkStart w:id="76" w:name="_Toc35393807"/>
      <w:bookmarkStart w:id="77" w:name="_Toc28359020"/>
      <w:bookmarkStart w:id="78" w:name="_Toc35393638"/>
      <w:r>
        <w:rPr>
          <w:rFonts w:hint="eastAsia" w:ascii="宋体" w:hAnsi="宋体" w:cs="宋体"/>
          <w:color w:val="auto"/>
          <w:kern w:val="0"/>
          <w:szCs w:val="21"/>
          <w:highlight w:val="none"/>
        </w:rPr>
        <w:t>2.采购代理机构信息</w:t>
      </w:r>
      <w:bookmarkEnd w:id="75"/>
      <w:bookmarkEnd w:id="76"/>
      <w:bookmarkEnd w:id="77"/>
      <w:bookmarkEnd w:id="78"/>
    </w:p>
    <w:p w14:paraId="3DC0DBA9">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名称：</w:t>
      </w:r>
      <w:bookmarkStart w:id="79" w:name="OLE_LINK4"/>
      <w:r>
        <w:rPr>
          <w:rFonts w:hint="eastAsia" w:ascii="宋体" w:hAnsi="宋体" w:cs="宋体"/>
          <w:color w:val="auto"/>
          <w:kern w:val="0"/>
          <w:szCs w:val="21"/>
          <w:highlight w:val="none"/>
        </w:rPr>
        <w:t>广西众鑫工程项目管理有限公司　</w:t>
      </w:r>
    </w:p>
    <w:p w14:paraId="5ADB15B0">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地址：</w:t>
      </w:r>
      <w:bookmarkStart w:id="80" w:name="OLE_LINK38"/>
      <w:r>
        <w:rPr>
          <w:rFonts w:hint="eastAsia" w:ascii="宋体" w:hAnsi="宋体" w:cs="宋体"/>
          <w:color w:val="auto"/>
          <w:kern w:val="0"/>
          <w:szCs w:val="21"/>
          <w:highlight w:val="none"/>
        </w:rPr>
        <w:t>南宁市青秀区葛村路18号9栋五层（整层） 　</w:t>
      </w:r>
    </w:p>
    <w:bookmarkEnd w:id="80"/>
    <w:p w14:paraId="26119CDA">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联系方式：</w:t>
      </w:r>
      <w:bookmarkStart w:id="81" w:name="OLE_LINK16"/>
      <w:r>
        <w:rPr>
          <w:rFonts w:hint="eastAsia" w:ascii="宋体" w:hAnsi="宋体" w:cs="宋体"/>
          <w:color w:val="auto"/>
          <w:kern w:val="0"/>
          <w:szCs w:val="21"/>
          <w:highlight w:val="none"/>
        </w:rPr>
        <w:t>陶柳宁、吴波</w:t>
      </w:r>
      <w:bookmarkEnd w:id="81"/>
      <w:r>
        <w:rPr>
          <w:rFonts w:hint="eastAsia" w:ascii="宋体" w:hAnsi="宋体" w:cs="宋体"/>
          <w:color w:val="auto"/>
          <w:kern w:val="0"/>
          <w:szCs w:val="21"/>
          <w:highlight w:val="none"/>
        </w:rPr>
        <w:t xml:space="preserve">  联系电话：</w:t>
      </w:r>
      <w:bookmarkStart w:id="82" w:name="OLE_LINK37"/>
      <w:bookmarkStart w:id="83" w:name="OLE_LINK36"/>
      <w:r>
        <w:rPr>
          <w:rFonts w:hint="eastAsia" w:ascii="宋体" w:hAnsi="宋体" w:cs="宋体"/>
          <w:color w:val="auto"/>
          <w:kern w:val="0"/>
          <w:szCs w:val="21"/>
          <w:highlight w:val="none"/>
        </w:rPr>
        <w:t>0771-5613593</w:t>
      </w:r>
      <w:bookmarkEnd w:id="82"/>
      <w:r>
        <w:rPr>
          <w:rFonts w:hint="eastAsia" w:ascii="宋体" w:hAnsi="宋体" w:cs="宋体"/>
          <w:color w:val="auto"/>
          <w:kern w:val="0"/>
          <w:szCs w:val="21"/>
          <w:highlight w:val="none"/>
        </w:rPr>
        <w:t xml:space="preserve"> </w:t>
      </w:r>
      <w:bookmarkEnd w:id="83"/>
    </w:p>
    <w:bookmarkEnd w:id="79"/>
    <w:p w14:paraId="6467C63E">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3.项目联系方式</w:t>
      </w:r>
    </w:p>
    <w:p w14:paraId="548AD862">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项目联系人：陶柳宁、吴波</w:t>
      </w:r>
    </w:p>
    <w:p w14:paraId="11E0F88C">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电话：0771-5613593</w:t>
      </w:r>
    </w:p>
    <w:bookmarkEnd w:id="70"/>
    <w:bookmarkEnd w:id="71"/>
    <w:bookmarkEnd w:id="72"/>
    <w:bookmarkEnd w:id="73"/>
    <w:p w14:paraId="4713FA5F">
      <w:pPr>
        <w:spacing w:line="360" w:lineRule="auto"/>
        <w:ind w:firstLine="420" w:firstLineChars="200"/>
        <w:rPr>
          <w:rFonts w:ascii="宋体" w:hAnsi="宋体"/>
          <w:color w:val="auto"/>
          <w:szCs w:val="21"/>
          <w:highlight w:val="none"/>
          <w:u w:val="single"/>
        </w:rPr>
      </w:pPr>
    </w:p>
    <w:bookmarkEnd w:id="17"/>
    <w:p w14:paraId="7EB65E07">
      <w:pPr>
        <w:spacing w:line="400" w:lineRule="exact"/>
        <w:jc w:val="center"/>
        <w:rPr>
          <w:color w:val="auto"/>
          <w:highlight w:val="none"/>
        </w:rPr>
      </w:pPr>
      <w:bookmarkStart w:id="84" w:name="_Toc74323457"/>
    </w:p>
    <w:p w14:paraId="0E2815F0">
      <w:pPr>
        <w:spacing w:line="400" w:lineRule="exact"/>
        <w:jc w:val="right"/>
        <w:rPr>
          <w:color w:val="auto"/>
          <w:highlight w:val="none"/>
        </w:rPr>
      </w:pPr>
      <w:r>
        <w:rPr>
          <w:rFonts w:hint="eastAsia"/>
          <w:color w:val="auto"/>
          <w:highlight w:val="none"/>
        </w:rPr>
        <w:t>采购</w:t>
      </w:r>
      <w:r>
        <w:rPr>
          <w:color w:val="auto"/>
          <w:highlight w:val="none"/>
        </w:rPr>
        <w:t>代理机构：</w:t>
      </w:r>
      <w:r>
        <w:rPr>
          <w:rFonts w:hint="eastAsia"/>
          <w:color w:val="auto"/>
          <w:highlight w:val="none"/>
        </w:rPr>
        <w:t>广西众鑫工程项目管理有限公司</w:t>
      </w:r>
    </w:p>
    <w:p w14:paraId="438E9251">
      <w:pPr>
        <w:spacing w:line="400" w:lineRule="exact"/>
        <w:jc w:val="center"/>
        <w:rPr>
          <w:color w:val="auto"/>
          <w:highlight w:val="none"/>
        </w:rPr>
        <w:sectPr>
          <w:footerReference r:id="rId8" w:type="first"/>
          <w:footerReference r:id="rId7" w:type="default"/>
          <w:pgSz w:w="11906" w:h="16838"/>
          <w:pgMar w:top="1440" w:right="1080" w:bottom="1440" w:left="1080" w:header="851" w:footer="992" w:gutter="0"/>
          <w:pgNumType w:start="1"/>
          <w:cols w:space="720" w:num="1"/>
          <w:titlePg/>
          <w:docGrid w:type="lines" w:linePitch="312" w:charSpace="0"/>
        </w:sectPr>
      </w:pPr>
      <w:r>
        <w:rPr>
          <w:rFonts w:hint="eastAsia"/>
          <w:color w:val="auto"/>
          <w:highlight w:val="none"/>
        </w:rPr>
        <w:t xml:space="preserve">                                               2025年</w:t>
      </w:r>
      <w:r>
        <w:rPr>
          <w:rFonts w:hint="eastAsia"/>
          <w:color w:val="auto"/>
          <w:highlight w:val="none"/>
          <w:lang w:val="en-US" w:eastAsia="zh-CN"/>
        </w:rPr>
        <w:t>12</w:t>
      </w:r>
      <w:r>
        <w:rPr>
          <w:rFonts w:hint="eastAsia"/>
          <w:color w:val="auto"/>
          <w:highlight w:val="none"/>
        </w:rPr>
        <w:t>月</w:t>
      </w:r>
      <w:r>
        <w:rPr>
          <w:rFonts w:hint="eastAsia"/>
          <w:color w:val="auto"/>
          <w:highlight w:val="none"/>
          <w:lang w:val="en-US" w:eastAsia="zh-CN"/>
        </w:rPr>
        <w:t>15</w:t>
      </w:r>
      <w:r>
        <w:rPr>
          <w:rFonts w:hint="eastAsia"/>
          <w:color w:val="auto"/>
          <w:highlight w:val="none"/>
        </w:rPr>
        <w:t>日</w:t>
      </w:r>
    </w:p>
    <w:p w14:paraId="25F0CBF5">
      <w:pPr>
        <w:pStyle w:val="2"/>
        <w:jc w:val="center"/>
        <w:rPr>
          <w:color w:val="auto"/>
          <w:highlight w:val="none"/>
        </w:rPr>
      </w:pPr>
      <w:r>
        <w:rPr>
          <w:rFonts w:hint="eastAsia"/>
          <w:color w:val="auto"/>
          <w:highlight w:val="none"/>
        </w:rPr>
        <w:t>第二章 供应商须知</w:t>
      </w:r>
      <w:bookmarkEnd w:id="84"/>
    </w:p>
    <w:p w14:paraId="6A9855DF">
      <w:pPr>
        <w:spacing w:line="400" w:lineRule="exact"/>
        <w:jc w:val="center"/>
        <w:rPr>
          <w:rFonts w:ascii="宋体" w:hAnsi="宋体"/>
          <w:b/>
          <w:color w:val="auto"/>
          <w:sz w:val="32"/>
          <w:szCs w:val="32"/>
          <w:highlight w:val="none"/>
        </w:rPr>
      </w:pPr>
      <w:r>
        <w:rPr>
          <w:rFonts w:hint="eastAsia" w:ascii="宋体" w:hAnsi="宋体"/>
          <w:b/>
          <w:color w:val="auto"/>
          <w:sz w:val="32"/>
          <w:szCs w:val="32"/>
          <w:highlight w:val="none"/>
        </w:rPr>
        <w:t>供应商须知前附表</w:t>
      </w:r>
    </w:p>
    <w:p w14:paraId="024171FB">
      <w:pPr>
        <w:spacing w:line="400" w:lineRule="exact"/>
        <w:jc w:val="center"/>
        <w:rPr>
          <w:rFonts w:ascii="宋体" w:hAnsi="宋体"/>
          <w:b/>
          <w:color w:val="auto"/>
          <w:sz w:val="32"/>
          <w:szCs w:val="32"/>
          <w:highlight w:val="none"/>
        </w:rPr>
      </w:pPr>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2AC94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32A39841">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条款号</w:t>
            </w:r>
          </w:p>
        </w:tc>
        <w:tc>
          <w:tcPr>
            <w:tcW w:w="7912" w:type="dxa"/>
          </w:tcPr>
          <w:p w14:paraId="68E056AA">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内    容</w:t>
            </w:r>
          </w:p>
        </w:tc>
      </w:tr>
      <w:tr w14:paraId="19D3F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0B3664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7912" w:type="dxa"/>
            <w:vAlign w:val="center"/>
          </w:tcPr>
          <w:p w14:paraId="62B2F9D4">
            <w:pPr>
              <w:spacing w:line="360" w:lineRule="auto"/>
              <w:rPr>
                <w:rFonts w:ascii="宋体" w:hAnsi="宋体"/>
                <w:color w:val="auto"/>
                <w:szCs w:val="21"/>
                <w:highlight w:val="none"/>
              </w:rPr>
            </w:pPr>
            <w:r>
              <w:rPr>
                <w:rFonts w:hint="eastAsia" w:ascii="宋体" w:hAnsi="宋体" w:cs="宋体"/>
                <w:bCs/>
                <w:color w:val="auto"/>
                <w:szCs w:val="21"/>
                <w:highlight w:val="none"/>
              </w:rPr>
              <w:t>1.供应商的资格条件</w:t>
            </w:r>
            <w:r>
              <w:rPr>
                <w:rFonts w:hint="eastAsia" w:ascii="宋体" w:hAnsi="宋体" w:cs="宋体"/>
                <w:color w:val="auto"/>
                <w:szCs w:val="21"/>
                <w:highlight w:val="none"/>
              </w:rPr>
              <w:t>：详见竞争性磋商公告</w:t>
            </w:r>
          </w:p>
          <w:p w14:paraId="411C4E9E">
            <w:pPr>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bCs/>
                <w:color w:val="auto"/>
                <w:szCs w:val="21"/>
                <w:highlight w:val="none"/>
              </w:rPr>
              <w:t>供应商</w:t>
            </w:r>
            <w:r>
              <w:rPr>
                <w:rFonts w:hint="eastAsia" w:ascii="宋体" w:hAnsi="宋体" w:cs="宋体"/>
                <w:color w:val="auto"/>
                <w:szCs w:val="21"/>
                <w:highlight w:val="none"/>
              </w:rPr>
              <w:t>出现下列情形之一的，不得参加政府采购活动：</w:t>
            </w:r>
          </w:p>
          <w:p w14:paraId="36384518">
            <w:pPr>
              <w:spacing w:line="360" w:lineRule="auto"/>
              <w:rPr>
                <w:rFonts w:ascii="宋体" w:hAnsi="宋体" w:cs="宋体"/>
                <w:color w:val="auto"/>
                <w:szCs w:val="21"/>
                <w:highlight w:val="none"/>
              </w:rPr>
            </w:pPr>
            <w:r>
              <w:rPr>
                <w:rFonts w:hint="eastAsia" w:ascii="宋体" w:hAnsi="宋体" w:cs="宋体"/>
                <w:color w:val="auto"/>
                <w:szCs w:val="21"/>
                <w:highlight w:val="none"/>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3F29328">
            <w:pPr>
              <w:spacing w:line="360" w:lineRule="auto"/>
              <w:rPr>
                <w:rFonts w:ascii="宋体" w:hAnsi="宋体" w:cs="宋体"/>
                <w:color w:val="auto"/>
                <w:szCs w:val="21"/>
                <w:highlight w:val="none"/>
              </w:rPr>
            </w:pPr>
            <w:r>
              <w:rPr>
                <w:rFonts w:hint="eastAsia" w:ascii="宋体" w:hAnsi="宋体" w:cs="宋体"/>
                <w:color w:val="auto"/>
                <w:szCs w:val="21"/>
                <w:highlight w:val="none"/>
              </w:rPr>
              <w:t>2.2对在“信用中国”网站（www.creditchina.gov.cn）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3E104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DF3CE3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5.1</w:t>
            </w:r>
          </w:p>
        </w:tc>
        <w:tc>
          <w:tcPr>
            <w:tcW w:w="7912" w:type="dxa"/>
            <w:vAlign w:val="center"/>
          </w:tcPr>
          <w:p w14:paraId="6BC2E140">
            <w:pPr>
              <w:spacing w:line="360" w:lineRule="auto"/>
              <w:rPr>
                <w:rFonts w:ascii="宋体" w:hAnsi="宋体" w:cs="宋体"/>
                <w:color w:val="auto"/>
                <w:szCs w:val="21"/>
                <w:highlight w:val="none"/>
              </w:rPr>
            </w:pPr>
            <w:r>
              <w:rPr>
                <w:rFonts w:hint="eastAsia" w:ascii="宋体" w:hAnsi="宋体" w:cs="宋体"/>
                <w:color w:val="auto"/>
                <w:szCs w:val="21"/>
                <w:highlight w:val="none"/>
              </w:rPr>
              <w:t>是否接受联合体竞标：详见竞争性磋商公告。</w:t>
            </w:r>
          </w:p>
        </w:tc>
      </w:tr>
      <w:tr w14:paraId="15E53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E9A554A">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.2</w:t>
            </w:r>
          </w:p>
        </w:tc>
        <w:tc>
          <w:tcPr>
            <w:tcW w:w="7912" w:type="dxa"/>
            <w:vAlign w:val="center"/>
          </w:tcPr>
          <w:p w14:paraId="5AFF0883">
            <w:pPr>
              <w:spacing w:line="360" w:lineRule="auto"/>
              <w:rPr>
                <w:rFonts w:ascii="宋体" w:hAnsi="宋体" w:cs="宋体"/>
                <w:color w:val="auto"/>
                <w:szCs w:val="21"/>
                <w:highlight w:val="none"/>
              </w:rPr>
            </w:pPr>
            <w:r>
              <w:rPr>
                <w:rFonts w:hint="eastAsia" w:ascii="宋体" w:hAnsi="宋体"/>
                <w:color w:val="auto"/>
                <w:szCs w:val="21"/>
                <w:highlight w:val="none"/>
              </w:rPr>
              <w:t>如接受联合体竞标，联合体竞标要求如下：</w:t>
            </w:r>
          </w:p>
          <w:p w14:paraId="07751F91">
            <w:pPr>
              <w:spacing w:line="360" w:lineRule="auto"/>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w:t>
            </w:r>
            <w:r>
              <w:rPr>
                <w:rFonts w:hint="eastAsia" w:ascii="宋体" w:hAnsi="宋体" w:cs="宋体"/>
                <w:color w:val="auto"/>
                <w:szCs w:val="21"/>
                <w:highlight w:val="none"/>
              </w:rPr>
              <w:t>两个以上供应商可以组成一个竞标联合体，以一个供应商的身份共同参加竞标。联合体竞标的，须提供《联合体竞标协议书》（格式后附）。</w:t>
            </w:r>
          </w:p>
          <w:p w14:paraId="645F7DE1">
            <w:pPr>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以联合体形式参加竞标的，联合体各方均必须具备《中华人民共和国政府采购法》第二十二条第一款规定的基本条件（涉及行政许可范围的内容，联合体各方均应具备相应资质）。本项目有特殊要求规定供应商特定条件的，联合体各方中至少有一方必须符合磋商文件规定的特定条件。</w:t>
            </w:r>
          </w:p>
          <w:p w14:paraId="2C80C07C">
            <w:pPr>
              <w:spacing w:line="360" w:lineRule="auto"/>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w:t>
            </w:r>
            <w:r>
              <w:rPr>
                <w:rFonts w:hint="eastAsia" w:ascii="宋体" w:hAnsi="宋体" w:cs="宋体"/>
                <w:color w:val="auto"/>
                <w:szCs w:val="21"/>
                <w:highlight w:val="none"/>
              </w:rPr>
              <w:t>联合体各方之间必须签订联合竞标协议，协议书必须明确主体方（或者牵头方）并明确约定联合体各方承担的工作和相应的责任（</w:t>
            </w:r>
            <w:r>
              <w:rPr>
                <w:rFonts w:hint="eastAsia" w:ascii="宋体" w:hAnsi="宋体" w:cs="宋体"/>
                <w:b/>
                <w:color w:val="auto"/>
                <w:szCs w:val="21"/>
                <w:highlight w:val="none"/>
              </w:rPr>
              <w:t>各方承担责任与义务的分工必须符合采购需求，否则，联合体竞标无效</w:t>
            </w:r>
            <w:r>
              <w:rPr>
                <w:rFonts w:hint="eastAsia" w:ascii="宋体" w:hAnsi="宋体" w:cs="宋体"/>
                <w:color w:val="auto"/>
                <w:szCs w:val="21"/>
                <w:highlight w:val="none"/>
              </w:rPr>
              <w:t>），并将联合竞标协议放入响应文件。联合体各方必须共同与采购人签订采购合同，就采购合同约定的事项对采购人承担连带责任。</w:t>
            </w:r>
          </w:p>
          <w:p w14:paraId="6BA99447">
            <w:pPr>
              <w:spacing w:line="360" w:lineRule="auto"/>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w:t>
            </w:r>
            <w:r>
              <w:rPr>
                <w:rFonts w:hint="eastAsia" w:ascii="宋体" w:hAnsi="宋体" w:cs="宋体"/>
                <w:color w:val="auto"/>
                <w:szCs w:val="21"/>
                <w:highlight w:val="none"/>
              </w:rPr>
              <w:t>以联合体形式参加政府采购活动的，联合体各方不得再单独参加或者与其他供应商另外组成联合体参加同一合同项下的政府采购活动。</w:t>
            </w:r>
          </w:p>
          <w:p w14:paraId="456DD54F">
            <w:pPr>
              <w:spacing w:line="360" w:lineRule="auto"/>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w:t>
            </w:r>
            <w:r>
              <w:rPr>
                <w:rFonts w:hint="eastAsia" w:ascii="宋体" w:hAnsi="宋体" w:cs="宋体"/>
                <w:color w:val="auto"/>
                <w:szCs w:val="21"/>
                <w:highlight w:val="none"/>
              </w:rPr>
              <w:t>联合体中有同类资质的供应商按照联合体分工承担相同工作的，应当按照资质等级较低的供应商确定资质等级。</w:t>
            </w:r>
          </w:p>
          <w:p w14:paraId="4C59E019">
            <w:pPr>
              <w:spacing w:line="360" w:lineRule="auto"/>
              <w:rPr>
                <w:rFonts w:ascii="宋体" w:hAnsi="宋体" w:cs="宋体"/>
                <w:color w:val="auto"/>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w:t>
            </w:r>
            <w:r>
              <w:rPr>
                <w:rFonts w:hint="eastAsia" w:ascii="宋体" w:hAnsi="宋体"/>
                <w:color w:val="auto"/>
                <w:szCs w:val="21"/>
                <w:highlight w:val="none"/>
              </w:rPr>
              <w:t>联合体投标业绩、履约能力按照联合体各方其中较高的一方认定并计算（招标文件另有规定的除外）。</w:t>
            </w:r>
            <w:r>
              <w:rPr>
                <w:rFonts w:hint="eastAsia" w:ascii="宋体" w:hAnsi="宋体" w:cs="宋体"/>
                <w:color w:val="auto"/>
                <w:szCs w:val="21"/>
                <w:highlight w:val="none"/>
              </w:rPr>
              <w:t>（磋商文件另有规定的除外）。</w:t>
            </w:r>
          </w:p>
          <w:p w14:paraId="298DA1AD">
            <w:pPr>
              <w:spacing w:line="360" w:lineRule="auto"/>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w:t>
            </w:r>
            <w:r>
              <w:rPr>
                <w:rFonts w:hint="eastAsia" w:ascii="宋体" w:hAnsi="宋体" w:cs="宋体"/>
                <w:color w:val="auto"/>
                <w:szCs w:val="21"/>
                <w:highlight w:val="none"/>
              </w:rPr>
              <w:t>联合体各方均应按照磋商文件的规定提交资格证明文件。</w:t>
            </w:r>
          </w:p>
        </w:tc>
      </w:tr>
      <w:tr w14:paraId="31F80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2AA896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6.2</w:t>
            </w:r>
          </w:p>
        </w:tc>
        <w:tc>
          <w:tcPr>
            <w:tcW w:w="7912" w:type="dxa"/>
            <w:vAlign w:val="center"/>
          </w:tcPr>
          <w:p w14:paraId="1AB22754">
            <w:pPr>
              <w:pStyle w:val="9"/>
              <w:spacing w:line="360" w:lineRule="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不允许分包</w:t>
            </w:r>
          </w:p>
          <w:p w14:paraId="529088C6">
            <w:pPr>
              <w:pStyle w:val="9"/>
              <w:spacing w:line="360" w:lineRule="auto"/>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允许分包</w:t>
            </w:r>
          </w:p>
          <w:p w14:paraId="434F7AE7">
            <w:pPr>
              <w:pStyle w:val="9"/>
              <w:spacing w:line="360" w:lineRule="auto"/>
              <w:rPr>
                <w:rFonts w:ascii="宋体" w:hAnsi="宋体"/>
                <w:color w:val="auto"/>
                <w:szCs w:val="21"/>
                <w:highlight w:val="none"/>
                <w:u w:val="single"/>
              </w:rPr>
            </w:pPr>
            <w:r>
              <w:rPr>
                <w:rFonts w:hint="eastAsia" w:ascii="宋体" w:hAnsi="宋体"/>
                <w:color w:val="auto"/>
                <w:szCs w:val="21"/>
                <w:highlight w:val="none"/>
              </w:rPr>
              <w:t>分包内容：</w:t>
            </w:r>
            <w:r>
              <w:rPr>
                <w:rFonts w:hint="eastAsia" w:ascii="宋体" w:hAnsi="宋体" w:cs="宋体"/>
                <w:color w:val="auto"/>
                <w:szCs w:val="21"/>
                <w:highlight w:val="none"/>
                <w:u w:val="single"/>
              </w:rPr>
              <w:t xml:space="preserve">               </w:t>
            </w:r>
            <w:r>
              <w:rPr>
                <w:rFonts w:hint="eastAsia" w:ascii="宋体" w:hAnsi="宋体"/>
                <w:color w:val="auto"/>
                <w:szCs w:val="21"/>
                <w:highlight w:val="none"/>
                <w:u w:val="single"/>
              </w:rPr>
              <w:t>。</w:t>
            </w:r>
          </w:p>
          <w:p w14:paraId="05EFF592">
            <w:pPr>
              <w:pStyle w:val="9"/>
              <w:spacing w:line="360" w:lineRule="auto"/>
              <w:rPr>
                <w:rFonts w:ascii="宋体" w:hAnsi="宋体"/>
                <w:color w:val="auto"/>
                <w:szCs w:val="21"/>
                <w:highlight w:val="none"/>
                <w:u w:val="single"/>
              </w:rPr>
            </w:pPr>
            <w:r>
              <w:rPr>
                <w:rFonts w:hint="eastAsia" w:ascii="宋体" w:hAnsi="宋体"/>
                <w:color w:val="auto"/>
                <w:szCs w:val="21"/>
                <w:highlight w:val="none"/>
              </w:rPr>
              <w:t>分包金额或者比例：</w:t>
            </w:r>
            <w:r>
              <w:rPr>
                <w:rFonts w:hint="eastAsia" w:ascii="宋体" w:hAnsi="宋体" w:cs="宋体"/>
                <w:color w:val="auto"/>
                <w:szCs w:val="21"/>
                <w:highlight w:val="none"/>
                <w:u w:val="single"/>
              </w:rPr>
              <w:t xml:space="preserve">                   </w:t>
            </w:r>
            <w:r>
              <w:rPr>
                <w:rFonts w:hint="eastAsia" w:ascii="宋体" w:hAnsi="宋体"/>
                <w:color w:val="auto"/>
                <w:szCs w:val="21"/>
                <w:highlight w:val="none"/>
                <w:u w:val="single"/>
              </w:rPr>
              <w:t>。</w:t>
            </w:r>
          </w:p>
          <w:p w14:paraId="3B7434A1">
            <w:pPr>
              <w:pStyle w:val="9"/>
              <w:spacing w:line="360" w:lineRule="auto"/>
              <w:rPr>
                <w:rFonts w:ascii="宋体" w:hAnsi="宋体"/>
                <w:color w:val="auto"/>
                <w:szCs w:val="21"/>
                <w:highlight w:val="none"/>
                <w:u w:val="single"/>
              </w:rPr>
            </w:pPr>
            <w:r>
              <w:rPr>
                <w:rFonts w:hint="eastAsia" w:ascii="宋体" w:hAnsi="宋体"/>
                <w:color w:val="auto"/>
                <w:szCs w:val="21"/>
                <w:highlight w:val="none"/>
              </w:rPr>
              <w:t>分包供应商必须具备的资质：</w:t>
            </w:r>
            <w:r>
              <w:rPr>
                <w:rFonts w:hint="eastAsia" w:ascii="宋体" w:hAnsi="宋体"/>
                <w:color w:val="auto"/>
                <w:szCs w:val="21"/>
                <w:highlight w:val="none"/>
                <w:u w:val="single"/>
              </w:rPr>
              <w:t xml:space="preserve">                。</w:t>
            </w:r>
          </w:p>
        </w:tc>
      </w:tr>
      <w:tr w14:paraId="3F855F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B561AC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p>
        </w:tc>
        <w:tc>
          <w:tcPr>
            <w:tcW w:w="7912" w:type="dxa"/>
            <w:vAlign w:val="center"/>
          </w:tcPr>
          <w:p w14:paraId="7BAE7ACA">
            <w:pPr>
              <w:snapToGri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资格证明文件</w:t>
            </w:r>
          </w:p>
          <w:p w14:paraId="2C347D92">
            <w:pPr>
              <w:pStyle w:val="9"/>
              <w:spacing w:line="360" w:lineRule="auto"/>
              <w:rPr>
                <w:rFonts w:ascii="宋体" w:hAnsi="宋体"/>
                <w:color w:val="auto"/>
                <w:szCs w:val="21"/>
                <w:highlight w:val="none"/>
              </w:rPr>
            </w:pPr>
            <w:r>
              <w:rPr>
                <w:rFonts w:hint="eastAsia" w:ascii="宋体" w:hAnsi="宋体" w:cs="宋体"/>
                <w:color w:val="auto"/>
                <w:szCs w:val="21"/>
                <w:highlight w:val="none"/>
              </w:rPr>
              <w:t>1.供应商为法人或者其他组织的提供其营业执照等证明文件（如营业执照或者事业单位法人证书或者执业许可证或者登记证书等），供应商为自然人的提供其身份证复印件；（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F8D8A0C">
            <w:pPr>
              <w:spacing w:line="360" w:lineRule="auto"/>
              <w:contextualSpacing/>
              <w:jc w:val="left"/>
              <w:rPr>
                <w:rFonts w:ascii="宋体" w:hAnsi="宋体" w:cs="宋体"/>
                <w:color w:val="auto"/>
                <w:szCs w:val="21"/>
                <w:highlight w:val="none"/>
              </w:rPr>
            </w:pPr>
            <w:r>
              <w:rPr>
                <w:rFonts w:hint="eastAsia" w:ascii="宋体" w:hAnsi="宋体" w:cs="宋体"/>
                <w:color w:val="auto"/>
                <w:szCs w:val="21"/>
                <w:highlight w:val="none"/>
              </w:rPr>
              <w:t>2.供应商依法缴纳税收的相关材料（磋商截止之日前半年内供应商任意1个月的依法缴纳税收的凭据复印件；</w:t>
            </w:r>
            <w:r>
              <w:rPr>
                <w:rFonts w:hint="eastAsia" w:ascii="宋体" w:hAnsi="宋体"/>
                <w:color w:val="auto"/>
                <w:szCs w:val="21"/>
                <w:highlight w:val="none"/>
              </w:rPr>
              <w:t>依法免税的，必须提供相应文件证明其依法免税。</w:t>
            </w:r>
            <w:r>
              <w:rPr>
                <w:rFonts w:hint="eastAsia" w:ascii="宋体" w:hAnsi="宋体" w:cs="宋体"/>
                <w:color w:val="auto"/>
                <w:szCs w:val="21"/>
                <w:highlight w:val="none"/>
              </w:rPr>
              <w:t>从</w:t>
            </w:r>
            <w:r>
              <w:rPr>
                <w:rFonts w:ascii="宋体" w:hAnsi="宋体"/>
                <w:color w:val="auto"/>
                <w:szCs w:val="21"/>
                <w:highlight w:val="none"/>
              </w:rPr>
              <w:t>成立</w:t>
            </w:r>
            <w:r>
              <w:rPr>
                <w:rFonts w:hint="eastAsia" w:ascii="宋体" w:hAnsi="宋体"/>
                <w:color w:val="auto"/>
                <w:szCs w:val="21"/>
                <w:highlight w:val="none"/>
              </w:rPr>
              <w:t>之日起</w:t>
            </w:r>
            <w:r>
              <w:rPr>
                <w:rFonts w:hint="eastAsia" w:ascii="宋体" w:hAnsi="宋体" w:cs="宋体"/>
                <w:color w:val="auto"/>
                <w:szCs w:val="21"/>
                <w:highlight w:val="none"/>
              </w:rPr>
              <w:t>到响应文件提交截止时间止不足要求月数的，只需提供从</w:t>
            </w:r>
            <w:r>
              <w:rPr>
                <w:rFonts w:ascii="宋体" w:hAnsi="宋体"/>
                <w:color w:val="auto"/>
                <w:szCs w:val="21"/>
                <w:highlight w:val="none"/>
              </w:rPr>
              <w:t>成立</w:t>
            </w:r>
            <w:r>
              <w:rPr>
                <w:rFonts w:hint="eastAsia" w:ascii="宋体" w:hAnsi="宋体"/>
                <w:color w:val="auto"/>
                <w:szCs w:val="21"/>
                <w:highlight w:val="none"/>
              </w:rPr>
              <w:t>之日起</w:t>
            </w:r>
            <w:r>
              <w:rPr>
                <w:rFonts w:hint="eastAsia" w:ascii="宋体" w:hAnsi="宋体" w:cs="宋体"/>
                <w:color w:val="auto"/>
                <w:szCs w:val="21"/>
                <w:highlight w:val="none"/>
              </w:rPr>
              <w:t>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D4D2294">
            <w:pPr>
              <w:spacing w:line="360" w:lineRule="auto"/>
              <w:contextualSpacing/>
              <w:jc w:val="left"/>
              <w:rPr>
                <w:rFonts w:ascii="宋体" w:hAnsi="宋体" w:cs="宋体"/>
                <w:color w:val="auto"/>
                <w:szCs w:val="21"/>
                <w:highlight w:val="none"/>
              </w:rPr>
            </w:pPr>
            <w:r>
              <w:rPr>
                <w:rFonts w:hint="eastAsia" w:ascii="宋体" w:hAnsi="宋体" w:cs="宋体"/>
                <w:color w:val="auto"/>
                <w:szCs w:val="21"/>
                <w:highlight w:val="none"/>
              </w:rPr>
              <w:t>3.供应商依法缴纳社会保障资金的相关材料[磋商截止之日前半年内供应商任意1个月的依法缴纳社会保障资金的缴费凭证（专用收据或者社会保险缴纳清单）复印件；</w:t>
            </w:r>
            <w:r>
              <w:rPr>
                <w:rFonts w:hint="eastAsia" w:ascii="宋体" w:hAnsi="宋体"/>
                <w:color w:val="auto"/>
                <w:szCs w:val="21"/>
                <w:highlight w:val="none"/>
              </w:rPr>
              <w:t>依法不需要缴纳社会保障资金的，必须提供相应文件证明不需要缴纳社会保障资金。</w:t>
            </w:r>
            <w:r>
              <w:rPr>
                <w:rFonts w:hint="eastAsia" w:ascii="宋体" w:hAnsi="宋体" w:cs="宋体"/>
                <w:color w:val="auto"/>
                <w:szCs w:val="21"/>
                <w:highlight w:val="none"/>
              </w:rPr>
              <w:t>从</w:t>
            </w:r>
            <w:r>
              <w:rPr>
                <w:rFonts w:ascii="宋体" w:hAnsi="宋体"/>
                <w:color w:val="auto"/>
                <w:szCs w:val="21"/>
                <w:highlight w:val="none"/>
              </w:rPr>
              <w:t>成立</w:t>
            </w:r>
            <w:r>
              <w:rPr>
                <w:rFonts w:hint="eastAsia" w:ascii="宋体" w:hAnsi="宋体"/>
                <w:color w:val="auto"/>
                <w:szCs w:val="21"/>
                <w:highlight w:val="none"/>
              </w:rPr>
              <w:t>之日起</w:t>
            </w:r>
            <w:r>
              <w:rPr>
                <w:rFonts w:hint="eastAsia" w:ascii="宋体" w:hAnsi="宋体" w:cs="宋体"/>
                <w:color w:val="auto"/>
                <w:szCs w:val="21"/>
                <w:highlight w:val="none"/>
              </w:rPr>
              <w:t>到响应文件提交截止时间止不足要求月数的只需提供从</w:t>
            </w:r>
            <w:r>
              <w:rPr>
                <w:rFonts w:ascii="宋体" w:hAnsi="宋体"/>
                <w:color w:val="auto"/>
                <w:szCs w:val="21"/>
                <w:highlight w:val="none"/>
              </w:rPr>
              <w:t>成立</w:t>
            </w:r>
            <w:r>
              <w:rPr>
                <w:rFonts w:hint="eastAsia" w:ascii="宋体" w:hAnsi="宋体"/>
                <w:color w:val="auto"/>
                <w:szCs w:val="21"/>
                <w:highlight w:val="none"/>
              </w:rPr>
              <w:t>之日起</w:t>
            </w:r>
            <w:r>
              <w:rPr>
                <w:rFonts w:hint="eastAsia" w:ascii="宋体" w:hAnsi="宋体" w:cs="宋体"/>
                <w:color w:val="auto"/>
                <w:szCs w:val="21"/>
                <w:highlight w:val="none"/>
              </w:rPr>
              <w:t>的依法缴纳社会保障资金的</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EE6600E">
            <w:pPr>
              <w:spacing w:line="360" w:lineRule="auto"/>
              <w:contextualSpacing/>
              <w:jc w:val="left"/>
              <w:rPr>
                <w:rFonts w:ascii="宋体" w:hAnsi="宋体" w:cs="宋体"/>
                <w:bCs/>
                <w:color w:val="auto"/>
                <w:szCs w:val="21"/>
                <w:highlight w:val="none"/>
              </w:rPr>
            </w:pPr>
            <w:r>
              <w:rPr>
                <w:rFonts w:hint="eastAsia" w:ascii="宋体" w:hAnsi="宋体" w:cs="宋体"/>
                <w:color w:val="auto"/>
                <w:szCs w:val="21"/>
                <w:highlight w:val="none"/>
              </w:rPr>
              <w:t>4.竞标人财务状况报告：提供2024年度财务报表复印件或者银行出具的资信证明（资信证明应在有效期内，未注明有效期的，银行出具时间至首次响应文件提交截止之日不超过一年）；供应商成立不满一年的应按提供首次响应文件提交截止之日上一个月的财务状况报告复印件）；</w:t>
            </w:r>
            <w:r>
              <w:rPr>
                <w:rFonts w:hint="eastAsia" w:ascii="宋体" w:hAnsi="宋体" w:cs="宋体"/>
                <w:bCs/>
                <w:color w:val="auto"/>
                <w:szCs w:val="21"/>
                <w:highlight w:val="none"/>
              </w:rPr>
              <w:t>（</w:t>
            </w:r>
            <w:r>
              <w:rPr>
                <w:rFonts w:hint="eastAsia" w:ascii="宋体" w:hAnsi="宋体"/>
                <w:b/>
                <w:color w:val="auto"/>
                <w:szCs w:val="21"/>
                <w:highlight w:val="none"/>
              </w:rPr>
              <w:t>必须提供</w:t>
            </w:r>
            <w:r>
              <w:rPr>
                <w:rFonts w:hint="eastAsia" w:ascii="宋体" w:hAnsi="宋体" w:cs="宋体"/>
                <w:b/>
                <w:color w:val="auto"/>
                <w:szCs w:val="21"/>
                <w:highlight w:val="none"/>
              </w:rPr>
              <w:t>，否则响应文件按无效响应处理</w:t>
            </w:r>
            <w:r>
              <w:rPr>
                <w:rFonts w:hint="eastAsia" w:ascii="宋体" w:hAnsi="宋体" w:cs="宋体"/>
                <w:bCs/>
                <w:color w:val="auto"/>
                <w:szCs w:val="21"/>
                <w:highlight w:val="none"/>
              </w:rPr>
              <w:t>）</w:t>
            </w:r>
          </w:p>
          <w:p w14:paraId="793C25BB">
            <w:pPr>
              <w:spacing w:line="360" w:lineRule="auto"/>
              <w:contextualSpacing/>
              <w:jc w:val="left"/>
              <w:rPr>
                <w:rFonts w:ascii="宋体" w:hAnsi="宋体"/>
                <w:color w:val="auto"/>
                <w:szCs w:val="21"/>
                <w:highlight w:val="none"/>
              </w:rPr>
            </w:pPr>
            <w:r>
              <w:rPr>
                <w:rFonts w:hint="eastAsia" w:ascii="宋体" w:hAnsi="宋体" w:cs="宋体"/>
                <w:color w:val="auto"/>
                <w:szCs w:val="21"/>
                <w:highlight w:val="none"/>
              </w:rPr>
              <w:t>5.供应商直接控股、管理关系信息表（格式后附）；（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563805E">
            <w:pPr>
              <w:spacing w:line="360" w:lineRule="auto"/>
              <w:contextualSpacing/>
              <w:jc w:val="left"/>
              <w:rPr>
                <w:rFonts w:ascii="宋体" w:hAnsi="宋体"/>
                <w:color w:val="auto"/>
                <w:szCs w:val="21"/>
                <w:highlight w:val="none"/>
              </w:rPr>
            </w:pPr>
            <w:r>
              <w:rPr>
                <w:rFonts w:hint="eastAsia" w:ascii="宋体" w:hAnsi="宋体" w:cs="宋体"/>
                <w:color w:val="auto"/>
                <w:szCs w:val="21"/>
                <w:highlight w:val="none"/>
              </w:rPr>
              <w:t>6.竞标声明（格式后附）；（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D3F9E3A">
            <w:pPr>
              <w:spacing w:line="360" w:lineRule="auto"/>
              <w:contextualSpacing/>
              <w:jc w:val="left"/>
              <w:rPr>
                <w:rFonts w:ascii="宋体" w:hAnsi="宋体"/>
                <w:color w:val="auto"/>
                <w:szCs w:val="21"/>
                <w:highlight w:val="none"/>
              </w:rPr>
            </w:pPr>
            <w:r>
              <w:rPr>
                <w:rFonts w:hint="eastAsia" w:ascii="宋体" w:hAnsi="宋体" w:cs="宋体"/>
                <w:color w:val="auto"/>
                <w:szCs w:val="21"/>
                <w:highlight w:val="none"/>
              </w:rPr>
              <w:t>7.联合体竞标协议书（格式后附）；（</w:t>
            </w:r>
            <w:r>
              <w:rPr>
                <w:rFonts w:hint="eastAsia" w:ascii="宋体" w:hAnsi="宋体" w:cs="宋体"/>
                <w:b/>
                <w:color w:val="auto"/>
                <w:szCs w:val="21"/>
                <w:highlight w:val="none"/>
              </w:rPr>
              <w:t>联合体竞标时必须提供，否则响应文件按无效响应处理</w:t>
            </w:r>
            <w:r>
              <w:rPr>
                <w:rFonts w:hint="eastAsia" w:ascii="宋体" w:hAnsi="宋体" w:cs="宋体"/>
                <w:color w:val="auto"/>
                <w:szCs w:val="21"/>
                <w:highlight w:val="none"/>
              </w:rPr>
              <w:t>）</w:t>
            </w:r>
          </w:p>
          <w:p w14:paraId="2230160A">
            <w:pPr>
              <w:spacing w:line="360" w:lineRule="auto"/>
              <w:contextualSpacing/>
              <w:jc w:val="left"/>
              <w:rPr>
                <w:rFonts w:ascii="宋体" w:hAnsi="宋体" w:cs="宋体"/>
                <w:color w:val="auto"/>
                <w:szCs w:val="21"/>
                <w:highlight w:val="none"/>
              </w:rPr>
            </w:pPr>
            <w:r>
              <w:rPr>
                <w:rFonts w:hint="eastAsia" w:ascii="宋体" w:hAnsi="宋体" w:cs="宋体"/>
                <w:color w:val="auto"/>
                <w:szCs w:val="21"/>
                <w:highlight w:val="none"/>
              </w:rPr>
              <w:t>8.廉政承诺书（格式后附）；（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1F95A07">
            <w:pPr>
              <w:spacing w:line="360" w:lineRule="auto"/>
              <w:contextualSpacing/>
              <w:jc w:val="left"/>
              <w:rPr>
                <w:rFonts w:ascii="宋体" w:hAnsi="宋体" w:cs="宋体"/>
                <w:color w:val="auto"/>
                <w:szCs w:val="21"/>
                <w:highlight w:val="none"/>
              </w:rPr>
            </w:pPr>
            <w:r>
              <w:rPr>
                <w:rFonts w:hint="eastAsia" w:ascii="宋体" w:hAnsi="宋体" w:cs="宋体"/>
                <w:color w:val="auto"/>
                <w:szCs w:val="21"/>
                <w:highlight w:val="none"/>
              </w:rPr>
              <w:t>9</w:t>
            </w:r>
            <w:r>
              <w:rPr>
                <w:rFonts w:hint="eastAsia"/>
                <w:color w:val="auto"/>
                <w:highlight w:val="none"/>
              </w:rPr>
              <w:t>.中小企业声明函或残疾人福利性单位声明函或省级以上监狱管理局、戒毒管理局（含新疆生产建设兵团）出具的属于监狱企业的证明文件。</w:t>
            </w:r>
            <w:r>
              <w:rPr>
                <w:rFonts w:hint="eastAsia"/>
                <w:b/>
                <w:bCs/>
                <w:color w:val="auto"/>
                <w:highlight w:val="none"/>
              </w:rPr>
              <w:t>（如本项目属于专门面向中小企业采购的项目，必须提供，否则响应文件按无效响应处理）</w:t>
            </w:r>
          </w:p>
          <w:p w14:paraId="1376FECA">
            <w:pPr>
              <w:spacing w:line="360" w:lineRule="auto"/>
              <w:contextualSpacing/>
              <w:jc w:val="left"/>
              <w:rPr>
                <w:rFonts w:ascii="宋体" w:hAnsi="宋体"/>
                <w:color w:val="auto"/>
                <w:szCs w:val="21"/>
                <w:highlight w:val="none"/>
              </w:rPr>
            </w:pPr>
            <w:r>
              <w:rPr>
                <w:rFonts w:hint="eastAsia" w:ascii="宋体" w:hAnsi="宋体" w:cs="宋体"/>
                <w:color w:val="auto"/>
                <w:szCs w:val="21"/>
                <w:highlight w:val="none"/>
              </w:rPr>
              <w:t>10.除磋商文件规定必须提供以外，供应商认为需要提供的其他证明材料；</w:t>
            </w:r>
          </w:p>
          <w:p w14:paraId="2B253A5A">
            <w:pPr>
              <w:spacing w:line="360" w:lineRule="auto"/>
              <w:contextualSpacing/>
              <w:jc w:val="left"/>
              <w:rPr>
                <w:rFonts w:ascii="宋体" w:hAnsi="宋体"/>
                <w:color w:val="auto"/>
                <w:szCs w:val="21"/>
                <w:highlight w:val="none"/>
              </w:rPr>
            </w:pPr>
            <w:r>
              <w:rPr>
                <w:rFonts w:hint="eastAsia" w:ascii="宋体" w:hAnsi="宋体" w:cs="宋体"/>
                <w:b/>
                <w:color w:val="auto"/>
                <w:szCs w:val="21"/>
                <w:highlight w:val="none"/>
              </w:rPr>
              <w:t>注：</w:t>
            </w:r>
          </w:p>
          <w:p w14:paraId="77BE26A7">
            <w:pPr>
              <w:spacing w:line="360" w:lineRule="auto"/>
              <w:ind w:firstLine="422" w:firstLineChars="200"/>
              <w:contextualSpacing/>
              <w:jc w:val="left"/>
              <w:rPr>
                <w:rFonts w:ascii="宋体" w:hAnsi="宋体" w:cs="宋体"/>
                <w:b/>
                <w:color w:val="auto"/>
                <w:szCs w:val="21"/>
                <w:highlight w:val="none"/>
              </w:rPr>
            </w:pPr>
            <w:r>
              <w:rPr>
                <w:rFonts w:hint="eastAsia" w:ascii="宋体" w:hAnsi="宋体" w:cs="宋体"/>
                <w:b/>
                <w:color w:val="auto"/>
                <w:szCs w:val="21"/>
                <w:highlight w:val="none"/>
              </w:rPr>
              <w:t>1.以上标明“必须提供”的材料必须加盖供应商</w:t>
            </w:r>
            <w:r>
              <w:rPr>
                <w:rFonts w:hint="eastAsia" w:ascii="宋体" w:hAnsi="宋体"/>
                <w:b/>
                <w:color w:val="auto"/>
                <w:szCs w:val="21"/>
                <w:highlight w:val="none"/>
              </w:rPr>
              <w:t>电子签章</w:t>
            </w:r>
            <w:r>
              <w:rPr>
                <w:rFonts w:hint="eastAsia" w:ascii="宋体" w:hAnsi="宋体" w:cs="宋体"/>
                <w:b/>
                <w:color w:val="auto"/>
                <w:szCs w:val="21"/>
                <w:highlight w:val="none"/>
              </w:rPr>
              <w:t>，否则响应文件按无效处理。</w:t>
            </w:r>
          </w:p>
          <w:p w14:paraId="145B9D4B">
            <w:pPr>
              <w:spacing w:line="360" w:lineRule="auto"/>
              <w:ind w:firstLine="422" w:firstLineChars="200"/>
              <w:contextualSpacing/>
              <w:jc w:val="left"/>
              <w:rPr>
                <w:rFonts w:ascii="宋体" w:hAnsi="宋体"/>
                <w:color w:val="auto"/>
                <w:szCs w:val="21"/>
                <w:highlight w:val="none"/>
              </w:rPr>
            </w:pPr>
            <w:r>
              <w:rPr>
                <w:rFonts w:hint="eastAsia" w:ascii="宋体" w:hAnsi="宋体" w:cs="宋体"/>
                <w:b/>
                <w:color w:val="auto"/>
                <w:szCs w:val="21"/>
                <w:highlight w:val="none"/>
              </w:rPr>
              <w:t>2.联合体竞标时，第1-5项资格证明文件联合体各方均必须分别提供，</w:t>
            </w:r>
            <w:r>
              <w:rPr>
                <w:rFonts w:hint="eastAsia" w:ascii="宋体" w:hAnsi="宋体"/>
                <w:b/>
                <w:color w:val="auto"/>
                <w:szCs w:val="21"/>
                <w:highlight w:val="none"/>
              </w:rPr>
              <w:t>并由</w:t>
            </w:r>
            <w:r>
              <w:rPr>
                <w:rFonts w:hint="eastAsia" w:ascii="宋体" w:hAnsi="宋体" w:cs="宋体"/>
                <w:b/>
                <w:color w:val="auto"/>
                <w:szCs w:val="21"/>
                <w:highlight w:val="none"/>
              </w:rPr>
              <w:t>联合体</w:t>
            </w:r>
            <w:r>
              <w:rPr>
                <w:rFonts w:hint="eastAsia" w:ascii="宋体" w:hAnsi="宋体"/>
                <w:b/>
                <w:color w:val="auto"/>
                <w:szCs w:val="21"/>
                <w:highlight w:val="none"/>
              </w:rPr>
              <w:t>牵头人加盖电子签章</w:t>
            </w:r>
            <w:r>
              <w:rPr>
                <w:rFonts w:hint="eastAsia" w:ascii="宋体" w:hAnsi="宋体" w:cs="宋体"/>
                <w:b/>
                <w:color w:val="auto"/>
                <w:szCs w:val="21"/>
                <w:highlight w:val="none"/>
              </w:rPr>
              <w:t>，</w:t>
            </w:r>
            <w:r>
              <w:rPr>
                <w:rFonts w:hint="eastAsia" w:ascii="宋体" w:hAnsi="宋体"/>
                <w:b/>
                <w:color w:val="auto"/>
                <w:szCs w:val="21"/>
                <w:highlight w:val="none"/>
              </w:rPr>
              <w:t>规定签字</w:t>
            </w:r>
            <w:r>
              <w:rPr>
                <w:rFonts w:hint="eastAsia" w:ascii="宋体" w:hAnsi="宋体" w:cs="宋体"/>
                <w:b/>
                <w:color w:val="auto"/>
                <w:szCs w:val="21"/>
                <w:highlight w:val="none"/>
              </w:rPr>
              <w:t>处签字</w:t>
            </w:r>
            <w:r>
              <w:rPr>
                <w:rFonts w:hint="eastAsia" w:ascii="宋体" w:hAnsi="宋体"/>
                <w:b/>
                <w:bCs/>
                <w:color w:val="auto"/>
                <w:szCs w:val="21"/>
                <w:highlight w:val="none"/>
              </w:rPr>
              <w:t>（或者电子签名）</w:t>
            </w:r>
            <w:r>
              <w:rPr>
                <w:rFonts w:hint="eastAsia" w:ascii="宋体" w:hAnsi="宋体" w:cs="宋体"/>
                <w:b/>
                <w:color w:val="auto"/>
                <w:szCs w:val="21"/>
                <w:highlight w:val="none"/>
              </w:rPr>
              <w:t>，否则响应文件按无效处理。</w:t>
            </w:r>
          </w:p>
        </w:tc>
      </w:tr>
      <w:tr w14:paraId="67D63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6C4735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12.1.2</w:t>
            </w:r>
          </w:p>
        </w:tc>
        <w:tc>
          <w:tcPr>
            <w:tcW w:w="7912" w:type="dxa"/>
            <w:vAlign w:val="center"/>
          </w:tcPr>
          <w:p w14:paraId="5A8AA916">
            <w:pPr>
              <w:spacing w:line="360" w:lineRule="auto"/>
              <w:rPr>
                <w:rFonts w:ascii="宋体" w:hAnsi="宋体" w:cs="宋体"/>
                <w:color w:val="auto"/>
                <w:szCs w:val="21"/>
                <w:highlight w:val="none"/>
              </w:rPr>
            </w:pPr>
            <w:r>
              <w:rPr>
                <w:rFonts w:hint="eastAsia" w:ascii="宋体" w:hAnsi="宋体" w:cs="宋体"/>
                <w:color w:val="auto"/>
                <w:szCs w:val="21"/>
                <w:highlight w:val="none"/>
              </w:rPr>
              <w:t>报价文件</w:t>
            </w:r>
          </w:p>
          <w:p w14:paraId="7CB56BE2">
            <w:pPr>
              <w:spacing w:line="360" w:lineRule="auto"/>
              <w:rPr>
                <w:rFonts w:ascii="宋体" w:hAnsi="宋体" w:cs="宋体"/>
                <w:color w:val="auto"/>
                <w:szCs w:val="21"/>
                <w:highlight w:val="none"/>
              </w:rPr>
            </w:pPr>
            <w:r>
              <w:rPr>
                <w:rFonts w:hint="eastAsia" w:ascii="宋体" w:hAnsi="宋体" w:cs="宋体"/>
                <w:color w:val="auto"/>
                <w:szCs w:val="21"/>
                <w:highlight w:val="none"/>
              </w:rPr>
              <w:t>1.响应函（格式后附）；</w:t>
            </w:r>
            <w:r>
              <w:rPr>
                <w:rFonts w:hint="eastAsia" w:ascii="宋体" w:hAnsi="宋体" w:cs="宋体"/>
                <w:b/>
                <w:bCs/>
                <w:color w:val="auto"/>
                <w:szCs w:val="21"/>
                <w:highlight w:val="none"/>
              </w:rPr>
              <w:t>（必须提供，否则响应文件按无效处理）</w:t>
            </w:r>
          </w:p>
          <w:p w14:paraId="7A552E5C">
            <w:pPr>
              <w:spacing w:line="360" w:lineRule="auto"/>
              <w:rPr>
                <w:rFonts w:ascii="宋体" w:hAnsi="宋体" w:cs="宋体"/>
                <w:color w:val="auto"/>
                <w:szCs w:val="21"/>
                <w:highlight w:val="none"/>
              </w:rPr>
            </w:pPr>
            <w:r>
              <w:rPr>
                <w:rFonts w:hint="eastAsia" w:ascii="宋体" w:hAnsi="宋体" w:cs="宋体"/>
                <w:color w:val="auto"/>
                <w:szCs w:val="21"/>
                <w:highlight w:val="none"/>
              </w:rPr>
              <w:t>2.竞标报价表（格式后附）；（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5BE3B694">
            <w:pPr>
              <w:spacing w:line="360" w:lineRule="auto"/>
              <w:rPr>
                <w:rFonts w:ascii="宋体" w:hAnsi="宋体" w:cs="宋体"/>
                <w:color w:val="auto"/>
                <w:szCs w:val="21"/>
                <w:highlight w:val="none"/>
              </w:rPr>
            </w:pPr>
            <w:r>
              <w:rPr>
                <w:rFonts w:hint="eastAsia" w:ascii="宋体" w:hAnsi="宋体" w:cs="宋体"/>
                <w:color w:val="auto"/>
                <w:szCs w:val="21"/>
                <w:highlight w:val="none"/>
              </w:rPr>
              <w:t>3.供应商认为需要提供的其他有关资料。</w:t>
            </w:r>
          </w:p>
        </w:tc>
      </w:tr>
      <w:tr w14:paraId="2F8D4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F9000A6">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.3</w:t>
            </w:r>
          </w:p>
        </w:tc>
        <w:tc>
          <w:tcPr>
            <w:tcW w:w="7912" w:type="dxa"/>
            <w:vAlign w:val="center"/>
          </w:tcPr>
          <w:p w14:paraId="2BFA0830">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商务技术文件</w:t>
            </w:r>
          </w:p>
          <w:p w14:paraId="6BD17BE9">
            <w:pPr>
              <w:spacing w:line="360" w:lineRule="auto"/>
              <w:rPr>
                <w:rFonts w:ascii="宋体" w:hAnsi="宋体" w:cs="宋体"/>
                <w:color w:val="auto"/>
                <w:szCs w:val="21"/>
                <w:highlight w:val="none"/>
              </w:rPr>
            </w:pPr>
            <w:r>
              <w:rPr>
                <w:rFonts w:hint="eastAsia" w:ascii="宋体" w:hAnsi="宋体" w:cs="宋体"/>
                <w:color w:val="auto"/>
                <w:szCs w:val="21"/>
                <w:highlight w:val="none"/>
              </w:rPr>
              <w:t>1.无串通竞标行为的承诺函（格式后附）；（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6D63AC2">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2.法定代表人身份证明书及法定代表人有效身份证正反面复印件（格式后附）；（</w:t>
            </w:r>
            <w:r>
              <w:rPr>
                <w:rFonts w:hint="eastAsia" w:ascii="宋体" w:hAnsi="宋体" w:cs="宋体"/>
                <w:b/>
                <w:bCs/>
                <w:color w:val="auto"/>
                <w:szCs w:val="21"/>
                <w:highlight w:val="none"/>
              </w:rPr>
              <w:t>除自然人竞标外</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BF25BDA">
            <w:pPr>
              <w:spacing w:line="360" w:lineRule="auto"/>
              <w:rPr>
                <w:rFonts w:ascii="宋体" w:hAnsi="宋体" w:cs="宋体"/>
                <w:color w:val="auto"/>
                <w:szCs w:val="21"/>
                <w:highlight w:val="none"/>
              </w:rPr>
            </w:pPr>
            <w:r>
              <w:rPr>
                <w:rFonts w:hint="eastAsia" w:ascii="宋体" w:hAnsi="宋体" w:cs="宋体"/>
                <w:color w:val="auto"/>
                <w:szCs w:val="21"/>
                <w:highlight w:val="none"/>
              </w:rPr>
              <w:t>3.授权委托书及委托代理人有效身份证正反面复印件（格式后附）；（</w:t>
            </w:r>
            <w:r>
              <w:rPr>
                <w:rFonts w:hint="eastAsia" w:ascii="宋体" w:hAnsi="宋体" w:cs="宋体"/>
                <w:b/>
                <w:color w:val="auto"/>
                <w:szCs w:val="21"/>
                <w:highlight w:val="none"/>
              </w:rPr>
              <w:t>委托时必须提供，否则响应文件按无效响应处理</w:t>
            </w:r>
            <w:r>
              <w:rPr>
                <w:rFonts w:hint="eastAsia" w:ascii="宋体" w:hAnsi="宋体" w:cs="宋体"/>
                <w:color w:val="auto"/>
                <w:szCs w:val="21"/>
                <w:highlight w:val="none"/>
              </w:rPr>
              <w:t>）</w:t>
            </w:r>
          </w:p>
          <w:p w14:paraId="7EC9889C">
            <w:pPr>
              <w:spacing w:line="360" w:lineRule="auto"/>
              <w:rPr>
                <w:rFonts w:ascii="宋体" w:hAnsi="宋体" w:cs="宋体"/>
                <w:b/>
                <w:bCs/>
                <w:color w:val="auto"/>
                <w:szCs w:val="21"/>
                <w:highlight w:val="none"/>
              </w:rPr>
            </w:pPr>
            <w:r>
              <w:rPr>
                <w:rFonts w:hint="eastAsia" w:ascii="宋体" w:hAnsi="宋体" w:cs="宋体"/>
                <w:color w:val="auto"/>
                <w:szCs w:val="21"/>
                <w:highlight w:val="none"/>
              </w:rPr>
              <w:t>4.磋商保证金提交凭证；</w:t>
            </w:r>
            <w:r>
              <w:rPr>
                <w:rFonts w:hint="eastAsia" w:ascii="宋体" w:hAnsi="宋体" w:cs="宋体"/>
                <w:b/>
                <w:bCs/>
                <w:color w:val="auto"/>
                <w:szCs w:val="21"/>
                <w:highlight w:val="none"/>
              </w:rPr>
              <w:t>（如有要求则必须提供，否则响应文件按无效响应处理）</w:t>
            </w:r>
          </w:p>
          <w:p w14:paraId="7C6332CD">
            <w:pPr>
              <w:spacing w:line="360" w:lineRule="auto"/>
              <w:rPr>
                <w:rFonts w:ascii="宋体" w:hAnsi="宋体" w:cs="宋体"/>
                <w:color w:val="auto"/>
                <w:szCs w:val="21"/>
                <w:highlight w:val="none"/>
              </w:rPr>
            </w:pPr>
            <w:r>
              <w:rPr>
                <w:rFonts w:hint="eastAsia" w:ascii="宋体" w:hAnsi="宋体" w:cs="宋体"/>
                <w:color w:val="auto"/>
                <w:szCs w:val="21"/>
                <w:highlight w:val="none"/>
              </w:rPr>
              <w:t>5.商务要求偏离表（格式后附）；（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2B2B50E">
            <w:pPr>
              <w:spacing w:line="360" w:lineRule="auto"/>
              <w:rPr>
                <w:rFonts w:ascii="宋体" w:hAnsi="宋体" w:cs="宋体"/>
                <w:color w:val="auto"/>
                <w:szCs w:val="21"/>
                <w:highlight w:val="none"/>
              </w:rPr>
            </w:pPr>
            <w:r>
              <w:rPr>
                <w:rFonts w:hint="eastAsia" w:ascii="宋体" w:hAnsi="宋体" w:cs="宋体"/>
                <w:color w:val="auto"/>
                <w:szCs w:val="21"/>
                <w:highlight w:val="none"/>
              </w:rPr>
              <w:t>6.服务方案（格式自拟）；（</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AF7B7AB">
            <w:pPr>
              <w:spacing w:line="360" w:lineRule="auto"/>
              <w:rPr>
                <w:rFonts w:ascii="宋体" w:hAnsi="宋体" w:cs="宋体"/>
                <w:color w:val="auto"/>
                <w:szCs w:val="21"/>
                <w:highlight w:val="none"/>
              </w:rPr>
            </w:pPr>
            <w:r>
              <w:rPr>
                <w:rFonts w:hint="eastAsia" w:ascii="宋体" w:hAnsi="宋体" w:cs="宋体"/>
                <w:color w:val="auto"/>
                <w:szCs w:val="21"/>
                <w:highlight w:val="none"/>
              </w:rPr>
              <w:t>7.技术要求偏离表（格式后附）；（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9E2B239">
            <w:pPr>
              <w:spacing w:line="360" w:lineRule="auto"/>
              <w:rPr>
                <w:rFonts w:ascii="宋体" w:hAnsi="宋体" w:cs="宋体"/>
                <w:color w:val="auto"/>
                <w:szCs w:val="21"/>
                <w:highlight w:val="none"/>
              </w:rPr>
            </w:pPr>
            <w:r>
              <w:rPr>
                <w:rFonts w:hint="eastAsia" w:ascii="宋体" w:hAnsi="宋体" w:cs="宋体"/>
                <w:color w:val="auto"/>
                <w:szCs w:val="21"/>
                <w:highlight w:val="none"/>
              </w:rPr>
              <w:t>8.售后服务承诺（格式自拟）；</w:t>
            </w:r>
          </w:p>
          <w:p w14:paraId="0403346F">
            <w:pPr>
              <w:spacing w:line="360" w:lineRule="auto"/>
              <w:rPr>
                <w:rFonts w:ascii="宋体" w:hAnsi="宋体" w:cs="宋体"/>
                <w:color w:val="auto"/>
                <w:szCs w:val="21"/>
                <w:highlight w:val="none"/>
              </w:rPr>
            </w:pPr>
            <w:r>
              <w:rPr>
                <w:rFonts w:hint="eastAsia" w:ascii="宋体" w:hAnsi="宋体" w:cs="宋体"/>
                <w:color w:val="auto"/>
                <w:szCs w:val="21"/>
                <w:highlight w:val="none"/>
              </w:rPr>
              <w:t>9.项目实施人员一览表（格式自拟）；</w:t>
            </w:r>
          </w:p>
          <w:p w14:paraId="591F9786">
            <w:pPr>
              <w:spacing w:line="360" w:lineRule="auto"/>
              <w:rPr>
                <w:rFonts w:ascii="宋体" w:hAnsi="宋体" w:cs="宋体"/>
                <w:color w:val="auto"/>
                <w:szCs w:val="21"/>
                <w:highlight w:val="none"/>
              </w:rPr>
            </w:pPr>
            <w:r>
              <w:rPr>
                <w:rFonts w:hint="eastAsia" w:ascii="宋体" w:hAnsi="宋体" w:cs="宋体"/>
                <w:color w:val="auto"/>
                <w:szCs w:val="21"/>
                <w:highlight w:val="none"/>
              </w:rPr>
              <w:t>10.对应采购需求的技术要求、商务要求提供的其他文件资料（格式自拟）；</w:t>
            </w:r>
          </w:p>
          <w:p w14:paraId="3AC28821">
            <w:pPr>
              <w:spacing w:line="360" w:lineRule="auto"/>
              <w:rPr>
                <w:rFonts w:ascii="宋体" w:hAnsi="宋体" w:cs="宋体"/>
                <w:color w:val="auto"/>
                <w:szCs w:val="21"/>
                <w:highlight w:val="none"/>
              </w:rPr>
            </w:pPr>
            <w:r>
              <w:rPr>
                <w:rFonts w:hint="eastAsia" w:ascii="宋体" w:hAnsi="宋体" w:cs="宋体"/>
                <w:color w:val="auto"/>
                <w:szCs w:val="21"/>
                <w:highlight w:val="none"/>
              </w:rPr>
              <w:t>11.供应商认为需要提供的其他有关资料。</w:t>
            </w:r>
          </w:p>
          <w:p w14:paraId="2281A73F">
            <w:pPr>
              <w:spacing w:line="360" w:lineRule="auto"/>
              <w:rPr>
                <w:rFonts w:ascii="宋体" w:hAnsi="宋体" w:cs="宋体"/>
                <w:color w:val="auto"/>
                <w:szCs w:val="21"/>
                <w:highlight w:val="none"/>
              </w:rPr>
            </w:pPr>
            <w:r>
              <w:rPr>
                <w:rFonts w:hint="eastAsia" w:ascii="宋体" w:hAnsi="宋体" w:cs="宋体"/>
                <w:b/>
                <w:color w:val="auto"/>
                <w:szCs w:val="21"/>
                <w:highlight w:val="none"/>
              </w:rPr>
              <w:t>注：以上标明“必须提供”的材料必须加盖供应商</w:t>
            </w:r>
            <w:r>
              <w:rPr>
                <w:rFonts w:hint="eastAsia" w:ascii="宋体" w:hAnsi="宋体"/>
                <w:b/>
                <w:bCs/>
                <w:color w:val="auto"/>
                <w:szCs w:val="21"/>
                <w:highlight w:val="none"/>
              </w:rPr>
              <w:t>电子签章</w:t>
            </w:r>
            <w:r>
              <w:rPr>
                <w:rFonts w:hint="eastAsia" w:ascii="宋体" w:hAnsi="宋体" w:cs="宋体"/>
                <w:b/>
                <w:color w:val="auto"/>
                <w:szCs w:val="21"/>
                <w:highlight w:val="none"/>
              </w:rPr>
              <w:t>，否则响应文件按无效响应处理。</w:t>
            </w:r>
          </w:p>
        </w:tc>
      </w:tr>
      <w:tr w14:paraId="29684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E2DBA1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15.2</w:t>
            </w:r>
          </w:p>
        </w:tc>
        <w:tc>
          <w:tcPr>
            <w:tcW w:w="7912" w:type="dxa"/>
            <w:vAlign w:val="center"/>
          </w:tcPr>
          <w:p w14:paraId="3298DBC1">
            <w:pPr>
              <w:spacing w:line="360" w:lineRule="auto"/>
              <w:contextualSpacing/>
              <w:jc w:val="left"/>
              <w:rPr>
                <w:rFonts w:ascii="宋体" w:hAnsi="宋体" w:cs="宋体"/>
                <w:color w:val="auto"/>
                <w:szCs w:val="21"/>
                <w:highlight w:val="none"/>
              </w:rPr>
            </w:pPr>
            <w:r>
              <w:rPr>
                <w:rFonts w:hint="eastAsia" w:ascii="宋体" w:hAnsi="宋体"/>
                <w:color w:val="auto"/>
                <w:szCs w:val="21"/>
                <w:highlight w:val="none"/>
              </w:rPr>
              <w:t>竞标报价是履行合同的最终价格，</w:t>
            </w:r>
            <w:r>
              <w:rPr>
                <w:rFonts w:hint="eastAsia" w:ascii="宋体" w:hAnsi="宋体" w:cs="宋体"/>
                <w:color w:val="auto"/>
                <w:szCs w:val="21"/>
                <w:highlight w:val="none"/>
              </w:rPr>
              <w:t>即满足全部采购需求所应提供的服务的价格；包括竞标服务的成本、运输（含保险）（如有）、技术服务、培训、税费等所有费用。</w:t>
            </w:r>
            <w:r>
              <w:rPr>
                <w:rFonts w:hint="eastAsia" w:ascii="宋体" w:hAnsi="宋体"/>
                <w:b/>
                <w:color w:val="auto"/>
                <w:szCs w:val="21"/>
                <w:highlight w:val="none"/>
              </w:rPr>
              <w:t>（采购需求另有约定的，从其约定。）</w:t>
            </w:r>
          </w:p>
        </w:tc>
      </w:tr>
      <w:tr w14:paraId="3ED18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BFDAEC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16.</w:t>
            </w:r>
            <w:r>
              <w:rPr>
                <w:rFonts w:ascii="宋体" w:hAnsi="宋体" w:cs="宋体"/>
                <w:color w:val="auto"/>
                <w:szCs w:val="21"/>
                <w:highlight w:val="none"/>
              </w:rPr>
              <w:t>2</w:t>
            </w:r>
          </w:p>
        </w:tc>
        <w:tc>
          <w:tcPr>
            <w:tcW w:w="7912" w:type="dxa"/>
            <w:vAlign w:val="center"/>
          </w:tcPr>
          <w:p w14:paraId="1DE89AB5">
            <w:pPr>
              <w:pStyle w:val="8"/>
              <w:widowControl w:val="0"/>
              <w:tabs>
                <w:tab w:val="clear" w:pos="454"/>
              </w:tabs>
              <w:snapToGrid w:val="0"/>
              <w:spacing w:afterLines="0" w:line="360" w:lineRule="auto"/>
              <w:ind w:left="283" w:hanging="283" w:hangingChars="135"/>
              <w:rPr>
                <w:rFonts w:ascii="宋体" w:hAnsi="宋体" w:cs="宋体"/>
                <w:color w:val="auto"/>
                <w:kern w:val="2"/>
                <w:sz w:val="21"/>
                <w:szCs w:val="21"/>
                <w:highlight w:val="none"/>
              </w:rPr>
            </w:pPr>
            <w:r>
              <w:rPr>
                <w:rFonts w:hint="eastAsia" w:ascii="宋体" w:hAnsi="宋体" w:cs="宋体"/>
                <w:color w:val="auto"/>
                <w:kern w:val="2"/>
                <w:sz w:val="21"/>
                <w:szCs w:val="21"/>
                <w:highlight w:val="none"/>
              </w:rPr>
              <w:t>竞标有效期：自首次响应文件提交截止之日起</w:t>
            </w:r>
            <w:r>
              <w:rPr>
                <w:rFonts w:hint="eastAsia" w:ascii="宋体" w:hAnsi="宋体" w:cs="宋体"/>
                <w:color w:val="auto"/>
                <w:kern w:val="2"/>
                <w:sz w:val="21"/>
                <w:szCs w:val="21"/>
                <w:highlight w:val="none"/>
                <w:u w:val="single"/>
              </w:rPr>
              <w:t>90</w:t>
            </w:r>
            <w:r>
              <w:rPr>
                <w:rFonts w:hint="eastAsia" w:ascii="宋体" w:hAnsi="宋体" w:cs="宋体"/>
                <w:color w:val="auto"/>
                <w:kern w:val="2"/>
                <w:sz w:val="21"/>
                <w:szCs w:val="21"/>
                <w:highlight w:val="none"/>
              </w:rPr>
              <w:t>日。</w:t>
            </w:r>
          </w:p>
        </w:tc>
      </w:tr>
      <w:tr w14:paraId="3F807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5E1BDEA">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17.1</w:t>
            </w:r>
          </w:p>
        </w:tc>
        <w:tc>
          <w:tcPr>
            <w:tcW w:w="7912" w:type="dxa"/>
            <w:vAlign w:val="center"/>
          </w:tcPr>
          <w:p w14:paraId="6F3CC240">
            <w:pPr>
              <w:autoSpaceDE w:val="0"/>
              <w:autoSpaceDN w:val="0"/>
              <w:snapToGrid w:val="0"/>
              <w:spacing w:line="500" w:lineRule="exact"/>
              <w:textAlignment w:val="bottom"/>
              <w:rPr>
                <w:rFonts w:ascii="宋体" w:hAnsi="宋体" w:cs="宋体"/>
                <w:color w:val="auto"/>
                <w:szCs w:val="21"/>
                <w:highlight w:val="none"/>
              </w:rPr>
            </w:pPr>
            <w:r>
              <w:rPr>
                <w:rFonts w:hint="eastAsia" w:ascii="宋体" w:hAnsi="宋体" w:cs="宋体"/>
                <w:color w:val="auto"/>
                <w:kern w:val="0"/>
                <w:szCs w:val="21"/>
                <w:highlight w:val="none"/>
              </w:rPr>
              <w:t>□</w:t>
            </w:r>
            <w:r>
              <w:rPr>
                <w:rFonts w:hint="eastAsia" w:ascii="宋体" w:hAnsi="宋体" w:cs="宋体"/>
                <w:color w:val="auto"/>
                <w:szCs w:val="21"/>
                <w:highlight w:val="none"/>
              </w:rPr>
              <w:t>本项目不收取磋商保证金。</w:t>
            </w:r>
          </w:p>
          <w:p w14:paraId="542EED03">
            <w:pPr>
              <w:spacing w:line="500" w:lineRule="exact"/>
              <w:rPr>
                <w:rFonts w:ascii="宋体" w:hAnsi="宋体" w:cs="宋体"/>
                <w:color w:val="auto"/>
                <w:szCs w:val="21"/>
                <w:highlight w:val="none"/>
              </w:rPr>
            </w:pPr>
            <w:r>
              <w:rPr>
                <w:rFonts w:hint="eastAsia" w:ascii="宋体" w:hAnsi="宋体" w:cs="宋体"/>
                <w:color w:val="auto"/>
                <w:kern w:val="0"/>
                <w:szCs w:val="21"/>
                <w:highlight w:val="none"/>
              </w:rPr>
              <w:sym w:font="Wingdings" w:char="F0FE"/>
            </w:r>
            <w:r>
              <w:rPr>
                <w:rFonts w:hint="eastAsia" w:ascii="宋体" w:hAnsi="宋体" w:cs="宋体"/>
                <w:color w:val="auto"/>
                <w:szCs w:val="21"/>
                <w:highlight w:val="none"/>
              </w:rPr>
              <w:t>本项目收取磋商保证金。</w:t>
            </w:r>
          </w:p>
          <w:p w14:paraId="3C469123">
            <w:pPr>
              <w:spacing w:line="500" w:lineRule="exact"/>
              <w:rPr>
                <w:rFonts w:ascii="宋体" w:hAnsi="宋体" w:cs="宋体"/>
                <w:b/>
                <w:color w:val="auto"/>
                <w:kern w:val="0"/>
                <w:szCs w:val="21"/>
                <w:highlight w:val="none"/>
              </w:rPr>
            </w:pPr>
            <w:r>
              <w:rPr>
                <w:rFonts w:hint="eastAsia" w:ascii="宋体" w:hAnsi="宋体" w:cs="宋体"/>
                <w:color w:val="auto"/>
                <w:kern w:val="0"/>
                <w:szCs w:val="21"/>
                <w:highlight w:val="none"/>
              </w:rPr>
              <w:t>磋商保证金（人民币）：</w:t>
            </w:r>
            <w:r>
              <w:rPr>
                <w:rFonts w:hint="eastAsia" w:ascii="宋体" w:hAnsi="宋体" w:cs="宋体"/>
                <w:color w:val="auto"/>
                <w:kern w:val="0"/>
                <w:szCs w:val="21"/>
                <w:highlight w:val="none"/>
                <w:u w:val="single"/>
              </w:rPr>
              <w:t>10000.00元</w:t>
            </w:r>
            <w:r>
              <w:rPr>
                <w:rFonts w:hint="eastAsia" w:ascii="宋体" w:hAnsi="宋体" w:cs="宋体"/>
                <w:color w:val="auto"/>
                <w:kern w:val="0"/>
                <w:szCs w:val="21"/>
                <w:highlight w:val="none"/>
              </w:rPr>
              <w:t>（必须足额交纳）</w:t>
            </w:r>
          </w:p>
          <w:p w14:paraId="7130CF30">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保证金专用银行账号：</w:t>
            </w:r>
          </w:p>
          <w:p w14:paraId="19B453A7">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开户名称：广西众鑫工程项目管理有限公司</w:t>
            </w:r>
          </w:p>
          <w:p w14:paraId="3EA1CE31">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银行账号：45050160455000001621</w:t>
            </w:r>
          </w:p>
          <w:p w14:paraId="692222DC">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开户银行：中国建设银行股份有限公司南宁桃源支行</w:t>
            </w:r>
          </w:p>
          <w:p w14:paraId="1F67A397">
            <w:pPr>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磋商保证金的交纳方式：</w:t>
            </w:r>
            <w:r>
              <w:rPr>
                <w:rFonts w:hint="eastAsia" w:ascii="宋体" w:hAnsi="宋体" w:cs="宋体"/>
                <w:color w:val="auto"/>
                <w:szCs w:val="21"/>
                <w:highlight w:val="none"/>
              </w:rPr>
              <w:t>银行转账、支票、汇票、本票、保函等非现金方式</w:t>
            </w:r>
            <w:r>
              <w:rPr>
                <w:rFonts w:hint="eastAsia" w:ascii="宋体" w:hAnsi="宋体" w:cs="宋体"/>
                <w:color w:val="auto"/>
                <w:kern w:val="0"/>
                <w:szCs w:val="21"/>
                <w:highlight w:val="none"/>
              </w:rPr>
              <w:t>，禁止采用现钞方式。采用银行转账方式的，在响应文件提交截止时间前交至指定账户并且到账；采用支票、汇票、本票或者保函方式的，在响应文件提交截止时间前，供应商必须提交支票、汇票、本票或者保函原件。否则视为无效磋商保证金。</w:t>
            </w:r>
          </w:p>
          <w:p w14:paraId="200C4781">
            <w:pP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相关要求：</w:t>
            </w:r>
          </w:p>
          <w:p w14:paraId="038E3ABA">
            <w:pP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1.磋商保证金采用银行转账交纳方式的，在响应文件提交截止时间前交至指定账户并且到账，供应商应将银行转账底单的复印件作为磋商保证金提交凭证，放置于报价商务技术文件中，</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72051213">
            <w:pPr>
              <w:snapToGrid w:val="0"/>
              <w:spacing w:line="500" w:lineRule="exact"/>
              <w:rPr>
                <w:rFonts w:ascii="宋体" w:hAnsi="宋体" w:cs="宋体"/>
                <w:b/>
                <w:color w:val="auto"/>
                <w:szCs w:val="21"/>
                <w:highlight w:val="none"/>
              </w:rPr>
            </w:pPr>
            <w:r>
              <w:rPr>
                <w:rFonts w:hint="eastAsia" w:ascii="宋体" w:hAnsi="宋体" w:cs="宋体"/>
                <w:color w:val="auto"/>
                <w:szCs w:val="21"/>
                <w:highlight w:val="none"/>
              </w:rPr>
              <w:t>2.磋商保证金采用</w:t>
            </w:r>
            <w:r>
              <w:rPr>
                <w:rFonts w:hint="eastAsia" w:ascii="宋体" w:hAnsi="宋体" w:cs="宋体"/>
                <w:color w:val="auto"/>
                <w:kern w:val="0"/>
                <w:szCs w:val="21"/>
                <w:highlight w:val="none"/>
              </w:rPr>
              <w:t>支票、汇票、本票或者</w:t>
            </w:r>
            <w:r>
              <w:rPr>
                <w:rFonts w:hint="eastAsia" w:ascii="宋体" w:hAnsi="宋体" w:cs="宋体"/>
                <w:color w:val="auto"/>
                <w:szCs w:val="21"/>
                <w:highlight w:val="none"/>
              </w:rPr>
              <w:t>保函交纳方式的，供应商应将</w:t>
            </w:r>
            <w:r>
              <w:rPr>
                <w:rFonts w:hint="eastAsia" w:ascii="宋体" w:hAnsi="宋体" w:cs="宋体"/>
                <w:color w:val="auto"/>
                <w:kern w:val="0"/>
                <w:szCs w:val="21"/>
                <w:highlight w:val="none"/>
              </w:rPr>
              <w:t>支票、汇票、本票或者</w:t>
            </w:r>
            <w:r>
              <w:rPr>
                <w:rFonts w:hint="eastAsia" w:ascii="宋体" w:hAnsi="宋体" w:cs="宋体"/>
                <w:color w:val="auto"/>
                <w:szCs w:val="21"/>
                <w:highlight w:val="none"/>
              </w:rPr>
              <w:t>保函的复印件作为磋商保证金提交凭证，放置于报价商务技术文件中，</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r>
              <w:rPr>
                <w:rFonts w:hint="eastAsia" w:ascii="宋体" w:hAnsi="宋体" w:cs="宋体"/>
                <w:b/>
                <w:color w:val="auto"/>
                <w:szCs w:val="21"/>
                <w:highlight w:val="none"/>
              </w:rPr>
              <w:t>供应商必须在首次响应文件提交截止时间前将</w:t>
            </w:r>
            <w:r>
              <w:rPr>
                <w:rFonts w:hint="eastAsia" w:ascii="宋体" w:hAnsi="宋体" w:cs="宋体"/>
                <w:color w:val="auto"/>
                <w:kern w:val="0"/>
                <w:szCs w:val="21"/>
                <w:highlight w:val="none"/>
              </w:rPr>
              <w:t>支票、汇票、本票或者</w:t>
            </w:r>
            <w:r>
              <w:rPr>
                <w:rFonts w:hint="eastAsia" w:ascii="宋体" w:hAnsi="宋体" w:cs="宋体"/>
                <w:b/>
                <w:color w:val="auto"/>
                <w:szCs w:val="21"/>
                <w:highlight w:val="none"/>
              </w:rPr>
              <w:t>保函原件提交给采购代理机构，由采购代理机构向供应商出具回执，并妥善保管。</w:t>
            </w:r>
          </w:p>
          <w:p w14:paraId="72F218F3">
            <w:pP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3.供应商为联合体的，可以由联合体中的一方或者多方共同交纳磋商保证金，其交纳的保证金对联合体各方均具有约束力。</w:t>
            </w:r>
          </w:p>
          <w:p w14:paraId="749859B7">
            <w:pPr>
              <w:snapToGrid w:val="0"/>
              <w:spacing w:line="500" w:lineRule="exact"/>
              <w:rPr>
                <w:rFonts w:ascii="宋体" w:hAnsi="宋体" w:cs="宋体"/>
                <w:color w:val="auto"/>
                <w:szCs w:val="21"/>
                <w:highlight w:val="none"/>
              </w:rPr>
            </w:pPr>
            <w:r>
              <w:rPr>
                <w:rFonts w:hint="eastAsia" w:ascii="宋体" w:hAnsi="宋体" w:cs="宋体"/>
                <w:b/>
                <w:color w:val="auto"/>
                <w:szCs w:val="21"/>
                <w:highlight w:val="none"/>
              </w:rPr>
              <w:t>【备注】</w:t>
            </w:r>
            <w:r>
              <w:rPr>
                <w:rFonts w:hint="eastAsia" w:ascii="宋体" w:hAnsi="宋体" w:cs="宋体"/>
                <w:color w:val="auto"/>
                <w:szCs w:val="21"/>
                <w:highlight w:val="none"/>
              </w:rPr>
              <w:t>1.首次响应文件提交截止时间后提交的，或者未足额交纳的，或者保函额度不足的，</w:t>
            </w:r>
            <w:r>
              <w:rPr>
                <w:rFonts w:hint="eastAsia" w:ascii="宋体" w:hAnsi="宋体" w:cs="宋体"/>
                <w:b/>
                <w:color w:val="auto"/>
                <w:szCs w:val="21"/>
                <w:highlight w:val="none"/>
              </w:rPr>
              <w:t>视为无效磋商保证金</w:t>
            </w:r>
            <w:r>
              <w:rPr>
                <w:rFonts w:hint="eastAsia" w:ascii="宋体" w:hAnsi="宋体" w:cs="宋体"/>
                <w:color w:val="auto"/>
                <w:szCs w:val="21"/>
                <w:highlight w:val="none"/>
              </w:rPr>
              <w:t>。</w:t>
            </w:r>
          </w:p>
          <w:p w14:paraId="66D46F37">
            <w:pP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2.供应商采用现钞方式或者从个人账户（自然人参与竞争性谈判除外）转出的磋商保证金，</w:t>
            </w:r>
            <w:r>
              <w:rPr>
                <w:rFonts w:hint="eastAsia" w:ascii="宋体" w:hAnsi="宋体" w:cs="宋体"/>
                <w:b/>
                <w:color w:val="auto"/>
                <w:szCs w:val="21"/>
                <w:highlight w:val="none"/>
              </w:rPr>
              <w:t>视为无效磋商保证金</w:t>
            </w:r>
            <w:r>
              <w:rPr>
                <w:rFonts w:hint="eastAsia" w:ascii="宋体" w:hAnsi="宋体" w:cs="宋体"/>
                <w:color w:val="auto"/>
                <w:szCs w:val="21"/>
                <w:highlight w:val="none"/>
              </w:rPr>
              <w:t>。</w:t>
            </w:r>
          </w:p>
          <w:p w14:paraId="35F8CACD">
            <w:pP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3.保函有效期短于竞争性磋商有效期的，</w:t>
            </w:r>
            <w:r>
              <w:rPr>
                <w:rFonts w:hint="eastAsia" w:ascii="宋体" w:hAnsi="宋体" w:cs="宋体"/>
                <w:b/>
                <w:color w:val="auto"/>
                <w:szCs w:val="21"/>
                <w:highlight w:val="none"/>
              </w:rPr>
              <w:t>视为无效磋商保证金</w:t>
            </w:r>
            <w:r>
              <w:rPr>
                <w:rFonts w:hint="eastAsia" w:ascii="宋体" w:hAnsi="宋体" w:cs="宋体"/>
                <w:color w:val="auto"/>
                <w:szCs w:val="21"/>
                <w:highlight w:val="none"/>
              </w:rPr>
              <w:t>。</w:t>
            </w:r>
          </w:p>
          <w:p w14:paraId="30CA0238">
            <w:pP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4.磋商保证金采用保函为有条件保函的，</w:t>
            </w:r>
            <w:r>
              <w:rPr>
                <w:rFonts w:hint="eastAsia" w:ascii="宋体" w:hAnsi="宋体" w:cs="宋体"/>
                <w:b/>
                <w:color w:val="auto"/>
                <w:szCs w:val="21"/>
                <w:highlight w:val="none"/>
              </w:rPr>
              <w:t>视为无效磋商保证金</w:t>
            </w:r>
            <w:r>
              <w:rPr>
                <w:rFonts w:hint="eastAsia" w:ascii="宋体" w:hAnsi="宋体" w:cs="宋体"/>
                <w:color w:val="auto"/>
                <w:szCs w:val="21"/>
                <w:highlight w:val="none"/>
              </w:rPr>
              <w:t>。</w:t>
            </w:r>
          </w:p>
        </w:tc>
      </w:tr>
      <w:tr w14:paraId="4430A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FCF57C7">
            <w:pPr>
              <w:spacing w:line="360" w:lineRule="auto"/>
              <w:jc w:val="center"/>
              <w:rPr>
                <w:rFonts w:ascii="宋体" w:hAnsi="宋体" w:cs="宋体"/>
                <w:color w:val="auto"/>
                <w:szCs w:val="21"/>
                <w:highlight w:val="none"/>
              </w:rPr>
            </w:pPr>
            <w:r>
              <w:rPr>
                <w:rFonts w:ascii="宋体" w:hAnsi="宋体" w:cs="宋体"/>
                <w:color w:val="auto"/>
                <w:szCs w:val="21"/>
                <w:highlight w:val="none"/>
              </w:rPr>
              <w:t>19</w:t>
            </w:r>
          </w:p>
        </w:tc>
        <w:tc>
          <w:tcPr>
            <w:tcW w:w="7912" w:type="dxa"/>
            <w:vAlign w:val="center"/>
          </w:tcPr>
          <w:p w14:paraId="4AE4496D">
            <w:pPr>
              <w:spacing w:line="360" w:lineRule="auto"/>
              <w:rPr>
                <w:rFonts w:ascii="宋体" w:hAnsi="宋体" w:cs="宋体"/>
                <w:color w:val="auto"/>
                <w:szCs w:val="21"/>
                <w:highlight w:val="none"/>
              </w:rPr>
            </w:pPr>
            <w:r>
              <w:rPr>
                <w:rFonts w:hint="eastAsia" w:ascii="宋体" w:hAnsi="宋体"/>
                <w:color w:val="auto"/>
                <w:szCs w:val="21"/>
                <w:highlight w:val="none"/>
              </w:rPr>
              <w:t>本项目不接受电子备份响应文件。</w:t>
            </w:r>
          </w:p>
        </w:tc>
      </w:tr>
      <w:tr w14:paraId="43FF5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40D351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20.1</w:t>
            </w:r>
          </w:p>
        </w:tc>
        <w:tc>
          <w:tcPr>
            <w:tcW w:w="7912" w:type="dxa"/>
            <w:vAlign w:val="center"/>
          </w:tcPr>
          <w:p w14:paraId="2A40CF24">
            <w:pPr>
              <w:spacing w:line="360" w:lineRule="auto"/>
              <w:contextualSpacing/>
              <w:jc w:val="left"/>
              <w:rPr>
                <w:rFonts w:ascii="宋体" w:hAnsi="宋体" w:cs="宋体"/>
                <w:color w:val="auto"/>
                <w:szCs w:val="21"/>
                <w:highlight w:val="none"/>
                <w:u w:val="single"/>
              </w:rPr>
            </w:pPr>
            <w:r>
              <w:rPr>
                <w:rFonts w:hint="eastAsia" w:ascii="宋体" w:hAnsi="宋体" w:cs="宋体"/>
                <w:color w:val="auto"/>
                <w:szCs w:val="21"/>
                <w:highlight w:val="none"/>
              </w:rPr>
              <w:t>响应文件提交截止时间：详见竞争性磋商公告。</w:t>
            </w:r>
          </w:p>
          <w:p w14:paraId="4F6862AF">
            <w:pPr>
              <w:spacing w:line="360" w:lineRule="auto"/>
              <w:contextualSpacing/>
              <w:jc w:val="left"/>
              <w:rPr>
                <w:rFonts w:ascii="宋体" w:hAnsi="宋体" w:cs="宋体"/>
                <w:color w:val="auto"/>
                <w:szCs w:val="21"/>
                <w:highlight w:val="none"/>
              </w:rPr>
            </w:pPr>
            <w:r>
              <w:rPr>
                <w:rFonts w:hint="eastAsia" w:ascii="宋体" w:hAnsi="宋体" w:cs="宋体"/>
                <w:color w:val="auto"/>
                <w:szCs w:val="21"/>
                <w:highlight w:val="none"/>
              </w:rPr>
              <w:t>响应文件提交地点：详见竞争性磋商公告。</w:t>
            </w:r>
          </w:p>
        </w:tc>
      </w:tr>
      <w:tr w14:paraId="2D50B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AB8F76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24.1</w:t>
            </w:r>
          </w:p>
        </w:tc>
        <w:tc>
          <w:tcPr>
            <w:tcW w:w="7912" w:type="dxa"/>
            <w:vAlign w:val="center"/>
          </w:tcPr>
          <w:p w14:paraId="10E0E138">
            <w:pPr>
              <w:snapToGrid w:val="0"/>
              <w:spacing w:line="360" w:lineRule="auto"/>
              <w:jc w:val="left"/>
              <w:rPr>
                <w:rFonts w:ascii="宋体" w:hAnsi="宋体" w:cs="宋体"/>
                <w:color w:val="auto"/>
                <w:szCs w:val="21"/>
                <w:highlight w:val="none"/>
                <w:u w:val="single"/>
              </w:rPr>
            </w:pPr>
            <w:r>
              <w:rPr>
                <w:rFonts w:hint="eastAsia" w:ascii="宋体" w:hAnsi="宋体" w:cs="宋体"/>
                <w:color w:val="auto"/>
                <w:szCs w:val="21"/>
                <w:highlight w:val="none"/>
              </w:rPr>
              <w:t>磋商小组的人数：</w:t>
            </w:r>
            <w:r>
              <w:rPr>
                <w:rFonts w:hint="eastAsia" w:ascii="宋体" w:hAnsi="宋体" w:cs="宋体"/>
                <w:color w:val="auto"/>
                <w:szCs w:val="21"/>
                <w:highlight w:val="none"/>
                <w:u w:val="single"/>
              </w:rPr>
              <w:t>3</w:t>
            </w:r>
            <w:r>
              <w:rPr>
                <w:rFonts w:hint="eastAsia" w:ascii="宋体" w:hAnsi="宋体" w:cs="宋体"/>
                <w:color w:val="auto"/>
                <w:szCs w:val="21"/>
                <w:highlight w:val="none"/>
              </w:rPr>
              <w:t>人或以上。</w:t>
            </w:r>
          </w:p>
        </w:tc>
      </w:tr>
      <w:tr w14:paraId="641A6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BCF8F7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p>
        </w:tc>
        <w:tc>
          <w:tcPr>
            <w:tcW w:w="7912" w:type="dxa"/>
            <w:vAlign w:val="center"/>
          </w:tcPr>
          <w:p w14:paraId="2A1F4430">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首次响应文件开启时间详见“竞争性磋商公告”。</w:t>
            </w:r>
          </w:p>
          <w:p w14:paraId="6DB43B1D">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首次响应文件解密时间：</w:t>
            </w:r>
            <w:r>
              <w:rPr>
                <w:rFonts w:hint="eastAsia" w:ascii="宋体" w:hAnsi="宋体"/>
                <w:color w:val="auto"/>
                <w:szCs w:val="21"/>
                <w:highlight w:val="none"/>
                <w:u w:val="single"/>
              </w:rPr>
              <w:t>30</w:t>
            </w:r>
            <w:r>
              <w:rPr>
                <w:rFonts w:hint="eastAsia" w:ascii="宋体" w:hAnsi="宋体"/>
                <w:color w:val="auto"/>
                <w:szCs w:val="21"/>
                <w:highlight w:val="none"/>
              </w:rPr>
              <w:t>分钟。</w:t>
            </w:r>
          </w:p>
        </w:tc>
      </w:tr>
      <w:tr w14:paraId="128C5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Align w:val="center"/>
          </w:tcPr>
          <w:p w14:paraId="1E97612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6.3</w:t>
            </w:r>
          </w:p>
        </w:tc>
        <w:tc>
          <w:tcPr>
            <w:tcW w:w="7912" w:type="dxa"/>
            <w:vAlign w:val="center"/>
          </w:tcPr>
          <w:p w14:paraId="74A33AE6">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商务要求评审中允许负偏离的条款数为</w:t>
            </w:r>
            <w:r>
              <w:rPr>
                <w:rFonts w:hint="eastAsia" w:ascii="宋体" w:hAnsi="宋体" w:cs="宋体"/>
                <w:color w:val="auto"/>
                <w:szCs w:val="21"/>
                <w:highlight w:val="none"/>
                <w:u w:val="single"/>
              </w:rPr>
              <w:t xml:space="preserve"> 0 </w:t>
            </w:r>
            <w:r>
              <w:rPr>
                <w:rFonts w:hint="eastAsia" w:ascii="宋体" w:hAnsi="宋体" w:cs="宋体"/>
                <w:color w:val="auto"/>
                <w:szCs w:val="21"/>
                <w:highlight w:val="none"/>
              </w:rPr>
              <w:t>项。</w:t>
            </w:r>
          </w:p>
          <w:p w14:paraId="19227472">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技术要求评审中允许负偏离的条款数为</w:t>
            </w:r>
            <w:r>
              <w:rPr>
                <w:rFonts w:hint="eastAsia" w:ascii="宋体" w:hAnsi="宋体" w:cs="宋体"/>
                <w:color w:val="auto"/>
                <w:szCs w:val="21"/>
                <w:highlight w:val="none"/>
                <w:u w:val="single"/>
              </w:rPr>
              <w:t xml:space="preserve"> 0 </w:t>
            </w:r>
            <w:r>
              <w:rPr>
                <w:rFonts w:hint="eastAsia" w:ascii="宋体" w:hAnsi="宋体" w:cs="宋体"/>
                <w:color w:val="auto"/>
                <w:szCs w:val="21"/>
                <w:highlight w:val="none"/>
              </w:rPr>
              <w:t>项。</w:t>
            </w:r>
          </w:p>
        </w:tc>
      </w:tr>
      <w:tr w14:paraId="64245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CDC5708">
            <w:pPr>
              <w:spacing w:line="360" w:lineRule="auto"/>
              <w:jc w:val="center"/>
              <w:rPr>
                <w:rFonts w:ascii="宋体" w:hAnsi="宋体" w:cs="宋体"/>
                <w:color w:val="auto"/>
                <w:szCs w:val="21"/>
                <w:highlight w:val="none"/>
              </w:rPr>
            </w:pPr>
            <w:r>
              <w:rPr>
                <w:rFonts w:ascii="宋体" w:hAnsi="宋体" w:cs="宋体"/>
                <w:color w:val="auto"/>
                <w:szCs w:val="21"/>
                <w:highlight w:val="none"/>
              </w:rPr>
              <w:t>28.1</w:t>
            </w:r>
          </w:p>
        </w:tc>
        <w:tc>
          <w:tcPr>
            <w:tcW w:w="7912" w:type="dxa"/>
            <w:vAlign w:val="center"/>
          </w:tcPr>
          <w:p w14:paraId="697BFBC5">
            <w:pPr>
              <w:autoSpaceDE w:val="0"/>
              <w:autoSpaceDN w:val="0"/>
              <w:snapToGrid w:val="0"/>
              <w:spacing w:line="360" w:lineRule="auto"/>
              <w:textAlignment w:val="bottom"/>
              <w:rPr>
                <w:rFonts w:ascii="宋体" w:hAnsi="宋体"/>
                <w:color w:val="auto"/>
                <w:szCs w:val="21"/>
                <w:highlight w:val="none"/>
              </w:rPr>
            </w:pPr>
            <w:r>
              <w:rPr>
                <w:rFonts w:hint="eastAsia" w:ascii="宋体" w:hAnsi="宋体" w:cs="宋体"/>
                <w:color w:val="auto"/>
                <w:kern w:val="0"/>
                <w:szCs w:val="21"/>
                <w:highlight w:val="none"/>
              </w:rPr>
              <w:t>☑</w:t>
            </w:r>
            <w:r>
              <w:rPr>
                <w:rFonts w:hint="eastAsia" w:ascii="宋体" w:hAnsi="宋体"/>
                <w:color w:val="auto"/>
                <w:szCs w:val="21"/>
                <w:highlight w:val="none"/>
              </w:rPr>
              <w:t>本项目不收取履约保证金。</w:t>
            </w:r>
          </w:p>
          <w:p w14:paraId="34198FF2">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□本项目收取履约保证金，具体规定如下：</w:t>
            </w:r>
          </w:p>
          <w:p w14:paraId="0F852543">
            <w:pPr>
              <w:spacing w:line="360" w:lineRule="auto"/>
              <w:rPr>
                <w:rFonts w:ascii="宋体" w:hAnsi="宋体" w:cs="宋体"/>
                <w:color w:val="auto"/>
                <w:highlight w:val="none"/>
              </w:rPr>
            </w:pPr>
            <w:r>
              <w:rPr>
                <w:rFonts w:hint="eastAsia" w:ascii="宋体" w:hAnsi="宋体" w:cs="宋体"/>
                <w:color w:val="auto"/>
                <w:szCs w:val="21"/>
                <w:highlight w:val="none"/>
              </w:rPr>
              <w:t>履约保证金金额：</w:t>
            </w:r>
            <w:r>
              <w:rPr>
                <w:rFonts w:hint="eastAsia" w:ascii="宋体" w:hAnsi="宋体" w:cs="宋体"/>
                <w:b/>
                <w:bCs/>
                <w:color w:val="auto"/>
                <w:highlight w:val="none"/>
              </w:rPr>
              <w:t>按合同金额的</w:t>
            </w:r>
            <w:r>
              <w:rPr>
                <w:rFonts w:hint="eastAsia" w:ascii="宋体" w:hAnsi="宋体" w:cs="宋体"/>
                <w:b/>
                <w:bCs/>
                <w:color w:val="auto"/>
                <w:highlight w:val="none"/>
                <w:u w:val="single"/>
              </w:rPr>
              <w:t>5%</w:t>
            </w:r>
            <w:r>
              <w:rPr>
                <w:rFonts w:hint="eastAsia" w:ascii="宋体" w:hAnsi="宋体" w:cs="宋体"/>
                <w:b/>
                <w:bCs/>
                <w:color w:val="auto"/>
                <w:highlight w:val="none"/>
              </w:rPr>
              <w:t>（如为中小型企业，按合同总金额的2%收取）</w:t>
            </w:r>
            <w:r>
              <w:rPr>
                <w:rFonts w:hint="eastAsia" w:ascii="宋体" w:hAnsi="宋体" w:cs="宋体"/>
                <w:color w:val="auto"/>
                <w:highlight w:val="none"/>
              </w:rPr>
              <w:t>。</w:t>
            </w:r>
          </w:p>
          <w:p w14:paraId="75872C55">
            <w:pPr>
              <w:spacing w:line="360" w:lineRule="auto"/>
              <w:contextualSpacing/>
              <w:rPr>
                <w:rFonts w:ascii="宋体" w:hAnsi="宋体" w:cs="宋体"/>
                <w:color w:val="auto"/>
                <w:szCs w:val="21"/>
                <w:highlight w:val="none"/>
              </w:rPr>
            </w:pPr>
            <w:r>
              <w:rPr>
                <w:rFonts w:hint="eastAsia" w:ascii="宋体" w:hAnsi="宋体" w:cs="宋体"/>
                <w:color w:val="auto"/>
                <w:highlight w:val="none"/>
              </w:rPr>
              <w:t>履约保证金提交方式：银行转账、支票、汇票、本票或者金融、担保机构出具的保函等非现金方式（参照磋商保证金）</w:t>
            </w:r>
            <w:r>
              <w:rPr>
                <w:rFonts w:hint="eastAsia" w:ascii="宋体" w:hAnsi="宋体" w:cs="宋体"/>
                <w:color w:val="auto"/>
                <w:szCs w:val="21"/>
                <w:highlight w:val="none"/>
              </w:rPr>
              <w:t>。</w:t>
            </w:r>
          </w:p>
          <w:p w14:paraId="4A41205E">
            <w:pPr>
              <w:spacing w:line="360" w:lineRule="auto"/>
              <w:contextualSpacing/>
              <w:rPr>
                <w:rFonts w:ascii="宋体" w:hAnsi="宋体" w:cs="宋体"/>
                <w:color w:val="auto"/>
                <w:szCs w:val="21"/>
                <w:highlight w:val="none"/>
                <w:u w:val="single"/>
              </w:rPr>
            </w:pPr>
            <w:r>
              <w:rPr>
                <w:rFonts w:hint="eastAsia" w:ascii="宋体" w:hAnsi="宋体" w:cs="宋体"/>
                <w:color w:val="auto"/>
                <w:szCs w:val="21"/>
                <w:highlight w:val="none"/>
              </w:rPr>
              <w:t>履约保证金退付方式、时间及条件：</w:t>
            </w:r>
            <w:r>
              <w:rPr>
                <w:rFonts w:hint="eastAsia" w:ascii="宋体" w:hAnsi="宋体" w:cs="宋体"/>
                <w:color w:val="auto"/>
                <w:szCs w:val="21"/>
                <w:highlight w:val="none"/>
                <w:u w:val="single"/>
              </w:rPr>
              <w:t xml:space="preserve">                               。</w:t>
            </w:r>
          </w:p>
          <w:p w14:paraId="09536A2A">
            <w:pPr>
              <w:spacing w:line="360" w:lineRule="auto"/>
              <w:contextualSpacing/>
              <w:rPr>
                <w:rFonts w:ascii="宋体" w:hAnsi="宋体" w:cs="宋体"/>
                <w:color w:val="auto"/>
                <w:szCs w:val="21"/>
                <w:highlight w:val="none"/>
              </w:rPr>
            </w:pPr>
            <w:r>
              <w:rPr>
                <w:rFonts w:hint="eastAsia" w:ascii="宋体" w:hAnsi="宋体" w:cs="宋体"/>
                <w:color w:val="auto"/>
                <w:szCs w:val="21"/>
                <w:highlight w:val="none"/>
              </w:rPr>
              <w:t>如：由成交供应商向履约保证金收取单位提供《广西壮族自治区政府采购项目合同验收书》（详见桂财采〔2015〕22号），保证金收取单位在收到合格材料后5个工作日内办理退还手续（不计利息）。</w:t>
            </w:r>
          </w:p>
          <w:p w14:paraId="1B87EF62">
            <w:pPr>
              <w:spacing w:line="360" w:lineRule="auto"/>
              <w:contextualSpacing/>
              <w:rPr>
                <w:rFonts w:ascii="宋体" w:hAnsi="宋体" w:cs="宋体"/>
                <w:color w:val="auto"/>
                <w:szCs w:val="21"/>
                <w:highlight w:val="none"/>
              </w:rPr>
            </w:pPr>
            <w:r>
              <w:rPr>
                <w:rFonts w:hint="eastAsia" w:ascii="宋体" w:hAnsi="宋体" w:cs="宋体"/>
                <w:color w:val="auto"/>
                <w:szCs w:val="21"/>
                <w:highlight w:val="none"/>
              </w:rPr>
              <w:t>履约保证金指定账户：</w:t>
            </w:r>
          </w:p>
          <w:p w14:paraId="79B17627">
            <w:pPr>
              <w:spacing w:line="360" w:lineRule="auto"/>
              <w:contextualSpacing/>
              <w:rPr>
                <w:rFonts w:ascii="宋体" w:hAnsi="宋体" w:cs="宋体"/>
                <w:color w:val="auto"/>
                <w:szCs w:val="21"/>
                <w:highlight w:val="none"/>
              </w:rPr>
            </w:pPr>
            <w:r>
              <w:rPr>
                <w:rFonts w:hint="eastAsia" w:ascii="宋体" w:hAnsi="宋体" w:cs="宋体"/>
                <w:color w:val="auto"/>
                <w:szCs w:val="21"/>
                <w:highlight w:val="none"/>
              </w:rPr>
              <w:t>开户名称：</w:t>
            </w:r>
            <w:r>
              <w:rPr>
                <w:rFonts w:hint="eastAsia" w:ascii="宋体" w:hAnsi="宋体" w:cs="宋体"/>
                <w:color w:val="auto"/>
                <w:szCs w:val="21"/>
                <w:highlight w:val="none"/>
                <w:u w:val="single"/>
              </w:rPr>
              <w:t xml:space="preserve">                </w:t>
            </w:r>
          </w:p>
          <w:p w14:paraId="363954E1">
            <w:pPr>
              <w:spacing w:line="360" w:lineRule="auto"/>
              <w:contextualSpacing/>
              <w:rPr>
                <w:rFonts w:ascii="宋体" w:hAns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p>
          <w:p w14:paraId="7A182377">
            <w:pPr>
              <w:spacing w:line="360" w:lineRule="auto"/>
              <w:contextualSpacing/>
              <w:rPr>
                <w:rFonts w:ascii="宋体" w:hAnsi="宋体" w:cs="宋体"/>
                <w:color w:val="auto"/>
                <w:szCs w:val="21"/>
                <w:highlight w:val="none"/>
              </w:rPr>
            </w:pPr>
            <w:r>
              <w:rPr>
                <w:rFonts w:hint="eastAsia" w:ascii="宋体" w:hAnsi="宋体" w:cs="宋体"/>
                <w:color w:val="auto"/>
                <w:szCs w:val="21"/>
                <w:highlight w:val="none"/>
              </w:rPr>
              <w:t>银行账号：</w:t>
            </w:r>
            <w:r>
              <w:rPr>
                <w:rFonts w:hint="eastAsia" w:ascii="宋体" w:hAnsi="宋体" w:cs="宋体"/>
                <w:color w:val="auto"/>
                <w:szCs w:val="21"/>
                <w:highlight w:val="none"/>
                <w:u w:val="single"/>
              </w:rPr>
              <w:t xml:space="preserve">                </w:t>
            </w:r>
          </w:p>
          <w:p w14:paraId="14C7E6D4">
            <w:pPr>
              <w:spacing w:line="360" w:lineRule="auto"/>
              <w:contextualSpacing/>
              <w:rPr>
                <w:rFonts w:ascii="宋体" w:hAnsi="宋体" w:cs="宋体"/>
                <w:color w:val="auto"/>
                <w:szCs w:val="21"/>
                <w:highlight w:val="none"/>
              </w:rPr>
            </w:pPr>
            <w:r>
              <w:rPr>
                <w:rFonts w:hint="eastAsia" w:ascii="宋体" w:hAnsi="宋体" w:cs="宋体"/>
                <w:color w:val="auto"/>
                <w:szCs w:val="21"/>
                <w:highlight w:val="none"/>
              </w:rPr>
              <w:t>备注：</w:t>
            </w:r>
          </w:p>
          <w:p w14:paraId="04639608">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1</w:t>
            </w:r>
            <w:r>
              <w:rPr>
                <w:rFonts w:ascii="宋体" w:hAnsi="宋体" w:cs="宋体"/>
                <w:b/>
                <w:color w:val="auto"/>
                <w:szCs w:val="21"/>
                <w:highlight w:val="none"/>
              </w:rPr>
              <w:t>.</w:t>
            </w:r>
            <w:r>
              <w:rPr>
                <w:rFonts w:hint="eastAsia" w:ascii="宋体" w:hAnsi="宋体" w:cs="宋体"/>
                <w:b/>
                <w:color w:val="auto"/>
                <w:szCs w:val="21"/>
                <w:highlight w:val="none"/>
              </w:rPr>
              <w:t>根据《广西壮族自治区财政厅关于持续优化政府采购营商环境推动高质量发展的通知》（桂财采〔2024〕55号）规定，采购文件要求中标或者成交供应商提交履约保证金的，履约保证金数额不得超过政府采购合同金额的5%，对中小企业收取的履约保证金数额不得超过政府采购合同金额的2%。</w:t>
            </w:r>
          </w:p>
          <w:p w14:paraId="0AC6AD17">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2</w:t>
            </w:r>
            <w:r>
              <w:rPr>
                <w:rFonts w:ascii="宋体" w:hAnsi="宋体" w:cs="宋体"/>
                <w:b/>
                <w:color w:val="auto"/>
                <w:szCs w:val="21"/>
                <w:highlight w:val="none"/>
              </w:rPr>
              <w:t>.</w:t>
            </w:r>
            <w:r>
              <w:rPr>
                <w:rFonts w:hint="eastAsia" w:ascii="宋体" w:hAnsi="宋体" w:cs="宋体"/>
                <w:b/>
                <w:color w:val="auto"/>
                <w:szCs w:val="21"/>
                <w:highlight w:val="none"/>
              </w:rPr>
              <w:t>履约保证金不足额缴纳的，或者金融、担保机构出具的保函额度不足的或者保函有效期低于合同履行期限（即签订采购合同之日起至履行完合同约定的权利及义务之日止）的，不予签订合同。</w:t>
            </w:r>
          </w:p>
          <w:p w14:paraId="544766C0">
            <w:pPr>
              <w:snapToGrid w:val="0"/>
              <w:spacing w:line="360" w:lineRule="auto"/>
              <w:rPr>
                <w:rFonts w:ascii="宋体" w:hAnsi="宋体" w:cs="宋体"/>
                <w:b/>
                <w:color w:val="auto"/>
                <w:szCs w:val="21"/>
                <w:highlight w:val="none"/>
              </w:rPr>
            </w:pPr>
            <w:r>
              <w:rPr>
                <w:rFonts w:ascii="宋体" w:hAnsi="宋体" w:cs="宋体"/>
                <w:b/>
                <w:color w:val="auto"/>
                <w:szCs w:val="21"/>
                <w:highlight w:val="none"/>
              </w:rPr>
              <w:t>3.</w:t>
            </w:r>
            <w:r>
              <w:rPr>
                <w:rFonts w:hint="eastAsia" w:ascii="宋体" w:hAnsi="宋体" w:cs="宋体"/>
                <w:b/>
                <w:color w:val="auto"/>
                <w:szCs w:val="21"/>
                <w:highlight w:val="none"/>
              </w:rPr>
              <w:t>采用金融、担保机构出具的保函的，必须为无条件保函，否则不予签订合同。</w:t>
            </w:r>
          </w:p>
          <w:p w14:paraId="4D07010E">
            <w:pPr>
              <w:snapToGrid w:val="0"/>
              <w:spacing w:line="360" w:lineRule="auto"/>
              <w:rPr>
                <w:rFonts w:ascii="宋体" w:hAnsi="宋体" w:cs="宋体"/>
                <w:color w:val="auto"/>
                <w:szCs w:val="21"/>
                <w:highlight w:val="none"/>
              </w:rPr>
            </w:pPr>
            <w:r>
              <w:rPr>
                <w:rFonts w:ascii="宋体" w:hAnsi="宋体" w:cs="宋体"/>
                <w:b/>
                <w:color w:val="auto"/>
                <w:szCs w:val="21"/>
                <w:highlight w:val="none"/>
              </w:rPr>
              <w:t>4.</w:t>
            </w:r>
            <w:r>
              <w:rPr>
                <w:rFonts w:hint="eastAsia" w:ascii="宋体" w:hAnsi="宋体" w:cs="宋体"/>
                <w:b/>
                <w:color w:val="auto"/>
                <w:szCs w:val="21"/>
                <w:highlight w:val="none"/>
              </w:rPr>
              <w:t>供应商为联合体的，由联合体任意一方按规定提交的履约保证金，视为有效履约保证金。</w:t>
            </w:r>
          </w:p>
        </w:tc>
      </w:tr>
      <w:tr w14:paraId="20037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508EF66">
            <w:pPr>
              <w:spacing w:line="360" w:lineRule="auto"/>
              <w:jc w:val="center"/>
              <w:rPr>
                <w:rFonts w:ascii="宋体" w:hAnsi="宋体" w:cs="宋体"/>
                <w:color w:val="auto"/>
                <w:szCs w:val="21"/>
                <w:highlight w:val="none"/>
              </w:rPr>
            </w:pPr>
            <w:r>
              <w:rPr>
                <w:rFonts w:ascii="宋体" w:hAnsi="宋体" w:cs="宋体"/>
                <w:color w:val="auto"/>
                <w:szCs w:val="21"/>
                <w:highlight w:val="none"/>
              </w:rPr>
              <w:t>29.1</w:t>
            </w:r>
          </w:p>
        </w:tc>
        <w:tc>
          <w:tcPr>
            <w:tcW w:w="7912" w:type="dxa"/>
            <w:vAlign w:val="center"/>
          </w:tcPr>
          <w:p w14:paraId="15FC1888">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 xml:space="preserve">签订合同携带的证明材料： </w:t>
            </w:r>
          </w:p>
          <w:p w14:paraId="4992B013">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委托代理人负责签订合同的，须携带授权委托书及委托代理人身份证原件等其他资格证件。</w:t>
            </w:r>
          </w:p>
          <w:p w14:paraId="62B8D534">
            <w:pPr>
              <w:snapToGrid w:val="0"/>
              <w:spacing w:line="360" w:lineRule="auto"/>
              <w:rPr>
                <w:rFonts w:ascii="宋体" w:hAnsi="宋体" w:cs="宋体"/>
                <w:color w:val="auto"/>
                <w:szCs w:val="21"/>
                <w:highlight w:val="none"/>
              </w:rPr>
            </w:pPr>
            <w:r>
              <w:rPr>
                <w:rFonts w:hint="eastAsia" w:ascii="宋体" w:hAnsi="宋体"/>
                <w:color w:val="auto"/>
                <w:szCs w:val="21"/>
                <w:highlight w:val="none"/>
              </w:rPr>
              <w:t>法定代表人负责签订合同的，须携带法定代表人</w:t>
            </w:r>
            <w:r>
              <w:rPr>
                <w:rFonts w:ascii="宋体" w:hAnsi="宋体"/>
                <w:color w:val="auto"/>
                <w:szCs w:val="21"/>
                <w:highlight w:val="none"/>
              </w:rPr>
              <w:t>身份证明原件</w:t>
            </w:r>
            <w:r>
              <w:rPr>
                <w:rFonts w:hint="eastAsia" w:ascii="宋体" w:hAnsi="宋体"/>
                <w:color w:val="auto"/>
                <w:szCs w:val="21"/>
                <w:highlight w:val="none"/>
              </w:rPr>
              <w:t>及</w:t>
            </w:r>
            <w:r>
              <w:rPr>
                <w:rFonts w:ascii="宋体" w:hAnsi="宋体"/>
                <w:color w:val="auto"/>
                <w:szCs w:val="21"/>
                <w:highlight w:val="none"/>
              </w:rPr>
              <w:t>身份证原件</w:t>
            </w:r>
            <w:r>
              <w:rPr>
                <w:rFonts w:hint="eastAsia" w:ascii="宋体" w:hAnsi="宋体"/>
                <w:color w:val="auto"/>
                <w:szCs w:val="21"/>
                <w:highlight w:val="none"/>
              </w:rPr>
              <w:t>等其他证明材料。</w:t>
            </w:r>
          </w:p>
        </w:tc>
      </w:tr>
      <w:tr w14:paraId="26A44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4BC6DE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1.2</w:t>
            </w:r>
          </w:p>
        </w:tc>
        <w:tc>
          <w:tcPr>
            <w:tcW w:w="7912" w:type="dxa"/>
            <w:vAlign w:val="center"/>
          </w:tcPr>
          <w:p w14:paraId="4906D22E">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接收质疑函方式：以书面形式。</w:t>
            </w:r>
          </w:p>
          <w:p w14:paraId="33D9709D">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质疑联系部门及联系方式：广西众鑫工程项目管理有限公司</w:t>
            </w:r>
          </w:p>
          <w:p w14:paraId="229B4754">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联系电话：0771-5613593</w:t>
            </w:r>
          </w:p>
          <w:p w14:paraId="727C9DAF">
            <w:pPr>
              <w:pStyle w:val="16"/>
              <w:snapToGrid w:val="0"/>
              <w:spacing w:line="360" w:lineRule="auto"/>
              <w:rPr>
                <w:rFonts w:hAnsi="宋体" w:cs="宋体"/>
                <w:color w:val="auto"/>
                <w:kern w:val="2"/>
                <w:sz w:val="21"/>
                <w:highlight w:val="none"/>
              </w:rPr>
            </w:pPr>
            <w:r>
              <w:rPr>
                <w:rFonts w:hint="eastAsia" w:hAnsi="宋体" w:cs="宋体"/>
                <w:color w:val="auto"/>
                <w:kern w:val="2"/>
                <w:sz w:val="21"/>
                <w:highlight w:val="none"/>
              </w:rPr>
              <w:t>通讯地址：南宁市青秀区葛村路18号9栋五层（整层） 　</w:t>
            </w:r>
          </w:p>
          <w:p w14:paraId="5DEBC19C">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业务时间：工作日每天上午9时00分至12时00分，下午15时00分至17时30分。</w:t>
            </w:r>
          </w:p>
          <w:p w14:paraId="610FA5E6">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监督管理部门：广西壮族自治区财政厅政府采购监督管理处</w:t>
            </w:r>
          </w:p>
          <w:p w14:paraId="5703C30D">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电话：0771-5331544</w:t>
            </w:r>
          </w:p>
        </w:tc>
      </w:tr>
      <w:tr w14:paraId="616EB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1D560C1">
            <w:pPr>
              <w:spacing w:line="360" w:lineRule="auto"/>
              <w:jc w:val="center"/>
              <w:rPr>
                <w:rFonts w:ascii="宋体" w:hAnsi="宋体" w:cs="宋体"/>
                <w:color w:val="auto"/>
                <w:szCs w:val="21"/>
                <w:highlight w:val="none"/>
              </w:rPr>
            </w:pPr>
            <w:r>
              <w:rPr>
                <w:rFonts w:ascii="宋体" w:hAnsi="宋体" w:cs="宋体"/>
                <w:color w:val="auto"/>
                <w:szCs w:val="21"/>
                <w:highlight w:val="none"/>
              </w:rPr>
              <w:t>32.1</w:t>
            </w:r>
          </w:p>
        </w:tc>
        <w:tc>
          <w:tcPr>
            <w:tcW w:w="7912" w:type="dxa"/>
            <w:vAlign w:val="center"/>
          </w:tcPr>
          <w:p w14:paraId="46F94B85">
            <w:pPr>
              <w:pStyle w:val="16"/>
              <w:snapToGrid w:val="0"/>
              <w:spacing w:line="360" w:lineRule="auto"/>
              <w:rPr>
                <w:rFonts w:hAnsi="宋体" w:cs="宋体"/>
                <w:color w:val="auto"/>
                <w:sz w:val="21"/>
                <w:highlight w:val="none"/>
              </w:rPr>
            </w:pPr>
            <w:r>
              <w:rPr>
                <w:rFonts w:hint="eastAsia" w:hAnsi="宋体" w:cs="宋体"/>
                <w:color w:val="auto"/>
                <w:sz w:val="21"/>
                <w:highlight w:val="none"/>
              </w:rPr>
              <w:t>1.采购代理费支付方式：</w:t>
            </w:r>
          </w:p>
          <w:p w14:paraId="11AC0D66">
            <w:pPr>
              <w:pStyle w:val="16"/>
              <w:snapToGrid w:val="0"/>
              <w:spacing w:line="360" w:lineRule="auto"/>
              <w:rPr>
                <w:rFonts w:hAnsi="宋体" w:cs="宋体"/>
                <w:color w:val="auto"/>
                <w:sz w:val="21"/>
                <w:highlight w:val="none"/>
              </w:rPr>
            </w:pPr>
            <w:r>
              <w:rPr>
                <w:rFonts w:hint="eastAsia" w:hAnsi="宋体"/>
                <w:color w:val="auto"/>
                <w:highlight w:val="none"/>
              </w:rPr>
              <w:t>☑</w:t>
            </w:r>
            <w:r>
              <w:rPr>
                <w:rFonts w:hint="eastAsia" w:hAnsi="宋体" w:cs="宋体"/>
                <w:color w:val="auto"/>
                <w:sz w:val="21"/>
                <w:highlight w:val="none"/>
              </w:rPr>
              <w:t>本项目代理服务费由</w:t>
            </w:r>
            <w:r>
              <w:rPr>
                <w:rFonts w:hint="eastAsia" w:hAnsi="宋体" w:cs="宋体"/>
                <w:color w:val="auto"/>
                <w:sz w:val="21"/>
                <w:highlight w:val="none"/>
                <w:u w:val="single"/>
              </w:rPr>
              <w:t>成交供应商</w:t>
            </w:r>
            <w:r>
              <w:rPr>
                <w:rFonts w:hint="eastAsia" w:hAnsi="宋体" w:cs="宋体"/>
                <w:color w:val="auto"/>
                <w:sz w:val="21"/>
                <w:highlight w:val="none"/>
              </w:rPr>
              <w:t>领取成交通知书前，一次性向采购代理机构支付。</w:t>
            </w:r>
          </w:p>
          <w:p w14:paraId="416EE4D3">
            <w:pPr>
              <w:pStyle w:val="16"/>
              <w:snapToGrid w:val="0"/>
              <w:spacing w:line="360" w:lineRule="auto"/>
              <w:rPr>
                <w:rFonts w:hAnsi="宋体" w:cs="宋体"/>
                <w:color w:val="auto"/>
                <w:sz w:val="21"/>
                <w:highlight w:val="none"/>
              </w:rPr>
            </w:pPr>
            <w:r>
              <w:rPr>
                <w:rFonts w:hint="eastAsia" w:hAnsi="宋体" w:cs="宋体"/>
                <w:color w:val="auto"/>
                <w:sz w:val="21"/>
                <w:highlight w:val="none"/>
              </w:rPr>
              <w:t>□采购人支付。</w:t>
            </w:r>
          </w:p>
          <w:p w14:paraId="0107EB76">
            <w:pPr>
              <w:pStyle w:val="16"/>
              <w:snapToGrid w:val="0"/>
              <w:spacing w:line="360" w:lineRule="auto"/>
              <w:rPr>
                <w:rFonts w:hAnsi="宋体" w:cs="宋体"/>
                <w:color w:val="auto"/>
                <w:sz w:val="21"/>
                <w:highlight w:val="none"/>
              </w:rPr>
            </w:pPr>
            <w:r>
              <w:rPr>
                <w:rFonts w:hint="eastAsia" w:hAnsi="宋体" w:cs="宋体"/>
                <w:color w:val="auto"/>
                <w:sz w:val="21"/>
                <w:highlight w:val="none"/>
              </w:rPr>
              <w:t>2.采购代理费收取标准：</w:t>
            </w:r>
          </w:p>
          <w:p w14:paraId="398DC4F8">
            <w:pPr>
              <w:pStyle w:val="16"/>
              <w:snapToGrid w:val="0"/>
              <w:spacing w:line="360" w:lineRule="auto"/>
              <w:rPr>
                <w:rFonts w:hAnsi="宋体" w:cs="宋体"/>
                <w:color w:val="auto"/>
                <w:sz w:val="21"/>
                <w:highlight w:val="none"/>
              </w:rPr>
            </w:pPr>
            <w:r>
              <w:rPr>
                <w:rFonts w:hint="eastAsia" w:hAnsi="宋体" w:cs="宋体"/>
                <w:color w:val="auto"/>
                <w:sz w:val="21"/>
                <w:highlight w:val="none"/>
              </w:rPr>
              <w:t>☑以分标（☑中标金额/□采购预算/）为计费额，按本须知正文第32.2条规定的收费计算标准（□货物招标/☑服务招标/□工程招标）采用差额定率累进法计算出收费基准价格。采购代理服务费收费以（□收费基准价格/☑收费基准价格下浮20%/□收费基准价格上浮   %）收取。</w:t>
            </w:r>
          </w:p>
          <w:p w14:paraId="56D45050">
            <w:pPr>
              <w:pStyle w:val="16"/>
              <w:snapToGrid w:val="0"/>
              <w:spacing w:line="360" w:lineRule="auto"/>
              <w:rPr>
                <w:rFonts w:hAnsi="宋体" w:cs="宋体"/>
                <w:color w:val="auto"/>
                <w:sz w:val="21"/>
                <w:highlight w:val="none"/>
                <w:u w:val="single"/>
              </w:rPr>
            </w:pPr>
            <w:r>
              <w:rPr>
                <w:rFonts w:hint="eastAsia" w:hAnsi="宋体" w:cs="宋体"/>
                <w:color w:val="auto"/>
                <w:sz w:val="21"/>
                <w:highlight w:val="none"/>
              </w:rPr>
              <w:t>□固定采购代理收费</w:t>
            </w:r>
            <w:r>
              <w:rPr>
                <w:rFonts w:hint="eastAsia" w:hAnsi="宋体" w:cs="宋体"/>
                <w:color w:val="auto"/>
                <w:sz w:val="21"/>
                <w:highlight w:val="none"/>
                <w:u w:val="single"/>
              </w:rPr>
              <w:t xml:space="preserve">              。</w:t>
            </w:r>
          </w:p>
          <w:p w14:paraId="3F8101CD">
            <w:pPr>
              <w:pStyle w:val="16"/>
              <w:snapToGrid w:val="0"/>
              <w:spacing w:line="360" w:lineRule="auto"/>
              <w:rPr>
                <w:rFonts w:hAnsi="宋体" w:cs="宋体"/>
                <w:color w:val="auto"/>
                <w:sz w:val="21"/>
                <w:highlight w:val="none"/>
              </w:rPr>
            </w:pPr>
            <w:r>
              <w:rPr>
                <w:rFonts w:hint="eastAsia" w:hAnsi="宋体" w:cs="宋体"/>
                <w:color w:val="auto"/>
                <w:sz w:val="21"/>
                <w:highlight w:val="none"/>
              </w:rPr>
              <w:t>3. 采购代理费收取银行账户</w:t>
            </w:r>
          </w:p>
          <w:p w14:paraId="1C9DD49B">
            <w:pPr>
              <w:pStyle w:val="16"/>
              <w:snapToGrid w:val="0"/>
              <w:spacing w:line="360" w:lineRule="auto"/>
              <w:rPr>
                <w:rFonts w:hAnsi="宋体" w:cs="宋体"/>
                <w:color w:val="auto"/>
                <w:sz w:val="21"/>
                <w:highlight w:val="none"/>
              </w:rPr>
            </w:pPr>
            <w:r>
              <w:rPr>
                <w:rFonts w:hint="eastAsia" w:hAnsi="宋体" w:cs="宋体"/>
                <w:color w:val="auto"/>
                <w:sz w:val="21"/>
                <w:highlight w:val="none"/>
              </w:rPr>
              <w:t xml:space="preserve">开户名称：广西众鑫工程项目管理有限公司 </w:t>
            </w:r>
          </w:p>
          <w:p w14:paraId="73ED6B9A">
            <w:pPr>
              <w:pStyle w:val="16"/>
              <w:snapToGrid w:val="0"/>
              <w:spacing w:line="360" w:lineRule="auto"/>
              <w:rPr>
                <w:rFonts w:hAnsi="宋体" w:cs="宋体"/>
                <w:color w:val="auto"/>
                <w:sz w:val="21"/>
                <w:highlight w:val="none"/>
              </w:rPr>
            </w:pPr>
            <w:r>
              <w:rPr>
                <w:rFonts w:hint="eastAsia" w:hAnsi="宋体" w:cs="宋体"/>
                <w:color w:val="auto"/>
                <w:sz w:val="21"/>
                <w:highlight w:val="none"/>
              </w:rPr>
              <w:t>开户银行：上海浦东发展银行股份有限公司南宁分行营业部</w:t>
            </w:r>
          </w:p>
          <w:p w14:paraId="7E756D78">
            <w:pPr>
              <w:pStyle w:val="16"/>
              <w:snapToGrid w:val="0"/>
              <w:spacing w:line="360" w:lineRule="auto"/>
              <w:rPr>
                <w:rFonts w:hAnsi="宋体" w:cs="宋体"/>
                <w:color w:val="auto"/>
                <w:sz w:val="21"/>
                <w:highlight w:val="none"/>
              </w:rPr>
            </w:pPr>
            <w:r>
              <w:rPr>
                <w:rFonts w:hint="eastAsia" w:hAnsi="宋体" w:cs="宋体"/>
                <w:color w:val="auto"/>
                <w:sz w:val="21"/>
                <w:highlight w:val="none"/>
              </w:rPr>
              <w:t>银行账号：6301 0078 8019 0000 3313</w:t>
            </w:r>
          </w:p>
        </w:tc>
      </w:tr>
      <w:tr w14:paraId="0D7EF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1BEC6D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3.1</w:t>
            </w:r>
          </w:p>
        </w:tc>
        <w:tc>
          <w:tcPr>
            <w:tcW w:w="7912" w:type="dxa"/>
            <w:vAlign w:val="center"/>
          </w:tcPr>
          <w:p w14:paraId="5D59C061">
            <w:pPr>
              <w:pStyle w:val="16"/>
              <w:snapToGrid w:val="0"/>
              <w:spacing w:line="360" w:lineRule="auto"/>
              <w:rPr>
                <w:rFonts w:hAnsi="宋体" w:cs="宋体"/>
                <w:color w:val="auto"/>
                <w:kern w:val="2"/>
                <w:sz w:val="21"/>
                <w:highlight w:val="none"/>
              </w:rPr>
            </w:pPr>
            <w:r>
              <w:rPr>
                <w:rFonts w:hint="eastAsia" w:hAnsi="宋体"/>
                <w:color w:val="auto"/>
                <w:sz w:val="21"/>
                <w:highlight w:val="none"/>
              </w:rPr>
              <w:t>解释：</w:t>
            </w:r>
            <w:r>
              <w:rPr>
                <w:rFonts w:hAnsi="宋体"/>
                <w:color w:val="auto"/>
                <w:sz w:val="21"/>
                <w:highlight w:val="none"/>
              </w:rPr>
              <w:t>构成本</w:t>
            </w:r>
            <w:r>
              <w:rPr>
                <w:rFonts w:hint="eastAsia" w:hAnsi="宋体"/>
                <w:color w:val="auto"/>
                <w:sz w:val="21"/>
                <w:highlight w:val="none"/>
              </w:rPr>
              <w:t>磋商文件</w:t>
            </w:r>
            <w:r>
              <w:rPr>
                <w:rFonts w:hAnsi="宋体"/>
                <w:color w:val="auto"/>
                <w:sz w:val="21"/>
                <w:highlight w:val="none"/>
              </w:rPr>
              <w:t>的各个组成文件应互为解释，互为说明；除</w:t>
            </w:r>
            <w:r>
              <w:rPr>
                <w:rFonts w:hint="eastAsia" w:hAnsi="宋体"/>
                <w:color w:val="auto"/>
                <w:sz w:val="21"/>
                <w:highlight w:val="none"/>
              </w:rPr>
              <w:t>磋商文件</w:t>
            </w:r>
            <w:r>
              <w:rPr>
                <w:rFonts w:hAnsi="宋体"/>
                <w:color w:val="auto"/>
                <w:sz w:val="21"/>
                <w:highlight w:val="none"/>
              </w:rPr>
              <w:t>中有特别规定外，仅适用于</w:t>
            </w:r>
            <w:r>
              <w:rPr>
                <w:rFonts w:hint="eastAsia" w:hAnsi="宋体"/>
                <w:color w:val="auto"/>
                <w:sz w:val="21"/>
                <w:highlight w:val="none"/>
              </w:rPr>
              <w:t>竞标</w:t>
            </w:r>
            <w:r>
              <w:rPr>
                <w:rFonts w:hAnsi="宋体"/>
                <w:color w:val="auto"/>
                <w:sz w:val="21"/>
                <w:highlight w:val="none"/>
              </w:rPr>
              <w:t>阶段的规定，按</w:t>
            </w:r>
            <w:r>
              <w:rPr>
                <w:rFonts w:hint="eastAsia" w:hAnsi="宋体"/>
                <w:color w:val="auto"/>
                <w:sz w:val="21"/>
                <w:highlight w:val="none"/>
              </w:rPr>
              <w:t>更正公告（澄清公告）</w:t>
            </w:r>
            <w:r>
              <w:rPr>
                <w:rFonts w:hAnsi="宋体"/>
                <w:color w:val="auto"/>
                <w:sz w:val="21"/>
                <w:highlight w:val="none"/>
              </w:rPr>
              <w:t>、</w:t>
            </w:r>
            <w:r>
              <w:rPr>
                <w:rFonts w:hint="eastAsia" w:hAnsi="宋体"/>
                <w:color w:val="auto"/>
                <w:sz w:val="21"/>
                <w:highlight w:val="none"/>
              </w:rPr>
              <w:t>竞争性磋商</w:t>
            </w:r>
            <w:r>
              <w:rPr>
                <w:rFonts w:hAnsi="宋体"/>
                <w:color w:val="auto"/>
                <w:sz w:val="21"/>
                <w:highlight w:val="none"/>
              </w:rPr>
              <w:t>公告、</w:t>
            </w:r>
            <w:r>
              <w:rPr>
                <w:rFonts w:hint="eastAsia" w:hAnsi="宋体"/>
                <w:color w:val="auto"/>
                <w:sz w:val="21"/>
                <w:highlight w:val="none"/>
              </w:rPr>
              <w:t>供应商</w:t>
            </w:r>
            <w:r>
              <w:rPr>
                <w:rFonts w:hAnsi="宋体"/>
                <w:color w:val="auto"/>
                <w:sz w:val="21"/>
                <w:highlight w:val="none"/>
              </w:rPr>
              <w:t>须知</w:t>
            </w:r>
            <w:r>
              <w:rPr>
                <w:rFonts w:hint="eastAsia" w:hAnsi="宋体"/>
                <w:color w:val="auto"/>
                <w:sz w:val="21"/>
                <w:highlight w:val="none"/>
              </w:rPr>
              <w:t>、采购需求</w:t>
            </w:r>
            <w:r>
              <w:rPr>
                <w:rFonts w:hAnsi="宋体"/>
                <w:color w:val="auto"/>
                <w:sz w:val="21"/>
                <w:highlight w:val="none"/>
              </w:rPr>
              <w:t>、</w:t>
            </w:r>
            <w:r>
              <w:rPr>
                <w:rFonts w:hint="eastAsia" w:hAnsi="宋体"/>
                <w:color w:val="auto"/>
                <w:sz w:val="21"/>
                <w:highlight w:val="none"/>
              </w:rPr>
              <w:t>评审程序、评审方法和评审标准</w:t>
            </w:r>
            <w:r>
              <w:rPr>
                <w:rFonts w:hAnsi="宋体"/>
                <w:color w:val="auto"/>
                <w:sz w:val="21"/>
                <w:highlight w:val="none"/>
              </w:rPr>
              <w:t>、</w:t>
            </w:r>
            <w:r>
              <w:rPr>
                <w:rFonts w:hint="eastAsia" w:hAnsi="宋体"/>
                <w:color w:val="auto"/>
                <w:sz w:val="21"/>
                <w:highlight w:val="none"/>
              </w:rPr>
              <w:t>响应</w:t>
            </w:r>
            <w:r>
              <w:rPr>
                <w:rFonts w:hAnsi="宋体"/>
                <w:color w:val="auto"/>
                <w:sz w:val="21"/>
                <w:highlight w:val="none"/>
              </w:rPr>
              <w:t>文件格式</w:t>
            </w:r>
            <w:r>
              <w:rPr>
                <w:rFonts w:hint="eastAsia" w:hAnsi="宋体"/>
                <w:color w:val="auto"/>
                <w:sz w:val="21"/>
                <w:highlight w:val="none"/>
              </w:rPr>
              <w:t>、合同文本</w:t>
            </w:r>
            <w:r>
              <w:rPr>
                <w:rFonts w:hAnsi="宋体"/>
                <w:color w:val="auto"/>
                <w:sz w:val="21"/>
                <w:highlight w:val="none"/>
              </w:rPr>
              <w:t>的先后顺序解释；同一组成文件中就同一事项的规定或者约定不一致的，以编排顺序在后者为准；同一组成文件不同版本之间有不一致的，以形成时间在后者为准；</w:t>
            </w:r>
            <w:r>
              <w:rPr>
                <w:rFonts w:hint="eastAsia" w:hAnsi="宋体"/>
                <w:color w:val="auto"/>
                <w:sz w:val="21"/>
                <w:highlight w:val="none"/>
              </w:rPr>
              <w:t>更正公告（澄清公告）</w:t>
            </w:r>
            <w:r>
              <w:rPr>
                <w:rFonts w:hAnsi="宋体"/>
                <w:color w:val="auto"/>
                <w:sz w:val="21"/>
                <w:highlight w:val="none"/>
              </w:rPr>
              <w:t>与同步更新的</w:t>
            </w:r>
            <w:r>
              <w:rPr>
                <w:rFonts w:hint="eastAsia" w:hAnsi="宋体"/>
                <w:color w:val="auto"/>
                <w:sz w:val="21"/>
                <w:highlight w:val="none"/>
              </w:rPr>
              <w:t>磋商文件</w:t>
            </w:r>
            <w:r>
              <w:rPr>
                <w:rFonts w:hAnsi="宋体"/>
                <w:color w:val="auto"/>
                <w:sz w:val="21"/>
                <w:highlight w:val="none"/>
              </w:rPr>
              <w:t>不一致时以</w:t>
            </w:r>
            <w:r>
              <w:rPr>
                <w:rFonts w:hint="eastAsia" w:hAnsi="宋体"/>
                <w:color w:val="auto"/>
                <w:sz w:val="21"/>
                <w:highlight w:val="none"/>
              </w:rPr>
              <w:t>更正公告（澄清公告）</w:t>
            </w:r>
            <w:r>
              <w:rPr>
                <w:rFonts w:hAnsi="宋体"/>
                <w:color w:val="auto"/>
                <w:sz w:val="21"/>
                <w:highlight w:val="none"/>
              </w:rPr>
              <w:t>为准。按本款前述规定仍不能形成结论的，由</w:t>
            </w:r>
            <w:r>
              <w:rPr>
                <w:rFonts w:hint="eastAsia" w:hAnsi="宋体"/>
                <w:color w:val="auto"/>
                <w:sz w:val="21"/>
                <w:highlight w:val="none"/>
              </w:rPr>
              <w:t>采购</w:t>
            </w:r>
            <w:r>
              <w:rPr>
                <w:rFonts w:hAnsi="宋体"/>
                <w:color w:val="auto"/>
                <w:sz w:val="21"/>
                <w:highlight w:val="none"/>
              </w:rPr>
              <w:t>人</w:t>
            </w:r>
            <w:r>
              <w:rPr>
                <w:rFonts w:hint="eastAsia" w:hAnsi="宋体"/>
                <w:color w:val="auto"/>
                <w:sz w:val="21"/>
                <w:highlight w:val="none"/>
              </w:rPr>
              <w:t>或者采购代理机构</w:t>
            </w:r>
            <w:r>
              <w:rPr>
                <w:rFonts w:hAnsi="宋体"/>
                <w:color w:val="auto"/>
                <w:sz w:val="21"/>
                <w:highlight w:val="none"/>
              </w:rPr>
              <w:t>负责解释。</w:t>
            </w:r>
          </w:p>
        </w:tc>
      </w:tr>
      <w:tr w14:paraId="4EFD7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BFEA2A6">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3.2</w:t>
            </w:r>
          </w:p>
        </w:tc>
        <w:tc>
          <w:tcPr>
            <w:tcW w:w="7912" w:type="dxa"/>
            <w:vAlign w:val="center"/>
          </w:tcPr>
          <w:p w14:paraId="26F26FDD">
            <w:pPr>
              <w:pStyle w:val="16"/>
              <w:snapToGrid w:val="0"/>
              <w:spacing w:line="360" w:lineRule="auto"/>
              <w:rPr>
                <w:rFonts w:hAnsi="宋体" w:cs="宋体"/>
                <w:color w:val="auto"/>
                <w:sz w:val="21"/>
                <w:highlight w:val="none"/>
              </w:rPr>
            </w:pPr>
            <w:r>
              <w:rPr>
                <w:rFonts w:hint="eastAsia" w:hAnsi="宋体" w:cs="宋体"/>
                <w:color w:val="auto"/>
                <w:sz w:val="21"/>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52B77F6B">
            <w:pPr>
              <w:pStyle w:val="16"/>
              <w:snapToGrid w:val="0"/>
              <w:spacing w:line="360" w:lineRule="auto"/>
              <w:rPr>
                <w:rFonts w:hAnsi="宋体" w:cs="宋体"/>
                <w:color w:val="auto"/>
                <w:sz w:val="21"/>
                <w:highlight w:val="none"/>
              </w:rPr>
            </w:pPr>
            <w:r>
              <w:rPr>
                <w:rFonts w:hint="eastAsia" w:hAnsi="宋体" w:cs="宋体"/>
                <w:bCs/>
                <w:color w:val="auto"/>
                <w:sz w:val="21"/>
                <w:highlight w:val="none"/>
              </w:rPr>
              <w:t>2.本磋商文件所称的“</w:t>
            </w:r>
            <w:r>
              <w:rPr>
                <w:rFonts w:hint="eastAsia" w:hAnsi="宋体"/>
                <w:color w:val="auto"/>
                <w:sz w:val="21"/>
                <w:highlight w:val="none"/>
              </w:rPr>
              <w:t>电子签章</w:t>
            </w:r>
            <w:r>
              <w:rPr>
                <w:rFonts w:hint="eastAsia" w:hAnsi="宋体" w:cs="宋体"/>
                <w:bCs/>
                <w:color w:val="auto"/>
                <w:sz w:val="21"/>
                <w:highlight w:val="none"/>
              </w:rPr>
              <w:t>”、“电子签名”</w:t>
            </w:r>
            <w:r>
              <w:rPr>
                <w:rFonts w:hint="eastAsia" w:hAnsi="宋体"/>
                <w:color w:val="auto"/>
                <w:sz w:val="21"/>
                <w:highlight w:val="none"/>
              </w:rPr>
              <w:t>，是指经“广西政府采购云平台”平台认可的CA认证的电子签名数据为表现形式的印章，可用于签署电子响应文件，电子印章与实物印章具有同等法律效力，不因其采用电子化表现形式而否定其法律效力。</w:t>
            </w:r>
          </w:p>
          <w:p w14:paraId="5668AC05">
            <w:pPr>
              <w:pStyle w:val="16"/>
              <w:snapToGrid w:val="0"/>
              <w:spacing w:line="360" w:lineRule="auto"/>
              <w:rPr>
                <w:rFonts w:hAnsi="宋体" w:cs="宋体"/>
                <w:bCs/>
                <w:color w:val="auto"/>
                <w:sz w:val="21"/>
                <w:highlight w:val="none"/>
              </w:rPr>
            </w:pPr>
            <w:r>
              <w:rPr>
                <w:rFonts w:hAnsi="宋体" w:cs="宋体"/>
                <w:color w:val="auto"/>
                <w:sz w:val="21"/>
                <w:highlight w:val="none"/>
              </w:rPr>
              <w:t>3</w:t>
            </w:r>
            <w:r>
              <w:rPr>
                <w:rFonts w:hint="eastAsia" w:hAnsi="宋体" w:cs="宋体"/>
                <w:color w:val="auto"/>
                <w:sz w:val="21"/>
                <w:highlight w:val="none"/>
              </w:rPr>
              <w:t>.供应商为其他组织或者自然人时，本磋商文件规定的法定代表人指负责人或者自然人。本磋商文件所称负责人是指参加竞标的其他组织</w:t>
            </w:r>
            <w:r>
              <w:rPr>
                <w:rFonts w:hint="eastAsia" w:hAnsi="宋体" w:cs="宋体"/>
                <w:bCs/>
                <w:color w:val="auto"/>
                <w:sz w:val="21"/>
                <w:highlight w:val="none"/>
              </w:rPr>
              <w:t>营业执照或者执业许可证等证照上的</w:t>
            </w:r>
            <w:r>
              <w:rPr>
                <w:rFonts w:hint="eastAsia" w:hAnsi="宋体" w:cs="宋体"/>
                <w:color w:val="auto"/>
                <w:sz w:val="21"/>
                <w:highlight w:val="none"/>
              </w:rPr>
              <w:t>负责人，本磋商文件所称自然人指参与竞标的自然人本人，</w:t>
            </w:r>
            <w:r>
              <w:rPr>
                <w:rFonts w:hint="eastAsia" w:hAnsi="宋体" w:cs="宋体"/>
                <w:bCs/>
                <w:color w:val="auto"/>
                <w:sz w:val="21"/>
                <w:highlight w:val="none"/>
              </w:rPr>
              <w:t>且应具备独立承担民事责任能力，自然人应当为年满18岁以上成年人（十六周岁以上的未成年人，以自己的劳动收入为主要生活来源的，视为完全民事行为能力人）。</w:t>
            </w:r>
          </w:p>
          <w:p w14:paraId="63C1C4A8">
            <w:pPr>
              <w:pStyle w:val="16"/>
              <w:snapToGrid w:val="0"/>
              <w:spacing w:line="360" w:lineRule="auto"/>
              <w:rPr>
                <w:rFonts w:hAnsi="宋体" w:cs="宋体"/>
                <w:color w:val="auto"/>
                <w:sz w:val="21"/>
                <w:highlight w:val="none"/>
              </w:rPr>
            </w:pPr>
            <w:r>
              <w:rPr>
                <w:rFonts w:hAnsi="宋体" w:cs="宋体"/>
                <w:color w:val="auto"/>
                <w:sz w:val="21"/>
                <w:highlight w:val="none"/>
              </w:rPr>
              <w:t>4.</w:t>
            </w:r>
            <w:r>
              <w:rPr>
                <w:rFonts w:hint="eastAsia" w:hAnsi="宋体" w:cs="宋体"/>
                <w:color w:val="auto"/>
                <w:sz w:val="21"/>
                <w:highlight w:val="none"/>
              </w:rPr>
              <w:t>本磋商文件中描述供应商的“签字”是指供应商的法定代表人或者委托代理人亲自在文件规定签署处亲笔写上个人的名字的行为，私章、签字章、印鉴、影印等其他形式均不能代替亲笔签字。</w:t>
            </w:r>
          </w:p>
          <w:p w14:paraId="71D92A24">
            <w:pPr>
              <w:pStyle w:val="16"/>
              <w:snapToGrid w:val="0"/>
              <w:spacing w:line="360" w:lineRule="auto"/>
              <w:rPr>
                <w:rFonts w:hAnsi="宋体" w:cs="宋体"/>
                <w:color w:val="auto"/>
                <w:sz w:val="21"/>
                <w:highlight w:val="none"/>
              </w:rPr>
            </w:pPr>
            <w:r>
              <w:rPr>
                <w:rFonts w:hint="eastAsia" w:hAnsi="宋体" w:cs="宋体"/>
                <w:color w:val="auto"/>
                <w:sz w:val="21"/>
                <w:highlight w:val="none"/>
              </w:rPr>
              <w:t>5</w:t>
            </w:r>
            <w:r>
              <w:rPr>
                <w:rFonts w:hAnsi="宋体" w:cs="宋体"/>
                <w:color w:val="auto"/>
                <w:sz w:val="21"/>
                <w:highlight w:val="none"/>
              </w:rPr>
              <w:t>.</w:t>
            </w:r>
            <w:r>
              <w:rPr>
                <w:rFonts w:hint="eastAsia" w:hAnsi="宋体" w:cs="宋体"/>
                <w:color w:val="auto"/>
                <w:sz w:val="21"/>
                <w:highlight w:val="none"/>
              </w:rPr>
              <w:t>本磋商文件所称的“以上”“以下”“以内”“届满”，包括本数；所称的“不满”“超过”“以外”，不包括本数。</w:t>
            </w:r>
          </w:p>
        </w:tc>
      </w:tr>
      <w:tr w14:paraId="0111B4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vAlign w:val="center"/>
          </w:tcPr>
          <w:p w14:paraId="2A789331">
            <w:pPr>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rPr>
              <w:t>特别</w:t>
            </w:r>
          </w:p>
          <w:p w14:paraId="1CC14980">
            <w:pPr>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rPr>
              <w:t>说明</w:t>
            </w:r>
          </w:p>
        </w:tc>
        <w:tc>
          <w:tcPr>
            <w:tcW w:w="7912" w:type="dxa"/>
            <w:tcBorders>
              <w:top w:val="single" w:color="auto" w:sz="4" w:space="0"/>
              <w:left w:val="single" w:color="auto" w:sz="4" w:space="0"/>
              <w:bottom w:val="single" w:color="auto" w:sz="4" w:space="0"/>
              <w:right w:val="single" w:color="auto" w:sz="4" w:space="0"/>
            </w:tcBorders>
            <w:vAlign w:val="center"/>
          </w:tcPr>
          <w:p w14:paraId="30999EE9">
            <w:pPr>
              <w:spacing w:line="400" w:lineRule="exact"/>
              <w:rPr>
                <w:rFonts w:ascii="宋体" w:hAnsi="宋体" w:cs="宋体"/>
                <w:b/>
                <w:bCs/>
                <w:color w:val="auto"/>
                <w:szCs w:val="21"/>
                <w:highlight w:val="none"/>
              </w:rPr>
            </w:pPr>
            <w:r>
              <w:rPr>
                <w:rFonts w:hint="eastAsia" w:ascii="宋体" w:hAnsi="宋体" w:cs="宋体"/>
                <w:b/>
                <w:bCs/>
                <w:color w:val="auto"/>
                <w:szCs w:val="21"/>
                <w:highlight w:val="none"/>
              </w:rPr>
              <w:t>因项目存档需要，成交人须按以下要求提供纸质投标文件：在成交通知书发出后5天内须提交3套纸质版响应文件（含资格证明文件、报价文件、商务文件、技术文件。）给采购代理机构。提交的纸质版响应文件必须与上传广西政府采购云平台的电子响应文件内容一致，不允许有篡改。如项目验收时因所提供的纸质响应文件与评标的响应文件不一致造成纠纷时，所有责任由成交人承担。</w:t>
            </w:r>
          </w:p>
        </w:tc>
      </w:tr>
    </w:tbl>
    <w:p w14:paraId="2D1362B9">
      <w:pPr>
        <w:spacing w:line="400" w:lineRule="exact"/>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供应商须知正文</w:t>
      </w:r>
    </w:p>
    <w:p w14:paraId="6E64B8B7">
      <w:pPr>
        <w:spacing w:line="400" w:lineRule="exact"/>
        <w:jc w:val="center"/>
        <w:rPr>
          <w:rFonts w:ascii="宋体" w:hAnsi="宋体"/>
          <w:b/>
          <w:color w:val="auto"/>
          <w:sz w:val="32"/>
          <w:szCs w:val="32"/>
          <w:highlight w:val="none"/>
        </w:rPr>
      </w:pPr>
    </w:p>
    <w:p w14:paraId="28D5D4B4">
      <w:pPr>
        <w:spacing w:line="400" w:lineRule="exact"/>
        <w:jc w:val="center"/>
        <w:rPr>
          <w:rFonts w:ascii="宋体" w:hAnsi="宋体"/>
          <w:b/>
          <w:color w:val="auto"/>
          <w:sz w:val="32"/>
          <w:szCs w:val="32"/>
          <w:highlight w:val="none"/>
        </w:rPr>
      </w:pPr>
      <w:r>
        <w:rPr>
          <w:rFonts w:hint="eastAsia" w:ascii="宋体" w:hAnsi="宋体"/>
          <w:b/>
          <w:color w:val="auto"/>
          <w:sz w:val="32"/>
          <w:szCs w:val="32"/>
          <w:highlight w:val="none"/>
        </w:rPr>
        <w:t>一、总则</w:t>
      </w:r>
    </w:p>
    <w:p w14:paraId="4F188584">
      <w:pPr>
        <w:spacing w:line="400" w:lineRule="exact"/>
        <w:rPr>
          <w:rFonts w:ascii="宋体" w:hAnsi="宋体"/>
          <w:color w:val="auto"/>
          <w:szCs w:val="21"/>
          <w:highlight w:val="none"/>
        </w:rPr>
      </w:pPr>
    </w:p>
    <w:p w14:paraId="2E32495F">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2C3773C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46C08EB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0CC0D1B7">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4BF1EDB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1E4F85D0">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4906EFE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79C32A96">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2.4“服务”是指除货物和工程以外的其他政府采购对象。</w:t>
      </w:r>
    </w:p>
    <w:p w14:paraId="46F9D8B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r>
        <w:rPr>
          <w:rFonts w:hint="eastAsia" w:ascii="宋体" w:hAnsi="宋体" w:cs="宋体"/>
          <w:color w:val="auto"/>
          <w:szCs w:val="21"/>
          <w:highlight w:val="none"/>
        </w:rPr>
        <w:t>“竞标”是指供应商按照本项目竞争性磋商公告或者邀请函规定的方式获取磋商文件、提交响应文件并希望获得标的的行为。</w:t>
      </w:r>
    </w:p>
    <w:p w14:paraId="18E79C73">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2.6“书面形式”是指合同书、信件和数据电文（包括电报、电传、传真、电子数据交换和电子邮件）等可以有形地表现所载内容的形式。</w:t>
      </w:r>
    </w:p>
    <w:p w14:paraId="67FA9D2F">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2.7“响应文件”</w:t>
      </w:r>
      <w:r>
        <w:rPr>
          <w:rFonts w:hint="eastAsia" w:ascii="宋体" w:hAnsi="宋体" w:cs="宋体"/>
          <w:color w:val="auto"/>
          <w:spacing w:val="-6"/>
          <w:szCs w:val="21"/>
          <w:highlight w:val="none"/>
        </w:rPr>
        <w:t>是指：供应商根据本磋商文件要求，编制包含资格证明、报价、商务技术等所有内容的文件。</w:t>
      </w:r>
    </w:p>
    <w:p w14:paraId="70DC95EF">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2.8“实质性要求”是指磋商文件中已经指明不满足则响应文件按无效响应处理的条款，或者不能负偏离的条款，或者采购需求中带“▲”的条款。</w:t>
      </w:r>
    </w:p>
    <w:p w14:paraId="78D1371A">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2.9“正偏离”，是指响应文件对磋商文件“采购需求”中有关条款作出的响应优于条款要求并有利于采购人的情形。</w:t>
      </w:r>
    </w:p>
    <w:p w14:paraId="45188FA8">
      <w:pPr>
        <w:spacing w:line="360" w:lineRule="auto"/>
        <w:ind w:firstLine="420" w:firstLineChars="200"/>
        <w:contextualSpacing/>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10“负偏离”，是指响应文件对磋商文件“采购需求”中有关条款作出的响应不满足条款要求，导致采购人要求不能得到满足的情形。</w:t>
      </w:r>
    </w:p>
    <w:p w14:paraId="4575FE08">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2.11“允许负偏离的条款”是指采购需求中的不属于“实质性要求”的条款。</w:t>
      </w:r>
    </w:p>
    <w:p w14:paraId="381061C7">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1</w:t>
      </w:r>
      <w:r>
        <w:rPr>
          <w:rFonts w:hint="eastAsia" w:ascii="宋体" w:hAnsi="宋体" w:cs="宋体"/>
          <w:color w:val="auto"/>
          <w:szCs w:val="21"/>
          <w:highlight w:val="none"/>
        </w:rPr>
        <w:t>2“首次报价”是指供应商提交的首次响应文件中的报价。</w:t>
      </w:r>
    </w:p>
    <w:p w14:paraId="2711FC2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6E1CB14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6CA1A223">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4.竞标费用</w:t>
      </w:r>
    </w:p>
    <w:p w14:paraId="3CEBA7D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供应商应承担参与本次采购活动有关的所有费用，包括但不限于获取磋商文件、勘查现场、编制和提交响应文件、参加磋商与应答、签订合同等，不论竞标结果如何，均应自行承担。</w:t>
      </w:r>
    </w:p>
    <w:p w14:paraId="3757253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5EC2A26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43BEF95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118AED3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5.3</w:t>
      </w:r>
      <w:bookmarkStart w:id="85" w:name="_Hlk66782192"/>
      <w:r>
        <w:rPr>
          <w:rFonts w:hint="eastAsia" w:ascii="宋体" w:hAnsi="宋体" w:cs="宋体"/>
          <w:color w:val="auto"/>
          <w:szCs w:val="21"/>
          <w:highlight w:val="none"/>
        </w:rPr>
        <w:t>根据《政府采购促进中小企业发展管理办法》（财库〔2020〕46号）、</w:t>
      </w:r>
      <w:r>
        <w:rPr>
          <w:rFonts w:hint="eastAsia"/>
          <w:color w:val="auto"/>
          <w:highlight w:val="none"/>
        </w:rPr>
        <w:t>《广西壮族自治区财政厅关于贯彻落实政府采购支持中小企业发展政策的通知》（桂财采〔2022〕31号）、</w:t>
      </w:r>
      <w:r>
        <w:rPr>
          <w:rFonts w:hint="eastAsia" w:ascii="宋体" w:hAnsi="宋体" w:cs="宋体"/>
          <w:color w:val="auto"/>
          <w:szCs w:val="21"/>
          <w:highlight w:val="none"/>
        </w:rPr>
        <w:t>《广西壮族自治区财政厅关于持续优化政府采购营商环境推动高质量发展的通知》（桂财采〔2024〕55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r>
        <w:rPr>
          <w:rFonts w:hint="eastAsia" w:ascii="宋体" w:hAnsi="宋体"/>
          <w:color w:val="auto"/>
          <w:szCs w:val="21"/>
          <w:highlight w:val="none"/>
        </w:rPr>
        <w:t>。</w:t>
      </w:r>
      <w:bookmarkEnd w:id="85"/>
    </w:p>
    <w:p w14:paraId="4501F81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62A26F50">
      <w:pPr>
        <w:pStyle w:val="5"/>
        <w:keepNext w:val="0"/>
        <w:keepLines w:val="0"/>
        <w:spacing w:before="0" w:after="0" w:line="360" w:lineRule="auto"/>
        <w:ind w:left="420" w:leftChars="200"/>
        <w:rPr>
          <w:rFonts w:ascii="宋体" w:hAnsi="宋体"/>
          <w:b w:val="0"/>
          <w:color w:val="auto"/>
          <w:sz w:val="21"/>
          <w:szCs w:val="21"/>
          <w:highlight w:val="none"/>
        </w:rPr>
      </w:pPr>
      <w:bookmarkStart w:id="86" w:name="_Toc254970532"/>
      <w:bookmarkStart w:id="87" w:name="_Toc254970673"/>
      <w:r>
        <w:rPr>
          <w:rFonts w:hint="eastAsia" w:ascii="宋体" w:hAnsi="宋体"/>
          <w:b w:val="0"/>
          <w:color w:val="auto"/>
          <w:sz w:val="21"/>
          <w:szCs w:val="21"/>
          <w:highlight w:val="none"/>
        </w:rPr>
        <w:t>6.1本项目不允许转包。</w:t>
      </w:r>
    </w:p>
    <w:p w14:paraId="5EF0A24C">
      <w:pPr>
        <w:pStyle w:val="5"/>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75CAE212">
      <w:pPr>
        <w:pStyle w:val="5"/>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6.3供应商根据磋商文件的规定和采购项目的实际情况，拟在成交后将成交项目的非主体、非关键性工作分包的，应当在响应文件中载明分包承担主体，分包承担主体应当具备相应资质条件且不得再次分包。</w:t>
      </w:r>
    </w:p>
    <w:p w14:paraId="60E27537">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7.特别说明</w:t>
      </w:r>
      <w:bookmarkEnd w:id="86"/>
      <w:bookmarkEnd w:id="87"/>
    </w:p>
    <w:p w14:paraId="5D0659CA">
      <w:pPr>
        <w:spacing w:line="360" w:lineRule="auto"/>
        <w:ind w:firstLine="420" w:firstLineChars="200"/>
        <w:rPr>
          <w:rFonts w:ascii="宋体" w:hAnsi="宋体" w:cs="宋体"/>
          <w:color w:val="auto"/>
          <w:szCs w:val="21"/>
          <w:highlight w:val="none"/>
        </w:rPr>
      </w:pPr>
      <w:bookmarkStart w:id="88" w:name="_8.1提供相同品牌产品且通过资格审查、符合性审查的不同投标人参加同一合"/>
      <w:bookmarkEnd w:id="88"/>
      <w:r>
        <w:rPr>
          <w:rFonts w:hint="eastAsia" w:ascii="宋体" w:hAnsi="宋体" w:cs="宋体"/>
          <w:color w:val="auto"/>
          <w:szCs w:val="21"/>
          <w:highlight w:val="none"/>
        </w:rPr>
        <w:t>7.</w:t>
      </w:r>
      <w:r>
        <w:rPr>
          <w:rFonts w:ascii="宋体" w:hAnsi="宋体" w:cs="宋体"/>
          <w:color w:val="auto"/>
          <w:szCs w:val="21"/>
          <w:highlight w:val="none"/>
        </w:rPr>
        <w:t>1</w:t>
      </w:r>
      <w:bookmarkStart w:id="89" w:name="_Hlk65832145"/>
      <w:r>
        <w:rPr>
          <w:rFonts w:hint="eastAsia" w:ascii="宋体" w:hAnsi="宋体"/>
          <w:color w:val="auto"/>
          <w:szCs w:val="21"/>
          <w:highlight w:val="none"/>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color w:val="auto"/>
          <w:szCs w:val="21"/>
          <w:highlight w:val="none"/>
        </w:rPr>
        <w:t>。</w:t>
      </w:r>
    </w:p>
    <w:bookmarkEnd w:id="89"/>
    <w:p w14:paraId="0FDDC5F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2</w:t>
      </w:r>
      <w:r>
        <w:rPr>
          <w:rFonts w:hint="eastAsia" w:ascii="宋体" w:hAnsi="宋体" w:cs="宋体"/>
          <w:color w:val="auto"/>
          <w:szCs w:val="21"/>
          <w:highlight w:val="none"/>
        </w:rPr>
        <w:t>供应商应仔细阅读磋商文件的所有内容，按照磋商文件的要求提交响应文件，并对所提供的全部资料的真实性承担法律责任。</w:t>
      </w:r>
    </w:p>
    <w:p w14:paraId="32796DB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3</w:t>
      </w:r>
      <w:r>
        <w:rPr>
          <w:rFonts w:hint="eastAsia" w:ascii="宋体" w:hAnsi="宋体" w:cs="宋体"/>
          <w:color w:val="auto"/>
          <w:szCs w:val="21"/>
          <w:highlight w:val="none"/>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549E85D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4</w:t>
      </w:r>
      <w:r>
        <w:rPr>
          <w:rFonts w:hint="eastAsia" w:ascii="宋体" w:hAnsi="宋体" w:cs="宋体"/>
          <w:color w:val="auto"/>
          <w:szCs w:val="21"/>
          <w:highlight w:val="none"/>
        </w:rPr>
        <w:t>在政府采购活动中，采购人员及相关人员与供应商有下列利害关系之一的，应当回避：</w:t>
      </w:r>
    </w:p>
    <w:p w14:paraId="003CB01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5DB9DA0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7DB5739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0A804DD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4EC20C1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4E92190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242BDC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5</w:t>
      </w:r>
      <w:r>
        <w:rPr>
          <w:rFonts w:hint="eastAsia" w:ascii="宋体" w:hAnsi="宋体" w:cs="宋体"/>
          <w:color w:val="auto"/>
          <w:szCs w:val="21"/>
          <w:highlight w:val="none"/>
        </w:rPr>
        <w:t>有下列情形之一的视为供应商相互串通竞标，响应文件将被视为无效：</w:t>
      </w:r>
    </w:p>
    <w:p w14:paraId="7545B51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 </w:t>
      </w:r>
    </w:p>
    <w:p w14:paraId="3221387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2EB6E78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610B85C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246C8A8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1665A58E">
      <w:pPr>
        <w:tabs>
          <w:tab w:val="left" w:pos="6931"/>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ascii="宋体" w:hAnsi="宋体" w:cs="宋体"/>
          <w:color w:val="auto"/>
          <w:szCs w:val="21"/>
          <w:highlight w:val="none"/>
        </w:rPr>
        <w:tab/>
      </w:r>
    </w:p>
    <w:p w14:paraId="0131C82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6</w:t>
      </w:r>
      <w:r>
        <w:rPr>
          <w:rFonts w:hint="eastAsia" w:ascii="宋体" w:hAnsi="宋体" w:cs="宋体"/>
          <w:color w:val="auto"/>
          <w:szCs w:val="21"/>
          <w:highlight w:val="none"/>
        </w:rPr>
        <w:t>供应商有下列情形之一的，属于恶意串通行为，将报同级监督管理部门：</w:t>
      </w:r>
    </w:p>
    <w:p w14:paraId="3F8461D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32D2E21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6A3DC45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2C9EC3C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4A5AFA9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6950814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6B69FBA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22D30538">
      <w:pPr>
        <w:spacing w:line="360" w:lineRule="auto"/>
        <w:jc w:val="center"/>
        <w:rPr>
          <w:rFonts w:ascii="宋体" w:hAnsi="宋体"/>
          <w:b/>
          <w:bCs/>
          <w:color w:val="auto"/>
          <w:sz w:val="32"/>
          <w:szCs w:val="32"/>
          <w:highlight w:val="none"/>
        </w:rPr>
      </w:pPr>
      <w:bookmarkStart w:id="90" w:name="_Toc254970534"/>
      <w:bookmarkStart w:id="91" w:name="_Toc254970675"/>
      <w:r>
        <w:rPr>
          <w:rFonts w:hint="eastAsia" w:ascii="宋体" w:hAnsi="宋体"/>
          <w:b/>
          <w:bCs/>
          <w:color w:val="auto"/>
          <w:sz w:val="32"/>
          <w:szCs w:val="32"/>
          <w:highlight w:val="none"/>
        </w:rPr>
        <w:t>二、磋商文件</w:t>
      </w:r>
      <w:bookmarkEnd w:id="90"/>
      <w:bookmarkEnd w:id="91"/>
    </w:p>
    <w:p w14:paraId="47BB3B81">
      <w:pPr>
        <w:spacing w:line="360" w:lineRule="auto"/>
        <w:rPr>
          <w:rFonts w:ascii="宋体" w:hAnsi="宋体"/>
          <w:color w:val="auto"/>
          <w:szCs w:val="21"/>
          <w:highlight w:val="none"/>
        </w:rPr>
      </w:pPr>
    </w:p>
    <w:p w14:paraId="6892ACB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256C7EA4">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（1）竞争性磋商公告/竞标邀请函；</w:t>
      </w:r>
    </w:p>
    <w:p w14:paraId="65C97C53">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 xml:space="preserve">（2）供应商须知； </w:t>
      </w:r>
    </w:p>
    <w:p w14:paraId="6795338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（3）采购需求；</w:t>
      </w:r>
    </w:p>
    <w:p w14:paraId="2C0361D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（4）评审程序、评审方法和评审标准；</w:t>
      </w:r>
    </w:p>
    <w:p w14:paraId="6AB0A8F7">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（5）响应文件格式；</w:t>
      </w:r>
    </w:p>
    <w:p w14:paraId="0E8873F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（6）合同文本。</w:t>
      </w:r>
    </w:p>
    <w:p w14:paraId="28FC828B">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24F9364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供应商应认真阅读磋商文件的采购需求，如供应商对磋商文件有疑问的，如要求采购人作出澄清或者修改的，供应商尽可能在</w:t>
      </w:r>
      <w:r>
        <w:rPr>
          <w:rFonts w:ascii="宋体" w:hAnsi="宋体"/>
          <w:color w:val="auto"/>
          <w:szCs w:val="21"/>
          <w:highlight w:val="none"/>
        </w:rPr>
        <w:t>提交首次响应文件截止之日前</w:t>
      </w:r>
      <w:r>
        <w:rPr>
          <w:rFonts w:hint="eastAsia" w:ascii="宋体" w:hAnsi="宋体"/>
          <w:color w:val="auto"/>
          <w:szCs w:val="21"/>
          <w:highlight w:val="none"/>
        </w:rPr>
        <w:t>，以书面形式向</w:t>
      </w:r>
      <w:r>
        <w:rPr>
          <w:rFonts w:ascii="宋体" w:hAnsi="宋体"/>
          <w:color w:val="auto"/>
          <w:szCs w:val="21"/>
          <w:highlight w:val="none"/>
        </w:rPr>
        <w:t>采购人、采购代理机构</w:t>
      </w:r>
      <w:r>
        <w:rPr>
          <w:rFonts w:hint="eastAsia" w:ascii="宋体" w:hAnsi="宋体"/>
          <w:color w:val="auto"/>
          <w:szCs w:val="21"/>
          <w:highlight w:val="none"/>
        </w:rPr>
        <w:t>提出。</w:t>
      </w:r>
    </w:p>
    <w:p w14:paraId="394F631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47C52E32">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5日前，以书面形式通知所有获取磋商文件的供应商，不足5日的，应当顺延提交首次响应文件截止之日</w:t>
      </w:r>
      <w:r>
        <w:rPr>
          <w:rFonts w:ascii="宋体" w:hAnsi="宋体"/>
          <w:color w:val="auto"/>
          <w:szCs w:val="21"/>
          <w:highlight w:val="none"/>
        </w:rPr>
        <w:t>。</w:t>
      </w:r>
    </w:p>
    <w:p w14:paraId="39205699">
      <w:pPr>
        <w:spacing w:line="360" w:lineRule="auto"/>
        <w:rPr>
          <w:rFonts w:ascii="宋体" w:hAnsi="宋体"/>
          <w:color w:val="auto"/>
          <w:szCs w:val="21"/>
          <w:highlight w:val="none"/>
        </w:rPr>
      </w:pPr>
    </w:p>
    <w:p w14:paraId="00A52276">
      <w:pPr>
        <w:spacing w:line="360" w:lineRule="auto"/>
        <w:jc w:val="center"/>
        <w:rPr>
          <w:rFonts w:ascii="宋体" w:hAnsi="宋体"/>
          <w:b/>
          <w:bCs/>
          <w:color w:val="auto"/>
          <w:szCs w:val="21"/>
          <w:highlight w:val="none"/>
        </w:rPr>
      </w:pPr>
      <w:r>
        <w:rPr>
          <w:rFonts w:hint="eastAsia" w:ascii="宋体" w:hAnsi="宋体"/>
          <w:b/>
          <w:bCs/>
          <w:color w:val="auto"/>
          <w:sz w:val="32"/>
          <w:szCs w:val="32"/>
          <w:highlight w:val="none"/>
        </w:rPr>
        <w:t>三、响应文件的编制</w:t>
      </w:r>
    </w:p>
    <w:p w14:paraId="1B0598E5">
      <w:pPr>
        <w:spacing w:line="360" w:lineRule="auto"/>
        <w:rPr>
          <w:rFonts w:ascii="宋体" w:hAnsi="宋体"/>
          <w:color w:val="auto"/>
          <w:szCs w:val="21"/>
          <w:highlight w:val="none"/>
        </w:rPr>
      </w:pPr>
    </w:p>
    <w:p w14:paraId="33B39A19">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577892F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271AEF46">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029FB43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12.1响应文件由资格证明文件、报价文件、商务技术文件三部分组成。</w:t>
      </w:r>
    </w:p>
    <w:p w14:paraId="5069CCD2">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12.1.1资格证明文件：详见“供应商须知前附表”</w:t>
      </w:r>
    </w:p>
    <w:p w14:paraId="4E157EB0">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12.1.2报价文件：详见“供应商须知前附表”</w:t>
      </w:r>
    </w:p>
    <w:p w14:paraId="35890F97">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12.1.3商务技术文件：详见“供应商须知前附表”</w:t>
      </w:r>
    </w:p>
    <w:p w14:paraId="38496B3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388E682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38FB1F3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0BEE98A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69211ED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15.竞标报价</w:t>
      </w:r>
    </w:p>
    <w:p w14:paraId="3A8986E7">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15.1竞标报价应按磋商文件中“竞标报价表”格式填写。</w:t>
      </w:r>
    </w:p>
    <w:p w14:paraId="07E73997">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15.2竞标报价的内容见“供应商须知前附表”。</w:t>
      </w:r>
    </w:p>
    <w:p w14:paraId="49687FA0">
      <w:pPr>
        <w:spacing w:line="360" w:lineRule="auto"/>
        <w:ind w:left="426" w:leftChars="203"/>
        <w:rPr>
          <w:rFonts w:ascii="宋体" w:hAnsi="宋体" w:cs="宋体"/>
          <w:color w:val="auto"/>
          <w:szCs w:val="21"/>
          <w:highlight w:val="none"/>
        </w:rPr>
      </w:pPr>
      <w:r>
        <w:rPr>
          <w:rFonts w:hint="eastAsia" w:ascii="宋体" w:hAnsi="宋体" w:cs="宋体"/>
          <w:color w:val="auto"/>
          <w:szCs w:val="21"/>
          <w:highlight w:val="none"/>
        </w:rPr>
        <w:t>15.3竞标报价要求</w:t>
      </w:r>
    </w:p>
    <w:p w14:paraId="6658F8E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5.3.1</w:t>
      </w:r>
      <w:r>
        <w:rPr>
          <w:rFonts w:hint="eastAsia" w:ascii="宋体" w:hAnsi="宋体" w:cs="宋体"/>
          <w:color w:val="auto"/>
          <w:szCs w:val="21"/>
          <w:highlight w:val="none"/>
        </w:rPr>
        <w:t>供应商的竞标报价应符合以下要求，否则响应文件按无效响应处理：</w:t>
      </w:r>
    </w:p>
    <w:p w14:paraId="5503FED4">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w:t>
      </w:r>
    </w:p>
    <w:p w14:paraId="4B9BDE79">
      <w:pPr>
        <w:spacing w:line="360" w:lineRule="auto"/>
        <w:rPr>
          <w:rFonts w:ascii="宋体" w:hAnsi="宋体" w:cs="宋体"/>
          <w:color w:val="auto"/>
          <w:szCs w:val="21"/>
          <w:highlight w:val="none"/>
        </w:rPr>
      </w:pPr>
      <w:r>
        <w:rPr>
          <w:rFonts w:hint="eastAsia" w:ascii="宋体" w:hAnsi="宋体" w:cs="宋体"/>
          <w:color w:val="auto"/>
          <w:szCs w:val="21"/>
          <w:highlight w:val="none"/>
        </w:rPr>
        <w:t>不得存在漏项报价；</w:t>
      </w:r>
    </w:p>
    <w:p w14:paraId="0589BF1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）供应商必须就所竞标的分标的单项内容作唯一报价。</w:t>
      </w:r>
    </w:p>
    <w:p w14:paraId="64726A4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w:t>
      </w:r>
      <w:r>
        <w:rPr>
          <w:rFonts w:ascii="宋体" w:hAnsi="宋体" w:cs="宋体"/>
          <w:color w:val="auto"/>
          <w:szCs w:val="21"/>
          <w:highlight w:val="none"/>
        </w:rPr>
        <w:t>2</w:t>
      </w:r>
      <w:r>
        <w:rPr>
          <w:rFonts w:hint="eastAsia" w:ascii="宋体" w:hAnsi="宋体" w:cs="宋体"/>
          <w:color w:val="auto"/>
          <w:szCs w:val="21"/>
          <w:highlight w:val="none"/>
        </w:rPr>
        <w:t>竞标报价（包含首次报价、最后报价）超过所竞标分标规定的采购预算金额或者最高限价的，其响应文件将按无效处理。</w:t>
      </w:r>
    </w:p>
    <w:p w14:paraId="7AFF345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w:t>
      </w:r>
      <w:r>
        <w:rPr>
          <w:rFonts w:ascii="宋体" w:hAnsi="宋体" w:cs="宋体"/>
          <w:color w:val="auto"/>
          <w:szCs w:val="21"/>
          <w:highlight w:val="none"/>
        </w:rPr>
        <w:t>3</w:t>
      </w:r>
      <w:bookmarkStart w:id="92" w:name="_Hlk42592874"/>
      <w:r>
        <w:rPr>
          <w:rFonts w:hint="eastAsia" w:ascii="宋体" w:hAnsi="宋体" w:cs="宋体"/>
          <w:color w:val="auto"/>
          <w:szCs w:val="21"/>
          <w:highlight w:val="none"/>
        </w:rPr>
        <w:t>竞标报价（包含首次报价、最后报价）超过分项采购预算金额或者最高限价的，其响应文件将按无效处理。</w:t>
      </w:r>
    </w:p>
    <w:bookmarkEnd w:id="92"/>
    <w:p w14:paraId="6784032B">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4DCF04C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682F2FC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21D7FE2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5EA8674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14E01973">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17.1供应商须按“供应商须知前附表”的规定提交磋商保证金。</w:t>
      </w:r>
    </w:p>
    <w:p w14:paraId="68ADE64C">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17.2磋商保证金的退还</w:t>
      </w:r>
    </w:p>
    <w:p w14:paraId="70A394E4">
      <w:pPr>
        <w:spacing w:line="360" w:lineRule="auto"/>
        <w:ind w:firstLine="420" w:firstLineChars="200"/>
        <w:rPr>
          <w:rFonts w:ascii="宋体" w:hAnsi="宋体" w:cs="宋体"/>
          <w:color w:val="auto"/>
          <w:szCs w:val="21"/>
          <w:highlight w:val="none"/>
        </w:rPr>
      </w:pPr>
      <w:bookmarkStart w:id="93" w:name="_Hlk66782243"/>
      <w:r>
        <w:rPr>
          <w:rFonts w:hint="eastAsia" w:ascii="宋体" w:hAnsi="宋体" w:cs="宋体"/>
          <w:color w:val="auto"/>
          <w:szCs w:val="21"/>
          <w:highlight w:val="none"/>
        </w:rPr>
        <w:t>未</w:t>
      </w:r>
      <w:r>
        <w:rPr>
          <w:rFonts w:hint="eastAsia" w:ascii="宋体" w:hAnsi="宋体" w:cs="宋体"/>
          <w:color w:val="auto"/>
          <w:spacing w:val="-6"/>
          <w:szCs w:val="21"/>
          <w:highlight w:val="none"/>
        </w:rPr>
        <w:t>成交供应商的竞标保证金自成交通知书发出之日起5个工作日内退还；</w:t>
      </w:r>
      <w:r>
        <w:rPr>
          <w:rFonts w:hint="eastAsia" w:ascii="宋体" w:hAnsi="宋体" w:cs="宋体"/>
          <w:color w:val="auto"/>
          <w:szCs w:val="21"/>
          <w:highlight w:val="none"/>
        </w:rPr>
        <w:t>成交供应商的磋商保证金自签订合同之日起5个工作日内退还。</w:t>
      </w:r>
      <w:bookmarkEnd w:id="93"/>
      <w:r>
        <w:rPr>
          <w:rFonts w:hint="eastAsia" w:ascii="宋体" w:hAnsi="宋体" w:cs="宋体"/>
          <w:color w:val="auto"/>
          <w:szCs w:val="21"/>
          <w:highlight w:val="none"/>
        </w:rPr>
        <w:t xml:space="preserve"> </w:t>
      </w:r>
    </w:p>
    <w:p w14:paraId="0A7458C1">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17.3磋商保证金不计息。</w:t>
      </w:r>
    </w:p>
    <w:p w14:paraId="7C2DD5BC">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 xml:space="preserve">17.4供应商有下列情形之一的，磋商保证金将不予退还： </w:t>
      </w:r>
    </w:p>
    <w:p w14:paraId="22AD87DF">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（1）供应商在提交响应文件截止时间后撤回响应文件的；</w:t>
      </w:r>
    </w:p>
    <w:p w14:paraId="564DEB69">
      <w:pPr>
        <w:spacing w:line="360" w:lineRule="auto"/>
        <w:ind w:left="420" w:leftChars="200"/>
        <w:rPr>
          <w:rFonts w:ascii="宋体" w:hAnsi="宋体" w:cs="宋体"/>
          <w:color w:val="auto"/>
          <w:szCs w:val="21"/>
          <w:highlight w:val="none"/>
        </w:rPr>
      </w:pPr>
      <w:r>
        <w:rPr>
          <w:rFonts w:hint="eastAsia" w:ascii="宋体" w:hAnsi="宋体"/>
          <w:color w:val="auto"/>
          <w:szCs w:val="21"/>
          <w:highlight w:val="none"/>
        </w:rPr>
        <w:t>（2）未按规定提交履约保证金的；</w:t>
      </w:r>
    </w:p>
    <w:p w14:paraId="6DFDBC85">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（3）供应商在响应文件中提供虚假材料的；</w:t>
      </w:r>
    </w:p>
    <w:p w14:paraId="0878836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（4）除因不可抗力或者磋商文件认可的情形以外，成交供应商不与采购人签订合同的；</w:t>
      </w:r>
    </w:p>
    <w:p w14:paraId="051D24F6">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（5）供应商与采购人、其他供应商或者采购代理机构恶意串通的；</w:t>
      </w:r>
    </w:p>
    <w:p w14:paraId="52F346C3">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（6）法律法规规定的其他情形。</w:t>
      </w:r>
    </w:p>
    <w:p w14:paraId="17735EB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78A9724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18.1供应商应先安装“</w:t>
      </w:r>
      <w:r>
        <w:rPr>
          <w:rFonts w:hint="eastAsia" w:ascii="宋体" w:hAnsi="宋体" w:cs="宋体"/>
          <w:color w:val="auto"/>
          <w:kern w:val="0"/>
          <w:szCs w:val="21"/>
          <w:highlight w:val="none"/>
        </w:rPr>
        <w:t>广西政府采购云平台电子交易客户端</w:t>
      </w:r>
      <w:r>
        <w:rPr>
          <w:rFonts w:hint="eastAsia" w:ascii="宋体" w:hAnsi="宋体" w:cs="宋体"/>
          <w:color w:val="auto"/>
          <w:szCs w:val="21"/>
          <w:highlight w:val="none"/>
        </w:rPr>
        <w:t>”（请自行前往“</w:t>
      </w:r>
      <w:r>
        <w:rPr>
          <w:rFonts w:hint="eastAsia" w:ascii="宋体" w:hAnsi="宋体" w:cs="宋体"/>
          <w:color w:val="auto"/>
          <w:kern w:val="0"/>
          <w:szCs w:val="21"/>
          <w:highlight w:val="none"/>
        </w:rPr>
        <w:t>广西政府采购云</w:t>
      </w:r>
      <w:r>
        <w:rPr>
          <w:rFonts w:hint="eastAsia" w:ascii="宋体" w:hAnsi="宋体" w:cs="宋体"/>
          <w:color w:val="auto"/>
          <w:szCs w:val="21"/>
          <w:highlight w:val="none"/>
        </w:rPr>
        <w:t>”平台进行下载），并按照本项目磋商文件规定的格式和顺序和“广西政府采购云”平台的要求编制并加密。响应文件内容不完整、编排混乱导致响应文件被误读、漏读或者查找不到相关内容的，由此引发的后果由供应商承担。</w:t>
      </w:r>
    </w:p>
    <w:p w14:paraId="2B639C0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18.2为确保网上操作合法、有效和安全，供应商应当在提交响应文件截止时间前完成在“</w:t>
      </w:r>
      <w:r>
        <w:rPr>
          <w:rFonts w:hint="eastAsia" w:ascii="宋体" w:hAnsi="宋体" w:cs="宋体"/>
          <w:color w:val="auto"/>
          <w:kern w:val="0"/>
          <w:szCs w:val="21"/>
          <w:highlight w:val="none"/>
        </w:rPr>
        <w:t>广西政府采购云</w:t>
      </w:r>
      <w:r>
        <w:rPr>
          <w:rFonts w:hint="eastAsia" w:ascii="宋体" w:hAnsi="宋体" w:cs="宋体"/>
          <w:color w:val="auto"/>
          <w:szCs w:val="21"/>
          <w:highlight w:val="none"/>
        </w:rPr>
        <w:t>”平台的身份认证，确保在电子竞标过程中能够对相关数据电文进行加密和使用电子签章。</w:t>
      </w:r>
    </w:p>
    <w:p w14:paraId="30EDE95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18.3响应文件须由供应商在规定位置签字、盖章（具体以供应商须知前附表或响应文件格式规定为准），否则按无效响应处理。</w:t>
      </w:r>
    </w:p>
    <w:p w14:paraId="34E664C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18.4响应文件中标注的供应商名称应与主体资格证明（如营业执照或者事业单位法人证书或者执业许可证或者登记证书等）及公章一致，供应商为自然人的，标注的供应商名称应与身份证姓名及签名一致，否则其响应文件按无效响应处理。</w:t>
      </w:r>
    </w:p>
    <w:p w14:paraId="3194A42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44EAFE02">
      <w:pPr>
        <w:spacing w:line="360" w:lineRule="auto"/>
        <w:ind w:firstLine="482" w:firstLineChars="200"/>
        <w:rPr>
          <w:rFonts w:ascii="黑体" w:hAnsi="黑体" w:eastAsia="黑体"/>
          <w:color w:val="auto"/>
          <w:sz w:val="24"/>
          <w:highlight w:val="none"/>
        </w:rPr>
      </w:pPr>
      <w:r>
        <w:rPr>
          <w:rFonts w:hint="eastAsia" w:ascii="黑体" w:hAnsi="黑体" w:eastAsia="黑体" w:cs="宋体"/>
          <w:b/>
          <w:bCs/>
          <w:color w:val="auto"/>
          <w:sz w:val="24"/>
          <w:highlight w:val="none"/>
        </w:rPr>
        <w:t>19.电子</w:t>
      </w:r>
      <w:r>
        <w:rPr>
          <w:rFonts w:hint="eastAsia" w:ascii="黑体" w:hAnsi="黑体" w:eastAsia="黑体"/>
          <w:b/>
          <w:color w:val="auto"/>
          <w:sz w:val="24"/>
          <w:highlight w:val="none"/>
        </w:rPr>
        <w:t>备份响应文件</w:t>
      </w:r>
    </w:p>
    <w:p w14:paraId="29BEEA8C">
      <w:pPr>
        <w:spacing w:line="360" w:lineRule="auto"/>
        <w:ind w:firstLine="420" w:firstLineChars="200"/>
        <w:rPr>
          <w:rFonts w:ascii="宋体" w:hAnsi="宋体" w:cs="宋体"/>
          <w:color w:val="auto"/>
          <w:szCs w:val="21"/>
          <w:highlight w:val="none"/>
        </w:rPr>
      </w:pPr>
      <w:r>
        <w:rPr>
          <w:rFonts w:hint="eastAsia"/>
          <w:color w:val="auto"/>
          <w:highlight w:val="none"/>
        </w:rPr>
        <w:t>电子备份响应文件是指通过“</w:t>
      </w:r>
      <w:r>
        <w:rPr>
          <w:rFonts w:hint="eastAsia" w:ascii="宋体" w:hAnsi="宋体" w:cs="宋体"/>
          <w:color w:val="auto"/>
          <w:kern w:val="0"/>
          <w:szCs w:val="21"/>
          <w:highlight w:val="none"/>
        </w:rPr>
        <w:t>广西政府采购云</w:t>
      </w:r>
      <w:r>
        <w:rPr>
          <w:rFonts w:hint="eastAsia"/>
          <w:color w:val="auto"/>
          <w:highlight w:val="none"/>
        </w:rPr>
        <w:t>电子投标客户端”在线编制生成且后缀名为“</w:t>
      </w:r>
      <w:r>
        <w:rPr>
          <w:color w:val="auto"/>
          <w:highlight w:val="none"/>
        </w:rPr>
        <w:t>bfbs</w:t>
      </w:r>
      <w:r>
        <w:rPr>
          <w:rFonts w:hint="eastAsia"/>
          <w:color w:val="auto"/>
          <w:highlight w:val="none"/>
        </w:rPr>
        <w:t>”的文件，是否接受电子备份响应文件</w:t>
      </w:r>
      <w:r>
        <w:rPr>
          <w:rFonts w:hint="eastAsia" w:hAnsi="宋体"/>
          <w:bCs/>
          <w:color w:val="auto"/>
          <w:szCs w:val="21"/>
          <w:highlight w:val="none"/>
        </w:rPr>
        <w:t>详见在“供应商须知前附表”。</w:t>
      </w:r>
    </w:p>
    <w:p w14:paraId="3B622E67">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019686FA">
      <w:pPr>
        <w:spacing w:line="360" w:lineRule="auto"/>
        <w:ind w:firstLine="420" w:firstLineChars="200"/>
        <w:rPr>
          <w:rFonts w:hAnsi="宋体"/>
          <w:b/>
          <w:color w:val="auto"/>
          <w:highlight w:val="none"/>
        </w:rPr>
      </w:pPr>
      <w:r>
        <w:rPr>
          <w:rFonts w:hint="eastAsia" w:hAnsi="宋体"/>
          <w:bCs/>
          <w:color w:val="auto"/>
          <w:szCs w:val="21"/>
          <w:highlight w:val="none"/>
        </w:rPr>
        <w:t>20.1供应商必须按“供应商须知前附表”规定的</w:t>
      </w:r>
      <w:r>
        <w:rPr>
          <w:rFonts w:hint="eastAsia" w:ascii="宋体" w:hAnsi="宋体" w:cs="宋体"/>
          <w:color w:val="auto"/>
          <w:szCs w:val="21"/>
          <w:highlight w:val="none"/>
        </w:rPr>
        <w:t>时间</w:t>
      </w:r>
      <w:r>
        <w:rPr>
          <w:rFonts w:hint="eastAsia" w:ascii="宋体" w:hAnsi="宋体"/>
          <w:color w:val="auto"/>
          <w:szCs w:val="21"/>
          <w:highlight w:val="none"/>
        </w:rPr>
        <w:t>及</w:t>
      </w:r>
      <w:r>
        <w:rPr>
          <w:rFonts w:hint="eastAsia" w:hAnsi="宋体"/>
          <w:bCs/>
          <w:color w:val="auto"/>
          <w:szCs w:val="21"/>
          <w:highlight w:val="none"/>
        </w:rPr>
        <w:t>地点提交响应文件。电子响应文件应在制作完成后，</w:t>
      </w:r>
      <w:r>
        <w:rPr>
          <w:rFonts w:hAnsi="宋体"/>
          <w:bCs/>
          <w:color w:val="auto"/>
          <w:szCs w:val="21"/>
          <w:highlight w:val="none"/>
        </w:rPr>
        <w:t>在</w:t>
      </w:r>
      <w:r>
        <w:rPr>
          <w:rFonts w:hint="eastAsia" w:hAnsi="宋体"/>
          <w:bCs/>
          <w:color w:val="auto"/>
          <w:szCs w:val="21"/>
          <w:highlight w:val="none"/>
        </w:rPr>
        <w:t>提交响应文件截止</w:t>
      </w:r>
      <w:r>
        <w:rPr>
          <w:rFonts w:hAnsi="宋体"/>
          <w:bCs/>
          <w:color w:val="auto"/>
          <w:szCs w:val="21"/>
          <w:highlight w:val="none"/>
        </w:rPr>
        <w:t>时间前</w:t>
      </w:r>
      <w:r>
        <w:rPr>
          <w:rFonts w:hint="eastAsia" w:hAnsi="宋体"/>
          <w:bCs/>
          <w:color w:val="auto"/>
          <w:szCs w:val="21"/>
          <w:highlight w:val="none"/>
        </w:rPr>
        <w:t>通过有效数字证书（CA认证锁）进行电子签章、加密，然后通过网络将加密的电子响应文件提交至</w:t>
      </w:r>
      <w:r>
        <w:rPr>
          <w:rFonts w:hint="eastAsia" w:ascii="宋体" w:hAnsi="宋体"/>
          <w:color w:val="auto"/>
          <w:szCs w:val="21"/>
          <w:highlight w:val="none"/>
        </w:rPr>
        <w:t>“</w:t>
      </w:r>
      <w:r>
        <w:rPr>
          <w:rFonts w:hint="eastAsia" w:ascii="宋体" w:hAnsi="宋体" w:cs="宋体"/>
          <w:color w:val="auto"/>
          <w:kern w:val="0"/>
          <w:szCs w:val="21"/>
          <w:highlight w:val="none"/>
        </w:rPr>
        <w:t>广西政府采购云</w:t>
      </w:r>
      <w:r>
        <w:rPr>
          <w:rFonts w:hint="eastAsia" w:ascii="宋体" w:hAnsi="宋体"/>
          <w:color w:val="auto"/>
          <w:szCs w:val="21"/>
          <w:highlight w:val="none"/>
        </w:rPr>
        <w:t>”平台</w:t>
      </w:r>
      <w:r>
        <w:rPr>
          <w:rFonts w:hint="eastAsia" w:hAnsi="宋体"/>
          <w:bCs/>
          <w:color w:val="auto"/>
          <w:szCs w:val="21"/>
          <w:highlight w:val="none"/>
        </w:rPr>
        <w:t xml:space="preserve">。 </w:t>
      </w:r>
      <w:r>
        <w:rPr>
          <w:rFonts w:hint="eastAsia" w:hAnsi="宋体"/>
          <w:b/>
          <w:color w:val="auto"/>
          <w:highlight w:val="none"/>
        </w:rPr>
        <w:t xml:space="preserve"> </w:t>
      </w:r>
    </w:p>
    <w:p w14:paraId="31915197">
      <w:pPr>
        <w:spacing w:line="360" w:lineRule="auto"/>
        <w:ind w:firstLine="422" w:firstLineChars="200"/>
        <w:rPr>
          <w:rFonts w:ascii="宋体" w:hAnsi="宋体" w:cs="宋体"/>
          <w:color w:val="auto"/>
          <w:szCs w:val="21"/>
          <w:highlight w:val="none"/>
        </w:rPr>
      </w:pPr>
      <w:r>
        <w:rPr>
          <w:rFonts w:hint="eastAsia" w:ascii="宋体" w:hAnsi="宋体"/>
          <w:b/>
          <w:color w:val="auto"/>
          <w:szCs w:val="21"/>
          <w:highlight w:val="none"/>
        </w:rPr>
        <w:t>20.</w:t>
      </w:r>
      <w:r>
        <w:rPr>
          <w:rFonts w:ascii="宋体" w:hAnsi="宋体"/>
          <w:b/>
          <w:color w:val="auto"/>
          <w:szCs w:val="21"/>
          <w:highlight w:val="none"/>
        </w:rPr>
        <w:t>2</w:t>
      </w:r>
      <w:r>
        <w:rPr>
          <w:rFonts w:hint="eastAsia" w:ascii="宋体" w:hAnsi="宋体"/>
          <w:b/>
          <w:color w:val="auto"/>
          <w:szCs w:val="21"/>
          <w:highlight w:val="none"/>
        </w:rPr>
        <w:t>未在规定时间内提交或者未按照磋商文件要求加密的电子响应文件，“广西政府采购云”平台将拒收。</w:t>
      </w:r>
    </w:p>
    <w:p w14:paraId="2517AA87">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bookmarkStart w:id="94" w:name="_Toc254970684"/>
      <w:bookmarkStart w:id="95" w:name="_Toc254970543"/>
    </w:p>
    <w:p w14:paraId="37551AD5">
      <w:pPr>
        <w:spacing w:line="360" w:lineRule="auto"/>
        <w:ind w:firstLine="420" w:firstLineChars="200"/>
        <w:rPr>
          <w:rFonts w:ascii="黑体" w:hAnsi="黑体" w:eastAsia="黑体" w:cs="宋体"/>
          <w:b/>
          <w:bCs/>
          <w:color w:val="auto"/>
          <w:sz w:val="24"/>
          <w:highlight w:val="none"/>
        </w:rPr>
      </w:pPr>
      <w:r>
        <w:rPr>
          <w:rFonts w:ascii="宋体" w:hAnsi="宋体" w:cs="宋体"/>
          <w:color w:val="auto"/>
          <w:szCs w:val="21"/>
          <w:highlight w:val="none"/>
        </w:rPr>
        <w:t>2</w:t>
      </w:r>
      <w:r>
        <w:rPr>
          <w:rFonts w:hint="eastAsia" w:ascii="宋体" w:hAnsi="宋体" w:cs="宋体"/>
          <w:color w:val="auto"/>
          <w:szCs w:val="21"/>
          <w:highlight w:val="none"/>
        </w:rPr>
        <w:t>1.1</w:t>
      </w:r>
      <w:r>
        <w:rPr>
          <w:rFonts w:hint="eastAsia" w:ascii="宋体" w:hAnsi="宋体"/>
          <w:bCs/>
          <w:color w:val="auto"/>
          <w:szCs w:val="21"/>
          <w:highlight w:val="none"/>
        </w:rPr>
        <w:t>供应商应当在</w:t>
      </w:r>
      <w:r>
        <w:rPr>
          <w:rFonts w:hint="eastAsia" w:hAnsi="宋体"/>
          <w:bCs/>
          <w:color w:val="auto"/>
          <w:szCs w:val="21"/>
          <w:highlight w:val="none"/>
        </w:rPr>
        <w:t>提交响应文件截止</w:t>
      </w:r>
      <w:r>
        <w:rPr>
          <w:rFonts w:hAnsi="宋体"/>
          <w:bCs/>
          <w:color w:val="auto"/>
          <w:szCs w:val="21"/>
          <w:highlight w:val="none"/>
        </w:rPr>
        <w:t>时间</w:t>
      </w:r>
      <w:r>
        <w:rPr>
          <w:rFonts w:hint="eastAsia" w:ascii="宋体" w:hAnsi="宋体"/>
          <w:bCs/>
          <w:color w:val="auto"/>
          <w:szCs w:val="21"/>
          <w:highlight w:val="none"/>
        </w:rPr>
        <w:t>前完成电子响应文件的提交（上传），</w:t>
      </w:r>
      <w:r>
        <w:rPr>
          <w:rFonts w:hint="eastAsia" w:hAnsi="宋体"/>
          <w:bCs/>
          <w:color w:val="auto"/>
          <w:szCs w:val="21"/>
          <w:highlight w:val="none"/>
        </w:rPr>
        <w:t>提交响应文件截止</w:t>
      </w:r>
      <w:r>
        <w:rPr>
          <w:rFonts w:hAnsi="宋体"/>
          <w:bCs/>
          <w:color w:val="auto"/>
          <w:szCs w:val="21"/>
          <w:highlight w:val="none"/>
        </w:rPr>
        <w:t>时间</w:t>
      </w:r>
      <w:r>
        <w:rPr>
          <w:rFonts w:hint="eastAsia" w:hAnsi="宋体"/>
          <w:bCs/>
          <w:color w:val="auto"/>
          <w:szCs w:val="21"/>
          <w:highlight w:val="none"/>
        </w:rPr>
        <w:t>前</w:t>
      </w:r>
      <w:r>
        <w:rPr>
          <w:rFonts w:hint="eastAsia" w:ascii="宋体" w:hAnsi="宋体"/>
          <w:bCs/>
          <w:color w:val="auto"/>
          <w:szCs w:val="21"/>
          <w:highlight w:val="none"/>
        </w:rPr>
        <w:t>可以补充、修改或者撤回响应文件。补充或者修改响应文件的，应当先行撤回原响应文件，补充、修改后重新提交（上传），</w:t>
      </w:r>
      <w:r>
        <w:rPr>
          <w:rFonts w:hint="eastAsia" w:hAnsi="宋体"/>
          <w:bCs/>
          <w:color w:val="auto"/>
          <w:szCs w:val="21"/>
          <w:highlight w:val="none"/>
        </w:rPr>
        <w:t>提交响应文件截止</w:t>
      </w:r>
      <w:r>
        <w:rPr>
          <w:rFonts w:hAnsi="宋体"/>
          <w:bCs/>
          <w:color w:val="auto"/>
          <w:szCs w:val="21"/>
          <w:highlight w:val="none"/>
        </w:rPr>
        <w:t>时间</w:t>
      </w:r>
      <w:r>
        <w:rPr>
          <w:rFonts w:hint="eastAsia" w:hAnsi="宋体"/>
          <w:bCs/>
          <w:color w:val="auto"/>
          <w:szCs w:val="21"/>
          <w:highlight w:val="none"/>
        </w:rPr>
        <w:t>前</w:t>
      </w:r>
      <w:r>
        <w:rPr>
          <w:rFonts w:hint="eastAsia" w:ascii="宋体" w:hAnsi="宋体"/>
          <w:bCs/>
          <w:color w:val="auto"/>
          <w:szCs w:val="21"/>
          <w:highlight w:val="none"/>
        </w:rPr>
        <w:t>未完成提交（上传）的，视为撤回响应文件。</w:t>
      </w:r>
      <w:r>
        <w:rPr>
          <w:rFonts w:hint="eastAsia" w:hAnsi="宋体"/>
          <w:bCs/>
          <w:color w:val="auto"/>
          <w:szCs w:val="21"/>
          <w:highlight w:val="none"/>
        </w:rPr>
        <w:t>提交响应文件截止</w:t>
      </w:r>
      <w:r>
        <w:rPr>
          <w:rFonts w:hAnsi="宋体"/>
          <w:bCs/>
          <w:color w:val="auto"/>
          <w:szCs w:val="21"/>
          <w:highlight w:val="none"/>
        </w:rPr>
        <w:t>时间</w:t>
      </w:r>
      <w:r>
        <w:rPr>
          <w:rFonts w:hint="eastAsia" w:ascii="宋体" w:hAnsi="宋体"/>
          <w:bCs/>
          <w:color w:val="auto"/>
          <w:szCs w:val="21"/>
          <w:highlight w:val="none"/>
        </w:rPr>
        <w:t>以后提交（上传）的响应文件，“广西政府采购云”平台将予以拒收。</w:t>
      </w:r>
      <w:r>
        <w:rPr>
          <w:rFonts w:hint="eastAsia" w:ascii="宋体" w:hAnsi="宋体" w:cs="宋体"/>
          <w:color w:val="auto"/>
          <w:szCs w:val="21"/>
          <w:highlight w:val="none"/>
        </w:rPr>
        <w:t>（补充、修改或者撤回方式可</w:t>
      </w:r>
      <w:r>
        <w:rPr>
          <w:rFonts w:hint="eastAsia" w:ascii="宋体" w:hAnsi="宋体"/>
          <w:color w:val="auto"/>
          <w:szCs w:val="21"/>
          <w:highlight w:val="none"/>
        </w:rPr>
        <w:t>登陆</w:t>
      </w:r>
      <w:r>
        <w:rPr>
          <w:rFonts w:hint="eastAsia" w:ascii="宋体" w:hAnsi="宋体" w:cs="宋体"/>
          <w:color w:val="auto"/>
          <w:kern w:val="0"/>
          <w:szCs w:val="21"/>
          <w:highlight w:val="none"/>
        </w:rPr>
        <w:t>“广西政府采购云”平台，</w:t>
      </w:r>
      <w:r>
        <w:rPr>
          <w:rFonts w:hint="eastAsia" w:ascii="宋体" w:hAnsi="宋体"/>
          <w:color w:val="auto"/>
          <w:szCs w:val="21"/>
          <w:highlight w:val="none"/>
        </w:rPr>
        <w:t>进入“服务中心”中查看</w:t>
      </w:r>
      <w:r>
        <w:rPr>
          <w:rFonts w:hint="eastAsia" w:ascii="宋体" w:hAnsi="宋体" w:cs="宋体"/>
          <w:color w:val="auto"/>
          <w:szCs w:val="21"/>
          <w:highlight w:val="none"/>
        </w:rPr>
        <w:t xml:space="preserve"> “电子投标文件制作与投送教程”）</w:t>
      </w:r>
    </w:p>
    <w:bookmarkEnd w:id="94"/>
    <w:bookmarkEnd w:id="95"/>
    <w:p w14:paraId="2FCE9027">
      <w:pPr>
        <w:pStyle w:val="56"/>
        <w:spacing w:before="0"/>
        <w:ind w:firstLine="420"/>
        <w:rPr>
          <w:rFonts w:ascii="宋体" w:hAnsi="宋体" w:cs="宋体"/>
          <w:color w:val="auto"/>
          <w:sz w:val="21"/>
          <w:szCs w:val="21"/>
          <w:highlight w:val="none"/>
        </w:rPr>
      </w:pPr>
      <w:r>
        <w:rPr>
          <w:rFonts w:ascii="宋体" w:hAnsi="宋体" w:cs="宋体"/>
          <w:color w:val="auto"/>
          <w:sz w:val="21"/>
          <w:szCs w:val="21"/>
          <w:highlight w:val="none"/>
        </w:rPr>
        <w:t>2</w:t>
      </w:r>
      <w:r>
        <w:rPr>
          <w:rFonts w:hint="eastAsia" w:ascii="宋体" w:hAnsi="宋体" w:cs="宋体"/>
          <w:color w:val="auto"/>
          <w:sz w:val="21"/>
          <w:szCs w:val="21"/>
          <w:highlight w:val="none"/>
        </w:rPr>
        <w:t>1</w:t>
      </w:r>
      <w:r>
        <w:rPr>
          <w:rFonts w:ascii="宋体" w:hAnsi="宋体" w:cs="宋体"/>
          <w:color w:val="auto"/>
          <w:sz w:val="21"/>
          <w:szCs w:val="21"/>
          <w:highlight w:val="none"/>
        </w:rPr>
        <w:t>.</w:t>
      </w:r>
      <w:r>
        <w:rPr>
          <w:rFonts w:hint="eastAsia" w:ascii="宋体" w:hAnsi="宋体" w:cs="宋体"/>
          <w:color w:val="auto"/>
          <w:sz w:val="21"/>
          <w:szCs w:val="21"/>
          <w:highlight w:val="none"/>
        </w:rPr>
        <w:t>2在提交响应文件截止时间前，除供应商补充、修改或者撤回响应文件外，任何单位和个人不得解密或提取响应文件。</w:t>
      </w:r>
    </w:p>
    <w:p w14:paraId="12422F81">
      <w:pPr>
        <w:spacing w:line="360" w:lineRule="auto"/>
        <w:ind w:firstLine="482" w:firstLineChars="200"/>
        <w:rPr>
          <w:rFonts w:ascii="黑体" w:hAnsi="黑体" w:eastAsia="黑体" w:cs="宋体"/>
          <w:b/>
          <w:bCs/>
          <w:color w:val="auto"/>
          <w:sz w:val="24"/>
          <w:highlight w:val="none"/>
        </w:rPr>
      </w:pPr>
      <w:bookmarkStart w:id="96" w:name="_Hlk45702405"/>
      <w:r>
        <w:rPr>
          <w:rFonts w:hint="eastAsia" w:ascii="黑体" w:hAnsi="黑体" w:eastAsia="黑体" w:cs="宋体"/>
          <w:b/>
          <w:bCs/>
          <w:color w:val="auto"/>
          <w:sz w:val="24"/>
          <w:highlight w:val="none"/>
        </w:rPr>
        <w:t>22.响应文件的退回</w:t>
      </w:r>
    </w:p>
    <w:p w14:paraId="53C5D98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采购人和采购代理机构对已提交的响应文件概不退回。</w:t>
      </w:r>
    </w:p>
    <w:p w14:paraId="3D1EFCD9">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23.截止时间后的撤回</w:t>
      </w:r>
    </w:p>
    <w:p w14:paraId="3BA33D7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供应商在响应文件提交截止时间后向采购人、采购代理机构书面申请撤回响应文件的，将根据本须知正文17.4的规定不予退还其磋商保证金。</w:t>
      </w:r>
    </w:p>
    <w:bookmarkEnd w:id="96"/>
    <w:p w14:paraId="49A7AF28">
      <w:pPr>
        <w:spacing w:line="360" w:lineRule="auto"/>
        <w:rPr>
          <w:rFonts w:ascii="宋体" w:hAnsi="宋体"/>
          <w:color w:val="auto"/>
          <w:szCs w:val="21"/>
          <w:highlight w:val="none"/>
        </w:rPr>
      </w:pPr>
    </w:p>
    <w:p w14:paraId="150F34D4">
      <w:pPr>
        <w:spacing w:line="360" w:lineRule="auto"/>
        <w:ind w:left="420" w:firstLine="420"/>
        <w:jc w:val="center"/>
        <w:rPr>
          <w:rFonts w:ascii="宋体" w:hAnsi="宋体"/>
          <w:b/>
          <w:bCs/>
          <w:color w:val="auto"/>
          <w:sz w:val="32"/>
          <w:szCs w:val="32"/>
          <w:highlight w:val="none"/>
        </w:rPr>
      </w:pPr>
      <w:r>
        <w:rPr>
          <w:rFonts w:hint="eastAsia" w:ascii="宋体" w:hAnsi="宋体"/>
          <w:b/>
          <w:bCs/>
          <w:color w:val="auto"/>
          <w:sz w:val="32"/>
          <w:szCs w:val="32"/>
          <w:highlight w:val="none"/>
        </w:rPr>
        <w:t>四、评审及磋商</w:t>
      </w:r>
    </w:p>
    <w:p w14:paraId="5CE75C0B">
      <w:pPr>
        <w:spacing w:line="360" w:lineRule="auto"/>
        <w:ind w:left="420" w:firstLine="420"/>
        <w:rPr>
          <w:rFonts w:ascii="宋体" w:hAnsi="宋体"/>
          <w:color w:val="auto"/>
          <w:szCs w:val="21"/>
          <w:highlight w:val="none"/>
        </w:rPr>
      </w:pPr>
    </w:p>
    <w:p w14:paraId="2FB981F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1B3042F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07928C1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7906B96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24.3</w:t>
      </w:r>
      <w:r>
        <w:rPr>
          <w:rFonts w:hint="eastAsia" w:hAnsi="宋体"/>
          <w:bCs/>
          <w:color w:val="auto"/>
          <w:szCs w:val="21"/>
          <w:highlight w:val="none"/>
        </w:rPr>
        <w:t>采购代理机构</w:t>
      </w:r>
      <w:r>
        <w:rPr>
          <w:rFonts w:hint="eastAsia" w:hAnsi="宋体"/>
          <w:bCs/>
          <w:color w:val="auto"/>
          <w:highlight w:val="none"/>
        </w:rPr>
        <w:t>应当</w:t>
      </w:r>
      <w:r>
        <w:rPr>
          <w:rFonts w:hint="eastAsia" w:hAnsi="宋体"/>
          <w:bCs/>
          <w:color w:val="auto"/>
          <w:szCs w:val="21"/>
          <w:highlight w:val="none"/>
        </w:rPr>
        <w:t>基于“广西政府采购云”平台</w:t>
      </w:r>
      <w:r>
        <w:rPr>
          <w:rFonts w:hint="eastAsia" w:hAnsi="宋体"/>
          <w:bCs/>
          <w:color w:val="auto"/>
          <w:highlight w:val="none"/>
        </w:rPr>
        <w:t>抽（选）取</w:t>
      </w:r>
      <w:r>
        <w:rPr>
          <w:rFonts w:hint="eastAsia" w:hAnsi="宋体"/>
          <w:bCs/>
          <w:color w:val="auto"/>
          <w:szCs w:val="21"/>
          <w:highlight w:val="none"/>
        </w:rPr>
        <w:t>评审专家。</w:t>
      </w:r>
    </w:p>
    <w:p w14:paraId="6DCE4F72">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25.</w:t>
      </w:r>
      <w:r>
        <w:rPr>
          <w:rFonts w:hint="eastAsia" w:ascii="黑体" w:hAnsi="黑体" w:eastAsia="黑体" w:cs="宋体"/>
          <w:b/>
          <w:bCs/>
          <w:color w:val="auto"/>
          <w:sz w:val="24"/>
          <w:highlight w:val="none"/>
        </w:rPr>
        <w:t>首次响应文件的开启和解密</w:t>
      </w:r>
    </w:p>
    <w:p w14:paraId="0399CDE9">
      <w:pPr>
        <w:spacing w:line="360" w:lineRule="auto"/>
        <w:ind w:firstLine="420" w:firstLineChars="200"/>
        <w:rPr>
          <w:rFonts w:ascii="宋体" w:hAnsi="宋体" w:cs="宋体"/>
          <w:color w:val="auto"/>
          <w:szCs w:val="21"/>
          <w:highlight w:val="none"/>
        </w:rPr>
      </w:pPr>
      <w:r>
        <w:rPr>
          <w:rFonts w:hint="eastAsia" w:hAnsi="宋体"/>
          <w:bCs/>
          <w:color w:val="auto"/>
          <w:highlight w:val="none"/>
        </w:rPr>
        <w:t>采购代理机构将在“供应商须知前附表”规定的时</w:t>
      </w:r>
      <w:r>
        <w:rPr>
          <w:rFonts w:hint="eastAsia" w:hAnsi="宋体"/>
          <w:color w:val="auto"/>
          <w:highlight w:val="none"/>
        </w:rPr>
        <w:t>间通过电子交易平台组织响应文件开启，供应商的法定代表人或其委托代理人须携带加密时所用的CA锁，按平台提示和磋商文件的规定登录到“广西政府采购云”平台电子开标大厅签到，</w:t>
      </w:r>
      <w:r>
        <w:rPr>
          <w:rFonts w:hint="eastAsia"/>
          <w:color w:val="auto"/>
          <w:highlight w:val="none"/>
        </w:rPr>
        <w:t>采购代理机构依托“广西政府采购云”平台向各供应商发出电子加密响应文件【开始解密】通知，由供应商按</w:t>
      </w:r>
      <w:r>
        <w:rPr>
          <w:rFonts w:hint="eastAsia" w:hAnsi="宋体"/>
          <w:bCs/>
          <w:color w:val="auto"/>
          <w:szCs w:val="21"/>
          <w:highlight w:val="none"/>
        </w:rPr>
        <w:t>“供应商须知前附表”</w:t>
      </w:r>
      <w:r>
        <w:rPr>
          <w:rFonts w:hint="eastAsia"/>
          <w:color w:val="auto"/>
          <w:highlight w:val="none"/>
        </w:rPr>
        <w:t>规定的时间内自行进行响应文件解密</w:t>
      </w:r>
      <w:r>
        <w:rPr>
          <w:rFonts w:hint="eastAsia" w:hAnsi="宋体"/>
          <w:color w:val="auto"/>
          <w:highlight w:val="none"/>
        </w:rPr>
        <w:t>。</w:t>
      </w:r>
      <w:r>
        <w:rPr>
          <w:rFonts w:hint="eastAsia"/>
          <w:b/>
          <w:color w:val="auto"/>
          <w:highlight w:val="none"/>
        </w:rPr>
        <w:t>供应商未在</w:t>
      </w:r>
      <w:r>
        <w:rPr>
          <w:b/>
          <w:color w:val="auto"/>
          <w:highlight w:val="none"/>
        </w:rPr>
        <w:t>规定的时间内解密</w:t>
      </w:r>
      <w:r>
        <w:rPr>
          <w:rFonts w:hint="eastAsia"/>
          <w:b/>
          <w:color w:val="auto"/>
          <w:highlight w:val="none"/>
        </w:rPr>
        <w:t>响应文件</w:t>
      </w:r>
      <w:r>
        <w:rPr>
          <w:b/>
          <w:color w:val="auto"/>
          <w:highlight w:val="none"/>
        </w:rPr>
        <w:t>或</w:t>
      </w:r>
      <w:r>
        <w:rPr>
          <w:rFonts w:hint="eastAsia"/>
          <w:b/>
          <w:color w:val="auto"/>
          <w:highlight w:val="none"/>
        </w:rPr>
        <w:t>者</w:t>
      </w:r>
      <w:r>
        <w:rPr>
          <w:b/>
          <w:color w:val="auto"/>
          <w:highlight w:val="none"/>
        </w:rPr>
        <w:t>解密失败的</w:t>
      </w:r>
      <w:r>
        <w:rPr>
          <w:rFonts w:hint="eastAsia"/>
          <w:b/>
          <w:color w:val="auto"/>
          <w:highlight w:val="none"/>
        </w:rPr>
        <w:t>，供应商</w:t>
      </w:r>
      <w:r>
        <w:rPr>
          <w:rFonts w:hint="eastAsia" w:ascii="宋体" w:hAnsi="宋体"/>
          <w:b/>
          <w:color w:val="auto"/>
          <w:szCs w:val="21"/>
          <w:highlight w:val="none"/>
        </w:rPr>
        <w:t>的响应文件作无效处理</w:t>
      </w:r>
      <w:r>
        <w:rPr>
          <w:b/>
          <w:color w:val="auto"/>
          <w:highlight w:val="none"/>
        </w:rPr>
        <w:t>。</w:t>
      </w:r>
    </w:p>
    <w:p w14:paraId="0E2470D2">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26</w:t>
      </w:r>
      <w:r>
        <w:rPr>
          <w:rFonts w:hint="eastAsia" w:ascii="黑体" w:hAnsi="黑体" w:eastAsia="黑体" w:cs="宋体"/>
          <w:b/>
          <w:bCs/>
          <w:color w:val="auto"/>
          <w:sz w:val="24"/>
          <w:highlight w:val="none"/>
        </w:rPr>
        <w:t>.评审程序、评审方法和评审标准</w:t>
      </w:r>
    </w:p>
    <w:p w14:paraId="68393DA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w:t>
      </w:r>
      <w:r>
        <w:rPr>
          <w:rFonts w:hint="eastAsia" w:ascii="宋体" w:hAnsi="宋体" w:cs="宋体"/>
          <w:color w:val="auto"/>
          <w:szCs w:val="21"/>
          <w:highlight w:val="none"/>
        </w:rPr>
        <w:t>.1本项目的评审方法为综合评分法。</w:t>
      </w:r>
    </w:p>
    <w:p w14:paraId="2769596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26.2</w:t>
      </w:r>
      <w:r>
        <w:rPr>
          <w:rFonts w:hint="eastAsia" w:ascii="宋体" w:hAnsi="宋体" w:cs="宋体"/>
          <w:color w:val="auto"/>
          <w:szCs w:val="21"/>
          <w:highlight w:val="none"/>
        </w:rPr>
        <w:t>磋商小组</w:t>
      </w:r>
      <w:r>
        <w:rPr>
          <w:rFonts w:ascii="宋体" w:hAnsi="宋体" w:cs="宋体"/>
          <w:color w:val="auto"/>
          <w:szCs w:val="21"/>
          <w:highlight w:val="none"/>
        </w:rPr>
        <w:t>按照</w:t>
      </w:r>
      <w:r>
        <w:rPr>
          <w:rFonts w:hint="eastAsia" w:ascii="宋体" w:hAnsi="宋体" w:cs="宋体"/>
          <w:color w:val="auto"/>
          <w:szCs w:val="21"/>
          <w:highlight w:val="none"/>
        </w:rPr>
        <w:t>“第四章 评审程序、评审方法和评审标准”</w:t>
      </w:r>
      <w:r>
        <w:rPr>
          <w:rFonts w:ascii="宋体" w:hAnsi="宋体" w:cs="宋体"/>
          <w:color w:val="auto"/>
          <w:szCs w:val="21"/>
          <w:highlight w:val="none"/>
        </w:rPr>
        <w:t>规定的方法、评审因素、标准和程序对</w:t>
      </w:r>
      <w:r>
        <w:rPr>
          <w:rFonts w:hint="eastAsia" w:ascii="宋体" w:hAnsi="宋体" w:cs="宋体"/>
          <w:color w:val="auto"/>
          <w:szCs w:val="21"/>
          <w:highlight w:val="none"/>
        </w:rPr>
        <w:t>响应</w:t>
      </w:r>
      <w:r>
        <w:rPr>
          <w:rFonts w:ascii="宋体" w:hAnsi="宋体" w:cs="宋体"/>
          <w:color w:val="auto"/>
          <w:szCs w:val="21"/>
          <w:highlight w:val="none"/>
        </w:rPr>
        <w:t>文件进行评审。</w:t>
      </w:r>
    </w:p>
    <w:p w14:paraId="5D8F0CB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 xml:space="preserve">6.3 </w:t>
      </w:r>
      <w:r>
        <w:rPr>
          <w:rFonts w:hint="eastAsia" w:ascii="宋体" w:hAnsi="宋体"/>
          <w:color w:val="auto"/>
          <w:szCs w:val="21"/>
          <w:highlight w:val="none"/>
        </w:rPr>
        <w:t>商务/技术要求允许负偏离的条款数详见“供应商须知前附表”。</w:t>
      </w:r>
    </w:p>
    <w:p w14:paraId="494F4DE0">
      <w:pPr>
        <w:spacing w:line="360" w:lineRule="auto"/>
        <w:ind w:firstLine="420" w:firstLineChars="200"/>
        <w:rPr>
          <w:rFonts w:ascii="宋体" w:hAnsi="宋体"/>
          <w:color w:val="auto"/>
          <w:szCs w:val="21"/>
          <w:highlight w:val="none"/>
        </w:rPr>
      </w:pPr>
      <w:r>
        <w:rPr>
          <w:rFonts w:hint="eastAsia" w:ascii="宋体" w:hAnsi="宋体" w:cs="宋体"/>
          <w:color w:val="auto"/>
          <w:highlight w:val="none"/>
        </w:rPr>
        <w:t>26.</w:t>
      </w:r>
      <w:r>
        <w:rPr>
          <w:rFonts w:ascii="宋体" w:hAnsi="宋体" w:cs="宋体"/>
          <w:color w:val="auto"/>
          <w:highlight w:val="none"/>
        </w:rPr>
        <w:t>4</w:t>
      </w:r>
      <w:r>
        <w:rPr>
          <w:rFonts w:hint="eastAsia" w:ascii="宋体" w:hAnsi="宋体" w:cs="宋体"/>
          <w:color w:val="auto"/>
          <w:highlight w:val="none"/>
        </w:rPr>
        <w:t>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5229DB20">
      <w:pPr>
        <w:spacing w:line="360" w:lineRule="auto"/>
        <w:ind w:firstLine="420" w:firstLineChars="200"/>
        <w:rPr>
          <w:rFonts w:hAnsi="宋体"/>
          <w:color w:val="auto"/>
          <w:highlight w:val="none"/>
        </w:rPr>
      </w:pPr>
      <w:r>
        <w:rPr>
          <w:rFonts w:hint="eastAsia" w:ascii="宋体" w:hAnsi="宋体" w:cs="宋体"/>
          <w:color w:val="auto"/>
          <w:highlight w:val="none"/>
        </w:rPr>
        <w:t>2</w:t>
      </w:r>
      <w:r>
        <w:rPr>
          <w:rFonts w:ascii="宋体" w:hAnsi="宋体" w:cs="宋体"/>
          <w:color w:val="auto"/>
          <w:highlight w:val="none"/>
        </w:rPr>
        <w:t>6.5</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1E55DCA3">
      <w:pPr>
        <w:spacing w:line="360" w:lineRule="auto"/>
        <w:ind w:firstLine="420" w:firstLineChars="200"/>
        <w:rPr>
          <w:rFonts w:hAnsi="宋体"/>
          <w:color w:val="auto"/>
          <w:highlight w:val="none"/>
        </w:rPr>
      </w:pPr>
      <w:r>
        <w:rPr>
          <w:rFonts w:hint="eastAsia" w:hAnsi="宋体"/>
          <w:color w:val="auto"/>
          <w:highlight w:val="none"/>
        </w:rPr>
        <w:t xml:space="preserve">（1）电子交易平台发生故障而无法登录访问的； </w:t>
      </w:r>
    </w:p>
    <w:p w14:paraId="1420E426">
      <w:pPr>
        <w:spacing w:line="360" w:lineRule="auto"/>
        <w:ind w:firstLine="420" w:firstLineChars="200"/>
        <w:rPr>
          <w:rFonts w:hAnsi="宋体"/>
          <w:color w:val="auto"/>
          <w:highlight w:val="none"/>
        </w:rPr>
      </w:pPr>
      <w:r>
        <w:rPr>
          <w:rFonts w:hint="eastAsia" w:hAnsi="宋体"/>
          <w:color w:val="auto"/>
          <w:highlight w:val="none"/>
        </w:rPr>
        <w:t>（2）电子交易平台应用或数据库出现错误，不能进行正常操作的；</w:t>
      </w:r>
    </w:p>
    <w:p w14:paraId="4D210F47">
      <w:pPr>
        <w:spacing w:line="360" w:lineRule="auto"/>
        <w:ind w:firstLine="420" w:firstLineChars="200"/>
        <w:rPr>
          <w:rFonts w:hAnsi="宋体"/>
          <w:color w:val="auto"/>
          <w:highlight w:val="none"/>
        </w:rPr>
      </w:pPr>
      <w:r>
        <w:rPr>
          <w:rFonts w:hint="eastAsia" w:hAnsi="宋体"/>
          <w:color w:val="auto"/>
          <w:highlight w:val="none"/>
        </w:rPr>
        <w:t>（3）电子交易平台发现严重安全漏洞，有潜在泄密危险的；</w:t>
      </w:r>
    </w:p>
    <w:p w14:paraId="37248533">
      <w:pPr>
        <w:spacing w:line="360" w:lineRule="auto"/>
        <w:ind w:firstLine="420" w:firstLineChars="200"/>
        <w:rPr>
          <w:rFonts w:hAnsi="宋体"/>
          <w:color w:val="auto"/>
          <w:highlight w:val="none"/>
        </w:rPr>
      </w:pPr>
      <w:r>
        <w:rPr>
          <w:rFonts w:hint="eastAsia" w:hAnsi="宋体"/>
          <w:color w:val="auto"/>
          <w:highlight w:val="none"/>
        </w:rPr>
        <w:t xml:space="preserve">（4）病毒发作导致不能进行正常操作的； </w:t>
      </w:r>
    </w:p>
    <w:p w14:paraId="2769F797">
      <w:pPr>
        <w:spacing w:line="360" w:lineRule="auto"/>
        <w:ind w:firstLine="420" w:firstLineChars="200"/>
        <w:rPr>
          <w:rFonts w:hAnsi="宋体"/>
          <w:color w:val="auto"/>
          <w:highlight w:val="none"/>
        </w:rPr>
      </w:pPr>
      <w:r>
        <w:rPr>
          <w:rFonts w:hint="eastAsia" w:hAnsi="宋体"/>
          <w:color w:val="auto"/>
          <w:highlight w:val="none"/>
        </w:rPr>
        <w:t>（5）其他无法保证电子交易的公平、公正和安全的情况。</w:t>
      </w:r>
    </w:p>
    <w:p w14:paraId="2ECB87BC">
      <w:pPr>
        <w:spacing w:line="360" w:lineRule="auto"/>
        <w:ind w:firstLine="420" w:firstLineChars="200"/>
        <w:rPr>
          <w:rFonts w:ascii="宋体" w:hAnsi="宋体" w:cs="宋体"/>
          <w:color w:val="auto"/>
          <w:szCs w:val="21"/>
          <w:highlight w:val="none"/>
        </w:rPr>
      </w:pPr>
      <w:r>
        <w:rPr>
          <w:rFonts w:hint="eastAsia" w:ascii="宋体" w:hAnsi="宋体"/>
          <w:color w:val="auto"/>
          <w:highlight w:val="none"/>
        </w:rPr>
        <w:t>26.</w:t>
      </w:r>
      <w:r>
        <w:rPr>
          <w:rFonts w:ascii="宋体" w:hAnsi="宋体"/>
          <w:color w:val="auto"/>
          <w:highlight w:val="none"/>
        </w:rPr>
        <w:t>6</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65908F8F">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27</w:t>
      </w:r>
      <w:r>
        <w:rPr>
          <w:rFonts w:hint="eastAsia" w:ascii="黑体" w:hAnsi="黑体" w:eastAsia="黑体" w:cs="宋体"/>
          <w:b/>
          <w:bCs/>
          <w:color w:val="auto"/>
          <w:sz w:val="24"/>
          <w:highlight w:val="none"/>
        </w:rPr>
        <w:t>.确定成交供应商及结果公告</w:t>
      </w:r>
    </w:p>
    <w:p w14:paraId="308B1C5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.1</w:t>
      </w:r>
      <w:r>
        <w:rPr>
          <w:rFonts w:hint="eastAsia" w:ascii="宋体" w:hAnsi="宋体" w:cs="宋体"/>
          <w:color w:val="auto"/>
          <w:kern w:val="0"/>
          <w:szCs w:val="21"/>
          <w:highlight w:val="none"/>
        </w:rPr>
        <w:t xml:space="preserve"> </w:t>
      </w:r>
      <w:r>
        <w:rPr>
          <w:rFonts w:hint="eastAsia" w:ascii="宋体" w:hAnsi="宋体" w:cs="宋体"/>
          <w:color w:val="auto"/>
          <w:szCs w:val="21"/>
          <w:highlight w:val="none"/>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2589EFF1">
      <w:pPr>
        <w:spacing w:line="360" w:lineRule="auto"/>
        <w:ind w:firstLine="420" w:firstLineChars="200"/>
        <w:rPr>
          <w:rFonts w:ascii="宋体" w:hAnsi="宋体" w:cs="Courier New"/>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.2采购代理机构应当在</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bookmarkStart w:id="97" w:name="_Hlk66782294"/>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bookmarkEnd w:id="97"/>
    </w:p>
    <w:p w14:paraId="5679D75A">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27.3出现下列情形之一的，采购人或者采购代理机构应当终止竞争性磋商采购活动，发布项目终止公告并说明原因，重新开展采购活动：</w:t>
      </w:r>
    </w:p>
    <w:p w14:paraId="2896625D">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（1）因情况变化，不再符合规定的竞争性磋商采购方式适用情形的；</w:t>
      </w:r>
    </w:p>
    <w:p w14:paraId="2EF644EF">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（2）出现影响采购公正的违法、违规行为的；</w:t>
      </w:r>
    </w:p>
    <w:p w14:paraId="26FC0D87">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（3）除“第四章 评审程序、评审方法和评审标准”第4.3条规定的情形外，在采购过程中符合要求的供应商或者报价未超过采购预算的供应商不足3家的。</w:t>
      </w:r>
    </w:p>
    <w:p w14:paraId="03EA68FD">
      <w:pPr>
        <w:spacing w:line="360" w:lineRule="auto"/>
        <w:ind w:firstLine="420" w:firstLineChars="200"/>
        <w:rPr>
          <w:rFonts w:ascii="宋体" w:hAnsi="宋体" w:cs="宋体"/>
          <w:color w:val="auto"/>
          <w:szCs w:val="21"/>
          <w:highlight w:val="none"/>
        </w:rPr>
      </w:pPr>
      <w:r>
        <w:rPr>
          <w:rFonts w:hint="eastAsia" w:ascii="宋体" w:hAnsi="宋体" w:cs="Courier New"/>
          <w:color w:val="auto"/>
          <w:szCs w:val="21"/>
          <w:highlight w:val="none"/>
        </w:rPr>
        <w:t>27.4 在采购活动中因重大变故，采购任务取消的，采购人或者采购代理机构应当终止采购活动，通知所有参加采购活动的供应商，并将项目实施情况和采购任务取消原因报送本级财政部门。</w:t>
      </w:r>
    </w:p>
    <w:p w14:paraId="1CC8CAE7">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28</w:t>
      </w:r>
      <w:r>
        <w:rPr>
          <w:rFonts w:hint="eastAsia" w:ascii="黑体" w:hAnsi="黑体" w:eastAsia="黑体" w:cs="宋体"/>
          <w:b/>
          <w:bCs/>
          <w:color w:val="auto"/>
          <w:sz w:val="24"/>
          <w:highlight w:val="none"/>
        </w:rPr>
        <w:t>.履约保证金</w:t>
      </w:r>
    </w:p>
    <w:p w14:paraId="2BECC91A">
      <w:pPr>
        <w:spacing w:line="360" w:lineRule="auto"/>
        <w:ind w:firstLine="424" w:firstLineChars="202"/>
        <w:rPr>
          <w:rFonts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.1</w:t>
      </w:r>
      <w:r>
        <w:rPr>
          <w:rFonts w:ascii="宋体" w:hAnsi="宋体" w:cs="宋体"/>
          <w:color w:val="auto"/>
          <w:szCs w:val="21"/>
          <w:highlight w:val="none"/>
        </w:rPr>
        <w:t xml:space="preserve"> </w:t>
      </w:r>
      <w:r>
        <w:rPr>
          <w:rFonts w:hint="eastAsia" w:ascii="宋体" w:hAnsi="宋体" w:cs="宋体"/>
          <w:color w:val="auto"/>
          <w:szCs w:val="21"/>
          <w:highlight w:val="none"/>
        </w:rPr>
        <w:t>履约保证金的金额、提交方式、退付的时间和条件详见 “供应商须知前附表”。成交供应商未按规定提交履约保证金的，视为拒绝</w:t>
      </w:r>
      <w:r>
        <w:rPr>
          <w:rFonts w:ascii="宋体" w:hAnsi="宋体"/>
          <w:color w:val="auto"/>
          <w:highlight w:val="none"/>
        </w:rPr>
        <w:t>与采购人</w:t>
      </w:r>
      <w:r>
        <w:rPr>
          <w:rFonts w:hint="eastAsia" w:ascii="宋体" w:hAnsi="宋体" w:cs="宋体"/>
          <w:color w:val="auto"/>
          <w:szCs w:val="21"/>
          <w:highlight w:val="none"/>
        </w:rPr>
        <w:t>签订合同。</w:t>
      </w:r>
    </w:p>
    <w:p w14:paraId="765E28D9">
      <w:pPr>
        <w:spacing w:line="360" w:lineRule="auto"/>
        <w:ind w:firstLine="424" w:firstLineChars="202"/>
        <w:rPr>
          <w:rFonts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.2在履约保证金退还日期前，若成交供应商的开户名称、开户银行、帐号有变动的，请以书面形式通知履约保证金收取单位，否则由此产生的后果由成交供应商自行承担。</w:t>
      </w:r>
    </w:p>
    <w:p w14:paraId="49E28F75">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29</w:t>
      </w:r>
      <w:r>
        <w:rPr>
          <w:rFonts w:hint="eastAsia" w:ascii="黑体" w:hAnsi="黑体" w:eastAsia="黑体" w:cs="宋体"/>
          <w:b/>
          <w:bCs/>
          <w:color w:val="auto"/>
          <w:sz w:val="24"/>
          <w:highlight w:val="none"/>
        </w:rPr>
        <w:t>.签订合同</w:t>
      </w:r>
    </w:p>
    <w:p w14:paraId="1B7A1C02">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29.1签订电子采购合同：成交供应商领取电子成交通知书后，在</w:t>
      </w:r>
      <w:r>
        <w:rPr>
          <w:rFonts w:hint="eastAsia" w:ascii="宋体" w:hAnsi="宋体" w:cs="宋体"/>
          <w:color w:val="auto"/>
          <w:szCs w:val="21"/>
          <w:highlight w:val="none"/>
          <w:lang w:val="zh-CN"/>
        </w:rPr>
        <w:t>规定的日期、时间、地点，由法定代表人或其授权代表与采购人代表签订电子采购合同。如成交供应商为联合体的，由联合体成员各方法定代表人或其授权代表与采购人代表签订合同。</w:t>
      </w:r>
    </w:p>
    <w:p w14:paraId="324BE195">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线下签订纸质合同：供应商领取成交通知书后，按“供应商须知前附表”规定向采购人出示相关证明材料，经采购人核验合格后方可签订合同。</w:t>
      </w:r>
    </w:p>
    <w:p w14:paraId="423A6645">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29.2签订合同时间：按成交通知书规定的时间与采购人签订合同。</w:t>
      </w:r>
    </w:p>
    <w:p w14:paraId="2AA5335E">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w:t>
      </w:r>
      <w:r>
        <w:rPr>
          <w:rFonts w:ascii="宋体" w:hAnsi="宋体" w:cs="宋体"/>
          <w:color w:val="auto"/>
          <w:szCs w:val="21"/>
          <w:highlight w:val="none"/>
        </w:rPr>
        <w:t>3</w:t>
      </w:r>
      <w:r>
        <w:rPr>
          <w:rFonts w:hint="eastAsia" w:ascii="宋体" w:hAnsi="宋体" w:cs="宋体"/>
          <w:color w:val="auto"/>
          <w:szCs w:val="21"/>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08E69AE1">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539A07CE">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29.5采购人或成交供应商不得单方面向合同另一方提出任何磋商文件没有约定的条件或不合理的要求，作为签订合同的条件；也不得协商另行订立背离磋商文件和合同实质性内容的协议。</w:t>
      </w:r>
    </w:p>
    <w:p w14:paraId="73D0241F">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29.6如签订合同并生效后，供应商无故拒绝或延期，除按照合同条款处理外，将承担相应的法律责任。</w:t>
      </w:r>
    </w:p>
    <w:p w14:paraId="5100D515">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578D5124">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30</w:t>
      </w:r>
      <w:r>
        <w:rPr>
          <w:rFonts w:hint="eastAsia" w:ascii="黑体" w:hAnsi="黑体" w:eastAsia="黑体" w:cs="宋体"/>
          <w:b/>
          <w:bCs/>
          <w:color w:val="auto"/>
          <w:sz w:val="24"/>
          <w:highlight w:val="none"/>
        </w:rPr>
        <w:t>.政府采购合同公告</w:t>
      </w:r>
    </w:p>
    <w:p w14:paraId="2076AD8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6B292674">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31</w:t>
      </w:r>
      <w:r>
        <w:rPr>
          <w:rFonts w:hint="eastAsia" w:ascii="黑体" w:hAnsi="黑体" w:eastAsia="黑体" w:cs="宋体"/>
          <w:b/>
          <w:bCs/>
          <w:color w:val="auto"/>
          <w:sz w:val="24"/>
          <w:highlight w:val="none"/>
        </w:rPr>
        <w:t>. 询问、质疑和投诉</w:t>
      </w:r>
    </w:p>
    <w:p w14:paraId="3E377E49">
      <w:pPr>
        <w:pStyle w:val="6"/>
        <w:spacing w:line="360" w:lineRule="auto"/>
        <w:rPr>
          <w:rFonts w:ascii="宋体" w:hAnsi="宋体"/>
          <w:color w:val="auto"/>
          <w:szCs w:val="21"/>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.1供应商对政府采购活动事项有疑问的，可以向采购人、采购代理机构提出询问，采购人或者采购代理机构应当在3个工作日内对供应商依法提出的询问作出答复，</w:t>
      </w:r>
      <w:r>
        <w:rPr>
          <w:rFonts w:hint="eastAsia" w:ascii="宋体" w:hAnsi="宋体"/>
          <w:color w:val="auto"/>
          <w:szCs w:val="21"/>
          <w:highlight w:val="none"/>
        </w:rPr>
        <w:t>但答复的内容不得涉及商业秘密</w:t>
      </w:r>
      <w:r>
        <w:rPr>
          <w:rFonts w:hint="eastAsia" w:ascii="宋体" w:hAnsi="宋体" w:cs="宋体"/>
          <w:color w:val="auto"/>
          <w:highlight w:val="none"/>
        </w:rPr>
        <w:t>。</w:t>
      </w:r>
    </w:p>
    <w:p w14:paraId="4086931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auto"/>
          <w:highlight w:val="none"/>
          <w:shd w:val="clear" w:color="auto" w:fill="FFFFFF"/>
        </w:rPr>
        <w:t>接收质疑函的方式、联系部门、联系电话和通讯地址等信息</w:t>
      </w:r>
      <w:r>
        <w:rPr>
          <w:rFonts w:hint="eastAsia" w:ascii="宋体" w:hAnsi="宋体" w:cs="Arial"/>
          <w:color w:val="auto"/>
          <w:highlight w:val="none"/>
          <w:shd w:val="clear" w:color="auto" w:fill="FFFFFF"/>
        </w:rPr>
        <w:t>详见</w:t>
      </w:r>
      <w:r>
        <w:rPr>
          <w:rFonts w:hint="eastAsia" w:ascii="宋体" w:hAnsi="宋体" w:cs="宋体"/>
          <w:color w:val="auto"/>
          <w:szCs w:val="21"/>
          <w:highlight w:val="none"/>
        </w:rPr>
        <w:t>“供应商须知前附表”</w:t>
      </w:r>
      <w:r>
        <w:rPr>
          <w:rFonts w:hint="eastAsia" w:ascii="宋体" w:hAnsi="宋体" w:cs="宋体"/>
          <w:color w:val="auto"/>
          <w:highlight w:val="none"/>
        </w:rPr>
        <w:t>。具体质疑起算时间如下：</w:t>
      </w:r>
    </w:p>
    <w:p w14:paraId="0554315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（1）对可以质疑的磋商文件提出质疑的，为收到磋商文件之日或者</w:t>
      </w:r>
      <w:r>
        <w:rPr>
          <w:rFonts w:hint="eastAsia" w:ascii="宋体" w:hAnsi="宋体"/>
          <w:color w:val="auto"/>
          <w:highlight w:val="none"/>
        </w:rPr>
        <w:t>竞争性磋商公告期限届满之日</w:t>
      </w:r>
      <w:r>
        <w:rPr>
          <w:rFonts w:hint="eastAsia" w:ascii="宋体" w:hAnsi="宋体" w:cs="宋体"/>
          <w:color w:val="auto"/>
          <w:highlight w:val="none"/>
        </w:rPr>
        <w:t>；</w:t>
      </w:r>
    </w:p>
    <w:p w14:paraId="7C689E2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（2）对采购过程提出质疑的，为各采购程序环节结束之日；</w:t>
      </w:r>
    </w:p>
    <w:p w14:paraId="7999BC7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（3）对成交结果提出质疑的，为成交结果公告期限届满之日。</w:t>
      </w:r>
    </w:p>
    <w:p w14:paraId="1B4DDE1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1D15982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61FE8EB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042453A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（2）质疑项目的名称、编号；</w:t>
      </w:r>
    </w:p>
    <w:p w14:paraId="00B1FB3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（3）具体、明确的质疑事项和与质疑事项相关的请求；</w:t>
      </w:r>
    </w:p>
    <w:p w14:paraId="54F7BC7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（4）事实依据；</w:t>
      </w:r>
    </w:p>
    <w:p w14:paraId="680C926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（5）必要的法律依据；</w:t>
      </w:r>
    </w:p>
    <w:p w14:paraId="5A3441E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（6）提出质疑的日期。</w:t>
      </w:r>
    </w:p>
    <w:p w14:paraId="225ACA4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45DD98F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1.5</w:t>
      </w:r>
      <w:r>
        <w:rPr>
          <w:rFonts w:hint="eastAsia" w:ascii="宋体" w:hAnsi="宋体" w:cs="宋体"/>
          <w:color w:val="auto"/>
          <w:highlight w:val="none"/>
        </w:rPr>
        <w:t>采购人、采购代理机构认为供应商质疑不成立，或者成立但未对成交结果构成影响的，继续开展采购活动；认为供应商质疑成立且影响或者可能影响成交结果的，按照下列情况处理：</w:t>
      </w:r>
    </w:p>
    <w:p w14:paraId="28876E9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44AE701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61F4A6D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6EA4786D">
      <w:pPr>
        <w:spacing w:line="360" w:lineRule="auto"/>
        <w:ind w:firstLine="420" w:firstLineChars="200"/>
        <w:rPr>
          <w:rFonts w:ascii="宋体" w:hAnsi="宋体" w:cs="宋体"/>
          <w:color w:val="auto"/>
          <w:szCs w:val="21"/>
          <w:highlight w:val="none"/>
        </w:rPr>
      </w:pPr>
      <w:r>
        <w:rPr>
          <w:rFonts w:ascii="宋体" w:hAnsi="宋体" w:cs="宋体"/>
          <w:color w:val="auto"/>
          <w:highlight w:val="none"/>
        </w:rPr>
        <w:t>31</w:t>
      </w: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465AA018">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32</w:t>
      </w:r>
      <w:r>
        <w:rPr>
          <w:rFonts w:hint="eastAsia" w:ascii="黑体" w:hAnsi="黑体" w:eastAsia="黑体" w:cs="宋体"/>
          <w:b/>
          <w:bCs/>
          <w:color w:val="auto"/>
          <w:sz w:val="24"/>
          <w:highlight w:val="none"/>
        </w:rPr>
        <w:t>.其他内容</w:t>
      </w:r>
    </w:p>
    <w:p w14:paraId="0E207DFC">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.1代理服务收取标准及缴费账户详见“供应商须知前附表”，供应商为联合体的，可以由联合体中的一方或者多方共同交纳代理服务费。</w:t>
      </w:r>
    </w:p>
    <w:p w14:paraId="0451812D">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32.2</w:t>
      </w:r>
      <w:r>
        <w:rPr>
          <w:rFonts w:hint="eastAsia" w:ascii="宋体" w:hAnsi="宋体" w:cs="宋体"/>
          <w:color w:val="auto"/>
          <w:szCs w:val="21"/>
          <w:highlight w:val="none"/>
        </w:rPr>
        <w:t>代理服务费收费计算标准：</w:t>
      </w:r>
    </w:p>
    <w:tbl>
      <w:tblPr>
        <w:tblStyle w:val="2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2008"/>
        <w:gridCol w:w="1967"/>
        <w:gridCol w:w="1968"/>
      </w:tblGrid>
      <w:tr w14:paraId="6061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14:paraId="15D44A19">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费率</w:t>
            </w:r>
          </w:p>
          <w:p w14:paraId="446D12E0">
            <w:pPr>
              <w:spacing w:line="360" w:lineRule="auto"/>
              <w:rPr>
                <w:rFonts w:ascii="宋体" w:hAnsi="宋体" w:cs="宋体"/>
                <w:color w:val="auto"/>
                <w:szCs w:val="21"/>
                <w:highlight w:val="none"/>
              </w:rPr>
            </w:pPr>
            <w:r>
              <w:rPr>
                <w:rFonts w:hint="eastAsia" w:ascii="宋体" w:hAnsi="宋体" w:cs="宋体"/>
                <w:color w:val="auto"/>
                <w:szCs w:val="21"/>
                <w:highlight w:val="none"/>
              </w:rPr>
              <w:t>金额</w:t>
            </w:r>
          </w:p>
        </w:tc>
        <w:tc>
          <w:tcPr>
            <w:tcW w:w="2008" w:type="dxa"/>
            <w:vAlign w:val="center"/>
          </w:tcPr>
          <w:p w14:paraId="3D3C6B77">
            <w:pPr>
              <w:spacing w:line="360" w:lineRule="auto"/>
              <w:ind w:firstLine="105" w:firstLineChars="50"/>
              <w:jc w:val="center"/>
              <w:rPr>
                <w:rFonts w:ascii="宋体" w:hAnsi="宋体" w:cs="宋体"/>
                <w:color w:val="auto"/>
                <w:szCs w:val="21"/>
                <w:highlight w:val="none"/>
              </w:rPr>
            </w:pPr>
            <w:r>
              <w:rPr>
                <w:rFonts w:hint="eastAsia" w:ascii="宋体" w:hAnsi="宋体" w:cs="宋体"/>
                <w:color w:val="auto"/>
                <w:szCs w:val="21"/>
                <w:highlight w:val="none"/>
              </w:rPr>
              <w:t>货物类</w:t>
            </w:r>
          </w:p>
        </w:tc>
        <w:tc>
          <w:tcPr>
            <w:tcW w:w="1967" w:type="dxa"/>
            <w:vAlign w:val="center"/>
          </w:tcPr>
          <w:p w14:paraId="67FA65E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服务类</w:t>
            </w:r>
          </w:p>
        </w:tc>
        <w:tc>
          <w:tcPr>
            <w:tcW w:w="1968" w:type="dxa"/>
            <w:vAlign w:val="center"/>
          </w:tcPr>
          <w:p w14:paraId="03B6E88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工程类</w:t>
            </w:r>
          </w:p>
        </w:tc>
      </w:tr>
      <w:tr w14:paraId="4421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center"/>
          </w:tcPr>
          <w:p w14:paraId="2BD08106">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100以下</w:t>
            </w:r>
          </w:p>
        </w:tc>
        <w:tc>
          <w:tcPr>
            <w:tcW w:w="2008" w:type="dxa"/>
            <w:vAlign w:val="top"/>
          </w:tcPr>
          <w:p w14:paraId="24D8AF0C">
            <w:pPr>
              <w:spacing w:line="360" w:lineRule="auto"/>
              <w:jc w:val="center"/>
              <w:rPr>
                <w:rFonts w:ascii="宋体" w:hAnsi="宋体" w:cs="宋体"/>
                <w:color w:val="auto"/>
                <w:szCs w:val="21"/>
                <w:highlight w:val="none"/>
              </w:rPr>
            </w:pPr>
            <w:r>
              <w:rPr>
                <w:rFonts w:hint="eastAsia" w:ascii="宋体" w:hAnsi="宋体" w:eastAsia="宋体" w:cs="宋体"/>
                <w:color w:val="auto"/>
                <w:kern w:val="0"/>
                <w:szCs w:val="21"/>
                <w:highlight w:val="none"/>
              </w:rPr>
              <w:t xml:space="preserve">1.5%                </w:t>
            </w:r>
          </w:p>
        </w:tc>
        <w:tc>
          <w:tcPr>
            <w:tcW w:w="1967" w:type="dxa"/>
            <w:vAlign w:val="top"/>
          </w:tcPr>
          <w:p w14:paraId="56F6D5D5">
            <w:pPr>
              <w:spacing w:line="360" w:lineRule="auto"/>
              <w:ind w:firstLine="210" w:firstLineChars="100"/>
              <w:jc w:val="center"/>
              <w:rPr>
                <w:rFonts w:ascii="宋体" w:hAnsi="宋体" w:cs="宋体"/>
                <w:color w:val="auto"/>
                <w:szCs w:val="21"/>
                <w:highlight w:val="none"/>
              </w:rPr>
            </w:pPr>
            <w:r>
              <w:rPr>
                <w:rFonts w:hint="eastAsia" w:ascii="宋体" w:hAnsi="宋体" w:eastAsia="宋体" w:cs="宋体"/>
                <w:color w:val="auto"/>
                <w:kern w:val="0"/>
                <w:szCs w:val="21"/>
                <w:highlight w:val="none"/>
              </w:rPr>
              <w:t>1.5%</w:t>
            </w:r>
          </w:p>
        </w:tc>
        <w:tc>
          <w:tcPr>
            <w:tcW w:w="1968" w:type="dxa"/>
            <w:vAlign w:val="top"/>
          </w:tcPr>
          <w:p w14:paraId="47281F49">
            <w:pPr>
              <w:spacing w:line="360" w:lineRule="auto"/>
              <w:ind w:firstLine="210" w:firstLineChars="100"/>
              <w:jc w:val="center"/>
              <w:rPr>
                <w:rFonts w:ascii="宋体" w:hAnsi="宋体" w:cs="宋体"/>
                <w:color w:val="auto"/>
                <w:szCs w:val="21"/>
                <w:highlight w:val="none"/>
              </w:rPr>
            </w:pPr>
            <w:r>
              <w:rPr>
                <w:rFonts w:hint="eastAsia" w:ascii="宋体" w:hAnsi="宋体" w:eastAsia="宋体" w:cs="宋体"/>
                <w:color w:val="auto"/>
                <w:kern w:val="0"/>
                <w:szCs w:val="21"/>
                <w:highlight w:val="none"/>
              </w:rPr>
              <w:t xml:space="preserve">1.0% </w:t>
            </w:r>
          </w:p>
        </w:tc>
      </w:tr>
      <w:tr w14:paraId="0029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center"/>
          </w:tcPr>
          <w:p w14:paraId="20470EF5">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100-500</w:t>
            </w:r>
          </w:p>
        </w:tc>
        <w:tc>
          <w:tcPr>
            <w:tcW w:w="2008" w:type="dxa"/>
            <w:vAlign w:val="top"/>
          </w:tcPr>
          <w:p w14:paraId="2BB39C1E">
            <w:pPr>
              <w:spacing w:line="360" w:lineRule="auto"/>
              <w:ind w:firstLine="210" w:firstLineChars="100"/>
              <w:jc w:val="center"/>
              <w:rPr>
                <w:rFonts w:ascii="宋体" w:hAnsi="宋体" w:cs="宋体"/>
                <w:color w:val="auto"/>
                <w:szCs w:val="21"/>
                <w:highlight w:val="none"/>
              </w:rPr>
            </w:pPr>
            <w:r>
              <w:rPr>
                <w:rFonts w:hint="eastAsia" w:ascii="宋体" w:hAnsi="宋体" w:eastAsia="宋体" w:cs="宋体"/>
                <w:color w:val="auto"/>
                <w:kern w:val="0"/>
                <w:szCs w:val="21"/>
                <w:highlight w:val="none"/>
              </w:rPr>
              <w:t xml:space="preserve">1.1%                 </w:t>
            </w:r>
          </w:p>
        </w:tc>
        <w:tc>
          <w:tcPr>
            <w:tcW w:w="1967" w:type="dxa"/>
            <w:vAlign w:val="top"/>
          </w:tcPr>
          <w:p w14:paraId="46DD22F1">
            <w:pPr>
              <w:spacing w:line="360" w:lineRule="auto"/>
              <w:ind w:firstLine="210" w:firstLineChars="100"/>
              <w:jc w:val="center"/>
              <w:rPr>
                <w:rFonts w:ascii="宋体" w:hAnsi="宋体" w:cs="宋体"/>
                <w:color w:val="auto"/>
                <w:szCs w:val="21"/>
                <w:highlight w:val="none"/>
              </w:rPr>
            </w:pPr>
            <w:r>
              <w:rPr>
                <w:rFonts w:hint="eastAsia" w:ascii="宋体" w:hAnsi="宋体" w:eastAsia="宋体" w:cs="宋体"/>
                <w:color w:val="auto"/>
                <w:kern w:val="0"/>
                <w:szCs w:val="21"/>
                <w:highlight w:val="none"/>
              </w:rPr>
              <w:t>0.8%</w:t>
            </w:r>
          </w:p>
        </w:tc>
        <w:tc>
          <w:tcPr>
            <w:tcW w:w="1968" w:type="dxa"/>
            <w:vAlign w:val="top"/>
          </w:tcPr>
          <w:p w14:paraId="2D3F70AF">
            <w:pPr>
              <w:spacing w:line="360" w:lineRule="auto"/>
              <w:ind w:firstLine="210" w:firstLineChars="100"/>
              <w:jc w:val="center"/>
              <w:rPr>
                <w:rFonts w:ascii="宋体" w:hAnsi="宋体" w:cs="宋体"/>
                <w:color w:val="auto"/>
                <w:szCs w:val="21"/>
                <w:highlight w:val="none"/>
              </w:rPr>
            </w:pPr>
            <w:r>
              <w:rPr>
                <w:rFonts w:hint="eastAsia" w:ascii="宋体" w:hAnsi="宋体" w:eastAsia="宋体" w:cs="宋体"/>
                <w:color w:val="auto"/>
                <w:kern w:val="0"/>
                <w:szCs w:val="21"/>
                <w:highlight w:val="none"/>
              </w:rPr>
              <w:t xml:space="preserve">0.7% </w:t>
            </w:r>
          </w:p>
        </w:tc>
      </w:tr>
      <w:tr w14:paraId="55A28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center"/>
          </w:tcPr>
          <w:p w14:paraId="3A007B8F">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500-1000</w:t>
            </w:r>
          </w:p>
        </w:tc>
        <w:tc>
          <w:tcPr>
            <w:tcW w:w="2008" w:type="dxa"/>
            <w:vAlign w:val="top"/>
          </w:tcPr>
          <w:p w14:paraId="42E14E81">
            <w:pPr>
              <w:spacing w:line="360" w:lineRule="auto"/>
              <w:jc w:val="center"/>
              <w:rPr>
                <w:rFonts w:ascii="宋体" w:hAnsi="宋体" w:cs="宋体"/>
                <w:color w:val="auto"/>
                <w:szCs w:val="21"/>
                <w:highlight w:val="none"/>
              </w:rPr>
            </w:pPr>
            <w:r>
              <w:rPr>
                <w:rFonts w:hint="eastAsia" w:ascii="宋体" w:hAnsi="宋体" w:eastAsia="宋体" w:cs="宋体"/>
                <w:color w:val="auto"/>
                <w:kern w:val="0"/>
                <w:szCs w:val="21"/>
                <w:highlight w:val="none"/>
              </w:rPr>
              <w:t xml:space="preserve">0.8%                </w:t>
            </w:r>
          </w:p>
        </w:tc>
        <w:tc>
          <w:tcPr>
            <w:tcW w:w="1967" w:type="dxa"/>
            <w:vAlign w:val="top"/>
          </w:tcPr>
          <w:p w14:paraId="1F4FD8AD">
            <w:pPr>
              <w:spacing w:line="360" w:lineRule="auto"/>
              <w:ind w:firstLine="210" w:firstLineChars="100"/>
              <w:jc w:val="center"/>
              <w:rPr>
                <w:rFonts w:ascii="宋体" w:hAnsi="宋体" w:cs="宋体"/>
                <w:color w:val="auto"/>
                <w:szCs w:val="21"/>
                <w:highlight w:val="none"/>
              </w:rPr>
            </w:pPr>
            <w:r>
              <w:rPr>
                <w:rFonts w:hint="eastAsia" w:ascii="宋体" w:hAnsi="宋体" w:eastAsia="宋体" w:cs="宋体"/>
                <w:color w:val="auto"/>
                <w:kern w:val="0"/>
                <w:szCs w:val="21"/>
                <w:highlight w:val="none"/>
              </w:rPr>
              <w:t>0.45%</w:t>
            </w:r>
          </w:p>
        </w:tc>
        <w:tc>
          <w:tcPr>
            <w:tcW w:w="1968" w:type="dxa"/>
            <w:vAlign w:val="top"/>
          </w:tcPr>
          <w:p w14:paraId="1DA275C0">
            <w:pPr>
              <w:spacing w:line="360" w:lineRule="auto"/>
              <w:ind w:firstLine="210" w:firstLineChars="100"/>
              <w:jc w:val="center"/>
              <w:rPr>
                <w:rFonts w:ascii="宋体" w:hAnsi="宋体" w:cs="宋体"/>
                <w:color w:val="auto"/>
                <w:szCs w:val="21"/>
                <w:highlight w:val="none"/>
              </w:rPr>
            </w:pPr>
            <w:r>
              <w:rPr>
                <w:rFonts w:hint="eastAsia" w:ascii="宋体" w:hAnsi="宋体" w:eastAsia="宋体" w:cs="宋体"/>
                <w:color w:val="auto"/>
                <w:kern w:val="0"/>
                <w:szCs w:val="21"/>
                <w:highlight w:val="none"/>
              </w:rPr>
              <w:t>0.55%</w:t>
            </w:r>
          </w:p>
        </w:tc>
      </w:tr>
      <w:tr w14:paraId="5A6D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center"/>
          </w:tcPr>
          <w:p w14:paraId="48267779">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1000-5000</w:t>
            </w:r>
          </w:p>
        </w:tc>
        <w:tc>
          <w:tcPr>
            <w:tcW w:w="2008" w:type="dxa"/>
            <w:vAlign w:val="top"/>
          </w:tcPr>
          <w:p w14:paraId="36DB77D2">
            <w:pPr>
              <w:spacing w:line="360" w:lineRule="auto"/>
              <w:ind w:firstLine="210" w:firstLineChars="100"/>
              <w:jc w:val="center"/>
              <w:rPr>
                <w:rFonts w:ascii="宋体" w:hAnsi="宋体" w:cs="宋体"/>
                <w:color w:val="auto"/>
                <w:szCs w:val="21"/>
                <w:highlight w:val="none"/>
              </w:rPr>
            </w:pPr>
            <w:r>
              <w:rPr>
                <w:rFonts w:hint="eastAsia" w:ascii="宋体" w:hAnsi="宋体" w:eastAsia="宋体" w:cs="宋体"/>
                <w:color w:val="auto"/>
                <w:kern w:val="0"/>
                <w:szCs w:val="21"/>
                <w:highlight w:val="none"/>
              </w:rPr>
              <w:t xml:space="preserve">0.5%                </w:t>
            </w:r>
          </w:p>
        </w:tc>
        <w:tc>
          <w:tcPr>
            <w:tcW w:w="1967" w:type="dxa"/>
            <w:vAlign w:val="top"/>
          </w:tcPr>
          <w:p w14:paraId="3928F30A">
            <w:pPr>
              <w:spacing w:line="360" w:lineRule="auto"/>
              <w:ind w:firstLine="210" w:firstLineChars="100"/>
              <w:jc w:val="center"/>
              <w:rPr>
                <w:rFonts w:ascii="宋体" w:hAnsi="宋体" w:cs="宋体"/>
                <w:color w:val="auto"/>
                <w:szCs w:val="21"/>
                <w:highlight w:val="none"/>
              </w:rPr>
            </w:pPr>
            <w:r>
              <w:rPr>
                <w:rFonts w:hint="eastAsia" w:ascii="宋体" w:hAnsi="宋体" w:eastAsia="宋体" w:cs="宋体"/>
                <w:color w:val="auto"/>
                <w:kern w:val="0"/>
                <w:szCs w:val="21"/>
                <w:highlight w:val="none"/>
              </w:rPr>
              <w:t>0.25%</w:t>
            </w:r>
          </w:p>
        </w:tc>
        <w:tc>
          <w:tcPr>
            <w:tcW w:w="1968" w:type="dxa"/>
            <w:vAlign w:val="top"/>
          </w:tcPr>
          <w:p w14:paraId="443C3C36">
            <w:pPr>
              <w:spacing w:line="360" w:lineRule="auto"/>
              <w:ind w:firstLine="210" w:firstLineChars="100"/>
              <w:jc w:val="center"/>
              <w:rPr>
                <w:rFonts w:ascii="宋体" w:hAnsi="宋体" w:cs="宋体"/>
                <w:color w:val="auto"/>
                <w:szCs w:val="21"/>
                <w:highlight w:val="none"/>
              </w:rPr>
            </w:pPr>
            <w:r>
              <w:rPr>
                <w:rFonts w:hint="eastAsia" w:ascii="宋体" w:hAnsi="宋体" w:eastAsia="宋体" w:cs="宋体"/>
                <w:color w:val="auto"/>
                <w:kern w:val="0"/>
                <w:szCs w:val="21"/>
                <w:highlight w:val="none"/>
              </w:rPr>
              <w:t xml:space="preserve">0.35% </w:t>
            </w:r>
          </w:p>
        </w:tc>
      </w:tr>
      <w:tr w14:paraId="29C39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center"/>
          </w:tcPr>
          <w:p w14:paraId="6993B8FE">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5000-10000</w:t>
            </w:r>
          </w:p>
        </w:tc>
        <w:tc>
          <w:tcPr>
            <w:tcW w:w="2008" w:type="dxa"/>
            <w:vAlign w:val="top"/>
          </w:tcPr>
          <w:p w14:paraId="1281CA6D">
            <w:pPr>
              <w:spacing w:line="360" w:lineRule="auto"/>
              <w:ind w:firstLine="210" w:firstLineChars="100"/>
              <w:jc w:val="center"/>
              <w:rPr>
                <w:rFonts w:ascii="宋体" w:hAnsi="宋体" w:cs="宋体"/>
                <w:color w:val="auto"/>
                <w:szCs w:val="21"/>
                <w:highlight w:val="none"/>
              </w:rPr>
            </w:pPr>
            <w:r>
              <w:rPr>
                <w:rFonts w:hint="eastAsia" w:ascii="宋体" w:hAnsi="宋体" w:eastAsia="宋体" w:cs="宋体"/>
                <w:color w:val="auto"/>
                <w:kern w:val="0"/>
                <w:szCs w:val="21"/>
                <w:highlight w:val="none"/>
              </w:rPr>
              <w:t xml:space="preserve">0.25%                 </w:t>
            </w:r>
          </w:p>
        </w:tc>
        <w:tc>
          <w:tcPr>
            <w:tcW w:w="1967" w:type="dxa"/>
            <w:vAlign w:val="top"/>
          </w:tcPr>
          <w:p w14:paraId="68D0CEA3">
            <w:pPr>
              <w:spacing w:line="360" w:lineRule="auto"/>
              <w:ind w:firstLine="210" w:firstLineChars="100"/>
              <w:jc w:val="center"/>
              <w:rPr>
                <w:rFonts w:ascii="宋体" w:hAnsi="宋体" w:cs="宋体"/>
                <w:color w:val="auto"/>
                <w:szCs w:val="21"/>
                <w:highlight w:val="none"/>
              </w:rPr>
            </w:pPr>
            <w:r>
              <w:rPr>
                <w:rFonts w:hint="eastAsia" w:ascii="宋体" w:hAnsi="宋体" w:eastAsia="宋体" w:cs="宋体"/>
                <w:color w:val="auto"/>
                <w:kern w:val="0"/>
                <w:szCs w:val="21"/>
                <w:highlight w:val="none"/>
              </w:rPr>
              <w:t>0.1%</w:t>
            </w:r>
          </w:p>
        </w:tc>
        <w:tc>
          <w:tcPr>
            <w:tcW w:w="1968" w:type="dxa"/>
            <w:vAlign w:val="top"/>
          </w:tcPr>
          <w:p w14:paraId="1F482B71">
            <w:pPr>
              <w:spacing w:line="360" w:lineRule="auto"/>
              <w:ind w:firstLine="210" w:firstLineChars="100"/>
              <w:jc w:val="center"/>
              <w:rPr>
                <w:rFonts w:ascii="宋体" w:hAnsi="宋体" w:cs="宋体"/>
                <w:color w:val="auto"/>
                <w:szCs w:val="21"/>
                <w:highlight w:val="none"/>
              </w:rPr>
            </w:pPr>
            <w:r>
              <w:rPr>
                <w:rFonts w:hint="eastAsia" w:ascii="宋体" w:hAnsi="宋体" w:eastAsia="宋体" w:cs="宋体"/>
                <w:color w:val="auto"/>
                <w:kern w:val="0"/>
                <w:szCs w:val="21"/>
                <w:highlight w:val="none"/>
              </w:rPr>
              <w:t>0.2%</w:t>
            </w:r>
          </w:p>
        </w:tc>
      </w:tr>
      <w:tr w14:paraId="2C2D8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center"/>
          </w:tcPr>
          <w:p w14:paraId="27508897">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10000-100000</w:t>
            </w:r>
          </w:p>
        </w:tc>
        <w:tc>
          <w:tcPr>
            <w:tcW w:w="2008" w:type="dxa"/>
            <w:vAlign w:val="top"/>
          </w:tcPr>
          <w:p w14:paraId="2852A740">
            <w:pPr>
              <w:spacing w:line="360" w:lineRule="auto"/>
              <w:ind w:firstLine="210" w:firstLineChars="100"/>
              <w:jc w:val="center"/>
              <w:rPr>
                <w:rFonts w:ascii="宋体" w:hAnsi="宋体" w:cs="宋体"/>
                <w:color w:val="auto"/>
                <w:szCs w:val="21"/>
                <w:highlight w:val="none"/>
              </w:rPr>
            </w:pPr>
            <w:r>
              <w:rPr>
                <w:rFonts w:hint="eastAsia" w:ascii="宋体" w:hAnsi="宋体" w:eastAsia="宋体" w:cs="宋体"/>
                <w:color w:val="auto"/>
                <w:szCs w:val="21"/>
                <w:highlight w:val="none"/>
              </w:rPr>
              <w:t>0.05%</w:t>
            </w:r>
          </w:p>
        </w:tc>
        <w:tc>
          <w:tcPr>
            <w:tcW w:w="1967" w:type="dxa"/>
            <w:vAlign w:val="top"/>
          </w:tcPr>
          <w:p w14:paraId="258276A9">
            <w:pPr>
              <w:spacing w:line="360" w:lineRule="auto"/>
              <w:jc w:val="center"/>
              <w:rPr>
                <w:rFonts w:ascii="宋体" w:hAnsi="宋体" w:cs="宋体"/>
                <w:color w:val="auto"/>
                <w:szCs w:val="21"/>
                <w:highlight w:val="none"/>
              </w:rPr>
            </w:pPr>
            <w:r>
              <w:rPr>
                <w:rFonts w:hint="eastAsia" w:ascii="宋体" w:hAnsi="宋体" w:eastAsia="宋体" w:cs="宋体"/>
                <w:color w:val="auto"/>
                <w:szCs w:val="21"/>
                <w:highlight w:val="none"/>
              </w:rPr>
              <w:t>0.05%</w:t>
            </w:r>
          </w:p>
        </w:tc>
        <w:tc>
          <w:tcPr>
            <w:tcW w:w="1968" w:type="dxa"/>
            <w:vAlign w:val="top"/>
          </w:tcPr>
          <w:p w14:paraId="1FA08D2D">
            <w:pPr>
              <w:spacing w:line="360" w:lineRule="auto"/>
              <w:jc w:val="center"/>
              <w:rPr>
                <w:rFonts w:ascii="宋体" w:hAnsi="宋体" w:cs="宋体"/>
                <w:color w:val="auto"/>
                <w:szCs w:val="21"/>
                <w:highlight w:val="none"/>
              </w:rPr>
            </w:pPr>
            <w:r>
              <w:rPr>
                <w:rFonts w:hint="eastAsia" w:ascii="宋体" w:hAnsi="宋体" w:eastAsia="宋体" w:cs="宋体"/>
                <w:color w:val="auto"/>
                <w:szCs w:val="21"/>
                <w:highlight w:val="none"/>
              </w:rPr>
              <w:t>0.05%</w:t>
            </w:r>
          </w:p>
        </w:tc>
      </w:tr>
    </w:tbl>
    <w:p w14:paraId="62DB945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w:t>
      </w:r>
      <w:r>
        <w:rPr>
          <w:rFonts w:ascii="黑体" w:hAnsi="黑体" w:eastAsia="黑体" w:cs="宋体"/>
          <w:b/>
          <w:bCs/>
          <w:color w:val="auto"/>
          <w:sz w:val="24"/>
          <w:highlight w:val="none"/>
        </w:rPr>
        <w:t>3.需要补充的其他内容</w:t>
      </w:r>
    </w:p>
    <w:p w14:paraId="5CAD79EC">
      <w:pPr>
        <w:pStyle w:val="16"/>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w:t>
      </w:r>
      <w:r>
        <w:rPr>
          <w:rFonts w:hAnsi="宋体" w:cs="宋体"/>
          <w:color w:val="auto"/>
          <w:kern w:val="2"/>
          <w:sz w:val="21"/>
          <w:highlight w:val="none"/>
        </w:rPr>
        <w:t>3.1</w:t>
      </w:r>
      <w:r>
        <w:rPr>
          <w:rFonts w:hint="eastAsia" w:hAnsi="宋体" w:cs="宋体"/>
          <w:color w:val="auto"/>
          <w:kern w:val="2"/>
          <w:sz w:val="21"/>
          <w:highlight w:val="none"/>
        </w:rPr>
        <w:t>本磋商文件解释规则详见“供应商须知前附表”。</w:t>
      </w:r>
    </w:p>
    <w:p w14:paraId="6853FCC5">
      <w:pPr>
        <w:pStyle w:val="16"/>
        <w:spacing w:line="360" w:lineRule="auto"/>
        <w:ind w:firstLine="420" w:firstLineChars="200"/>
        <w:textAlignment w:val="center"/>
        <w:rPr>
          <w:rFonts w:hAnsi="宋体" w:cs="宋体"/>
          <w:color w:val="auto"/>
          <w:kern w:val="2"/>
          <w:sz w:val="21"/>
          <w:highlight w:val="none"/>
        </w:rPr>
      </w:pPr>
      <w:r>
        <w:rPr>
          <w:rFonts w:hAnsi="宋体" w:cs="宋体"/>
          <w:color w:val="auto"/>
          <w:kern w:val="2"/>
          <w:sz w:val="21"/>
          <w:highlight w:val="none"/>
        </w:rPr>
        <w:t>33.2</w:t>
      </w:r>
      <w:r>
        <w:rPr>
          <w:rFonts w:hint="eastAsia" w:hAnsi="宋体" w:cs="宋体"/>
          <w:color w:val="auto"/>
          <w:kern w:val="2"/>
          <w:sz w:val="21"/>
          <w:highlight w:val="none"/>
        </w:rPr>
        <w:t xml:space="preserve"> 其他事项详见“供应商须知前附表”。</w:t>
      </w:r>
    </w:p>
    <w:p w14:paraId="4ABD66B9">
      <w:pPr>
        <w:pStyle w:val="16"/>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w:t>
      </w:r>
      <w:r>
        <w:rPr>
          <w:rFonts w:hAnsi="宋体" w:cs="宋体"/>
          <w:color w:val="auto"/>
          <w:kern w:val="2"/>
          <w:sz w:val="21"/>
          <w:highlight w:val="none"/>
        </w:rPr>
        <w:t>3.3</w:t>
      </w:r>
      <w:r>
        <w:rPr>
          <w:rFonts w:hint="eastAsia" w:hAnsi="宋体" w:cs="宋体"/>
          <w:color w:val="auto"/>
          <w:kern w:val="2"/>
          <w:sz w:val="21"/>
          <w:highlight w:val="none"/>
        </w:rPr>
        <w:t>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64471043">
      <w:pPr>
        <w:pStyle w:val="16"/>
        <w:spacing w:line="360" w:lineRule="auto"/>
        <w:ind w:firstLine="420" w:firstLineChars="200"/>
        <w:contextualSpacing/>
        <w:rPr>
          <w:rFonts w:hAnsi="宋体"/>
          <w:color w:val="auto"/>
          <w:sz w:val="21"/>
          <w:highlight w:val="none"/>
        </w:rPr>
      </w:pPr>
      <w:r>
        <w:rPr>
          <w:rFonts w:hint="eastAsia" w:hAnsi="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2F76CB90">
      <w:pPr>
        <w:pStyle w:val="16"/>
        <w:spacing w:line="360" w:lineRule="auto"/>
        <w:ind w:firstLine="420" w:firstLineChars="200"/>
        <w:contextualSpacing/>
        <w:rPr>
          <w:rFonts w:hAnsi="宋体"/>
          <w:color w:val="auto"/>
          <w:sz w:val="21"/>
          <w:highlight w:val="none"/>
        </w:rPr>
      </w:pPr>
      <w:r>
        <w:rPr>
          <w:rFonts w:hint="eastAsia" w:hAnsi="宋体"/>
          <w:color w:val="auto"/>
          <w:sz w:val="21"/>
          <w:highlight w:val="none"/>
        </w:rPr>
        <w:t>（2）在工程采购项目中，工程由中小企业承建，即工程施工单位为中小企业，不对其中涉及的货物的制造商和服务的承接商作出要求；</w:t>
      </w:r>
    </w:p>
    <w:p w14:paraId="4AA6465F">
      <w:pPr>
        <w:pStyle w:val="16"/>
        <w:spacing w:line="360" w:lineRule="auto"/>
        <w:ind w:firstLine="420" w:firstLineChars="200"/>
        <w:contextualSpacing/>
        <w:rPr>
          <w:rFonts w:hAnsi="宋体"/>
          <w:color w:val="auto"/>
          <w:sz w:val="21"/>
          <w:highlight w:val="none"/>
        </w:rPr>
      </w:pPr>
      <w:r>
        <w:rPr>
          <w:rFonts w:hint="eastAsia" w:hAnsi="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25DFA259">
      <w:pPr>
        <w:pStyle w:val="16"/>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14:paraId="6B7D73C8">
      <w:pPr>
        <w:pStyle w:val="16"/>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依据本磋商文件规定享受扶持政策获得政府采购合同的，小微企业不得将合同分包给大中型企业，中型企业不得将合同分包给大型企业。</w:t>
      </w:r>
    </w:p>
    <w:p w14:paraId="1C0667BA">
      <w:pPr>
        <w:pStyle w:val="16"/>
        <w:spacing w:line="360" w:lineRule="auto"/>
        <w:ind w:firstLine="420" w:firstLineChars="200"/>
        <w:textAlignment w:val="center"/>
        <w:rPr>
          <w:rFonts w:hAnsi="宋体" w:cs="宋体"/>
          <w:color w:val="auto"/>
          <w:kern w:val="2"/>
          <w:sz w:val="21"/>
          <w:highlight w:val="none"/>
        </w:rPr>
      </w:pPr>
    </w:p>
    <w:p w14:paraId="7609513B">
      <w:pPr>
        <w:pStyle w:val="16"/>
        <w:spacing w:line="360" w:lineRule="auto"/>
        <w:ind w:firstLine="420" w:firstLineChars="200"/>
        <w:textAlignment w:val="center"/>
        <w:rPr>
          <w:rFonts w:hAnsi="宋体" w:cs="宋体"/>
          <w:color w:val="auto"/>
          <w:kern w:val="2"/>
          <w:sz w:val="21"/>
          <w:highlight w:val="none"/>
        </w:rPr>
      </w:pPr>
    </w:p>
    <w:p w14:paraId="24474B11">
      <w:pPr>
        <w:pStyle w:val="16"/>
        <w:spacing w:line="360" w:lineRule="auto"/>
        <w:ind w:firstLine="420" w:firstLineChars="200"/>
        <w:textAlignment w:val="center"/>
        <w:rPr>
          <w:rFonts w:hAnsi="宋体" w:cs="宋体"/>
          <w:color w:val="auto"/>
          <w:kern w:val="2"/>
          <w:sz w:val="21"/>
          <w:highlight w:val="none"/>
        </w:rPr>
      </w:pPr>
    </w:p>
    <w:p w14:paraId="4DA8078D">
      <w:pPr>
        <w:pStyle w:val="16"/>
        <w:spacing w:line="360" w:lineRule="auto"/>
        <w:ind w:firstLine="420" w:firstLineChars="200"/>
        <w:textAlignment w:val="center"/>
        <w:rPr>
          <w:rFonts w:hAnsi="宋体" w:cs="宋体"/>
          <w:color w:val="auto"/>
          <w:kern w:val="2"/>
          <w:sz w:val="21"/>
          <w:highlight w:val="none"/>
        </w:rPr>
      </w:pPr>
    </w:p>
    <w:p w14:paraId="73F2BB3A">
      <w:pPr>
        <w:pStyle w:val="16"/>
        <w:spacing w:line="360" w:lineRule="auto"/>
        <w:ind w:firstLine="420" w:firstLineChars="200"/>
        <w:textAlignment w:val="center"/>
        <w:rPr>
          <w:rFonts w:hAnsi="宋体" w:cs="宋体"/>
          <w:color w:val="auto"/>
          <w:kern w:val="2"/>
          <w:sz w:val="21"/>
          <w:highlight w:val="none"/>
        </w:rPr>
      </w:pPr>
    </w:p>
    <w:p w14:paraId="01AF2D78">
      <w:pPr>
        <w:pStyle w:val="16"/>
        <w:spacing w:line="360" w:lineRule="auto"/>
        <w:ind w:firstLine="420" w:firstLineChars="200"/>
        <w:textAlignment w:val="center"/>
        <w:rPr>
          <w:rFonts w:hAnsi="宋体" w:cs="宋体"/>
          <w:color w:val="auto"/>
          <w:kern w:val="2"/>
          <w:sz w:val="21"/>
          <w:highlight w:val="none"/>
        </w:rPr>
      </w:pPr>
    </w:p>
    <w:p w14:paraId="28D479A5">
      <w:pPr>
        <w:pStyle w:val="16"/>
        <w:spacing w:line="360" w:lineRule="auto"/>
        <w:ind w:firstLine="420" w:firstLineChars="200"/>
        <w:textAlignment w:val="center"/>
        <w:rPr>
          <w:rFonts w:hAnsi="宋体" w:cs="宋体"/>
          <w:color w:val="auto"/>
          <w:kern w:val="2"/>
          <w:sz w:val="21"/>
          <w:highlight w:val="none"/>
        </w:rPr>
      </w:pPr>
    </w:p>
    <w:p w14:paraId="748A6A86">
      <w:pPr>
        <w:pStyle w:val="4"/>
        <w:rPr>
          <w:color w:val="auto"/>
          <w:highlight w:val="none"/>
        </w:rPr>
      </w:pPr>
    </w:p>
    <w:p w14:paraId="2E5CFE5A">
      <w:pPr>
        <w:pStyle w:val="16"/>
        <w:spacing w:line="360" w:lineRule="auto"/>
        <w:ind w:firstLine="420" w:firstLineChars="200"/>
        <w:textAlignment w:val="center"/>
        <w:rPr>
          <w:rFonts w:hAnsi="宋体" w:cs="宋体"/>
          <w:color w:val="auto"/>
          <w:kern w:val="2"/>
          <w:sz w:val="21"/>
          <w:highlight w:val="none"/>
        </w:rPr>
      </w:pPr>
    </w:p>
    <w:p w14:paraId="716F52BE">
      <w:pPr>
        <w:pStyle w:val="16"/>
        <w:spacing w:line="360" w:lineRule="auto"/>
        <w:ind w:firstLine="420" w:firstLineChars="200"/>
        <w:textAlignment w:val="center"/>
        <w:rPr>
          <w:rFonts w:hAnsi="宋体" w:cs="宋体"/>
          <w:color w:val="auto"/>
          <w:kern w:val="2"/>
          <w:sz w:val="21"/>
          <w:highlight w:val="none"/>
        </w:rPr>
      </w:pPr>
    </w:p>
    <w:p w14:paraId="1B547790">
      <w:pPr>
        <w:pStyle w:val="16"/>
        <w:spacing w:line="360" w:lineRule="auto"/>
        <w:ind w:firstLine="420" w:firstLineChars="200"/>
        <w:textAlignment w:val="center"/>
        <w:rPr>
          <w:rFonts w:hAnsi="宋体" w:cs="宋体"/>
          <w:color w:val="auto"/>
          <w:kern w:val="2"/>
          <w:sz w:val="21"/>
          <w:highlight w:val="none"/>
        </w:rPr>
      </w:pPr>
    </w:p>
    <w:p w14:paraId="61EAE64A">
      <w:pPr>
        <w:rPr>
          <w:rFonts w:hAnsi="宋体" w:cs="宋体"/>
          <w:color w:val="auto"/>
          <w:highlight w:val="none"/>
        </w:rPr>
      </w:pPr>
    </w:p>
    <w:p w14:paraId="1D87440D">
      <w:pPr>
        <w:rPr>
          <w:rFonts w:hAnsi="宋体" w:cs="宋体"/>
          <w:color w:val="auto"/>
          <w:highlight w:val="none"/>
        </w:rPr>
      </w:pPr>
    </w:p>
    <w:p w14:paraId="5179B10F">
      <w:pPr>
        <w:rPr>
          <w:rFonts w:hAnsi="宋体" w:cs="宋体"/>
          <w:color w:val="auto"/>
          <w:highlight w:val="none"/>
        </w:rPr>
      </w:pPr>
    </w:p>
    <w:p w14:paraId="6899211E">
      <w:pPr>
        <w:rPr>
          <w:rFonts w:hAnsi="宋体" w:cs="宋体"/>
          <w:color w:val="auto"/>
          <w:highlight w:val="none"/>
        </w:rPr>
      </w:pPr>
    </w:p>
    <w:p w14:paraId="54C7D4CF">
      <w:pPr>
        <w:rPr>
          <w:rFonts w:hAnsi="宋体" w:cs="宋体"/>
          <w:color w:val="auto"/>
          <w:highlight w:val="none"/>
        </w:rPr>
      </w:pPr>
    </w:p>
    <w:p w14:paraId="20D796CF">
      <w:pPr>
        <w:rPr>
          <w:rFonts w:hAnsi="宋体" w:cs="宋体"/>
          <w:color w:val="auto"/>
          <w:highlight w:val="none"/>
        </w:rPr>
      </w:pPr>
    </w:p>
    <w:p w14:paraId="54E2622B">
      <w:pPr>
        <w:rPr>
          <w:rFonts w:hAnsi="宋体" w:cs="宋体"/>
          <w:color w:val="auto"/>
          <w:highlight w:val="none"/>
        </w:rPr>
      </w:pPr>
    </w:p>
    <w:p w14:paraId="74913D3C">
      <w:pPr>
        <w:rPr>
          <w:rFonts w:hAnsi="宋体" w:cs="宋体"/>
          <w:color w:val="auto"/>
          <w:highlight w:val="none"/>
        </w:rPr>
      </w:pPr>
    </w:p>
    <w:p w14:paraId="7B89311E">
      <w:pPr>
        <w:rPr>
          <w:rFonts w:hAnsi="宋体" w:cs="宋体"/>
          <w:color w:val="auto"/>
          <w:highlight w:val="none"/>
        </w:rPr>
      </w:pPr>
    </w:p>
    <w:p w14:paraId="2F5CB199">
      <w:pPr>
        <w:pStyle w:val="2"/>
        <w:jc w:val="center"/>
        <w:rPr>
          <w:color w:val="auto"/>
          <w:highlight w:val="none"/>
        </w:rPr>
      </w:pPr>
      <w:bookmarkStart w:id="98" w:name="_Toc74323458"/>
      <w:r>
        <w:rPr>
          <w:rFonts w:hint="eastAsia"/>
          <w:color w:val="auto"/>
          <w:highlight w:val="none"/>
        </w:rPr>
        <w:t>第三章 采购需求</w:t>
      </w:r>
      <w:bookmarkEnd w:id="98"/>
    </w:p>
    <w:p w14:paraId="41AE52B7">
      <w:pPr>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说明：</w:t>
      </w:r>
    </w:p>
    <w:p w14:paraId="7A27181B">
      <w:pPr>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1.为落实政府采购政策需满足的要求（根据项目实际情况填写内容）</w:t>
      </w:r>
    </w:p>
    <w:p w14:paraId="0D98029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（1））本招标文件所称中小企业必须符合《政府采购促进中小企业发展管理办法》（财库〔2020〕46号）、</w:t>
      </w:r>
      <w:r>
        <w:rPr>
          <w:rFonts w:hint="eastAsia"/>
          <w:color w:val="auto"/>
          <w:highlight w:val="none"/>
        </w:rPr>
        <w:t>《广西壮族自治区财政厅关于贯彻落实政府采购支持中小企业发展政策的通知》（桂财采〔2022〕31号）、《广西壮族自治区财政厅关于持续优化政府采购营商环境推动高质量发展的通知》（桂财采〔2024〕55号）</w:t>
      </w:r>
      <w:r>
        <w:rPr>
          <w:rFonts w:hint="eastAsia" w:ascii="宋体" w:hAnsi="宋体" w:cs="宋体"/>
          <w:color w:val="auto"/>
          <w:szCs w:val="21"/>
          <w:highlight w:val="none"/>
        </w:rPr>
        <w:t>的规定。</w:t>
      </w:r>
    </w:p>
    <w:p w14:paraId="0251EA06">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供应商的竞标货物必须使用政府强制采购的节能产品，供应商必须在响应文件中提供所竞标产品的节能产品认证证书复印件（加盖供应商电子公章），否则响应文件作无效处理。如本项目包含的货物属于品目清单内非标注“★”的产品时，应优先采购，具体详见“第四章 评标方法和评标标准”。</w:t>
      </w:r>
    </w:p>
    <w:p w14:paraId="7D19BF9D">
      <w:pPr>
        <w:spacing w:line="360" w:lineRule="auto"/>
        <w:ind w:firstLine="426" w:firstLineChars="202"/>
        <w:jc w:val="left"/>
        <w:rPr>
          <w:rFonts w:ascii="宋体" w:hAnsi="宋体" w:cs="宋体"/>
          <w:b/>
          <w:bCs/>
          <w:color w:val="auto"/>
          <w:szCs w:val="21"/>
          <w:highlight w:val="none"/>
        </w:rPr>
      </w:pPr>
      <w:r>
        <w:rPr>
          <w:rFonts w:hint="eastAsia" w:ascii="宋体" w:hAnsi="宋体" w:cs="宋体"/>
          <w:b/>
          <w:bCs/>
          <w:color w:val="auto"/>
          <w:szCs w:val="21"/>
          <w:highlight w:val="none"/>
        </w:rPr>
        <w:t>（3）根据《关于调整网络安全专用产品安全管理有关事项的公告》（国家互联网信息办公室工业和信息化部公安部财政部国家认证认可监督管理委员会公告2023年第1号)的规定，采购标的中包含列入《网络关键设备和网络安全专用产品目录》的网络安全专用产品，供应商应当按照《信息安全技术网络安全专用产品安全技术要求》等相关国家标准的强制性要求，提供由具备资格的机构安全认证合格或者安全检测符合要求证明材料（加盖供应商电子公章），否则响应无效。</w:t>
      </w:r>
    </w:p>
    <w:p w14:paraId="0872FFD5">
      <w:pPr>
        <w:spacing w:line="360" w:lineRule="auto"/>
        <w:ind w:firstLine="426" w:firstLineChars="202"/>
        <w:jc w:val="left"/>
        <w:rPr>
          <w:rFonts w:ascii="宋体" w:hAnsi="宋体" w:cs="宋体"/>
          <w:b/>
          <w:color w:val="auto"/>
          <w:szCs w:val="21"/>
          <w:highlight w:val="none"/>
        </w:rPr>
      </w:pPr>
      <w:r>
        <w:rPr>
          <w:rFonts w:hint="eastAsia" w:ascii="宋体" w:hAnsi="宋体" w:cs="宋体"/>
          <w:b/>
          <w:bCs/>
          <w:color w:val="auto"/>
          <w:szCs w:val="21"/>
          <w:highlight w:val="none"/>
        </w:rPr>
        <w:t>（4）依据国家市场监督管理总局《关于发布强制性产品认证且录描述与界定表的公告》(2023年第36号)中《强制性产品认证目录描述与界定表》(2023年修订)的界定，本项目采购范围包含强制性产品认证目录内产品的，根据《强制性产品认证管理规定》2009年7月3日国家质量监督检验检疫总局令第117号公布，根据2022年9月29日国家市场监督管理总局令第61号修订第十条：“列入目录产品的生产者或者销售者、进口商(以下统称认证委托人)应当委托经国家认监委指定的认证机构(以下简称认证机构)对其生产、销售或者进口的产品进行认证。”规定，生产厂家应当进行强制性认证，供应商必须在响应文件中提供强制性认证证书（加盖供应商电子公章），否则响应文件作无效处理。</w:t>
      </w:r>
    </w:p>
    <w:p w14:paraId="58E9E697">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2.“实质性要求”是指招标文件中已经指明不满足则响应无效的条款，或者不能负偏离的条款，或者采购需求中带“▲”的条款。</w:t>
      </w:r>
    </w:p>
    <w:p w14:paraId="2D3B8CDC">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3.不需要供应商对采购需求响应为具体数值的，此采购需求的数值后将以◆号标注。</w:t>
      </w:r>
    </w:p>
    <w:p w14:paraId="2A334008">
      <w:pPr>
        <w:spacing w:line="360" w:lineRule="auto"/>
        <w:ind w:firstLine="424" w:firstLineChars="202"/>
        <w:jc w:val="left"/>
        <w:rPr>
          <w:color w:val="auto"/>
          <w:highlight w:val="none"/>
        </w:rPr>
      </w:pPr>
      <w:r>
        <w:rPr>
          <w:rFonts w:hint="eastAsia" w:ascii="宋体" w:hAnsi="宋体" w:cs="宋体"/>
          <w:color w:val="auto"/>
          <w:highlight w:val="none"/>
        </w:rPr>
        <w:t>4.如供应商竞标产品存在侵犯他人的知识产权或者专利成果行为的，应承担相应法律责任。</w:t>
      </w:r>
    </w:p>
    <w:p w14:paraId="284818D3">
      <w:pPr>
        <w:spacing w:line="360" w:lineRule="auto"/>
        <w:ind w:firstLine="310" w:firstLineChars="147"/>
        <w:jc w:val="left"/>
        <w:rPr>
          <w:rFonts w:ascii="宋体" w:hAnsi="宋体"/>
          <w:b/>
          <w:color w:val="auto"/>
          <w:szCs w:val="21"/>
          <w:highlight w:val="none"/>
        </w:rPr>
      </w:pPr>
      <w:r>
        <w:rPr>
          <w:rFonts w:hint="eastAsia" w:ascii="宋体" w:hAnsi="宋体"/>
          <w:b/>
          <w:color w:val="auto"/>
          <w:szCs w:val="21"/>
          <w:highlight w:val="none"/>
        </w:rPr>
        <w:t>5.采购预算：¥2769800.00元</w:t>
      </w:r>
    </w:p>
    <w:tbl>
      <w:tblPr>
        <w:tblStyle w:val="27"/>
        <w:tblW w:w="95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11"/>
        <w:gridCol w:w="962"/>
        <w:gridCol w:w="913"/>
        <w:gridCol w:w="58"/>
        <w:gridCol w:w="853"/>
        <w:gridCol w:w="6124"/>
      </w:tblGrid>
      <w:tr w14:paraId="79F9F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11" w:type="dxa"/>
            <w:vAlign w:val="center"/>
          </w:tcPr>
          <w:p w14:paraId="40A86DD2">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962" w:type="dxa"/>
            <w:vAlign w:val="center"/>
          </w:tcPr>
          <w:p w14:paraId="48781744">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服务名称</w:t>
            </w:r>
          </w:p>
        </w:tc>
        <w:tc>
          <w:tcPr>
            <w:tcW w:w="913" w:type="dxa"/>
            <w:vAlign w:val="center"/>
          </w:tcPr>
          <w:p w14:paraId="38C248E4">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数量及单位</w:t>
            </w:r>
          </w:p>
        </w:tc>
        <w:tc>
          <w:tcPr>
            <w:tcW w:w="911" w:type="dxa"/>
            <w:gridSpan w:val="2"/>
            <w:vAlign w:val="center"/>
          </w:tcPr>
          <w:p w14:paraId="44D03FA4">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所属</w:t>
            </w:r>
          </w:p>
          <w:p w14:paraId="7E9CA6E2">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行业</w:t>
            </w:r>
          </w:p>
        </w:tc>
        <w:tc>
          <w:tcPr>
            <w:tcW w:w="6124" w:type="dxa"/>
            <w:vAlign w:val="center"/>
          </w:tcPr>
          <w:p w14:paraId="2DC9AB8F">
            <w:pPr>
              <w:snapToGrid w:val="0"/>
              <w:spacing w:line="360" w:lineRule="auto"/>
              <w:jc w:val="center"/>
              <w:rPr>
                <w:rFonts w:ascii="宋体" w:hAnsi="宋体"/>
                <w:color w:val="auto"/>
                <w:szCs w:val="21"/>
                <w:highlight w:val="none"/>
              </w:rPr>
            </w:pPr>
            <w:r>
              <w:rPr>
                <w:rFonts w:hint="eastAsia" w:ascii="宋体" w:hAnsi="宋体"/>
                <w:color w:val="auto"/>
                <w:highlight w:val="none"/>
              </w:rPr>
              <w:t>技术要求（服务要求）</w:t>
            </w:r>
          </w:p>
        </w:tc>
      </w:tr>
      <w:tr w14:paraId="70F07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11" w:type="dxa"/>
            <w:vAlign w:val="center"/>
          </w:tcPr>
          <w:p w14:paraId="349D6B98">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1</w:t>
            </w:r>
          </w:p>
        </w:tc>
        <w:tc>
          <w:tcPr>
            <w:tcW w:w="962" w:type="dxa"/>
            <w:vAlign w:val="center"/>
          </w:tcPr>
          <w:p w14:paraId="4628FD97">
            <w:pPr>
              <w:tabs>
                <w:tab w:val="left" w:pos="180"/>
                <w:tab w:val="left" w:pos="1620"/>
              </w:tabs>
              <w:spacing w:line="440" w:lineRule="exact"/>
              <w:jc w:val="center"/>
              <w:rPr>
                <w:rFonts w:ascii="宋体" w:hAnsi="宋体"/>
                <w:color w:val="auto"/>
                <w:szCs w:val="21"/>
                <w:highlight w:val="none"/>
              </w:rPr>
            </w:pPr>
            <w:r>
              <w:rPr>
                <w:rFonts w:hint="eastAsia" w:ascii="宋体" w:hAnsi="宋体" w:cs="宋体"/>
                <w:color w:val="auto"/>
                <w:szCs w:val="21"/>
                <w:highlight w:val="none"/>
              </w:rPr>
              <w:t>广西国土空间规划实施监测网络建设试点项目</w:t>
            </w:r>
          </w:p>
        </w:tc>
        <w:tc>
          <w:tcPr>
            <w:tcW w:w="913" w:type="dxa"/>
            <w:vAlign w:val="center"/>
          </w:tcPr>
          <w:p w14:paraId="7CD5A639">
            <w:pPr>
              <w:tabs>
                <w:tab w:val="left" w:pos="180"/>
                <w:tab w:val="left" w:pos="1620"/>
              </w:tabs>
              <w:spacing w:line="440" w:lineRule="exact"/>
              <w:jc w:val="center"/>
              <w:rPr>
                <w:rFonts w:ascii="宋体" w:hAnsi="宋体"/>
                <w:color w:val="auto"/>
                <w:szCs w:val="21"/>
                <w:highlight w:val="none"/>
              </w:rPr>
            </w:pPr>
            <w:r>
              <w:rPr>
                <w:rFonts w:hint="eastAsia" w:ascii="宋体" w:hAnsi="宋体" w:cs="宋体"/>
                <w:color w:val="auto"/>
                <w:highlight w:val="none"/>
              </w:rPr>
              <w:t>1项</w:t>
            </w:r>
          </w:p>
        </w:tc>
        <w:tc>
          <w:tcPr>
            <w:tcW w:w="911" w:type="dxa"/>
            <w:gridSpan w:val="2"/>
            <w:vAlign w:val="center"/>
          </w:tcPr>
          <w:p w14:paraId="42CD0F94">
            <w:pPr>
              <w:tabs>
                <w:tab w:val="left" w:pos="180"/>
                <w:tab w:val="left" w:pos="1620"/>
              </w:tabs>
              <w:spacing w:line="440" w:lineRule="exact"/>
              <w:jc w:val="center"/>
              <w:rPr>
                <w:rFonts w:ascii="宋体" w:hAnsi="宋体" w:cs="宋体"/>
                <w:color w:val="auto"/>
                <w:highlight w:val="none"/>
              </w:rPr>
            </w:pPr>
            <w:r>
              <w:rPr>
                <w:rFonts w:hint="eastAsia" w:ascii="宋体" w:hAnsi="宋体" w:cs="宋体"/>
                <w:color w:val="auto"/>
                <w:highlight w:val="none"/>
              </w:rPr>
              <w:t>软件和信息技术服务业</w:t>
            </w:r>
          </w:p>
        </w:tc>
        <w:tc>
          <w:tcPr>
            <w:tcW w:w="6124" w:type="dxa"/>
            <w:vAlign w:val="center"/>
          </w:tcPr>
          <w:p w14:paraId="5513F8FD">
            <w:pPr>
              <w:spacing w:line="360" w:lineRule="auto"/>
              <w:ind w:firstLine="422" w:firstLineChars="200"/>
              <w:rPr>
                <w:rFonts w:ascii="Calibri" w:hAnsi="Calibri"/>
                <w:b/>
                <w:bCs/>
                <w:color w:val="auto"/>
                <w:highlight w:val="none"/>
              </w:rPr>
            </w:pPr>
            <w:r>
              <w:rPr>
                <w:rFonts w:hint="eastAsia" w:ascii="Calibri" w:hAnsi="Calibri"/>
                <w:b/>
                <w:bCs/>
                <w:color w:val="auto"/>
                <w:highlight w:val="none"/>
              </w:rPr>
              <w:t>一、建设需求</w:t>
            </w:r>
          </w:p>
          <w:p w14:paraId="7A9C572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按照《自然资源部办公厅关于部署开展国土空间规划实施监测网络建设试点的通知》（自然资办函〔2023〕2432号）、《自然资源部办公厅关于印发〈全国国土空间规划实施监测网络(CSPON)联合攻关重点科研任务清单〉的函》（自然资办〔2024〕1916号）和《广西壮族自治区自然资源厅办公室关于印发〈广西国土空间规划实施监测网络建设试点工作方案〉的通知》（桂自然资办〔2024】97号）的有关要求，统筹推进广西国土空间规划实施监测网络建设试点各项任务。</w:t>
            </w:r>
          </w:p>
          <w:p w14:paraId="5389830A">
            <w:pPr>
              <w:spacing w:line="360" w:lineRule="auto"/>
              <w:ind w:firstLine="422" w:firstLineChars="200"/>
              <w:rPr>
                <w:rFonts w:ascii="宋体" w:hAnsi="宋体" w:cs="宋体"/>
                <w:color w:val="auto"/>
                <w:highlight w:val="none"/>
              </w:rPr>
            </w:pPr>
            <w:r>
              <w:rPr>
                <w:rFonts w:hint="eastAsia" w:ascii="Calibri" w:hAnsi="Calibri"/>
                <w:b/>
                <w:bCs/>
                <w:color w:val="auto"/>
                <w:highlight w:val="none"/>
              </w:rPr>
              <w:t>二、主要内容</w:t>
            </w:r>
          </w:p>
          <w:p w14:paraId="0DD8934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1.国土空间安全底线管控的应用场景建设</w:t>
            </w:r>
          </w:p>
          <w:p w14:paraId="5A97A7B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围绕耕地保护、生态安全、城镇建设等自然资源领域重点关注问题，根据耕地和永久基本农田、生态空间和生态保护红线、城镇开发边界以及城镇建设用地等的相应管控要求开展2020-202</w:t>
            </w:r>
            <w:r>
              <w:rPr>
                <w:rFonts w:hint="eastAsia" w:ascii="宋体" w:hAnsi="宋体"/>
                <w:color w:val="auto"/>
                <w:szCs w:val="21"/>
                <w:highlight w:val="none"/>
                <w:lang w:val="en-US" w:eastAsia="zh-CN"/>
              </w:rPr>
              <w:t>6</w:t>
            </w:r>
            <w:r>
              <w:rPr>
                <w:rFonts w:hint="eastAsia" w:ascii="宋体" w:hAnsi="宋体"/>
                <w:color w:val="auto"/>
                <w:szCs w:val="21"/>
                <w:highlight w:val="none"/>
              </w:rPr>
              <w:t>年监测评估预警，筑牢国土空间安全底线。</w:t>
            </w:r>
          </w:p>
          <w:p w14:paraId="15B61F8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具体包括数据收集与整理、耕地和永久基本农田保护、生态保护红线、城镇发展和城镇开发边界三大监测的总体设计以及“监测-预警-评估”的指标库和模型库构建、数据库建设、评估模型建设说明文档编制、年度总结报告编制。</w:t>
            </w:r>
          </w:p>
          <w:p w14:paraId="2CEF11D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2.支撑现代化产业体系的应用场景建设</w:t>
            </w:r>
          </w:p>
          <w:p w14:paraId="74D4E29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研发智能选址分析模型工具助力项目选址，开展重点产业园区(沿边临港产业园)规划实施监测，重点针对产业园区国土空间开发利用状况，围绕用地规模、用地效率、空间品质等情况开展监测评估。为优化自然资源要素供给与配置，引导产业科学合理布局，促进产业绿色化、智能化发展提供支撑。</w:t>
            </w:r>
          </w:p>
          <w:p w14:paraId="79F893E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具体包括数据收集与整理、产业园区国土空间开发利用状况和空间品质监测的总体设计以及“监测-预警-评估”的指标库和模型库构建、数据库建设、评估模型建设说明文档编制、年度总结报告编制。其中，监测频率均为按年度监测(每年1次)。</w:t>
            </w:r>
          </w:p>
          <w:p w14:paraId="0B5DD59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3.区域协调发展的应用场景建设</w:t>
            </w:r>
          </w:p>
          <w:p w14:paraId="5155B11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深化自治区重大战略区域、重要领域和重大工程监测。围绕北部湾经济区、西部陆海新通道建设(平陆运河沿线)等重点区域，监测区域自然资源演变、区域协同发展、重大项目建设、自然资源要素保障、国土空间格局变化等情况，提升自然资源要素精准配置能力，支撑区域高质量发展。</w:t>
            </w:r>
          </w:p>
          <w:p w14:paraId="22FCD8F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具体包括数据收集与整理、重大项目规划建设全生命周期实施“监测-预警”的指标库和模型库构建、平陆运河沿线等区域重大项目批后实施“监测-预警”的指标库和模型库构建、平陆运河沿线等区域城镇空间格局“监测-评估”的指标库和评估模型库构建、数据库建设、评估模型建设说明文档编制、城镇内部格局“监测-评估”的指标库和评估模型构建，数据库建设、评估模型建设说明文档编制、年度总结报告编制。</w:t>
            </w:r>
          </w:p>
          <w:p w14:paraId="4CCFB5CA">
            <w:pPr>
              <w:spacing w:line="360" w:lineRule="auto"/>
              <w:ind w:firstLine="420" w:firstLineChars="200"/>
              <w:rPr>
                <w:rFonts w:ascii="宋体" w:hAnsi="宋体"/>
                <w:color w:val="auto"/>
                <w:szCs w:val="21"/>
                <w:highlight w:val="none"/>
                <w:lang w:val="en"/>
              </w:rPr>
            </w:pPr>
            <w:r>
              <w:rPr>
                <w:rFonts w:hint="eastAsia" w:ascii="宋体" w:hAnsi="宋体"/>
                <w:color w:val="auto"/>
                <w:szCs w:val="21"/>
                <w:highlight w:val="none"/>
              </w:rPr>
              <w:t>4.村庄规划赋能乡村振兴实施的应用场景建设</w:t>
            </w:r>
          </w:p>
          <w:p w14:paraId="43D8776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升级完善规划调研APP和村庄规划编制系统，结合应用需求拓展乡村振兴相关项目智能选址、村庄规划全流程管理等功能，提升村庄规划公众服务水平，助力打造宜居宜业和美乡村。</w:t>
            </w:r>
          </w:p>
          <w:p w14:paraId="4599EA1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具体包括场景总体设计、监测评估指标库构建、监测信息提取和评估分析、数据库建设和年度总结报告编制。</w:t>
            </w:r>
          </w:p>
          <w:p w14:paraId="7A757B4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5.政策标准建设</w:t>
            </w:r>
          </w:p>
          <w:p w14:paraId="3A3ED1D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（1）国土空间规划数据治理规范研究</w:t>
            </w:r>
          </w:p>
          <w:p w14:paraId="55DB513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面向国土空间规划实施监测网络数据应用与治理需求，梳理现状数据，明确数据治理目标，研究制定国土空间规划数据治理规范。明确国土空间规划数据治理规范适用范围，提出数据治理框架、数据治理顶层设计、数据治理环境要求、数据治理过程指引与要求等。</w:t>
            </w:r>
          </w:p>
          <w:p w14:paraId="3DEAD77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（2）国土空间规划实施监测评估预警指标与模型规范研究</w:t>
            </w:r>
          </w:p>
          <w:p w14:paraId="5193AB8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面向国土空间规划实施监测网络监测评估指标体系和智能模型建设管理与服务需求，研究制定国土空间规划实施监测评估预警指标与模型规范，明确国土空间规划实施监测指标体系、智能模型体系建设技术指引与应用服务要求。</w:t>
            </w:r>
          </w:p>
          <w:p w14:paraId="3709BBF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（3）国土空间规划实施监测数据产品质量检查规范研究</w:t>
            </w:r>
          </w:p>
          <w:p w14:paraId="0BCC7D8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面向国土空间规划实施监测成果数据，研究制定一套全面且具有针对性的数据质量检查指标和技术流程，明确检查和验收的质量控制制度，形成操作性强、科学合理的产品质量检查规范。</w:t>
            </w:r>
          </w:p>
          <w:p w14:paraId="269C5776">
            <w:pPr>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三、成果清单</w:t>
            </w:r>
          </w:p>
          <w:p w14:paraId="1C21F69A">
            <w:pPr>
              <w:spacing w:line="360" w:lineRule="auto"/>
              <w:ind w:firstLine="420" w:firstLineChars="200"/>
              <w:rPr>
                <w:rFonts w:ascii="宋体" w:hAnsi="宋体"/>
                <w:color w:val="auto"/>
                <w:szCs w:val="21"/>
                <w:highlight w:val="none"/>
              </w:rPr>
            </w:pPr>
            <w:bookmarkStart w:id="99" w:name="OLE_LINK13"/>
            <w:r>
              <w:rPr>
                <w:rFonts w:hint="eastAsia" w:ascii="宋体" w:hAnsi="宋体"/>
                <w:color w:val="auto"/>
                <w:szCs w:val="21"/>
                <w:highlight w:val="none"/>
              </w:rPr>
              <w:t>1.完成</w:t>
            </w:r>
            <w:bookmarkStart w:id="100" w:name="OLE_LINK7"/>
            <w:r>
              <w:rPr>
                <w:rFonts w:hint="eastAsia" w:ascii="宋体" w:hAnsi="宋体"/>
                <w:color w:val="auto"/>
                <w:szCs w:val="21"/>
                <w:highlight w:val="none"/>
              </w:rPr>
              <w:t>2020-202</w:t>
            </w:r>
            <w:r>
              <w:rPr>
                <w:rFonts w:hint="eastAsia" w:ascii="宋体" w:hAnsi="宋体"/>
                <w:color w:val="auto"/>
                <w:szCs w:val="21"/>
                <w:highlight w:val="none"/>
                <w:lang w:val="en-US" w:eastAsia="zh-CN"/>
              </w:rPr>
              <w:t>6</w:t>
            </w:r>
            <w:r>
              <w:rPr>
                <w:rFonts w:hint="eastAsia" w:ascii="宋体" w:hAnsi="宋体"/>
                <w:color w:val="auto"/>
                <w:szCs w:val="21"/>
                <w:highlight w:val="none"/>
              </w:rPr>
              <w:t>年国土空间安全底线管控、支撑现代化产业体系、区域协调发展（包括西部陆海新通道(平陆运河沿线)）和村庄规划赋能乡村振兴</w:t>
            </w:r>
            <w:bookmarkStart w:id="101" w:name="OLE_LINK9"/>
            <w:r>
              <w:rPr>
                <w:rFonts w:hint="eastAsia" w:ascii="宋体" w:hAnsi="宋体"/>
                <w:color w:val="auto"/>
                <w:szCs w:val="21"/>
                <w:highlight w:val="none"/>
              </w:rPr>
              <w:t>四个场景的规划实施监测，提交每个场景的工作总结报告</w:t>
            </w:r>
            <w:bookmarkEnd w:id="101"/>
            <w:r>
              <w:rPr>
                <w:rFonts w:hint="eastAsia" w:ascii="宋体" w:hAnsi="宋体"/>
                <w:color w:val="auto"/>
                <w:szCs w:val="21"/>
                <w:highlight w:val="none"/>
              </w:rPr>
              <w:t>。</w:t>
            </w:r>
            <w:bookmarkEnd w:id="100"/>
          </w:p>
          <w:p w14:paraId="49D12BB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2.制定三个规范:</w:t>
            </w:r>
          </w:p>
          <w:p w14:paraId="64736A9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①国土空间规划数据治理规范</w:t>
            </w:r>
          </w:p>
          <w:p w14:paraId="3F97589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②数据产品质量检查规范</w:t>
            </w:r>
          </w:p>
          <w:p w14:paraId="40D356A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③国土空间规划实施监测评估预警指标与模型规范</w:t>
            </w:r>
          </w:p>
          <w:bookmarkEnd w:id="99"/>
          <w:p w14:paraId="2F93C8E9">
            <w:pPr>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四、技术要求</w:t>
            </w:r>
          </w:p>
          <w:p w14:paraId="074674F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1.数据安全要求：符合国家及行业相关安全保密规定。</w:t>
            </w:r>
          </w:p>
          <w:p w14:paraId="174B390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2.成果提交要求</w:t>
            </w:r>
          </w:p>
          <w:p w14:paraId="56377FD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（1）提交所有场景规划实施监测内容和展示页面。</w:t>
            </w:r>
          </w:p>
          <w:p w14:paraId="44880B1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（2）提交相关的文档材料包括但不限于：每个场景的工作总结报告、指标库，以及国土空间规划数据治理规范、数据产品质量检查规范、国土空间规划实施监测评估预警指标与模型规范文件等。</w:t>
            </w:r>
          </w:p>
          <w:p w14:paraId="41D38BC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（3）提交的矢量文件包括但不限于：各个场景的数据库、模型库等。</w:t>
            </w:r>
          </w:p>
          <w:p w14:paraId="5EDF7D1F">
            <w:pPr>
              <w:spacing w:line="360" w:lineRule="auto"/>
              <w:ind w:firstLine="420" w:firstLineChars="200"/>
              <w:rPr>
                <w:rFonts w:ascii="宋体" w:hAnsi="宋体" w:cs="宋体"/>
                <w:bCs/>
                <w:color w:val="auto"/>
                <w:szCs w:val="21"/>
                <w:highlight w:val="none"/>
              </w:rPr>
            </w:pPr>
            <w:r>
              <w:rPr>
                <w:rFonts w:hint="eastAsia" w:ascii="宋体" w:hAnsi="宋体"/>
                <w:color w:val="auto"/>
                <w:szCs w:val="21"/>
                <w:highlight w:val="none"/>
              </w:rPr>
              <w:t>（4）提交所有场景的“监测-预警-评估”模型工具。</w:t>
            </w:r>
          </w:p>
        </w:tc>
      </w:tr>
      <w:tr w14:paraId="11164F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521" w:type="dxa"/>
            <w:gridSpan w:val="6"/>
            <w:tcBorders>
              <w:top w:val="single" w:color="auto" w:sz="4" w:space="0"/>
              <w:left w:val="single" w:color="auto" w:sz="4" w:space="0"/>
              <w:bottom w:val="single" w:color="auto" w:sz="4" w:space="0"/>
              <w:right w:val="single" w:color="auto" w:sz="4" w:space="0"/>
            </w:tcBorders>
          </w:tcPr>
          <w:p w14:paraId="16D066AA">
            <w:pPr>
              <w:pStyle w:val="16"/>
              <w:snapToGrid w:val="0"/>
              <w:spacing w:line="400" w:lineRule="exact"/>
              <w:outlineLvl w:val="0"/>
              <w:rPr>
                <w:rFonts w:hAnsi="宋体"/>
                <w:color w:val="auto"/>
                <w:sz w:val="21"/>
                <w:highlight w:val="none"/>
              </w:rPr>
            </w:pPr>
            <w:r>
              <w:rPr>
                <w:rFonts w:hint="eastAsia" w:hAnsi="宋体"/>
                <w:color w:val="auto"/>
                <w:sz w:val="21"/>
                <w:highlight w:val="none"/>
              </w:rPr>
              <w:t>商务要求</w:t>
            </w:r>
          </w:p>
        </w:tc>
      </w:tr>
      <w:tr w14:paraId="7D8C7D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2544" w:type="dxa"/>
            <w:gridSpan w:val="4"/>
            <w:tcBorders>
              <w:top w:val="single" w:color="auto" w:sz="4" w:space="0"/>
              <w:left w:val="single" w:color="auto" w:sz="4" w:space="0"/>
              <w:bottom w:val="single" w:color="auto" w:sz="4" w:space="0"/>
              <w:right w:val="single" w:color="auto" w:sz="4" w:space="0"/>
            </w:tcBorders>
            <w:vAlign w:val="center"/>
          </w:tcPr>
          <w:p w14:paraId="54478757">
            <w:pPr>
              <w:spacing w:line="360" w:lineRule="auto"/>
              <w:jc w:val="center"/>
              <w:rPr>
                <w:rFonts w:ascii="宋体" w:hAnsi="宋体"/>
                <w:b/>
                <w:color w:val="auto"/>
                <w:szCs w:val="21"/>
                <w:highlight w:val="none"/>
              </w:rPr>
            </w:pPr>
            <w:r>
              <w:rPr>
                <w:rFonts w:hint="eastAsia" w:ascii="宋体" w:hAnsi="宋体"/>
                <w:color w:val="auto"/>
                <w:szCs w:val="21"/>
                <w:highlight w:val="none"/>
              </w:rPr>
              <w:t>签订合同期</w:t>
            </w:r>
          </w:p>
        </w:tc>
        <w:tc>
          <w:tcPr>
            <w:tcW w:w="6977" w:type="dxa"/>
            <w:gridSpan w:val="2"/>
            <w:tcBorders>
              <w:top w:val="single" w:color="auto" w:sz="4" w:space="0"/>
              <w:left w:val="single" w:color="auto" w:sz="4" w:space="0"/>
              <w:bottom w:val="single" w:color="auto" w:sz="4" w:space="0"/>
              <w:right w:val="single" w:color="auto" w:sz="4" w:space="0"/>
            </w:tcBorders>
            <w:vAlign w:val="center"/>
          </w:tcPr>
          <w:p w14:paraId="0AB8E2DE">
            <w:pPr>
              <w:spacing w:line="360" w:lineRule="auto"/>
              <w:rPr>
                <w:rFonts w:ascii="宋体" w:hAnsi="宋体"/>
                <w:b/>
                <w:color w:val="auto"/>
                <w:szCs w:val="21"/>
                <w:highlight w:val="none"/>
              </w:rPr>
            </w:pPr>
            <w:r>
              <w:rPr>
                <w:rFonts w:hint="eastAsia" w:ascii="宋体" w:hAnsi="宋体"/>
                <w:color w:val="auto"/>
                <w:szCs w:val="21"/>
                <w:highlight w:val="none"/>
              </w:rPr>
              <w:t>签订合同期：自成交通知书发出之日起25日内。</w:t>
            </w:r>
          </w:p>
        </w:tc>
      </w:tr>
      <w:tr w14:paraId="645D76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2544" w:type="dxa"/>
            <w:gridSpan w:val="4"/>
            <w:tcBorders>
              <w:top w:val="single" w:color="auto" w:sz="4" w:space="0"/>
              <w:left w:val="single" w:color="auto" w:sz="4" w:space="0"/>
              <w:bottom w:val="single" w:color="auto" w:sz="4" w:space="0"/>
              <w:right w:val="single" w:color="auto" w:sz="4" w:space="0"/>
            </w:tcBorders>
            <w:vAlign w:val="center"/>
          </w:tcPr>
          <w:p w14:paraId="4A8C787D">
            <w:pPr>
              <w:spacing w:line="360" w:lineRule="auto"/>
              <w:jc w:val="center"/>
              <w:rPr>
                <w:rFonts w:ascii="宋体" w:hAnsi="宋体"/>
                <w:color w:val="auto"/>
                <w:szCs w:val="21"/>
                <w:highlight w:val="none"/>
              </w:rPr>
            </w:pPr>
            <w:r>
              <w:rPr>
                <w:rFonts w:hint="eastAsia" w:ascii="宋体" w:hAnsi="宋体" w:cs="宋体"/>
                <w:color w:val="auto"/>
                <w:highlight w:val="none"/>
              </w:rPr>
              <w:t>▲磋商报价要求</w:t>
            </w:r>
          </w:p>
        </w:tc>
        <w:tc>
          <w:tcPr>
            <w:tcW w:w="6977" w:type="dxa"/>
            <w:gridSpan w:val="2"/>
            <w:tcBorders>
              <w:top w:val="single" w:color="auto" w:sz="4" w:space="0"/>
              <w:left w:val="single" w:color="auto" w:sz="4" w:space="0"/>
              <w:bottom w:val="single" w:color="auto" w:sz="4" w:space="0"/>
              <w:right w:val="single" w:color="auto" w:sz="4" w:space="0"/>
            </w:tcBorders>
            <w:vAlign w:val="center"/>
          </w:tcPr>
          <w:p w14:paraId="6E3EF2E7">
            <w:pPr>
              <w:spacing w:line="360" w:lineRule="auto"/>
              <w:rPr>
                <w:rFonts w:ascii="宋体" w:hAnsi="宋体"/>
                <w:color w:val="auto"/>
                <w:szCs w:val="21"/>
                <w:highlight w:val="none"/>
              </w:rPr>
            </w:pPr>
            <w:r>
              <w:rPr>
                <w:rFonts w:hint="eastAsia" w:ascii="宋体" w:hAnsi="宋体" w:cs="宋体"/>
                <w:color w:val="auto"/>
                <w:highlight w:val="none"/>
              </w:rPr>
              <w:t>本项目实行总承包报价；包含服务采购、实施、验收等各种费用和售后服务、税金及其它所有成本费用的总和。采购人不另支付任何费用。</w:t>
            </w:r>
          </w:p>
        </w:tc>
      </w:tr>
      <w:tr w14:paraId="0EF192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2544" w:type="dxa"/>
            <w:gridSpan w:val="4"/>
            <w:tcBorders>
              <w:top w:val="single" w:color="auto" w:sz="4" w:space="0"/>
              <w:left w:val="single" w:color="auto" w:sz="4" w:space="0"/>
              <w:bottom w:val="single" w:color="auto" w:sz="4" w:space="0"/>
              <w:right w:val="single" w:color="auto" w:sz="4" w:space="0"/>
            </w:tcBorders>
            <w:vAlign w:val="center"/>
          </w:tcPr>
          <w:p w14:paraId="0DD75CA7">
            <w:pPr>
              <w:spacing w:line="360" w:lineRule="auto"/>
              <w:jc w:val="center"/>
              <w:rPr>
                <w:rFonts w:ascii="宋体" w:hAnsi="宋体"/>
                <w:color w:val="auto"/>
                <w:szCs w:val="21"/>
                <w:highlight w:val="none"/>
              </w:rPr>
            </w:pPr>
            <w:r>
              <w:rPr>
                <w:rFonts w:hint="eastAsia" w:ascii="宋体" w:hAnsi="宋体" w:cs="宋体"/>
                <w:color w:val="auto"/>
                <w:highlight w:val="none"/>
              </w:rPr>
              <w:t>▲提交服务成果时间及地点</w:t>
            </w:r>
          </w:p>
        </w:tc>
        <w:tc>
          <w:tcPr>
            <w:tcW w:w="6977" w:type="dxa"/>
            <w:gridSpan w:val="2"/>
            <w:tcBorders>
              <w:top w:val="single" w:color="auto" w:sz="4" w:space="0"/>
              <w:left w:val="single" w:color="auto" w:sz="4" w:space="0"/>
              <w:bottom w:val="single" w:color="auto" w:sz="4" w:space="0"/>
              <w:right w:val="single" w:color="auto" w:sz="4" w:space="0"/>
            </w:tcBorders>
            <w:vAlign w:val="center"/>
          </w:tcPr>
          <w:p w14:paraId="344994CC">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1、提交服务成果时间：2026年12月30日前完成。</w:t>
            </w:r>
          </w:p>
          <w:p w14:paraId="0DBC3F81">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rPr>
              <w:t>2、地点：广西南宁市内采购人指定地点。</w:t>
            </w:r>
          </w:p>
        </w:tc>
      </w:tr>
      <w:tr w14:paraId="24A82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544" w:type="dxa"/>
            <w:gridSpan w:val="4"/>
            <w:vAlign w:val="center"/>
          </w:tcPr>
          <w:p w14:paraId="3EE840D1">
            <w:pPr>
              <w:spacing w:line="360" w:lineRule="auto"/>
              <w:jc w:val="center"/>
              <w:rPr>
                <w:rFonts w:ascii="宋体" w:hAnsi="宋体" w:cs="Calibri Light"/>
                <w:color w:val="auto"/>
                <w:szCs w:val="21"/>
                <w:highlight w:val="none"/>
              </w:rPr>
            </w:pPr>
            <w:r>
              <w:rPr>
                <w:rFonts w:hint="eastAsia" w:ascii="宋体" w:hAnsi="宋体" w:cs="宋体"/>
                <w:color w:val="auto"/>
                <w:highlight w:val="none"/>
              </w:rPr>
              <w:t>▲付款方式</w:t>
            </w:r>
          </w:p>
        </w:tc>
        <w:tc>
          <w:tcPr>
            <w:tcW w:w="6977" w:type="dxa"/>
            <w:gridSpan w:val="2"/>
            <w:vAlign w:val="center"/>
          </w:tcPr>
          <w:p w14:paraId="5703A934">
            <w:pPr>
              <w:spacing w:line="360" w:lineRule="auto"/>
              <w:rPr>
                <w:rFonts w:asciiTheme="minorEastAsia" w:hAnsiTheme="minorEastAsia" w:eastAsiaTheme="minorEastAsia" w:cstheme="minorEastAsia"/>
                <w:color w:val="auto"/>
                <w:highlight w:val="none"/>
              </w:rPr>
            </w:pPr>
            <w:bookmarkStart w:id="102" w:name="OLE_LINK17"/>
            <w:bookmarkStart w:id="103" w:name="OLE_LINK8"/>
            <w:bookmarkStart w:id="104" w:name="OLE_LINK12"/>
            <w:bookmarkStart w:id="105" w:name="OLE_LINK10"/>
            <w:r>
              <w:rPr>
                <w:rFonts w:hint="eastAsia" w:asciiTheme="minorEastAsia" w:hAnsiTheme="minorEastAsia" w:eastAsiaTheme="minorEastAsia" w:cstheme="minorEastAsia"/>
                <w:color w:val="auto"/>
                <w:highlight w:val="none"/>
              </w:rPr>
              <w:t>（1）在合同签订之日起10个工作日</w:t>
            </w:r>
            <w:bookmarkStart w:id="106" w:name="OLE_LINK18"/>
            <w:bookmarkStart w:id="107" w:name="OLE_LINK15"/>
            <w:r>
              <w:rPr>
                <w:rFonts w:hint="eastAsia" w:asciiTheme="minorEastAsia" w:hAnsiTheme="minorEastAsia" w:eastAsiaTheme="minorEastAsia" w:cstheme="minorEastAsia"/>
                <w:color w:val="auto"/>
                <w:highlight w:val="none"/>
              </w:rPr>
              <w:t>采购人</w:t>
            </w:r>
            <w:bookmarkEnd w:id="106"/>
            <w:bookmarkEnd w:id="107"/>
            <w:r>
              <w:rPr>
                <w:rFonts w:hint="eastAsia" w:asciiTheme="minorEastAsia" w:hAnsiTheme="minorEastAsia" w:eastAsiaTheme="minorEastAsia" w:cstheme="minorEastAsia"/>
                <w:color w:val="auto"/>
                <w:highlight w:val="none"/>
              </w:rPr>
              <w:t>向成交人支付合同总额的30%作为项目启动经费。</w:t>
            </w:r>
          </w:p>
          <w:p w14:paraId="21922B74">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（2）成交人按合同要求完成总工作量的60%（即完成四个场景的规划实施监测和三个规范阶段性成果）并提交采购人验收确认后，采购人在10个工作日内支付合同总额的30%给</w:t>
            </w:r>
            <w:bookmarkStart w:id="108" w:name="OLE_LINK14"/>
            <w:r>
              <w:rPr>
                <w:rFonts w:hint="eastAsia" w:asciiTheme="minorEastAsia" w:hAnsiTheme="minorEastAsia" w:eastAsiaTheme="minorEastAsia" w:cstheme="minorEastAsia"/>
                <w:color w:val="auto"/>
                <w:highlight w:val="none"/>
              </w:rPr>
              <w:t>成交人</w:t>
            </w:r>
            <w:bookmarkEnd w:id="108"/>
            <w:r>
              <w:rPr>
                <w:rFonts w:hint="eastAsia" w:asciiTheme="minorEastAsia" w:hAnsiTheme="minorEastAsia" w:eastAsiaTheme="minorEastAsia" w:cstheme="minorEastAsia"/>
                <w:color w:val="auto"/>
                <w:highlight w:val="none"/>
              </w:rPr>
              <w:t>；</w:t>
            </w:r>
          </w:p>
          <w:p w14:paraId="3D489EBD">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（3）成交人按合同要求完成总工作量的90%（即完成四个场景的规划实施监测和三个规范全部成果及相关技术文档）并提交采购人验收确认后，采购人在10个工作日内支付合同总额30%给成交人。</w:t>
            </w:r>
          </w:p>
          <w:p w14:paraId="14876B93">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（4）成交人按合同要求完成该项目最终成果后，采购人组织审查验收，并通过审查验收确认后，采购人在10个工作日内支付合同总额的10%合同尾款给成交人。</w:t>
            </w:r>
          </w:p>
          <w:p w14:paraId="165BD7A9">
            <w:pPr>
              <w:spacing w:line="360" w:lineRule="auto"/>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color w:val="auto"/>
                <w:highlight w:val="none"/>
              </w:rPr>
              <w:t>成交人在每次收到款项后5个工作日内，须向甲方开具等额的增值税普通发票。</w:t>
            </w:r>
            <w:bookmarkEnd w:id="102"/>
            <w:bookmarkEnd w:id="103"/>
            <w:bookmarkEnd w:id="104"/>
            <w:bookmarkEnd w:id="105"/>
          </w:p>
        </w:tc>
      </w:tr>
      <w:tr w14:paraId="3BC5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544" w:type="dxa"/>
            <w:gridSpan w:val="4"/>
            <w:vAlign w:val="center"/>
          </w:tcPr>
          <w:p w14:paraId="648AF9DF">
            <w:pPr>
              <w:spacing w:line="360" w:lineRule="auto"/>
              <w:jc w:val="center"/>
              <w:rPr>
                <w:rFonts w:ascii="宋体" w:hAnsi="宋体"/>
                <w:color w:val="auto"/>
                <w:szCs w:val="21"/>
                <w:highlight w:val="none"/>
              </w:rPr>
            </w:pPr>
            <w:r>
              <w:rPr>
                <w:rFonts w:hint="eastAsia" w:ascii="宋体" w:hAnsi="宋体" w:cs="宋体"/>
                <w:color w:val="auto"/>
                <w:highlight w:val="none"/>
              </w:rPr>
              <w:t>质量保证期</w:t>
            </w:r>
          </w:p>
        </w:tc>
        <w:tc>
          <w:tcPr>
            <w:tcW w:w="6977" w:type="dxa"/>
            <w:gridSpan w:val="2"/>
            <w:vAlign w:val="center"/>
          </w:tcPr>
          <w:p w14:paraId="5783E7F9">
            <w:pPr>
              <w:spacing w:line="360" w:lineRule="auto"/>
              <w:rPr>
                <w:rFonts w:ascii="宋体" w:hAnsi="宋体"/>
                <w:color w:val="auto"/>
                <w:szCs w:val="21"/>
                <w:highlight w:val="none"/>
              </w:rPr>
            </w:pPr>
            <w:r>
              <w:rPr>
                <w:rFonts w:hint="eastAsia" w:ascii="宋体" w:hAnsi="宋体" w:cs="宋体"/>
                <w:color w:val="auto"/>
                <w:highlight w:val="none"/>
              </w:rPr>
              <w:t>3年，从验收合格之日算起。质量保证期内提供产品免费技术支持，提供日常电话、远程在线和现场解决等售后技术服务，包括系统使用指导、质量保证期内的系统升级、故障排除、性能调优、技术咨询等。</w:t>
            </w:r>
          </w:p>
        </w:tc>
      </w:tr>
      <w:tr w14:paraId="51DC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544" w:type="dxa"/>
            <w:gridSpan w:val="4"/>
            <w:vAlign w:val="center"/>
          </w:tcPr>
          <w:p w14:paraId="3EC1062E">
            <w:pPr>
              <w:spacing w:line="360" w:lineRule="auto"/>
              <w:jc w:val="center"/>
              <w:rPr>
                <w:rFonts w:ascii="宋体" w:hAnsi="宋体" w:cs="宋体"/>
                <w:color w:val="auto"/>
                <w:highlight w:val="none"/>
              </w:rPr>
            </w:pPr>
            <w:r>
              <w:rPr>
                <w:rFonts w:hint="eastAsia" w:ascii="宋体" w:hAnsi="宋体" w:cs="宋体"/>
                <w:color w:val="auto"/>
                <w:highlight w:val="none"/>
              </w:rPr>
              <w:t>验收标准</w:t>
            </w:r>
          </w:p>
        </w:tc>
        <w:tc>
          <w:tcPr>
            <w:tcW w:w="6977" w:type="dxa"/>
            <w:gridSpan w:val="2"/>
            <w:vAlign w:val="center"/>
          </w:tcPr>
          <w:p w14:paraId="2D2E49AB">
            <w:pPr>
              <w:spacing w:line="360" w:lineRule="auto"/>
              <w:rPr>
                <w:rFonts w:ascii="宋体" w:hAnsi="宋体" w:cs="宋体"/>
                <w:color w:val="auto"/>
                <w:highlight w:val="none"/>
              </w:rPr>
            </w:pPr>
            <w:r>
              <w:rPr>
                <w:rFonts w:hint="eastAsia" w:ascii="宋体" w:hAnsi="宋体" w:cs="宋体"/>
                <w:color w:val="auto"/>
                <w:highlight w:val="none"/>
              </w:rPr>
              <w:t>按采购文件要求，建设成果符合国家现行相关政策及规范标准的规定，达到主管部门验收标准，并通过验收。</w:t>
            </w:r>
          </w:p>
        </w:tc>
      </w:tr>
      <w:tr w14:paraId="36ED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544" w:type="dxa"/>
            <w:gridSpan w:val="4"/>
            <w:vAlign w:val="center"/>
          </w:tcPr>
          <w:p w14:paraId="11A59975">
            <w:pPr>
              <w:spacing w:line="360" w:lineRule="auto"/>
              <w:jc w:val="center"/>
              <w:rPr>
                <w:rFonts w:ascii="宋体" w:hAnsi="宋体" w:cs="宋体"/>
                <w:color w:val="auto"/>
                <w:highlight w:val="none"/>
              </w:rPr>
            </w:pPr>
            <w:r>
              <w:rPr>
                <w:rFonts w:hint="eastAsia" w:ascii="宋体" w:hAnsi="宋体" w:cs="宋体"/>
                <w:color w:val="auto"/>
                <w:highlight w:val="none"/>
              </w:rPr>
              <w:t>成果及验收要求</w:t>
            </w:r>
          </w:p>
        </w:tc>
        <w:tc>
          <w:tcPr>
            <w:tcW w:w="6977" w:type="dxa"/>
            <w:gridSpan w:val="2"/>
            <w:vAlign w:val="center"/>
          </w:tcPr>
          <w:p w14:paraId="11777740">
            <w:pPr>
              <w:spacing w:line="360" w:lineRule="auto"/>
              <w:rPr>
                <w:rFonts w:ascii="宋体" w:hAnsi="宋体" w:cs="宋体"/>
                <w:color w:val="auto"/>
                <w:highlight w:val="none"/>
              </w:rPr>
            </w:pPr>
            <w:bookmarkStart w:id="109" w:name="OLE_LINK22"/>
            <w:bookmarkStart w:id="110" w:name="OLE_LINK23"/>
            <w:bookmarkStart w:id="111" w:name="OLE_LINK24"/>
            <w:r>
              <w:rPr>
                <w:rFonts w:hint="eastAsia" w:ascii="宋体" w:hAnsi="宋体" w:cs="宋体"/>
                <w:color w:val="auto"/>
                <w:highlight w:val="none"/>
              </w:rPr>
              <w:t>1.在 2026年12月30日前供应商必须按时完成合同约定的所有项目内容，并提交合格的最终项目成果。</w:t>
            </w:r>
          </w:p>
          <w:p w14:paraId="2A296930">
            <w:pPr>
              <w:spacing w:line="360" w:lineRule="auto"/>
              <w:rPr>
                <w:rFonts w:ascii="宋体" w:hAnsi="宋体" w:cs="宋体"/>
                <w:color w:val="auto"/>
                <w:highlight w:val="none"/>
              </w:rPr>
            </w:pPr>
            <w:r>
              <w:rPr>
                <w:rFonts w:hint="eastAsia" w:ascii="宋体" w:hAnsi="宋体" w:cs="宋体"/>
                <w:color w:val="auto"/>
                <w:highlight w:val="none"/>
              </w:rPr>
              <w:t>2.供应商需提交的项目最终成果是：（一）完成2020-202</w:t>
            </w:r>
            <w:r>
              <w:rPr>
                <w:rFonts w:hint="eastAsia" w:ascii="宋体" w:hAnsi="宋体" w:cs="宋体"/>
                <w:color w:val="auto"/>
                <w:highlight w:val="none"/>
                <w:lang w:val="en-US" w:eastAsia="zh-CN"/>
              </w:rPr>
              <w:t>6</w:t>
            </w:r>
            <w:r>
              <w:rPr>
                <w:rFonts w:hint="eastAsia" w:ascii="宋体" w:hAnsi="宋体" w:cs="宋体"/>
                <w:color w:val="auto"/>
                <w:highlight w:val="none"/>
              </w:rPr>
              <w:t>年国土空间安全底线管控、支撑现代化产业体系、区域协调发展（包括西部陆海新通道(平陆运河沿线)）和村庄规划赋能乡村振兴四个场景的规划实施监测，提交每个场景的工作总结报告。（二）制定三个规范:①国土空间规划数据治理规范。②数据产品质量检查规范。③国土空间规划实施监测评估预警指标与模型规范。</w:t>
            </w:r>
          </w:p>
          <w:p w14:paraId="7045F7DF">
            <w:pPr>
              <w:spacing w:line="360" w:lineRule="auto"/>
              <w:rPr>
                <w:rFonts w:ascii="宋体" w:hAnsi="宋体" w:cs="宋体"/>
                <w:color w:val="auto"/>
                <w:highlight w:val="none"/>
              </w:rPr>
            </w:pPr>
            <w:r>
              <w:rPr>
                <w:rFonts w:hint="eastAsia" w:ascii="宋体" w:hAnsi="宋体" w:cs="宋体"/>
                <w:color w:val="auto"/>
                <w:highlight w:val="none"/>
              </w:rPr>
              <w:t>3.最终成果应以书面形式和电子版形式提交，其中书面形式提交成果需打印装订成册，一式五份和贰份电子版形式光盘。</w:t>
            </w:r>
            <w:bookmarkEnd w:id="109"/>
          </w:p>
          <w:p w14:paraId="3438E34A">
            <w:pPr>
              <w:spacing w:line="360" w:lineRule="auto"/>
              <w:rPr>
                <w:rFonts w:ascii="宋体" w:hAnsi="宋体" w:cs="宋体"/>
                <w:color w:val="auto"/>
                <w:highlight w:val="none"/>
              </w:rPr>
            </w:pPr>
            <w:r>
              <w:rPr>
                <w:rFonts w:hint="eastAsia" w:ascii="宋体" w:hAnsi="宋体" w:cs="宋体"/>
                <w:color w:val="auto"/>
                <w:highlight w:val="none"/>
              </w:rPr>
              <w:t>4.</w:t>
            </w:r>
            <w:r>
              <w:rPr>
                <w:rFonts w:hint="eastAsia"/>
                <w:color w:val="auto"/>
                <w:highlight w:val="none"/>
              </w:rPr>
              <w:t xml:space="preserve"> </w:t>
            </w:r>
            <w:r>
              <w:rPr>
                <w:rFonts w:hint="eastAsia" w:ascii="宋体" w:hAnsi="宋体" w:cs="宋体"/>
                <w:color w:val="auto"/>
                <w:highlight w:val="none"/>
              </w:rPr>
              <w:t>由采购人组织验收小组对供应商提交的项目最终成果进行审查验收。</w:t>
            </w:r>
            <w:bookmarkEnd w:id="110"/>
            <w:bookmarkEnd w:id="111"/>
          </w:p>
        </w:tc>
      </w:tr>
      <w:tr w14:paraId="6BEE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544" w:type="dxa"/>
            <w:gridSpan w:val="4"/>
            <w:vAlign w:val="center"/>
          </w:tcPr>
          <w:p w14:paraId="36C3E501">
            <w:pPr>
              <w:spacing w:line="360" w:lineRule="auto"/>
              <w:jc w:val="center"/>
              <w:rPr>
                <w:rFonts w:ascii="宋体" w:hAnsi="宋体" w:cs="宋体"/>
                <w:color w:val="auto"/>
                <w:kern w:val="0"/>
                <w:szCs w:val="21"/>
                <w:highlight w:val="none"/>
              </w:rPr>
            </w:pPr>
            <w:r>
              <w:rPr>
                <w:rFonts w:hint="eastAsia" w:ascii="宋体" w:hAnsi="宋体" w:cs="宋体"/>
                <w:color w:val="auto"/>
                <w:highlight w:val="none"/>
              </w:rPr>
              <w:t>其它要求</w:t>
            </w:r>
          </w:p>
        </w:tc>
        <w:tc>
          <w:tcPr>
            <w:tcW w:w="6977" w:type="dxa"/>
            <w:gridSpan w:val="2"/>
            <w:vAlign w:val="center"/>
          </w:tcPr>
          <w:p w14:paraId="39D0BD3C">
            <w:pPr>
              <w:spacing w:line="360" w:lineRule="auto"/>
              <w:rPr>
                <w:rFonts w:ascii="宋体" w:hAnsi="宋体" w:cs="宋体"/>
                <w:color w:val="auto"/>
                <w:highlight w:val="none"/>
              </w:rPr>
            </w:pPr>
            <w:r>
              <w:rPr>
                <w:rFonts w:hint="eastAsia" w:ascii="宋体" w:hAnsi="宋体" w:cs="宋体"/>
                <w:color w:val="auto"/>
                <w:highlight w:val="none"/>
              </w:rPr>
              <w:t>1、技术支持要求：验收后平台出现故障时，要求60分钟内响应并且向采购人汇报，并在48小时内解决故障。</w:t>
            </w:r>
          </w:p>
          <w:p w14:paraId="53F2D092">
            <w:pPr>
              <w:spacing w:line="360" w:lineRule="auto"/>
              <w:rPr>
                <w:rFonts w:ascii="宋体" w:hAnsi="宋体" w:cs="宋体"/>
                <w:color w:val="auto"/>
                <w:highlight w:val="none"/>
              </w:rPr>
            </w:pPr>
            <w:r>
              <w:rPr>
                <w:rFonts w:hint="eastAsia" w:ascii="宋体" w:hAnsi="宋体" w:cs="宋体"/>
                <w:color w:val="auto"/>
                <w:highlight w:val="none"/>
              </w:rPr>
              <w:t>2、开发成果必须基于采购人现在微服务技术框架基础上拓展开发并提交源代码。</w:t>
            </w:r>
          </w:p>
          <w:p w14:paraId="2E03BBC0">
            <w:pPr>
              <w:spacing w:line="360" w:lineRule="auto"/>
              <w:rPr>
                <w:rFonts w:ascii="宋体" w:hAnsi="宋体" w:cs="宋体"/>
                <w:color w:val="auto"/>
                <w:highlight w:val="none"/>
              </w:rPr>
            </w:pPr>
            <w:r>
              <w:rPr>
                <w:rFonts w:hint="eastAsia" w:ascii="宋体" w:hAnsi="宋体" w:cs="宋体"/>
                <w:color w:val="auto"/>
                <w:highlight w:val="none"/>
              </w:rPr>
              <w:t>3、文档成果提交要求：</w:t>
            </w:r>
          </w:p>
          <w:p w14:paraId="389A448E">
            <w:pPr>
              <w:spacing w:line="360" w:lineRule="auto"/>
              <w:rPr>
                <w:rFonts w:ascii="宋体" w:hAnsi="宋体" w:cs="宋体"/>
                <w:color w:val="auto"/>
                <w:highlight w:val="none"/>
              </w:rPr>
            </w:pPr>
            <w:r>
              <w:rPr>
                <w:rFonts w:hint="eastAsia" w:ascii="宋体" w:hAnsi="宋体" w:cs="宋体"/>
                <w:color w:val="auto"/>
                <w:highlight w:val="none"/>
              </w:rPr>
              <w:t>（1）提交项目全部源代码；</w:t>
            </w:r>
          </w:p>
          <w:p w14:paraId="009B74E2">
            <w:pPr>
              <w:spacing w:line="360" w:lineRule="auto"/>
              <w:rPr>
                <w:rFonts w:ascii="宋体" w:hAnsi="宋体"/>
                <w:color w:val="auto"/>
                <w:szCs w:val="21"/>
                <w:highlight w:val="none"/>
              </w:rPr>
            </w:pPr>
            <w:r>
              <w:rPr>
                <w:rFonts w:hint="eastAsia" w:ascii="宋体" w:hAnsi="宋体" w:cs="宋体"/>
                <w:color w:val="auto"/>
                <w:highlight w:val="none"/>
              </w:rPr>
              <w:t>（2）提交相关的文档材料包括但不限于：项目设计书、测试报告、工作技术总结报告、用户手册、运维部署手册等。</w:t>
            </w:r>
          </w:p>
        </w:tc>
      </w:tr>
      <w:tr w14:paraId="352B9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544" w:type="dxa"/>
            <w:gridSpan w:val="4"/>
            <w:vAlign w:val="center"/>
          </w:tcPr>
          <w:p w14:paraId="42DCED08">
            <w:pPr>
              <w:spacing w:line="360" w:lineRule="auto"/>
              <w:jc w:val="center"/>
              <w:rPr>
                <w:rFonts w:ascii="宋体" w:hAnsi="宋体" w:cs="宋体"/>
                <w:color w:val="auto"/>
                <w:kern w:val="0"/>
                <w:szCs w:val="21"/>
                <w:highlight w:val="none"/>
              </w:rPr>
            </w:pPr>
            <w:r>
              <w:rPr>
                <w:rFonts w:hint="eastAsia" w:ascii="宋体" w:hAnsi="宋体" w:cs="宋体"/>
                <w:color w:val="auto"/>
                <w:szCs w:val="21"/>
                <w:highlight w:val="none"/>
                <w:lang w:bidi="ar"/>
              </w:rPr>
              <w:t>保密要求</w:t>
            </w:r>
          </w:p>
        </w:tc>
        <w:tc>
          <w:tcPr>
            <w:tcW w:w="6977" w:type="dxa"/>
            <w:gridSpan w:val="2"/>
            <w:vAlign w:val="center"/>
          </w:tcPr>
          <w:p w14:paraId="1EA25C2E">
            <w:pPr>
              <w:spacing w:line="360" w:lineRule="auto"/>
              <w:jc w:val="left"/>
              <w:rPr>
                <w:rFonts w:ascii="宋体" w:hAnsi="宋体" w:cs="宋体"/>
                <w:color w:val="auto"/>
                <w:szCs w:val="21"/>
                <w:highlight w:val="none"/>
              </w:rPr>
            </w:pPr>
            <w:r>
              <w:rPr>
                <w:rFonts w:hint="eastAsia" w:ascii="宋体" w:hAnsi="宋体" w:cs="宋体"/>
                <w:color w:val="auto"/>
                <w:szCs w:val="21"/>
                <w:highlight w:val="none"/>
                <w:lang w:bidi="ar"/>
              </w:rPr>
              <w:t>1、采购人信息保密：成交供应商应当对涉及的采购人信息保密。未经采购人许可，不得将采购人相关信息泄露给第三方，否则，采购人保留追究成交供应商法律责任的权利。</w:t>
            </w:r>
          </w:p>
          <w:p w14:paraId="721D3E17">
            <w:pPr>
              <w:spacing w:line="360" w:lineRule="auto"/>
              <w:jc w:val="left"/>
              <w:rPr>
                <w:rFonts w:ascii="宋体" w:hAnsi="宋体"/>
                <w:color w:val="auto"/>
                <w:szCs w:val="21"/>
                <w:highlight w:val="none"/>
              </w:rPr>
            </w:pPr>
            <w:r>
              <w:rPr>
                <w:rFonts w:hint="eastAsia" w:ascii="宋体" w:hAnsi="宋体" w:cs="宋体"/>
                <w:color w:val="auto"/>
                <w:szCs w:val="21"/>
                <w:highlight w:val="none"/>
                <w:lang w:bidi="ar"/>
              </w:rPr>
              <w:t>2、数据资料归属及保密：本项目所形成的数据和报告归采购人所有。未经采购人授权，不得将数据和报告提供给任何第三方。</w:t>
            </w:r>
          </w:p>
        </w:tc>
      </w:tr>
      <w:tr w14:paraId="1C31A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544" w:type="dxa"/>
            <w:gridSpan w:val="4"/>
            <w:vAlign w:val="center"/>
          </w:tcPr>
          <w:p w14:paraId="6D2EB09C">
            <w:pPr>
              <w:spacing w:line="360" w:lineRule="auto"/>
              <w:jc w:val="center"/>
              <w:rPr>
                <w:rFonts w:ascii="宋体" w:hAnsi="宋体"/>
                <w:color w:val="auto"/>
                <w:highlight w:val="none"/>
              </w:rPr>
            </w:pPr>
            <w:r>
              <w:rPr>
                <w:rFonts w:hint="eastAsia" w:ascii="宋体" w:hAnsi="宋体"/>
                <w:color w:val="auto"/>
                <w:szCs w:val="21"/>
                <w:highlight w:val="none"/>
              </w:rPr>
              <w:t>与实现项目目标相关的其他要求</w:t>
            </w:r>
          </w:p>
        </w:tc>
        <w:tc>
          <w:tcPr>
            <w:tcW w:w="6977" w:type="dxa"/>
            <w:gridSpan w:val="2"/>
            <w:vAlign w:val="center"/>
          </w:tcPr>
          <w:p w14:paraId="18090FD9">
            <w:pPr>
              <w:tabs>
                <w:tab w:val="left" w:pos="180"/>
                <w:tab w:val="left" w:pos="1620"/>
              </w:tabs>
              <w:spacing w:line="380" w:lineRule="exact"/>
              <w:rPr>
                <w:rFonts w:ascii="宋体" w:hAnsi="宋体" w:cs="宋体"/>
                <w:bCs/>
                <w:color w:val="auto"/>
                <w:szCs w:val="21"/>
                <w:highlight w:val="none"/>
              </w:rPr>
            </w:pPr>
            <w:r>
              <w:rPr>
                <w:rFonts w:hint="eastAsia" w:ascii="宋体" w:hAnsi="宋体"/>
                <w:color w:val="auto"/>
                <w:szCs w:val="21"/>
                <w:highlight w:val="none"/>
              </w:rPr>
              <w:t>▲1、</w:t>
            </w:r>
            <w:r>
              <w:rPr>
                <w:rFonts w:hint="eastAsia" w:ascii="宋体" w:hAnsi="宋体" w:cs="宋体"/>
                <w:bCs/>
                <w:color w:val="auto"/>
                <w:szCs w:val="21"/>
                <w:highlight w:val="none"/>
              </w:rPr>
              <w:t>符合现行国家相关标准、行业标准、地方标准或者其他标准、规范。如行业实行强制标准认证制度、销售或经营许可证制度、注册证制度的，则供应商磋商时应在响应文件中提供相关有效的证书复印件。</w:t>
            </w:r>
          </w:p>
          <w:p w14:paraId="262E6DDF">
            <w:pPr>
              <w:tabs>
                <w:tab w:val="left" w:pos="180"/>
                <w:tab w:val="left" w:pos="1620"/>
              </w:tabs>
              <w:spacing w:line="380" w:lineRule="exact"/>
              <w:rPr>
                <w:rFonts w:ascii="宋体" w:hAnsi="宋体" w:cs="宋体"/>
                <w:color w:val="auto"/>
                <w:szCs w:val="21"/>
                <w:highlight w:val="none"/>
                <w:lang w:bidi="ar"/>
              </w:rPr>
            </w:pPr>
            <w:r>
              <w:rPr>
                <w:rFonts w:hint="eastAsia" w:ascii="宋体" w:hAnsi="宋体"/>
                <w:color w:val="auto"/>
                <w:szCs w:val="21"/>
                <w:highlight w:val="none"/>
              </w:rPr>
              <w:t>▲2、验收过程中所产生的一切费用均由成交人承担。报价时应考虑相关费用。</w:t>
            </w:r>
          </w:p>
          <w:p w14:paraId="48FD7F52">
            <w:pPr>
              <w:spacing w:line="380" w:lineRule="exact"/>
              <w:rPr>
                <w:rFonts w:ascii="宋体" w:hAnsi="宋体"/>
                <w:color w:val="auto"/>
                <w:szCs w:val="21"/>
                <w:highlight w:val="none"/>
              </w:rPr>
            </w:pPr>
            <w:r>
              <w:rPr>
                <w:rFonts w:hint="eastAsia" w:ascii="宋体" w:hAnsi="宋体"/>
                <w:color w:val="auto"/>
                <w:szCs w:val="21"/>
                <w:highlight w:val="none"/>
              </w:rPr>
              <w:t>▲3、成交人在项目验收时由采购人对照采购文件的功能目标及技术指标全面核对检验，对所有要求出具的证明文件的原件进行核查，如不符合采购文件的技术需求及要求以及提供虚假承诺的，按相关规定做退货处理及违约处理，成交人承担所有责任和费用，采购人保留进一步追究责任的权利。</w:t>
            </w:r>
          </w:p>
          <w:p w14:paraId="5D33D60A">
            <w:pPr>
              <w:tabs>
                <w:tab w:val="left" w:pos="180"/>
                <w:tab w:val="left" w:pos="1620"/>
              </w:tabs>
              <w:spacing w:line="380" w:lineRule="exact"/>
              <w:rPr>
                <w:rFonts w:ascii="宋体" w:hAnsi="宋体"/>
                <w:color w:val="auto"/>
                <w:szCs w:val="21"/>
                <w:highlight w:val="none"/>
              </w:rPr>
            </w:pPr>
            <w:r>
              <w:rPr>
                <w:rFonts w:hint="eastAsia" w:ascii="宋体" w:hAnsi="宋体"/>
                <w:color w:val="auto"/>
                <w:szCs w:val="21"/>
                <w:highlight w:val="none"/>
              </w:rPr>
              <w:t>▲4.其他验收要求按本项目采购合同执行，未尽事宜参照《关于印发广西壮族自治区政府采购项目履约验收管理办法的通知》[桂财采〔2015〕22号]以及《财政部关于进一步加强政府采购需求和履约验收管理的指导意见》[财库〔2016〕205号]规定执行。</w:t>
            </w:r>
          </w:p>
          <w:p w14:paraId="72BBB388">
            <w:pPr>
              <w:spacing w:line="380" w:lineRule="exact"/>
              <w:rPr>
                <w:rFonts w:ascii="宋体" w:hAnsi="宋体"/>
                <w:color w:val="auto"/>
                <w:szCs w:val="21"/>
                <w:highlight w:val="none"/>
              </w:rPr>
            </w:pPr>
            <w:r>
              <w:rPr>
                <w:rFonts w:hint="eastAsia" w:ascii="宋体" w:hAnsi="宋体"/>
                <w:color w:val="auto"/>
                <w:szCs w:val="21"/>
                <w:highlight w:val="none"/>
              </w:rPr>
              <w:t>▲5、本项目成果文件及成果文件的</w:t>
            </w:r>
            <w:r>
              <w:rPr>
                <w:rFonts w:hint="eastAsia"/>
                <w:color w:val="auto"/>
                <w:highlight w:val="none"/>
              </w:rPr>
              <w:t>知识产权</w:t>
            </w:r>
            <w:r>
              <w:rPr>
                <w:rFonts w:hint="eastAsia" w:ascii="宋体" w:hAnsi="宋体"/>
                <w:color w:val="auto"/>
                <w:szCs w:val="21"/>
                <w:highlight w:val="none"/>
              </w:rPr>
              <w:t>归采购人所有，成交人不得以任何单位或个人的名义擅自使用及公开发表或向他人提供。</w:t>
            </w:r>
          </w:p>
          <w:p w14:paraId="1D8CA3CD">
            <w:pPr>
              <w:spacing w:line="360" w:lineRule="auto"/>
              <w:jc w:val="left"/>
              <w:rPr>
                <w:rFonts w:ascii="宋体" w:hAnsi="宋体"/>
                <w:color w:val="auto"/>
                <w:highlight w:val="none"/>
              </w:rPr>
            </w:pPr>
            <w:r>
              <w:rPr>
                <w:rFonts w:ascii="宋体" w:hAnsi="宋体"/>
                <w:color w:val="auto"/>
                <w:szCs w:val="21"/>
                <w:highlight w:val="none"/>
              </w:rPr>
              <w:t>6</w:t>
            </w:r>
            <w:r>
              <w:rPr>
                <w:rFonts w:hint="eastAsia" w:ascii="宋体" w:hAnsi="宋体"/>
                <w:color w:val="auto"/>
                <w:szCs w:val="21"/>
                <w:highlight w:val="none"/>
              </w:rPr>
              <w:t>、</w:t>
            </w:r>
            <w:r>
              <w:rPr>
                <w:rFonts w:hint="eastAsia" w:ascii="宋体" w:hAnsi="宋体" w:cs="宋体"/>
                <w:bCs/>
                <w:color w:val="auto"/>
                <w:szCs w:val="21"/>
                <w:highlight w:val="none"/>
              </w:rPr>
              <w:t>磋商时请在磋商文件中提供针对本项目的服务方案（方案中应包括但不限于</w:t>
            </w:r>
            <w:r>
              <w:rPr>
                <w:rFonts w:hint="eastAsia" w:ascii="宋体" w:hAnsi="Courier New"/>
                <w:color w:val="auto"/>
                <w:szCs w:val="20"/>
                <w:highlight w:val="none"/>
              </w:rPr>
              <w:t>技术设计方案</w:t>
            </w:r>
            <w:r>
              <w:rPr>
                <w:rFonts w:hint="eastAsia" w:ascii="宋体" w:hAnsi="宋体" w:cs="宋体"/>
                <w:bCs/>
                <w:color w:val="auto"/>
                <w:szCs w:val="21"/>
                <w:highlight w:val="none"/>
              </w:rPr>
              <w:t>、</w:t>
            </w:r>
            <w:r>
              <w:rPr>
                <w:rFonts w:hint="eastAsia" w:ascii="宋体" w:hAnsi="宋体" w:cs="宋体"/>
                <w:bCs/>
                <w:color w:val="auto"/>
                <w:highlight w:val="none"/>
              </w:rPr>
              <w:t>服务方案、</w:t>
            </w:r>
            <w:r>
              <w:rPr>
                <w:rFonts w:hint="eastAsia"/>
                <w:color w:val="auto"/>
                <w:highlight w:val="none"/>
              </w:rPr>
              <w:t>项目质量保障方案</w:t>
            </w:r>
            <w:r>
              <w:rPr>
                <w:rFonts w:hint="eastAsia" w:ascii="宋体" w:hAnsi="宋体" w:cs="宋体"/>
                <w:bCs/>
                <w:color w:val="auto"/>
                <w:szCs w:val="21"/>
                <w:highlight w:val="none"/>
              </w:rPr>
              <w:t>等内容）。</w:t>
            </w:r>
          </w:p>
        </w:tc>
      </w:tr>
    </w:tbl>
    <w:p w14:paraId="5E2C266D">
      <w:pPr>
        <w:pStyle w:val="16"/>
        <w:jc w:val="left"/>
        <w:rPr>
          <w:rFonts w:ascii="Arial Unicode MS" w:hAnsi="Arial Unicode MS" w:eastAsia="Arial Unicode MS" w:cs="Arial Unicode MS"/>
          <w:color w:val="auto"/>
          <w:sz w:val="32"/>
          <w:szCs w:val="32"/>
          <w:highlight w:val="none"/>
        </w:rPr>
      </w:pPr>
      <w:bookmarkStart w:id="112" w:name="_Toc74323459"/>
      <w:r>
        <w:rPr>
          <w:rFonts w:hint="eastAsia" w:ascii="微软雅黑" w:hAnsi="微软雅黑" w:eastAsia="微软雅黑" w:cs="微软雅黑"/>
          <w:color w:val="auto"/>
          <w:sz w:val="32"/>
          <w:szCs w:val="32"/>
          <w:highlight w:val="none"/>
        </w:rPr>
        <w:t>附件</w:t>
      </w:r>
      <w:r>
        <w:rPr>
          <w:rFonts w:ascii="Arial Unicode MS" w:hAnsi="Arial Unicode MS" w:eastAsia="Arial Unicode MS" w:cs="Arial Unicode MS"/>
          <w:color w:val="auto"/>
          <w:sz w:val="32"/>
          <w:szCs w:val="32"/>
          <w:highlight w:val="none"/>
        </w:rPr>
        <w:t>2</w:t>
      </w:r>
      <w:r>
        <w:rPr>
          <w:rFonts w:hint="eastAsia" w:ascii="微软雅黑" w:hAnsi="微软雅黑" w:eastAsia="微软雅黑" w:cs="微软雅黑"/>
          <w:color w:val="auto"/>
          <w:sz w:val="32"/>
          <w:szCs w:val="32"/>
          <w:highlight w:val="none"/>
        </w:rPr>
        <w:t>：</w:t>
      </w:r>
    </w:p>
    <w:p w14:paraId="111E7176">
      <w:pPr>
        <w:spacing w:line="528" w:lineRule="exact"/>
        <w:ind w:left="1871"/>
        <w:rPr>
          <w:rFonts w:ascii="Arial Unicode MS" w:hAnsi="Arial Unicode MS" w:eastAsia="Arial Unicode MS" w:cs="Arial Unicode MS"/>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tbl>
      <w:tblPr>
        <w:tblStyle w:val="27"/>
        <w:tblW w:w="8996" w:type="dxa"/>
        <w:tblInd w:w="250" w:type="dxa"/>
        <w:tblLayout w:type="fixed"/>
        <w:tblCellMar>
          <w:top w:w="0" w:type="dxa"/>
          <w:left w:w="108" w:type="dxa"/>
          <w:bottom w:w="0" w:type="dxa"/>
          <w:right w:w="108" w:type="dxa"/>
        </w:tblCellMar>
      </w:tblPr>
      <w:tblGrid>
        <w:gridCol w:w="1918"/>
        <w:gridCol w:w="1559"/>
        <w:gridCol w:w="1029"/>
        <w:gridCol w:w="1825"/>
        <w:gridCol w:w="1622"/>
        <w:gridCol w:w="1043"/>
      </w:tblGrid>
      <w:tr w14:paraId="6612375B">
        <w:tblPrEx>
          <w:tblCellMar>
            <w:top w:w="0" w:type="dxa"/>
            <w:left w:w="108" w:type="dxa"/>
            <w:bottom w:w="0" w:type="dxa"/>
            <w:right w:w="108" w:type="dxa"/>
          </w:tblCellMar>
        </w:tblPrEx>
        <w:trPr>
          <w:trHeight w:val="881" w:hRule="atLeast"/>
        </w:trPr>
        <w:tc>
          <w:tcPr>
            <w:tcW w:w="1918" w:type="dxa"/>
            <w:tcBorders>
              <w:top w:val="single" w:color="auto" w:sz="4" w:space="0"/>
              <w:left w:val="single" w:color="auto" w:sz="4" w:space="0"/>
              <w:bottom w:val="single" w:color="auto" w:sz="4" w:space="0"/>
              <w:right w:val="single" w:color="auto" w:sz="4" w:space="0"/>
            </w:tcBorders>
            <w:vAlign w:val="center"/>
          </w:tcPr>
          <w:p w14:paraId="1F7621B8">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559" w:type="dxa"/>
            <w:tcBorders>
              <w:top w:val="single" w:color="auto" w:sz="4" w:space="0"/>
              <w:left w:val="nil"/>
              <w:bottom w:val="single" w:color="auto" w:sz="4" w:space="0"/>
              <w:right w:val="single" w:color="auto" w:sz="4" w:space="0"/>
            </w:tcBorders>
            <w:vAlign w:val="center"/>
          </w:tcPr>
          <w:p w14:paraId="0EDD432C">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1029" w:type="dxa"/>
            <w:tcBorders>
              <w:top w:val="single" w:color="auto" w:sz="4" w:space="0"/>
              <w:left w:val="nil"/>
              <w:bottom w:val="single" w:color="auto" w:sz="4" w:space="0"/>
              <w:right w:val="single" w:color="auto" w:sz="4" w:space="0"/>
            </w:tcBorders>
            <w:vAlign w:val="center"/>
          </w:tcPr>
          <w:p w14:paraId="01539BFF">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825" w:type="dxa"/>
            <w:tcBorders>
              <w:top w:val="single" w:color="auto" w:sz="4" w:space="0"/>
              <w:left w:val="nil"/>
              <w:bottom w:val="single" w:color="auto" w:sz="4" w:space="0"/>
              <w:right w:val="single" w:color="auto" w:sz="4" w:space="0"/>
            </w:tcBorders>
            <w:vAlign w:val="center"/>
          </w:tcPr>
          <w:p w14:paraId="41E67680">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1622" w:type="dxa"/>
            <w:tcBorders>
              <w:top w:val="single" w:color="auto" w:sz="4" w:space="0"/>
              <w:left w:val="nil"/>
              <w:bottom w:val="single" w:color="auto" w:sz="4" w:space="0"/>
              <w:right w:val="single" w:color="auto" w:sz="4" w:space="0"/>
            </w:tcBorders>
            <w:vAlign w:val="center"/>
          </w:tcPr>
          <w:p w14:paraId="0F186E61">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1043" w:type="dxa"/>
            <w:tcBorders>
              <w:top w:val="single" w:color="auto" w:sz="4" w:space="0"/>
              <w:left w:val="nil"/>
              <w:bottom w:val="single" w:color="auto" w:sz="4" w:space="0"/>
              <w:right w:val="single" w:color="auto" w:sz="4" w:space="0"/>
            </w:tcBorders>
            <w:vAlign w:val="center"/>
          </w:tcPr>
          <w:p w14:paraId="084C632F">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1B152BBE">
        <w:tblPrEx>
          <w:tblCellMar>
            <w:top w:w="0" w:type="dxa"/>
            <w:left w:w="108" w:type="dxa"/>
            <w:bottom w:w="0" w:type="dxa"/>
            <w:right w:w="108" w:type="dxa"/>
          </w:tblCellMar>
        </w:tblPrEx>
        <w:trPr>
          <w:trHeight w:val="339" w:hRule="atLeast"/>
        </w:trPr>
        <w:tc>
          <w:tcPr>
            <w:tcW w:w="1918" w:type="dxa"/>
            <w:tcBorders>
              <w:top w:val="nil"/>
              <w:left w:val="single" w:color="auto" w:sz="4" w:space="0"/>
              <w:bottom w:val="single" w:color="auto" w:sz="4" w:space="0"/>
              <w:right w:val="single" w:color="auto" w:sz="4" w:space="0"/>
            </w:tcBorders>
            <w:vAlign w:val="bottom"/>
          </w:tcPr>
          <w:p w14:paraId="0FC4B29F">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559" w:type="dxa"/>
            <w:tcBorders>
              <w:top w:val="nil"/>
              <w:left w:val="nil"/>
              <w:bottom w:val="single" w:color="auto" w:sz="4" w:space="0"/>
              <w:right w:val="single" w:color="auto" w:sz="4" w:space="0"/>
            </w:tcBorders>
            <w:vAlign w:val="center"/>
          </w:tcPr>
          <w:p w14:paraId="21B487E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29" w:type="dxa"/>
            <w:tcBorders>
              <w:top w:val="nil"/>
              <w:left w:val="nil"/>
              <w:bottom w:val="single" w:color="auto" w:sz="4" w:space="0"/>
              <w:right w:val="single" w:color="auto" w:sz="4" w:space="0"/>
            </w:tcBorders>
            <w:vAlign w:val="center"/>
          </w:tcPr>
          <w:p w14:paraId="447397E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25" w:type="dxa"/>
            <w:tcBorders>
              <w:top w:val="nil"/>
              <w:left w:val="nil"/>
              <w:bottom w:val="single" w:color="auto" w:sz="4" w:space="0"/>
              <w:right w:val="single" w:color="auto" w:sz="4" w:space="0"/>
            </w:tcBorders>
            <w:vAlign w:val="center"/>
          </w:tcPr>
          <w:p w14:paraId="23C2338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622" w:type="dxa"/>
            <w:tcBorders>
              <w:top w:val="nil"/>
              <w:left w:val="nil"/>
              <w:bottom w:val="single" w:color="auto" w:sz="4" w:space="0"/>
              <w:right w:val="single" w:color="auto" w:sz="4" w:space="0"/>
            </w:tcBorders>
            <w:vAlign w:val="center"/>
          </w:tcPr>
          <w:p w14:paraId="7F060D7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1043" w:type="dxa"/>
            <w:tcBorders>
              <w:top w:val="nil"/>
              <w:left w:val="nil"/>
              <w:bottom w:val="single" w:color="auto" w:sz="4" w:space="0"/>
              <w:right w:val="single" w:color="auto" w:sz="4" w:space="0"/>
            </w:tcBorders>
            <w:vAlign w:val="center"/>
          </w:tcPr>
          <w:p w14:paraId="4498479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2D5BC673">
        <w:tblPrEx>
          <w:tblCellMar>
            <w:top w:w="0" w:type="dxa"/>
            <w:left w:w="108" w:type="dxa"/>
            <w:bottom w:w="0" w:type="dxa"/>
            <w:right w:w="108" w:type="dxa"/>
          </w:tblCellMar>
        </w:tblPrEx>
        <w:trPr>
          <w:trHeight w:val="339" w:hRule="atLeast"/>
        </w:trPr>
        <w:tc>
          <w:tcPr>
            <w:tcW w:w="1918" w:type="dxa"/>
            <w:vMerge w:val="restart"/>
            <w:tcBorders>
              <w:top w:val="nil"/>
              <w:left w:val="single" w:color="auto" w:sz="4" w:space="0"/>
              <w:bottom w:val="single" w:color="auto" w:sz="4" w:space="0"/>
              <w:right w:val="single" w:color="auto" w:sz="4" w:space="0"/>
            </w:tcBorders>
            <w:vAlign w:val="bottom"/>
          </w:tcPr>
          <w:p w14:paraId="467B3E74">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559" w:type="dxa"/>
            <w:tcBorders>
              <w:top w:val="nil"/>
              <w:left w:val="nil"/>
              <w:bottom w:val="single" w:color="auto" w:sz="4" w:space="0"/>
              <w:right w:val="single" w:color="auto" w:sz="4" w:space="0"/>
            </w:tcBorders>
            <w:vAlign w:val="center"/>
          </w:tcPr>
          <w:p w14:paraId="331747B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29" w:type="dxa"/>
            <w:tcBorders>
              <w:top w:val="nil"/>
              <w:left w:val="nil"/>
              <w:bottom w:val="single" w:color="auto" w:sz="4" w:space="0"/>
              <w:right w:val="single" w:color="auto" w:sz="4" w:space="0"/>
            </w:tcBorders>
            <w:vAlign w:val="center"/>
          </w:tcPr>
          <w:p w14:paraId="460C47B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25" w:type="dxa"/>
            <w:tcBorders>
              <w:top w:val="nil"/>
              <w:left w:val="nil"/>
              <w:bottom w:val="single" w:color="auto" w:sz="4" w:space="0"/>
              <w:right w:val="single" w:color="auto" w:sz="4" w:space="0"/>
            </w:tcBorders>
            <w:vAlign w:val="center"/>
          </w:tcPr>
          <w:p w14:paraId="566834B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622" w:type="dxa"/>
            <w:tcBorders>
              <w:top w:val="nil"/>
              <w:left w:val="nil"/>
              <w:bottom w:val="single" w:color="auto" w:sz="4" w:space="0"/>
              <w:right w:val="single" w:color="auto" w:sz="4" w:space="0"/>
            </w:tcBorders>
            <w:vAlign w:val="center"/>
          </w:tcPr>
          <w:p w14:paraId="7F2C049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043" w:type="dxa"/>
            <w:tcBorders>
              <w:top w:val="nil"/>
              <w:left w:val="nil"/>
              <w:bottom w:val="single" w:color="auto" w:sz="4" w:space="0"/>
              <w:right w:val="single" w:color="auto" w:sz="4" w:space="0"/>
            </w:tcBorders>
            <w:vAlign w:val="center"/>
          </w:tcPr>
          <w:p w14:paraId="169D897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788AE5AF">
        <w:tblPrEx>
          <w:tblCellMar>
            <w:top w:w="0" w:type="dxa"/>
            <w:left w:w="108" w:type="dxa"/>
            <w:bottom w:w="0" w:type="dxa"/>
            <w:right w:w="108" w:type="dxa"/>
          </w:tblCellMar>
        </w:tblPrEx>
        <w:trPr>
          <w:trHeight w:val="339" w:hRule="atLeast"/>
        </w:trPr>
        <w:tc>
          <w:tcPr>
            <w:tcW w:w="1918" w:type="dxa"/>
            <w:vMerge w:val="continue"/>
            <w:tcBorders>
              <w:top w:val="nil"/>
              <w:left w:val="single" w:color="auto" w:sz="4" w:space="0"/>
              <w:bottom w:val="single" w:color="auto" w:sz="4" w:space="0"/>
              <w:right w:val="single" w:color="auto" w:sz="4" w:space="0"/>
            </w:tcBorders>
            <w:vAlign w:val="center"/>
          </w:tcPr>
          <w:p w14:paraId="64984781">
            <w:pPr>
              <w:widowControl/>
              <w:jc w:val="left"/>
              <w:rPr>
                <w:rFonts w:ascii="仿宋_GB2312" w:hAnsi="仿宋" w:eastAsia="仿宋_GB2312" w:cs="宋体"/>
                <w:b/>
                <w:bCs/>
                <w:color w:val="auto"/>
                <w:kern w:val="0"/>
                <w:sz w:val="18"/>
                <w:szCs w:val="18"/>
                <w:highlight w:val="none"/>
              </w:rPr>
            </w:pPr>
          </w:p>
        </w:tc>
        <w:tc>
          <w:tcPr>
            <w:tcW w:w="1559" w:type="dxa"/>
            <w:tcBorders>
              <w:top w:val="nil"/>
              <w:left w:val="nil"/>
              <w:bottom w:val="single" w:color="auto" w:sz="4" w:space="0"/>
              <w:right w:val="single" w:color="auto" w:sz="4" w:space="0"/>
            </w:tcBorders>
            <w:vAlign w:val="center"/>
          </w:tcPr>
          <w:p w14:paraId="518B63D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29" w:type="dxa"/>
            <w:tcBorders>
              <w:top w:val="nil"/>
              <w:left w:val="nil"/>
              <w:bottom w:val="single" w:color="auto" w:sz="4" w:space="0"/>
              <w:right w:val="single" w:color="auto" w:sz="4" w:space="0"/>
            </w:tcBorders>
            <w:vAlign w:val="center"/>
          </w:tcPr>
          <w:p w14:paraId="17C6400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25" w:type="dxa"/>
            <w:tcBorders>
              <w:top w:val="nil"/>
              <w:left w:val="nil"/>
              <w:bottom w:val="single" w:color="auto" w:sz="4" w:space="0"/>
              <w:right w:val="single" w:color="auto" w:sz="4" w:space="0"/>
            </w:tcBorders>
            <w:vAlign w:val="center"/>
          </w:tcPr>
          <w:p w14:paraId="291AC37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1622" w:type="dxa"/>
            <w:tcBorders>
              <w:top w:val="nil"/>
              <w:left w:val="nil"/>
              <w:bottom w:val="single" w:color="auto" w:sz="4" w:space="0"/>
              <w:right w:val="single" w:color="auto" w:sz="4" w:space="0"/>
            </w:tcBorders>
            <w:vAlign w:val="center"/>
          </w:tcPr>
          <w:p w14:paraId="20D7A31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1043" w:type="dxa"/>
            <w:tcBorders>
              <w:top w:val="nil"/>
              <w:left w:val="nil"/>
              <w:bottom w:val="single" w:color="auto" w:sz="4" w:space="0"/>
              <w:right w:val="single" w:color="auto" w:sz="4" w:space="0"/>
            </w:tcBorders>
            <w:vAlign w:val="center"/>
          </w:tcPr>
          <w:p w14:paraId="2BAC4CD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2559BC08">
        <w:tblPrEx>
          <w:tblCellMar>
            <w:top w:w="0" w:type="dxa"/>
            <w:left w:w="108" w:type="dxa"/>
            <w:bottom w:w="0" w:type="dxa"/>
            <w:right w:w="108" w:type="dxa"/>
          </w:tblCellMar>
        </w:tblPrEx>
        <w:trPr>
          <w:trHeight w:val="339" w:hRule="atLeast"/>
        </w:trPr>
        <w:tc>
          <w:tcPr>
            <w:tcW w:w="1918" w:type="dxa"/>
            <w:vMerge w:val="restart"/>
            <w:tcBorders>
              <w:top w:val="nil"/>
              <w:left w:val="single" w:color="auto" w:sz="4" w:space="0"/>
              <w:bottom w:val="single" w:color="auto" w:sz="4" w:space="0"/>
              <w:right w:val="single" w:color="auto" w:sz="4" w:space="0"/>
            </w:tcBorders>
            <w:vAlign w:val="bottom"/>
          </w:tcPr>
          <w:p w14:paraId="5869135B">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559" w:type="dxa"/>
            <w:tcBorders>
              <w:top w:val="nil"/>
              <w:left w:val="nil"/>
              <w:bottom w:val="single" w:color="auto" w:sz="4" w:space="0"/>
              <w:right w:val="single" w:color="auto" w:sz="4" w:space="0"/>
            </w:tcBorders>
            <w:vAlign w:val="center"/>
          </w:tcPr>
          <w:p w14:paraId="0C2F4D4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29" w:type="dxa"/>
            <w:tcBorders>
              <w:top w:val="nil"/>
              <w:left w:val="nil"/>
              <w:bottom w:val="single" w:color="auto" w:sz="4" w:space="0"/>
              <w:right w:val="single" w:color="auto" w:sz="4" w:space="0"/>
            </w:tcBorders>
            <w:vAlign w:val="center"/>
          </w:tcPr>
          <w:p w14:paraId="04CAAD0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25" w:type="dxa"/>
            <w:tcBorders>
              <w:top w:val="nil"/>
              <w:left w:val="nil"/>
              <w:bottom w:val="single" w:color="auto" w:sz="4" w:space="0"/>
              <w:right w:val="single" w:color="auto" w:sz="4" w:space="0"/>
            </w:tcBorders>
            <w:vAlign w:val="center"/>
          </w:tcPr>
          <w:p w14:paraId="7BF3B30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1622" w:type="dxa"/>
            <w:tcBorders>
              <w:top w:val="nil"/>
              <w:left w:val="nil"/>
              <w:bottom w:val="single" w:color="auto" w:sz="4" w:space="0"/>
              <w:right w:val="single" w:color="auto" w:sz="4" w:space="0"/>
            </w:tcBorders>
            <w:vAlign w:val="center"/>
          </w:tcPr>
          <w:p w14:paraId="746007B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1043" w:type="dxa"/>
            <w:tcBorders>
              <w:top w:val="nil"/>
              <w:left w:val="nil"/>
              <w:bottom w:val="single" w:color="auto" w:sz="4" w:space="0"/>
              <w:right w:val="single" w:color="auto" w:sz="4" w:space="0"/>
            </w:tcBorders>
            <w:vAlign w:val="center"/>
          </w:tcPr>
          <w:p w14:paraId="45AFB12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548A06F5">
        <w:tblPrEx>
          <w:tblCellMar>
            <w:top w:w="0" w:type="dxa"/>
            <w:left w:w="108" w:type="dxa"/>
            <w:bottom w:w="0" w:type="dxa"/>
            <w:right w:w="108" w:type="dxa"/>
          </w:tblCellMar>
        </w:tblPrEx>
        <w:trPr>
          <w:trHeight w:val="339" w:hRule="atLeast"/>
        </w:trPr>
        <w:tc>
          <w:tcPr>
            <w:tcW w:w="1918" w:type="dxa"/>
            <w:vMerge w:val="continue"/>
            <w:tcBorders>
              <w:top w:val="nil"/>
              <w:left w:val="single" w:color="auto" w:sz="4" w:space="0"/>
              <w:bottom w:val="single" w:color="auto" w:sz="4" w:space="0"/>
              <w:right w:val="single" w:color="auto" w:sz="4" w:space="0"/>
            </w:tcBorders>
            <w:vAlign w:val="center"/>
          </w:tcPr>
          <w:p w14:paraId="62E3B98A">
            <w:pPr>
              <w:widowControl/>
              <w:jc w:val="left"/>
              <w:rPr>
                <w:rFonts w:ascii="仿宋_GB2312" w:hAnsi="仿宋" w:eastAsia="仿宋_GB2312" w:cs="宋体"/>
                <w:b/>
                <w:bCs/>
                <w:color w:val="auto"/>
                <w:kern w:val="0"/>
                <w:sz w:val="18"/>
                <w:szCs w:val="18"/>
                <w:highlight w:val="none"/>
              </w:rPr>
            </w:pPr>
          </w:p>
        </w:tc>
        <w:tc>
          <w:tcPr>
            <w:tcW w:w="1559" w:type="dxa"/>
            <w:tcBorders>
              <w:top w:val="nil"/>
              <w:left w:val="nil"/>
              <w:bottom w:val="single" w:color="auto" w:sz="4" w:space="0"/>
              <w:right w:val="single" w:color="auto" w:sz="4" w:space="0"/>
            </w:tcBorders>
            <w:vAlign w:val="center"/>
          </w:tcPr>
          <w:p w14:paraId="6F3663A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1029" w:type="dxa"/>
            <w:tcBorders>
              <w:top w:val="nil"/>
              <w:left w:val="nil"/>
              <w:bottom w:val="single" w:color="auto" w:sz="4" w:space="0"/>
              <w:right w:val="single" w:color="auto" w:sz="4" w:space="0"/>
            </w:tcBorders>
            <w:vAlign w:val="center"/>
          </w:tcPr>
          <w:p w14:paraId="36C4169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25" w:type="dxa"/>
            <w:tcBorders>
              <w:top w:val="nil"/>
              <w:left w:val="nil"/>
              <w:bottom w:val="single" w:color="auto" w:sz="4" w:space="0"/>
              <w:right w:val="single" w:color="auto" w:sz="4" w:space="0"/>
            </w:tcBorders>
            <w:vAlign w:val="center"/>
          </w:tcPr>
          <w:p w14:paraId="1847909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1622" w:type="dxa"/>
            <w:tcBorders>
              <w:top w:val="nil"/>
              <w:left w:val="nil"/>
              <w:bottom w:val="single" w:color="auto" w:sz="4" w:space="0"/>
              <w:right w:val="single" w:color="auto" w:sz="4" w:space="0"/>
            </w:tcBorders>
            <w:vAlign w:val="center"/>
          </w:tcPr>
          <w:p w14:paraId="3F86ED9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1043" w:type="dxa"/>
            <w:tcBorders>
              <w:top w:val="nil"/>
              <w:left w:val="nil"/>
              <w:bottom w:val="single" w:color="auto" w:sz="4" w:space="0"/>
              <w:right w:val="single" w:color="auto" w:sz="4" w:space="0"/>
            </w:tcBorders>
            <w:vAlign w:val="center"/>
          </w:tcPr>
          <w:p w14:paraId="66E59ED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14:paraId="1A16C6A8">
        <w:tblPrEx>
          <w:tblCellMar>
            <w:top w:w="0" w:type="dxa"/>
            <w:left w:w="108" w:type="dxa"/>
            <w:bottom w:w="0" w:type="dxa"/>
            <w:right w:w="108" w:type="dxa"/>
          </w:tblCellMar>
        </w:tblPrEx>
        <w:trPr>
          <w:trHeight w:val="339" w:hRule="atLeast"/>
        </w:trPr>
        <w:tc>
          <w:tcPr>
            <w:tcW w:w="1918" w:type="dxa"/>
            <w:vMerge w:val="restart"/>
            <w:tcBorders>
              <w:top w:val="nil"/>
              <w:left w:val="single" w:color="auto" w:sz="4" w:space="0"/>
              <w:bottom w:val="single" w:color="auto" w:sz="4" w:space="0"/>
              <w:right w:val="single" w:color="auto" w:sz="4" w:space="0"/>
            </w:tcBorders>
            <w:vAlign w:val="bottom"/>
          </w:tcPr>
          <w:p w14:paraId="2FAE4C3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559" w:type="dxa"/>
            <w:tcBorders>
              <w:top w:val="nil"/>
              <w:left w:val="nil"/>
              <w:bottom w:val="single" w:color="auto" w:sz="4" w:space="0"/>
              <w:right w:val="single" w:color="auto" w:sz="4" w:space="0"/>
            </w:tcBorders>
            <w:vAlign w:val="center"/>
          </w:tcPr>
          <w:p w14:paraId="45452F9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29" w:type="dxa"/>
            <w:tcBorders>
              <w:top w:val="nil"/>
              <w:left w:val="nil"/>
              <w:bottom w:val="single" w:color="auto" w:sz="4" w:space="0"/>
              <w:right w:val="single" w:color="auto" w:sz="4" w:space="0"/>
            </w:tcBorders>
            <w:vAlign w:val="center"/>
          </w:tcPr>
          <w:p w14:paraId="662C135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25" w:type="dxa"/>
            <w:tcBorders>
              <w:top w:val="nil"/>
              <w:left w:val="nil"/>
              <w:bottom w:val="single" w:color="auto" w:sz="4" w:space="0"/>
              <w:right w:val="single" w:color="auto" w:sz="4" w:space="0"/>
            </w:tcBorders>
            <w:vAlign w:val="center"/>
          </w:tcPr>
          <w:p w14:paraId="3CBBDC7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1622" w:type="dxa"/>
            <w:tcBorders>
              <w:top w:val="nil"/>
              <w:left w:val="nil"/>
              <w:bottom w:val="single" w:color="auto" w:sz="4" w:space="0"/>
              <w:right w:val="single" w:color="auto" w:sz="4" w:space="0"/>
            </w:tcBorders>
            <w:vAlign w:val="center"/>
          </w:tcPr>
          <w:p w14:paraId="5EFF728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1043" w:type="dxa"/>
            <w:tcBorders>
              <w:top w:val="nil"/>
              <w:left w:val="nil"/>
              <w:bottom w:val="single" w:color="auto" w:sz="4" w:space="0"/>
              <w:right w:val="single" w:color="auto" w:sz="4" w:space="0"/>
            </w:tcBorders>
            <w:vAlign w:val="center"/>
          </w:tcPr>
          <w:p w14:paraId="24B5B9F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14:paraId="607FD837">
        <w:tblPrEx>
          <w:tblCellMar>
            <w:top w:w="0" w:type="dxa"/>
            <w:left w:w="108" w:type="dxa"/>
            <w:bottom w:w="0" w:type="dxa"/>
            <w:right w:w="108" w:type="dxa"/>
          </w:tblCellMar>
        </w:tblPrEx>
        <w:trPr>
          <w:trHeight w:val="339" w:hRule="atLeast"/>
        </w:trPr>
        <w:tc>
          <w:tcPr>
            <w:tcW w:w="1918" w:type="dxa"/>
            <w:vMerge w:val="continue"/>
            <w:tcBorders>
              <w:top w:val="nil"/>
              <w:left w:val="single" w:color="auto" w:sz="4" w:space="0"/>
              <w:bottom w:val="single" w:color="auto" w:sz="4" w:space="0"/>
              <w:right w:val="single" w:color="auto" w:sz="4" w:space="0"/>
            </w:tcBorders>
            <w:vAlign w:val="center"/>
          </w:tcPr>
          <w:p w14:paraId="4224F515">
            <w:pPr>
              <w:widowControl/>
              <w:jc w:val="left"/>
              <w:rPr>
                <w:rFonts w:ascii="仿宋_GB2312" w:hAnsi="仿宋" w:eastAsia="仿宋_GB2312" w:cs="宋体"/>
                <w:b/>
                <w:bCs/>
                <w:color w:val="auto"/>
                <w:kern w:val="0"/>
                <w:sz w:val="18"/>
                <w:szCs w:val="18"/>
                <w:highlight w:val="none"/>
              </w:rPr>
            </w:pPr>
          </w:p>
        </w:tc>
        <w:tc>
          <w:tcPr>
            <w:tcW w:w="1559" w:type="dxa"/>
            <w:tcBorders>
              <w:top w:val="nil"/>
              <w:left w:val="nil"/>
              <w:bottom w:val="single" w:color="auto" w:sz="4" w:space="0"/>
              <w:right w:val="single" w:color="auto" w:sz="4" w:space="0"/>
            </w:tcBorders>
            <w:vAlign w:val="center"/>
          </w:tcPr>
          <w:p w14:paraId="6124C6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29" w:type="dxa"/>
            <w:tcBorders>
              <w:top w:val="nil"/>
              <w:left w:val="nil"/>
              <w:bottom w:val="single" w:color="auto" w:sz="4" w:space="0"/>
              <w:right w:val="single" w:color="auto" w:sz="4" w:space="0"/>
            </w:tcBorders>
            <w:vAlign w:val="center"/>
          </w:tcPr>
          <w:p w14:paraId="696A00F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25" w:type="dxa"/>
            <w:tcBorders>
              <w:top w:val="nil"/>
              <w:left w:val="nil"/>
              <w:bottom w:val="single" w:color="auto" w:sz="4" w:space="0"/>
              <w:right w:val="single" w:color="auto" w:sz="4" w:space="0"/>
            </w:tcBorders>
            <w:vAlign w:val="center"/>
          </w:tcPr>
          <w:p w14:paraId="1AC2A2F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1622" w:type="dxa"/>
            <w:tcBorders>
              <w:top w:val="nil"/>
              <w:left w:val="nil"/>
              <w:bottom w:val="single" w:color="auto" w:sz="4" w:space="0"/>
              <w:right w:val="single" w:color="auto" w:sz="4" w:space="0"/>
            </w:tcBorders>
            <w:vAlign w:val="center"/>
          </w:tcPr>
          <w:p w14:paraId="063B98A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043" w:type="dxa"/>
            <w:tcBorders>
              <w:top w:val="nil"/>
              <w:left w:val="nil"/>
              <w:bottom w:val="single" w:color="auto" w:sz="4" w:space="0"/>
              <w:right w:val="single" w:color="auto" w:sz="4" w:space="0"/>
            </w:tcBorders>
            <w:vAlign w:val="center"/>
          </w:tcPr>
          <w:p w14:paraId="1092B45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14:paraId="6AFEC8F8">
        <w:tblPrEx>
          <w:tblCellMar>
            <w:top w:w="0" w:type="dxa"/>
            <w:left w:w="108" w:type="dxa"/>
            <w:bottom w:w="0" w:type="dxa"/>
            <w:right w:w="108" w:type="dxa"/>
          </w:tblCellMar>
        </w:tblPrEx>
        <w:trPr>
          <w:trHeight w:val="339" w:hRule="atLeast"/>
        </w:trPr>
        <w:tc>
          <w:tcPr>
            <w:tcW w:w="1918" w:type="dxa"/>
            <w:vMerge w:val="restart"/>
            <w:tcBorders>
              <w:top w:val="nil"/>
              <w:left w:val="single" w:color="auto" w:sz="4" w:space="0"/>
              <w:bottom w:val="single" w:color="auto" w:sz="4" w:space="0"/>
              <w:right w:val="single" w:color="auto" w:sz="4" w:space="0"/>
            </w:tcBorders>
            <w:vAlign w:val="bottom"/>
          </w:tcPr>
          <w:p w14:paraId="13A329E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559" w:type="dxa"/>
            <w:tcBorders>
              <w:top w:val="nil"/>
              <w:left w:val="nil"/>
              <w:bottom w:val="single" w:color="auto" w:sz="4" w:space="0"/>
              <w:right w:val="single" w:color="auto" w:sz="4" w:space="0"/>
            </w:tcBorders>
            <w:vAlign w:val="center"/>
          </w:tcPr>
          <w:p w14:paraId="0225616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29" w:type="dxa"/>
            <w:tcBorders>
              <w:top w:val="nil"/>
              <w:left w:val="nil"/>
              <w:bottom w:val="single" w:color="auto" w:sz="4" w:space="0"/>
              <w:right w:val="single" w:color="auto" w:sz="4" w:space="0"/>
            </w:tcBorders>
            <w:vAlign w:val="center"/>
          </w:tcPr>
          <w:p w14:paraId="32B0981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25" w:type="dxa"/>
            <w:tcBorders>
              <w:top w:val="nil"/>
              <w:left w:val="nil"/>
              <w:bottom w:val="single" w:color="auto" w:sz="4" w:space="0"/>
              <w:right w:val="single" w:color="auto" w:sz="4" w:space="0"/>
            </w:tcBorders>
            <w:vAlign w:val="center"/>
          </w:tcPr>
          <w:p w14:paraId="370972C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1622" w:type="dxa"/>
            <w:tcBorders>
              <w:top w:val="nil"/>
              <w:left w:val="nil"/>
              <w:bottom w:val="single" w:color="auto" w:sz="4" w:space="0"/>
              <w:right w:val="single" w:color="auto" w:sz="4" w:space="0"/>
            </w:tcBorders>
            <w:vAlign w:val="center"/>
          </w:tcPr>
          <w:p w14:paraId="05C6E7C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1043" w:type="dxa"/>
            <w:tcBorders>
              <w:top w:val="nil"/>
              <w:left w:val="nil"/>
              <w:bottom w:val="single" w:color="auto" w:sz="4" w:space="0"/>
              <w:right w:val="single" w:color="auto" w:sz="4" w:space="0"/>
            </w:tcBorders>
            <w:vAlign w:val="center"/>
          </w:tcPr>
          <w:p w14:paraId="299F056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6A77D2A2">
        <w:tblPrEx>
          <w:tblCellMar>
            <w:top w:w="0" w:type="dxa"/>
            <w:left w:w="108" w:type="dxa"/>
            <w:bottom w:w="0" w:type="dxa"/>
            <w:right w:w="108" w:type="dxa"/>
          </w:tblCellMar>
        </w:tblPrEx>
        <w:trPr>
          <w:trHeight w:val="339" w:hRule="atLeast"/>
        </w:trPr>
        <w:tc>
          <w:tcPr>
            <w:tcW w:w="1918" w:type="dxa"/>
            <w:vMerge w:val="continue"/>
            <w:tcBorders>
              <w:top w:val="nil"/>
              <w:left w:val="single" w:color="auto" w:sz="4" w:space="0"/>
              <w:bottom w:val="single" w:color="auto" w:sz="4" w:space="0"/>
              <w:right w:val="single" w:color="auto" w:sz="4" w:space="0"/>
            </w:tcBorders>
            <w:vAlign w:val="center"/>
          </w:tcPr>
          <w:p w14:paraId="378B4691">
            <w:pPr>
              <w:widowControl/>
              <w:jc w:val="left"/>
              <w:rPr>
                <w:rFonts w:ascii="仿宋_GB2312" w:hAnsi="仿宋" w:eastAsia="仿宋_GB2312" w:cs="宋体"/>
                <w:b/>
                <w:bCs/>
                <w:color w:val="auto"/>
                <w:kern w:val="0"/>
                <w:sz w:val="18"/>
                <w:szCs w:val="18"/>
                <w:highlight w:val="none"/>
              </w:rPr>
            </w:pPr>
          </w:p>
        </w:tc>
        <w:tc>
          <w:tcPr>
            <w:tcW w:w="1559" w:type="dxa"/>
            <w:tcBorders>
              <w:top w:val="nil"/>
              <w:left w:val="nil"/>
              <w:bottom w:val="single" w:color="auto" w:sz="4" w:space="0"/>
              <w:right w:val="single" w:color="auto" w:sz="4" w:space="0"/>
            </w:tcBorders>
            <w:vAlign w:val="center"/>
          </w:tcPr>
          <w:p w14:paraId="48AA7E4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29" w:type="dxa"/>
            <w:tcBorders>
              <w:top w:val="nil"/>
              <w:left w:val="nil"/>
              <w:bottom w:val="single" w:color="auto" w:sz="4" w:space="0"/>
              <w:right w:val="single" w:color="auto" w:sz="4" w:space="0"/>
            </w:tcBorders>
            <w:vAlign w:val="center"/>
          </w:tcPr>
          <w:p w14:paraId="12388E4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25" w:type="dxa"/>
            <w:tcBorders>
              <w:top w:val="nil"/>
              <w:left w:val="nil"/>
              <w:bottom w:val="single" w:color="auto" w:sz="4" w:space="0"/>
              <w:right w:val="single" w:color="auto" w:sz="4" w:space="0"/>
            </w:tcBorders>
            <w:vAlign w:val="center"/>
          </w:tcPr>
          <w:p w14:paraId="41EEFF9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622" w:type="dxa"/>
            <w:tcBorders>
              <w:top w:val="nil"/>
              <w:left w:val="nil"/>
              <w:bottom w:val="single" w:color="auto" w:sz="4" w:space="0"/>
              <w:right w:val="single" w:color="auto" w:sz="4" w:space="0"/>
            </w:tcBorders>
            <w:vAlign w:val="center"/>
          </w:tcPr>
          <w:p w14:paraId="2741397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1043" w:type="dxa"/>
            <w:tcBorders>
              <w:top w:val="nil"/>
              <w:left w:val="nil"/>
              <w:bottom w:val="single" w:color="auto" w:sz="4" w:space="0"/>
              <w:right w:val="single" w:color="auto" w:sz="4" w:space="0"/>
            </w:tcBorders>
            <w:vAlign w:val="center"/>
          </w:tcPr>
          <w:p w14:paraId="442CCCE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E89E746">
        <w:tblPrEx>
          <w:tblCellMar>
            <w:top w:w="0" w:type="dxa"/>
            <w:left w:w="108" w:type="dxa"/>
            <w:bottom w:w="0" w:type="dxa"/>
            <w:right w:w="108" w:type="dxa"/>
          </w:tblCellMar>
        </w:tblPrEx>
        <w:trPr>
          <w:trHeight w:val="339" w:hRule="atLeast"/>
        </w:trPr>
        <w:tc>
          <w:tcPr>
            <w:tcW w:w="1918" w:type="dxa"/>
            <w:vMerge w:val="restart"/>
            <w:tcBorders>
              <w:top w:val="nil"/>
              <w:left w:val="single" w:color="auto" w:sz="4" w:space="0"/>
              <w:bottom w:val="single" w:color="auto" w:sz="4" w:space="0"/>
              <w:right w:val="single" w:color="auto" w:sz="4" w:space="0"/>
            </w:tcBorders>
            <w:vAlign w:val="bottom"/>
          </w:tcPr>
          <w:p w14:paraId="7EE6131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559" w:type="dxa"/>
            <w:tcBorders>
              <w:top w:val="nil"/>
              <w:left w:val="nil"/>
              <w:bottom w:val="single" w:color="auto" w:sz="4" w:space="0"/>
              <w:right w:val="single" w:color="auto" w:sz="4" w:space="0"/>
            </w:tcBorders>
            <w:vAlign w:val="center"/>
          </w:tcPr>
          <w:p w14:paraId="0580ABB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29" w:type="dxa"/>
            <w:tcBorders>
              <w:top w:val="nil"/>
              <w:left w:val="nil"/>
              <w:bottom w:val="single" w:color="auto" w:sz="4" w:space="0"/>
              <w:right w:val="single" w:color="auto" w:sz="4" w:space="0"/>
            </w:tcBorders>
            <w:vAlign w:val="center"/>
          </w:tcPr>
          <w:p w14:paraId="098FC77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25" w:type="dxa"/>
            <w:tcBorders>
              <w:top w:val="nil"/>
              <w:left w:val="nil"/>
              <w:bottom w:val="single" w:color="auto" w:sz="4" w:space="0"/>
              <w:right w:val="single" w:color="auto" w:sz="4" w:space="0"/>
            </w:tcBorders>
            <w:vAlign w:val="center"/>
          </w:tcPr>
          <w:p w14:paraId="1054A04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622" w:type="dxa"/>
            <w:tcBorders>
              <w:top w:val="nil"/>
              <w:left w:val="nil"/>
              <w:bottom w:val="single" w:color="auto" w:sz="4" w:space="0"/>
              <w:right w:val="single" w:color="auto" w:sz="4" w:space="0"/>
            </w:tcBorders>
            <w:vAlign w:val="center"/>
          </w:tcPr>
          <w:p w14:paraId="316F039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043" w:type="dxa"/>
            <w:tcBorders>
              <w:top w:val="nil"/>
              <w:left w:val="nil"/>
              <w:bottom w:val="single" w:color="auto" w:sz="4" w:space="0"/>
              <w:right w:val="single" w:color="auto" w:sz="4" w:space="0"/>
            </w:tcBorders>
            <w:vAlign w:val="center"/>
          </w:tcPr>
          <w:p w14:paraId="0542E00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700117F2">
        <w:tblPrEx>
          <w:tblCellMar>
            <w:top w:w="0" w:type="dxa"/>
            <w:left w:w="108" w:type="dxa"/>
            <w:bottom w:w="0" w:type="dxa"/>
            <w:right w:w="108" w:type="dxa"/>
          </w:tblCellMar>
        </w:tblPrEx>
        <w:trPr>
          <w:trHeight w:val="339" w:hRule="atLeast"/>
        </w:trPr>
        <w:tc>
          <w:tcPr>
            <w:tcW w:w="1918" w:type="dxa"/>
            <w:vMerge w:val="continue"/>
            <w:tcBorders>
              <w:top w:val="nil"/>
              <w:left w:val="single" w:color="auto" w:sz="4" w:space="0"/>
              <w:bottom w:val="single" w:color="auto" w:sz="4" w:space="0"/>
              <w:right w:val="single" w:color="auto" w:sz="4" w:space="0"/>
            </w:tcBorders>
            <w:vAlign w:val="center"/>
          </w:tcPr>
          <w:p w14:paraId="2067118F">
            <w:pPr>
              <w:widowControl/>
              <w:jc w:val="left"/>
              <w:rPr>
                <w:rFonts w:ascii="仿宋_GB2312" w:hAnsi="仿宋" w:eastAsia="仿宋_GB2312" w:cs="宋体"/>
                <w:b/>
                <w:bCs/>
                <w:color w:val="auto"/>
                <w:kern w:val="0"/>
                <w:sz w:val="18"/>
                <w:szCs w:val="18"/>
                <w:highlight w:val="none"/>
              </w:rPr>
            </w:pPr>
          </w:p>
        </w:tc>
        <w:tc>
          <w:tcPr>
            <w:tcW w:w="1559" w:type="dxa"/>
            <w:tcBorders>
              <w:top w:val="nil"/>
              <w:left w:val="nil"/>
              <w:bottom w:val="single" w:color="auto" w:sz="4" w:space="0"/>
              <w:right w:val="single" w:color="auto" w:sz="4" w:space="0"/>
            </w:tcBorders>
            <w:vAlign w:val="center"/>
          </w:tcPr>
          <w:p w14:paraId="75C46B1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29" w:type="dxa"/>
            <w:tcBorders>
              <w:top w:val="nil"/>
              <w:left w:val="nil"/>
              <w:bottom w:val="single" w:color="auto" w:sz="4" w:space="0"/>
              <w:right w:val="single" w:color="auto" w:sz="4" w:space="0"/>
            </w:tcBorders>
            <w:vAlign w:val="center"/>
          </w:tcPr>
          <w:p w14:paraId="0026CD4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25" w:type="dxa"/>
            <w:tcBorders>
              <w:top w:val="nil"/>
              <w:left w:val="nil"/>
              <w:bottom w:val="single" w:color="auto" w:sz="4" w:space="0"/>
              <w:right w:val="single" w:color="auto" w:sz="4" w:space="0"/>
            </w:tcBorders>
            <w:vAlign w:val="center"/>
          </w:tcPr>
          <w:p w14:paraId="11468BA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3000≤Y＜30000</w:t>
            </w:r>
          </w:p>
        </w:tc>
        <w:tc>
          <w:tcPr>
            <w:tcW w:w="1622" w:type="dxa"/>
            <w:tcBorders>
              <w:top w:val="nil"/>
              <w:left w:val="nil"/>
              <w:bottom w:val="single" w:color="auto" w:sz="4" w:space="0"/>
              <w:right w:val="single" w:color="auto" w:sz="4" w:space="0"/>
            </w:tcBorders>
            <w:vAlign w:val="center"/>
          </w:tcPr>
          <w:p w14:paraId="71206F1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200≤Y＜3000</w:t>
            </w:r>
          </w:p>
        </w:tc>
        <w:tc>
          <w:tcPr>
            <w:tcW w:w="1043" w:type="dxa"/>
            <w:tcBorders>
              <w:top w:val="nil"/>
              <w:left w:val="nil"/>
              <w:bottom w:val="single" w:color="auto" w:sz="4" w:space="0"/>
              <w:right w:val="single" w:color="auto" w:sz="4" w:space="0"/>
            </w:tcBorders>
            <w:vAlign w:val="center"/>
          </w:tcPr>
          <w:p w14:paraId="2EAB20A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14:paraId="5126AF4A">
        <w:tblPrEx>
          <w:tblCellMar>
            <w:top w:w="0" w:type="dxa"/>
            <w:left w:w="108" w:type="dxa"/>
            <w:bottom w:w="0" w:type="dxa"/>
            <w:right w:w="108" w:type="dxa"/>
          </w:tblCellMar>
        </w:tblPrEx>
        <w:trPr>
          <w:trHeight w:val="339" w:hRule="atLeast"/>
        </w:trPr>
        <w:tc>
          <w:tcPr>
            <w:tcW w:w="1918" w:type="dxa"/>
            <w:vMerge w:val="restart"/>
            <w:tcBorders>
              <w:top w:val="nil"/>
              <w:left w:val="single" w:color="auto" w:sz="4" w:space="0"/>
              <w:bottom w:val="single" w:color="auto" w:sz="4" w:space="0"/>
              <w:right w:val="single" w:color="auto" w:sz="4" w:space="0"/>
            </w:tcBorders>
            <w:vAlign w:val="bottom"/>
          </w:tcPr>
          <w:p w14:paraId="202B472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559" w:type="dxa"/>
            <w:tcBorders>
              <w:top w:val="nil"/>
              <w:left w:val="nil"/>
              <w:bottom w:val="single" w:color="auto" w:sz="4" w:space="0"/>
              <w:right w:val="single" w:color="auto" w:sz="4" w:space="0"/>
            </w:tcBorders>
            <w:vAlign w:val="center"/>
          </w:tcPr>
          <w:p w14:paraId="463B0FF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29" w:type="dxa"/>
            <w:tcBorders>
              <w:top w:val="nil"/>
              <w:left w:val="nil"/>
              <w:bottom w:val="single" w:color="auto" w:sz="4" w:space="0"/>
              <w:right w:val="single" w:color="auto" w:sz="4" w:space="0"/>
            </w:tcBorders>
            <w:vAlign w:val="center"/>
          </w:tcPr>
          <w:p w14:paraId="0BD3023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25" w:type="dxa"/>
            <w:tcBorders>
              <w:top w:val="nil"/>
              <w:left w:val="nil"/>
              <w:bottom w:val="single" w:color="auto" w:sz="4" w:space="0"/>
              <w:right w:val="single" w:color="auto" w:sz="4" w:space="0"/>
            </w:tcBorders>
            <w:vAlign w:val="center"/>
          </w:tcPr>
          <w:p w14:paraId="07A36E8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1622" w:type="dxa"/>
            <w:tcBorders>
              <w:top w:val="nil"/>
              <w:left w:val="nil"/>
              <w:bottom w:val="single" w:color="auto" w:sz="4" w:space="0"/>
              <w:right w:val="single" w:color="auto" w:sz="4" w:space="0"/>
            </w:tcBorders>
            <w:vAlign w:val="center"/>
          </w:tcPr>
          <w:p w14:paraId="617DD58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1043" w:type="dxa"/>
            <w:tcBorders>
              <w:top w:val="nil"/>
              <w:left w:val="nil"/>
              <w:bottom w:val="single" w:color="auto" w:sz="4" w:space="0"/>
              <w:right w:val="single" w:color="auto" w:sz="4" w:space="0"/>
            </w:tcBorders>
            <w:vAlign w:val="center"/>
          </w:tcPr>
          <w:p w14:paraId="27CAA66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29F3C600">
        <w:tblPrEx>
          <w:tblCellMar>
            <w:top w:w="0" w:type="dxa"/>
            <w:left w:w="108" w:type="dxa"/>
            <w:bottom w:w="0" w:type="dxa"/>
            <w:right w:w="108" w:type="dxa"/>
          </w:tblCellMar>
        </w:tblPrEx>
        <w:trPr>
          <w:trHeight w:val="339" w:hRule="atLeast"/>
        </w:trPr>
        <w:tc>
          <w:tcPr>
            <w:tcW w:w="1918" w:type="dxa"/>
            <w:vMerge w:val="continue"/>
            <w:tcBorders>
              <w:top w:val="nil"/>
              <w:left w:val="single" w:color="auto" w:sz="4" w:space="0"/>
              <w:bottom w:val="single" w:color="auto" w:sz="4" w:space="0"/>
              <w:right w:val="single" w:color="auto" w:sz="4" w:space="0"/>
            </w:tcBorders>
            <w:vAlign w:val="center"/>
          </w:tcPr>
          <w:p w14:paraId="4753E7E4">
            <w:pPr>
              <w:widowControl/>
              <w:jc w:val="left"/>
              <w:rPr>
                <w:rFonts w:ascii="仿宋_GB2312" w:hAnsi="仿宋" w:eastAsia="仿宋_GB2312" w:cs="宋体"/>
                <w:b/>
                <w:bCs/>
                <w:color w:val="auto"/>
                <w:kern w:val="0"/>
                <w:sz w:val="18"/>
                <w:szCs w:val="18"/>
                <w:highlight w:val="none"/>
              </w:rPr>
            </w:pPr>
          </w:p>
        </w:tc>
        <w:tc>
          <w:tcPr>
            <w:tcW w:w="1559" w:type="dxa"/>
            <w:tcBorders>
              <w:top w:val="nil"/>
              <w:left w:val="nil"/>
              <w:bottom w:val="single" w:color="auto" w:sz="4" w:space="0"/>
              <w:right w:val="single" w:color="auto" w:sz="4" w:space="0"/>
            </w:tcBorders>
            <w:vAlign w:val="center"/>
          </w:tcPr>
          <w:p w14:paraId="30ADF8D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29" w:type="dxa"/>
            <w:tcBorders>
              <w:top w:val="nil"/>
              <w:left w:val="nil"/>
              <w:bottom w:val="single" w:color="auto" w:sz="4" w:space="0"/>
              <w:right w:val="single" w:color="auto" w:sz="4" w:space="0"/>
            </w:tcBorders>
            <w:vAlign w:val="center"/>
          </w:tcPr>
          <w:p w14:paraId="269A1A9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25" w:type="dxa"/>
            <w:tcBorders>
              <w:top w:val="nil"/>
              <w:left w:val="nil"/>
              <w:bottom w:val="single" w:color="auto" w:sz="4" w:space="0"/>
              <w:right w:val="single" w:color="auto" w:sz="4" w:space="0"/>
            </w:tcBorders>
            <w:vAlign w:val="center"/>
          </w:tcPr>
          <w:p w14:paraId="78FBF1D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1000≤Y＜30000</w:t>
            </w:r>
          </w:p>
        </w:tc>
        <w:tc>
          <w:tcPr>
            <w:tcW w:w="1622" w:type="dxa"/>
            <w:tcBorders>
              <w:top w:val="nil"/>
              <w:left w:val="nil"/>
              <w:bottom w:val="single" w:color="auto" w:sz="4" w:space="0"/>
              <w:right w:val="single" w:color="auto" w:sz="4" w:space="0"/>
            </w:tcBorders>
            <w:vAlign w:val="center"/>
          </w:tcPr>
          <w:p w14:paraId="5C62C61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1043" w:type="dxa"/>
            <w:tcBorders>
              <w:top w:val="nil"/>
              <w:left w:val="nil"/>
              <w:bottom w:val="single" w:color="auto" w:sz="4" w:space="0"/>
              <w:right w:val="single" w:color="auto" w:sz="4" w:space="0"/>
            </w:tcBorders>
            <w:vAlign w:val="center"/>
          </w:tcPr>
          <w:p w14:paraId="667BC73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0545E6A1">
        <w:tblPrEx>
          <w:tblCellMar>
            <w:top w:w="0" w:type="dxa"/>
            <w:left w:w="108" w:type="dxa"/>
            <w:bottom w:w="0" w:type="dxa"/>
            <w:right w:w="108" w:type="dxa"/>
          </w:tblCellMar>
        </w:tblPrEx>
        <w:trPr>
          <w:trHeight w:val="339" w:hRule="atLeast"/>
        </w:trPr>
        <w:tc>
          <w:tcPr>
            <w:tcW w:w="1918" w:type="dxa"/>
            <w:vMerge w:val="restart"/>
            <w:tcBorders>
              <w:top w:val="nil"/>
              <w:left w:val="single" w:color="auto" w:sz="4" w:space="0"/>
              <w:bottom w:val="single" w:color="auto" w:sz="4" w:space="0"/>
              <w:right w:val="single" w:color="auto" w:sz="4" w:space="0"/>
            </w:tcBorders>
            <w:vAlign w:val="bottom"/>
          </w:tcPr>
          <w:p w14:paraId="2D8076B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559" w:type="dxa"/>
            <w:tcBorders>
              <w:top w:val="nil"/>
              <w:left w:val="nil"/>
              <w:bottom w:val="single" w:color="auto" w:sz="4" w:space="0"/>
              <w:right w:val="single" w:color="auto" w:sz="4" w:space="0"/>
            </w:tcBorders>
            <w:vAlign w:val="center"/>
          </w:tcPr>
          <w:p w14:paraId="7F7471E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29" w:type="dxa"/>
            <w:tcBorders>
              <w:top w:val="nil"/>
              <w:left w:val="nil"/>
              <w:bottom w:val="single" w:color="auto" w:sz="4" w:space="0"/>
              <w:right w:val="single" w:color="auto" w:sz="4" w:space="0"/>
            </w:tcBorders>
            <w:vAlign w:val="center"/>
          </w:tcPr>
          <w:p w14:paraId="720BC77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25" w:type="dxa"/>
            <w:tcBorders>
              <w:top w:val="nil"/>
              <w:left w:val="nil"/>
              <w:bottom w:val="single" w:color="auto" w:sz="4" w:space="0"/>
              <w:right w:val="single" w:color="auto" w:sz="4" w:space="0"/>
            </w:tcBorders>
            <w:vAlign w:val="center"/>
          </w:tcPr>
          <w:p w14:paraId="13B2B23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622" w:type="dxa"/>
            <w:tcBorders>
              <w:top w:val="nil"/>
              <w:left w:val="nil"/>
              <w:bottom w:val="single" w:color="auto" w:sz="4" w:space="0"/>
              <w:right w:val="single" w:color="auto" w:sz="4" w:space="0"/>
            </w:tcBorders>
            <w:vAlign w:val="center"/>
          </w:tcPr>
          <w:p w14:paraId="462C927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043" w:type="dxa"/>
            <w:tcBorders>
              <w:top w:val="nil"/>
              <w:left w:val="nil"/>
              <w:bottom w:val="single" w:color="auto" w:sz="4" w:space="0"/>
              <w:right w:val="single" w:color="auto" w:sz="4" w:space="0"/>
            </w:tcBorders>
            <w:vAlign w:val="center"/>
          </w:tcPr>
          <w:p w14:paraId="712C0F7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353A972E">
        <w:tblPrEx>
          <w:tblCellMar>
            <w:top w:w="0" w:type="dxa"/>
            <w:left w:w="108" w:type="dxa"/>
            <w:bottom w:w="0" w:type="dxa"/>
            <w:right w:w="108" w:type="dxa"/>
          </w:tblCellMar>
        </w:tblPrEx>
        <w:trPr>
          <w:trHeight w:val="339" w:hRule="atLeast"/>
        </w:trPr>
        <w:tc>
          <w:tcPr>
            <w:tcW w:w="1918" w:type="dxa"/>
            <w:vMerge w:val="continue"/>
            <w:tcBorders>
              <w:top w:val="nil"/>
              <w:left w:val="single" w:color="auto" w:sz="4" w:space="0"/>
              <w:bottom w:val="single" w:color="auto" w:sz="4" w:space="0"/>
              <w:right w:val="single" w:color="auto" w:sz="4" w:space="0"/>
            </w:tcBorders>
            <w:vAlign w:val="center"/>
          </w:tcPr>
          <w:p w14:paraId="2C097A56">
            <w:pPr>
              <w:widowControl/>
              <w:jc w:val="left"/>
              <w:rPr>
                <w:rFonts w:ascii="仿宋_GB2312" w:hAnsi="仿宋" w:eastAsia="仿宋_GB2312" w:cs="宋体"/>
                <w:b/>
                <w:bCs/>
                <w:color w:val="auto"/>
                <w:kern w:val="0"/>
                <w:sz w:val="18"/>
                <w:szCs w:val="18"/>
                <w:highlight w:val="none"/>
              </w:rPr>
            </w:pPr>
          </w:p>
        </w:tc>
        <w:tc>
          <w:tcPr>
            <w:tcW w:w="1559" w:type="dxa"/>
            <w:tcBorders>
              <w:top w:val="nil"/>
              <w:left w:val="nil"/>
              <w:bottom w:val="single" w:color="auto" w:sz="4" w:space="0"/>
              <w:right w:val="single" w:color="auto" w:sz="4" w:space="0"/>
            </w:tcBorders>
            <w:vAlign w:val="center"/>
          </w:tcPr>
          <w:p w14:paraId="30BB066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29" w:type="dxa"/>
            <w:tcBorders>
              <w:top w:val="nil"/>
              <w:left w:val="nil"/>
              <w:bottom w:val="single" w:color="auto" w:sz="4" w:space="0"/>
              <w:right w:val="single" w:color="auto" w:sz="4" w:space="0"/>
            </w:tcBorders>
            <w:vAlign w:val="center"/>
          </w:tcPr>
          <w:p w14:paraId="08ED286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25" w:type="dxa"/>
            <w:tcBorders>
              <w:top w:val="nil"/>
              <w:left w:val="nil"/>
              <w:bottom w:val="single" w:color="auto" w:sz="4" w:space="0"/>
              <w:right w:val="single" w:color="auto" w:sz="4" w:space="0"/>
            </w:tcBorders>
            <w:vAlign w:val="center"/>
          </w:tcPr>
          <w:p w14:paraId="41E39A9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2000≤Y＜30000</w:t>
            </w:r>
          </w:p>
        </w:tc>
        <w:tc>
          <w:tcPr>
            <w:tcW w:w="1622" w:type="dxa"/>
            <w:tcBorders>
              <w:top w:val="nil"/>
              <w:left w:val="nil"/>
              <w:bottom w:val="single" w:color="auto" w:sz="4" w:space="0"/>
              <w:right w:val="single" w:color="auto" w:sz="4" w:space="0"/>
            </w:tcBorders>
            <w:vAlign w:val="center"/>
          </w:tcPr>
          <w:p w14:paraId="086BC84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043" w:type="dxa"/>
            <w:tcBorders>
              <w:top w:val="nil"/>
              <w:left w:val="nil"/>
              <w:bottom w:val="single" w:color="auto" w:sz="4" w:space="0"/>
              <w:right w:val="single" w:color="auto" w:sz="4" w:space="0"/>
            </w:tcBorders>
            <w:vAlign w:val="center"/>
          </w:tcPr>
          <w:p w14:paraId="6FB25D9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123E306A">
        <w:tblPrEx>
          <w:tblCellMar>
            <w:top w:w="0" w:type="dxa"/>
            <w:left w:w="108" w:type="dxa"/>
            <w:bottom w:w="0" w:type="dxa"/>
            <w:right w:w="108" w:type="dxa"/>
          </w:tblCellMar>
        </w:tblPrEx>
        <w:trPr>
          <w:trHeight w:val="339" w:hRule="atLeast"/>
        </w:trPr>
        <w:tc>
          <w:tcPr>
            <w:tcW w:w="1918" w:type="dxa"/>
            <w:vMerge w:val="restart"/>
            <w:tcBorders>
              <w:top w:val="nil"/>
              <w:left w:val="single" w:color="auto" w:sz="4" w:space="0"/>
              <w:bottom w:val="single" w:color="auto" w:sz="4" w:space="0"/>
              <w:right w:val="single" w:color="auto" w:sz="4" w:space="0"/>
            </w:tcBorders>
            <w:vAlign w:val="bottom"/>
          </w:tcPr>
          <w:p w14:paraId="628F6B50">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559" w:type="dxa"/>
            <w:tcBorders>
              <w:top w:val="nil"/>
              <w:left w:val="nil"/>
              <w:bottom w:val="single" w:color="auto" w:sz="4" w:space="0"/>
              <w:right w:val="single" w:color="auto" w:sz="4" w:space="0"/>
            </w:tcBorders>
            <w:vAlign w:val="center"/>
          </w:tcPr>
          <w:p w14:paraId="48FD6F3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29" w:type="dxa"/>
            <w:tcBorders>
              <w:top w:val="nil"/>
              <w:left w:val="nil"/>
              <w:bottom w:val="single" w:color="auto" w:sz="4" w:space="0"/>
              <w:right w:val="single" w:color="auto" w:sz="4" w:space="0"/>
            </w:tcBorders>
            <w:vAlign w:val="center"/>
          </w:tcPr>
          <w:p w14:paraId="7B75487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25" w:type="dxa"/>
            <w:tcBorders>
              <w:top w:val="nil"/>
              <w:left w:val="nil"/>
              <w:bottom w:val="single" w:color="auto" w:sz="4" w:space="0"/>
              <w:right w:val="single" w:color="auto" w:sz="4" w:space="0"/>
            </w:tcBorders>
            <w:vAlign w:val="center"/>
          </w:tcPr>
          <w:p w14:paraId="37B239C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622" w:type="dxa"/>
            <w:tcBorders>
              <w:top w:val="nil"/>
              <w:left w:val="nil"/>
              <w:bottom w:val="single" w:color="auto" w:sz="4" w:space="0"/>
              <w:right w:val="single" w:color="auto" w:sz="4" w:space="0"/>
            </w:tcBorders>
            <w:vAlign w:val="center"/>
          </w:tcPr>
          <w:p w14:paraId="57314AD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43" w:type="dxa"/>
            <w:tcBorders>
              <w:top w:val="nil"/>
              <w:left w:val="nil"/>
              <w:bottom w:val="single" w:color="auto" w:sz="4" w:space="0"/>
              <w:right w:val="single" w:color="auto" w:sz="4" w:space="0"/>
            </w:tcBorders>
            <w:vAlign w:val="center"/>
          </w:tcPr>
          <w:p w14:paraId="3C88B5E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5EEFE7FE">
        <w:tblPrEx>
          <w:tblCellMar>
            <w:top w:w="0" w:type="dxa"/>
            <w:left w:w="108" w:type="dxa"/>
            <w:bottom w:w="0" w:type="dxa"/>
            <w:right w:w="108" w:type="dxa"/>
          </w:tblCellMar>
        </w:tblPrEx>
        <w:trPr>
          <w:trHeight w:val="339" w:hRule="atLeast"/>
        </w:trPr>
        <w:tc>
          <w:tcPr>
            <w:tcW w:w="1918" w:type="dxa"/>
            <w:vMerge w:val="continue"/>
            <w:tcBorders>
              <w:top w:val="nil"/>
              <w:left w:val="single" w:color="auto" w:sz="4" w:space="0"/>
              <w:bottom w:val="single" w:color="auto" w:sz="4" w:space="0"/>
              <w:right w:val="single" w:color="auto" w:sz="4" w:space="0"/>
            </w:tcBorders>
            <w:vAlign w:val="center"/>
          </w:tcPr>
          <w:p w14:paraId="731FDA4A">
            <w:pPr>
              <w:widowControl/>
              <w:jc w:val="left"/>
              <w:rPr>
                <w:rFonts w:ascii="仿宋_GB2312" w:hAnsi="仿宋" w:eastAsia="仿宋_GB2312" w:cs="宋体"/>
                <w:b/>
                <w:bCs/>
                <w:color w:val="auto"/>
                <w:kern w:val="0"/>
                <w:sz w:val="18"/>
                <w:szCs w:val="18"/>
                <w:highlight w:val="none"/>
              </w:rPr>
            </w:pPr>
          </w:p>
        </w:tc>
        <w:tc>
          <w:tcPr>
            <w:tcW w:w="1559" w:type="dxa"/>
            <w:tcBorders>
              <w:top w:val="nil"/>
              <w:left w:val="nil"/>
              <w:bottom w:val="single" w:color="auto" w:sz="4" w:space="0"/>
              <w:right w:val="single" w:color="auto" w:sz="4" w:space="0"/>
            </w:tcBorders>
            <w:vAlign w:val="center"/>
          </w:tcPr>
          <w:p w14:paraId="4D6571B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29" w:type="dxa"/>
            <w:tcBorders>
              <w:top w:val="nil"/>
              <w:left w:val="nil"/>
              <w:bottom w:val="single" w:color="auto" w:sz="4" w:space="0"/>
              <w:right w:val="single" w:color="auto" w:sz="4" w:space="0"/>
            </w:tcBorders>
            <w:vAlign w:val="center"/>
          </w:tcPr>
          <w:p w14:paraId="4A7E452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25" w:type="dxa"/>
            <w:tcBorders>
              <w:top w:val="nil"/>
              <w:left w:val="nil"/>
              <w:bottom w:val="single" w:color="auto" w:sz="4" w:space="0"/>
              <w:right w:val="single" w:color="auto" w:sz="4" w:space="0"/>
            </w:tcBorders>
            <w:vAlign w:val="center"/>
          </w:tcPr>
          <w:p w14:paraId="2A94AB4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622" w:type="dxa"/>
            <w:tcBorders>
              <w:top w:val="nil"/>
              <w:left w:val="nil"/>
              <w:bottom w:val="single" w:color="auto" w:sz="4" w:space="0"/>
              <w:right w:val="single" w:color="auto" w:sz="4" w:space="0"/>
            </w:tcBorders>
            <w:vAlign w:val="center"/>
          </w:tcPr>
          <w:p w14:paraId="26D36BD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043" w:type="dxa"/>
            <w:tcBorders>
              <w:top w:val="nil"/>
              <w:left w:val="nil"/>
              <w:bottom w:val="single" w:color="auto" w:sz="4" w:space="0"/>
              <w:right w:val="single" w:color="auto" w:sz="4" w:space="0"/>
            </w:tcBorders>
            <w:vAlign w:val="center"/>
          </w:tcPr>
          <w:p w14:paraId="2A6ECE1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729CFBD8">
        <w:tblPrEx>
          <w:tblCellMar>
            <w:top w:w="0" w:type="dxa"/>
            <w:left w:w="108" w:type="dxa"/>
            <w:bottom w:w="0" w:type="dxa"/>
            <w:right w:w="108" w:type="dxa"/>
          </w:tblCellMar>
        </w:tblPrEx>
        <w:trPr>
          <w:trHeight w:val="339" w:hRule="atLeast"/>
        </w:trPr>
        <w:tc>
          <w:tcPr>
            <w:tcW w:w="1918" w:type="dxa"/>
            <w:vMerge w:val="restart"/>
            <w:tcBorders>
              <w:top w:val="nil"/>
              <w:left w:val="single" w:color="auto" w:sz="4" w:space="0"/>
              <w:bottom w:val="single" w:color="auto" w:sz="4" w:space="0"/>
              <w:right w:val="single" w:color="auto" w:sz="4" w:space="0"/>
            </w:tcBorders>
            <w:vAlign w:val="bottom"/>
          </w:tcPr>
          <w:p w14:paraId="0662075F">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559" w:type="dxa"/>
            <w:tcBorders>
              <w:top w:val="nil"/>
              <w:left w:val="nil"/>
              <w:bottom w:val="single" w:color="auto" w:sz="4" w:space="0"/>
              <w:right w:val="single" w:color="auto" w:sz="4" w:space="0"/>
            </w:tcBorders>
            <w:vAlign w:val="center"/>
          </w:tcPr>
          <w:p w14:paraId="233CD53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29" w:type="dxa"/>
            <w:tcBorders>
              <w:top w:val="nil"/>
              <w:left w:val="nil"/>
              <w:bottom w:val="single" w:color="auto" w:sz="4" w:space="0"/>
              <w:right w:val="single" w:color="auto" w:sz="4" w:space="0"/>
            </w:tcBorders>
            <w:vAlign w:val="center"/>
          </w:tcPr>
          <w:p w14:paraId="39EB254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25" w:type="dxa"/>
            <w:tcBorders>
              <w:top w:val="nil"/>
              <w:left w:val="nil"/>
              <w:bottom w:val="single" w:color="auto" w:sz="4" w:space="0"/>
              <w:right w:val="single" w:color="auto" w:sz="4" w:space="0"/>
            </w:tcBorders>
            <w:vAlign w:val="center"/>
          </w:tcPr>
          <w:p w14:paraId="000DE50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622" w:type="dxa"/>
            <w:tcBorders>
              <w:top w:val="nil"/>
              <w:left w:val="nil"/>
              <w:bottom w:val="single" w:color="auto" w:sz="4" w:space="0"/>
              <w:right w:val="single" w:color="auto" w:sz="4" w:space="0"/>
            </w:tcBorders>
            <w:vAlign w:val="center"/>
          </w:tcPr>
          <w:p w14:paraId="6CE3E27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43" w:type="dxa"/>
            <w:tcBorders>
              <w:top w:val="nil"/>
              <w:left w:val="nil"/>
              <w:bottom w:val="single" w:color="auto" w:sz="4" w:space="0"/>
              <w:right w:val="single" w:color="auto" w:sz="4" w:space="0"/>
            </w:tcBorders>
            <w:vAlign w:val="center"/>
          </w:tcPr>
          <w:p w14:paraId="4DDE3F5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5A009223">
        <w:tblPrEx>
          <w:tblCellMar>
            <w:top w:w="0" w:type="dxa"/>
            <w:left w:w="108" w:type="dxa"/>
            <w:bottom w:w="0" w:type="dxa"/>
            <w:right w:w="108" w:type="dxa"/>
          </w:tblCellMar>
        </w:tblPrEx>
        <w:trPr>
          <w:trHeight w:val="339" w:hRule="atLeast"/>
        </w:trPr>
        <w:tc>
          <w:tcPr>
            <w:tcW w:w="1918" w:type="dxa"/>
            <w:vMerge w:val="continue"/>
            <w:tcBorders>
              <w:top w:val="nil"/>
              <w:left w:val="single" w:color="auto" w:sz="4" w:space="0"/>
              <w:bottom w:val="single" w:color="auto" w:sz="4" w:space="0"/>
              <w:right w:val="single" w:color="auto" w:sz="4" w:space="0"/>
            </w:tcBorders>
            <w:vAlign w:val="center"/>
          </w:tcPr>
          <w:p w14:paraId="1AC7C36D">
            <w:pPr>
              <w:widowControl/>
              <w:jc w:val="left"/>
              <w:rPr>
                <w:rFonts w:ascii="仿宋_GB2312" w:hAnsi="仿宋" w:eastAsia="仿宋_GB2312" w:cs="宋体"/>
                <w:b/>
                <w:bCs/>
                <w:color w:val="auto"/>
                <w:kern w:val="0"/>
                <w:sz w:val="18"/>
                <w:szCs w:val="18"/>
                <w:highlight w:val="none"/>
              </w:rPr>
            </w:pPr>
          </w:p>
        </w:tc>
        <w:tc>
          <w:tcPr>
            <w:tcW w:w="1559" w:type="dxa"/>
            <w:tcBorders>
              <w:top w:val="nil"/>
              <w:left w:val="nil"/>
              <w:bottom w:val="single" w:color="auto" w:sz="4" w:space="0"/>
              <w:right w:val="single" w:color="auto" w:sz="4" w:space="0"/>
            </w:tcBorders>
            <w:vAlign w:val="center"/>
          </w:tcPr>
          <w:p w14:paraId="33F45CC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29" w:type="dxa"/>
            <w:tcBorders>
              <w:top w:val="nil"/>
              <w:left w:val="nil"/>
              <w:bottom w:val="single" w:color="auto" w:sz="4" w:space="0"/>
              <w:right w:val="single" w:color="auto" w:sz="4" w:space="0"/>
            </w:tcBorders>
            <w:vAlign w:val="center"/>
          </w:tcPr>
          <w:p w14:paraId="7CA7371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25" w:type="dxa"/>
            <w:tcBorders>
              <w:top w:val="nil"/>
              <w:left w:val="nil"/>
              <w:bottom w:val="single" w:color="auto" w:sz="4" w:space="0"/>
              <w:right w:val="single" w:color="auto" w:sz="4" w:space="0"/>
            </w:tcBorders>
            <w:vAlign w:val="center"/>
          </w:tcPr>
          <w:p w14:paraId="3A93EFF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622" w:type="dxa"/>
            <w:tcBorders>
              <w:top w:val="nil"/>
              <w:left w:val="nil"/>
              <w:bottom w:val="single" w:color="auto" w:sz="4" w:space="0"/>
              <w:right w:val="single" w:color="auto" w:sz="4" w:space="0"/>
            </w:tcBorders>
            <w:vAlign w:val="center"/>
          </w:tcPr>
          <w:p w14:paraId="7AF63BF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043" w:type="dxa"/>
            <w:tcBorders>
              <w:top w:val="nil"/>
              <w:left w:val="nil"/>
              <w:bottom w:val="single" w:color="auto" w:sz="4" w:space="0"/>
              <w:right w:val="single" w:color="auto" w:sz="4" w:space="0"/>
            </w:tcBorders>
            <w:vAlign w:val="center"/>
          </w:tcPr>
          <w:p w14:paraId="749D999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02CA595F">
        <w:tblPrEx>
          <w:tblCellMar>
            <w:top w:w="0" w:type="dxa"/>
            <w:left w:w="108" w:type="dxa"/>
            <w:bottom w:w="0" w:type="dxa"/>
            <w:right w:w="108" w:type="dxa"/>
          </w:tblCellMar>
        </w:tblPrEx>
        <w:trPr>
          <w:trHeight w:val="339" w:hRule="atLeast"/>
        </w:trPr>
        <w:tc>
          <w:tcPr>
            <w:tcW w:w="1918" w:type="dxa"/>
            <w:vMerge w:val="restart"/>
            <w:tcBorders>
              <w:top w:val="nil"/>
              <w:left w:val="single" w:color="auto" w:sz="4" w:space="0"/>
              <w:bottom w:val="single" w:color="auto" w:sz="4" w:space="0"/>
              <w:right w:val="single" w:color="auto" w:sz="4" w:space="0"/>
            </w:tcBorders>
            <w:vAlign w:val="bottom"/>
          </w:tcPr>
          <w:p w14:paraId="067FFD2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559" w:type="dxa"/>
            <w:tcBorders>
              <w:top w:val="nil"/>
              <w:left w:val="nil"/>
              <w:bottom w:val="single" w:color="auto" w:sz="4" w:space="0"/>
              <w:right w:val="single" w:color="auto" w:sz="4" w:space="0"/>
            </w:tcBorders>
            <w:vAlign w:val="center"/>
          </w:tcPr>
          <w:p w14:paraId="744394A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29" w:type="dxa"/>
            <w:tcBorders>
              <w:top w:val="nil"/>
              <w:left w:val="nil"/>
              <w:bottom w:val="single" w:color="auto" w:sz="4" w:space="0"/>
              <w:right w:val="single" w:color="auto" w:sz="4" w:space="0"/>
            </w:tcBorders>
            <w:vAlign w:val="center"/>
          </w:tcPr>
          <w:p w14:paraId="12099C7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25" w:type="dxa"/>
            <w:tcBorders>
              <w:top w:val="nil"/>
              <w:left w:val="nil"/>
              <w:bottom w:val="single" w:color="auto" w:sz="4" w:space="0"/>
              <w:right w:val="single" w:color="auto" w:sz="4" w:space="0"/>
            </w:tcBorders>
            <w:vAlign w:val="center"/>
          </w:tcPr>
          <w:p w14:paraId="47BC46C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1622" w:type="dxa"/>
            <w:tcBorders>
              <w:top w:val="nil"/>
              <w:left w:val="nil"/>
              <w:bottom w:val="single" w:color="auto" w:sz="4" w:space="0"/>
              <w:right w:val="single" w:color="auto" w:sz="4" w:space="0"/>
            </w:tcBorders>
            <w:vAlign w:val="center"/>
          </w:tcPr>
          <w:p w14:paraId="41EB142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43" w:type="dxa"/>
            <w:tcBorders>
              <w:top w:val="nil"/>
              <w:left w:val="nil"/>
              <w:bottom w:val="single" w:color="auto" w:sz="4" w:space="0"/>
              <w:right w:val="single" w:color="auto" w:sz="4" w:space="0"/>
            </w:tcBorders>
            <w:vAlign w:val="center"/>
          </w:tcPr>
          <w:p w14:paraId="3B0FF51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2682CC98">
        <w:tblPrEx>
          <w:tblCellMar>
            <w:top w:w="0" w:type="dxa"/>
            <w:left w:w="108" w:type="dxa"/>
            <w:bottom w:w="0" w:type="dxa"/>
            <w:right w:w="108" w:type="dxa"/>
          </w:tblCellMar>
        </w:tblPrEx>
        <w:trPr>
          <w:trHeight w:val="339" w:hRule="atLeast"/>
        </w:trPr>
        <w:tc>
          <w:tcPr>
            <w:tcW w:w="1918" w:type="dxa"/>
            <w:vMerge w:val="continue"/>
            <w:tcBorders>
              <w:top w:val="nil"/>
              <w:left w:val="single" w:color="auto" w:sz="4" w:space="0"/>
              <w:bottom w:val="single" w:color="auto" w:sz="4" w:space="0"/>
              <w:right w:val="single" w:color="auto" w:sz="4" w:space="0"/>
            </w:tcBorders>
            <w:vAlign w:val="center"/>
          </w:tcPr>
          <w:p w14:paraId="2ABB82D1">
            <w:pPr>
              <w:widowControl/>
              <w:jc w:val="left"/>
              <w:rPr>
                <w:rFonts w:ascii="仿宋_GB2312" w:hAnsi="仿宋" w:eastAsia="仿宋_GB2312" w:cs="宋体"/>
                <w:b/>
                <w:bCs/>
                <w:color w:val="auto"/>
                <w:kern w:val="0"/>
                <w:sz w:val="18"/>
                <w:szCs w:val="18"/>
                <w:highlight w:val="none"/>
              </w:rPr>
            </w:pPr>
          </w:p>
        </w:tc>
        <w:tc>
          <w:tcPr>
            <w:tcW w:w="1559" w:type="dxa"/>
            <w:tcBorders>
              <w:top w:val="nil"/>
              <w:left w:val="nil"/>
              <w:bottom w:val="single" w:color="auto" w:sz="4" w:space="0"/>
              <w:right w:val="single" w:color="auto" w:sz="4" w:space="0"/>
            </w:tcBorders>
            <w:vAlign w:val="center"/>
          </w:tcPr>
          <w:p w14:paraId="7A81193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29" w:type="dxa"/>
            <w:tcBorders>
              <w:top w:val="nil"/>
              <w:left w:val="nil"/>
              <w:bottom w:val="single" w:color="auto" w:sz="4" w:space="0"/>
              <w:right w:val="single" w:color="auto" w:sz="4" w:space="0"/>
            </w:tcBorders>
            <w:vAlign w:val="center"/>
          </w:tcPr>
          <w:p w14:paraId="377E2B0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25" w:type="dxa"/>
            <w:tcBorders>
              <w:top w:val="nil"/>
              <w:left w:val="nil"/>
              <w:bottom w:val="single" w:color="auto" w:sz="4" w:space="0"/>
              <w:right w:val="single" w:color="auto" w:sz="4" w:space="0"/>
            </w:tcBorders>
            <w:vAlign w:val="center"/>
          </w:tcPr>
          <w:p w14:paraId="65986A7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1622" w:type="dxa"/>
            <w:tcBorders>
              <w:top w:val="nil"/>
              <w:left w:val="nil"/>
              <w:bottom w:val="single" w:color="auto" w:sz="4" w:space="0"/>
              <w:right w:val="single" w:color="auto" w:sz="4" w:space="0"/>
            </w:tcBorders>
            <w:vAlign w:val="center"/>
          </w:tcPr>
          <w:p w14:paraId="1976842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1043" w:type="dxa"/>
            <w:tcBorders>
              <w:top w:val="nil"/>
              <w:left w:val="nil"/>
              <w:bottom w:val="single" w:color="auto" w:sz="4" w:space="0"/>
              <w:right w:val="single" w:color="auto" w:sz="4" w:space="0"/>
            </w:tcBorders>
            <w:vAlign w:val="center"/>
          </w:tcPr>
          <w:p w14:paraId="20B1639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0B636539">
        <w:tblPrEx>
          <w:tblCellMar>
            <w:top w:w="0" w:type="dxa"/>
            <w:left w:w="108" w:type="dxa"/>
            <w:bottom w:w="0" w:type="dxa"/>
            <w:right w:w="108" w:type="dxa"/>
          </w:tblCellMar>
        </w:tblPrEx>
        <w:trPr>
          <w:trHeight w:val="339" w:hRule="atLeast"/>
        </w:trPr>
        <w:tc>
          <w:tcPr>
            <w:tcW w:w="1918" w:type="dxa"/>
            <w:vMerge w:val="restart"/>
            <w:tcBorders>
              <w:top w:val="nil"/>
              <w:left w:val="single" w:color="auto" w:sz="4" w:space="0"/>
              <w:bottom w:val="single" w:color="auto" w:sz="4" w:space="0"/>
              <w:right w:val="single" w:color="auto" w:sz="4" w:space="0"/>
            </w:tcBorders>
            <w:vAlign w:val="bottom"/>
          </w:tcPr>
          <w:p w14:paraId="64E37CD9">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559" w:type="dxa"/>
            <w:tcBorders>
              <w:top w:val="nil"/>
              <w:left w:val="nil"/>
              <w:bottom w:val="single" w:color="auto" w:sz="4" w:space="0"/>
              <w:right w:val="single" w:color="auto" w:sz="4" w:space="0"/>
            </w:tcBorders>
            <w:vAlign w:val="center"/>
          </w:tcPr>
          <w:p w14:paraId="182E98D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29" w:type="dxa"/>
            <w:tcBorders>
              <w:top w:val="nil"/>
              <w:left w:val="nil"/>
              <w:bottom w:val="single" w:color="auto" w:sz="4" w:space="0"/>
              <w:right w:val="single" w:color="auto" w:sz="4" w:space="0"/>
            </w:tcBorders>
            <w:vAlign w:val="center"/>
          </w:tcPr>
          <w:p w14:paraId="102EF07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25" w:type="dxa"/>
            <w:tcBorders>
              <w:top w:val="nil"/>
              <w:left w:val="nil"/>
              <w:bottom w:val="single" w:color="auto" w:sz="4" w:space="0"/>
              <w:right w:val="single" w:color="auto" w:sz="4" w:space="0"/>
            </w:tcBorders>
            <w:vAlign w:val="center"/>
          </w:tcPr>
          <w:p w14:paraId="76563C9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622" w:type="dxa"/>
            <w:tcBorders>
              <w:top w:val="nil"/>
              <w:left w:val="nil"/>
              <w:bottom w:val="single" w:color="auto" w:sz="4" w:space="0"/>
              <w:right w:val="single" w:color="auto" w:sz="4" w:space="0"/>
            </w:tcBorders>
            <w:vAlign w:val="center"/>
          </w:tcPr>
          <w:p w14:paraId="2EC0DE7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43" w:type="dxa"/>
            <w:tcBorders>
              <w:top w:val="nil"/>
              <w:left w:val="nil"/>
              <w:bottom w:val="single" w:color="auto" w:sz="4" w:space="0"/>
              <w:right w:val="single" w:color="auto" w:sz="4" w:space="0"/>
            </w:tcBorders>
            <w:vAlign w:val="center"/>
          </w:tcPr>
          <w:p w14:paraId="5AF3353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4CC9F55C">
        <w:tblPrEx>
          <w:tblCellMar>
            <w:top w:w="0" w:type="dxa"/>
            <w:left w:w="108" w:type="dxa"/>
            <w:bottom w:w="0" w:type="dxa"/>
            <w:right w:w="108" w:type="dxa"/>
          </w:tblCellMar>
        </w:tblPrEx>
        <w:trPr>
          <w:trHeight w:val="339" w:hRule="atLeast"/>
        </w:trPr>
        <w:tc>
          <w:tcPr>
            <w:tcW w:w="1918" w:type="dxa"/>
            <w:vMerge w:val="continue"/>
            <w:tcBorders>
              <w:top w:val="nil"/>
              <w:left w:val="single" w:color="auto" w:sz="4" w:space="0"/>
              <w:bottom w:val="single" w:color="auto" w:sz="4" w:space="0"/>
              <w:right w:val="single" w:color="auto" w:sz="4" w:space="0"/>
            </w:tcBorders>
            <w:vAlign w:val="center"/>
          </w:tcPr>
          <w:p w14:paraId="7F663C20">
            <w:pPr>
              <w:widowControl/>
              <w:jc w:val="left"/>
              <w:rPr>
                <w:rFonts w:ascii="仿宋_GB2312" w:hAnsi="仿宋" w:eastAsia="仿宋_GB2312" w:cs="宋体"/>
                <w:b/>
                <w:bCs/>
                <w:color w:val="auto"/>
                <w:kern w:val="0"/>
                <w:sz w:val="18"/>
                <w:szCs w:val="18"/>
                <w:highlight w:val="none"/>
              </w:rPr>
            </w:pPr>
          </w:p>
        </w:tc>
        <w:tc>
          <w:tcPr>
            <w:tcW w:w="1559" w:type="dxa"/>
            <w:tcBorders>
              <w:top w:val="nil"/>
              <w:left w:val="nil"/>
              <w:bottom w:val="single" w:color="auto" w:sz="4" w:space="0"/>
              <w:right w:val="single" w:color="auto" w:sz="4" w:space="0"/>
            </w:tcBorders>
            <w:vAlign w:val="center"/>
          </w:tcPr>
          <w:p w14:paraId="1EC7D3C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29" w:type="dxa"/>
            <w:tcBorders>
              <w:top w:val="nil"/>
              <w:left w:val="nil"/>
              <w:bottom w:val="single" w:color="auto" w:sz="4" w:space="0"/>
              <w:right w:val="single" w:color="auto" w:sz="4" w:space="0"/>
            </w:tcBorders>
            <w:vAlign w:val="center"/>
          </w:tcPr>
          <w:p w14:paraId="20B3F2F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25" w:type="dxa"/>
            <w:tcBorders>
              <w:top w:val="nil"/>
              <w:left w:val="nil"/>
              <w:bottom w:val="single" w:color="auto" w:sz="4" w:space="0"/>
              <w:right w:val="single" w:color="auto" w:sz="4" w:space="0"/>
            </w:tcBorders>
            <w:vAlign w:val="center"/>
          </w:tcPr>
          <w:p w14:paraId="3676334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1622" w:type="dxa"/>
            <w:tcBorders>
              <w:top w:val="nil"/>
              <w:left w:val="nil"/>
              <w:bottom w:val="single" w:color="auto" w:sz="4" w:space="0"/>
              <w:right w:val="single" w:color="auto" w:sz="4" w:space="0"/>
            </w:tcBorders>
            <w:vAlign w:val="center"/>
          </w:tcPr>
          <w:p w14:paraId="379931F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1043" w:type="dxa"/>
            <w:tcBorders>
              <w:top w:val="nil"/>
              <w:left w:val="nil"/>
              <w:bottom w:val="single" w:color="auto" w:sz="4" w:space="0"/>
              <w:right w:val="single" w:color="auto" w:sz="4" w:space="0"/>
            </w:tcBorders>
            <w:vAlign w:val="center"/>
          </w:tcPr>
          <w:p w14:paraId="0E622ED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56D7DC64">
        <w:tblPrEx>
          <w:tblCellMar>
            <w:top w:w="0" w:type="dxa"/>
            <w:left w:w="108" w:type="dxa"/>
            <w:bottom w:w="0" w:type="dxa"/>
            <w:right w:w="108" w:type="dxa"/>
          </w:tblCellMar>
        </w:tblPrEx>
        <w:trPr>
          <w:trHeight w:val="339" w:hRule="atLeast"/>
        </w:trPr>
        <w:tc>
          <w:tcPr>
            <w:tcW w:w="1918" w:type="dxa"/>
            <w:vMerge w:val="restart"/>
            <w:tcBorders>
              <w:top w:val="nil"/>
              <w:left w:val="single" w:color="auto" w:sz="4" w:space="0"/>
              <w:bottom w:val="single" w:color="auto" w:sz="4" w:space="0"/>
              <w:right w:val="single" w:color="auto" w:sz="4" w:space="0"/>
            </w:tcBorders>
            <w:vAlign w:val="bottom"/>
          </w:tcPr>
          <w:p w14:paraId="6EEEC236">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559" w:type="dxa"/>
            <w:tcBorders>
              <w:top w:val="nil"/>
              <w:left w:val="nil"/>
              <w:bottom w:val="single" w:color="auto" w:sz="4" w:space="0"/>
              <w:right w:val="single" w:color="auto" w:sz="4" w:space="0"/>
            </w:tcBorders>
            <w:vAlign w:val="center"/>
          </w:tcPr>
          <w:p w14:paraId="51A869B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29" w:type="dxa"/>
            <w:tcBorders>
              <w:top w:val="nil"/>
              <w:left w:val="nil"/>
              <w:bottom w:val="single" w:color="auto" w:sz="4" w:space="0"/>
              <w:right w:val="single" w:color="auto" w:sz="4" w:space="0"/>
            </w:tcBorders>
            <w:vAlign w:val="center"/>
          </w:tcPr>
          <w:p w14:paraId="34DD9CF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25" w:type="dxa"/>
            <w:tcBorders>
              <w:top w:val="nil"/>
              <w:left w:val="nil"/>
              <w:bottom w:val="single" w:color="auto" w:sz="4" w:space="0"/>
              <w:right w:val="single" w:color="auto" w:sz="4" w:space="0"/>
            </w:tcBorders>
            <w:vAlign w:val="center"/>
          </w:tcPr>
          <w:p w14:paraId="0DDC8C7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1622" w:type="dxa"/>
            <w:tcBorders>
              <w:top w:val="nil"/>
              <w:left w:val="nil"/>
              <w:bottom w:val="single" w:color="auto" w:sz="4" w:space="0"/>
              <w:right w:val="single" w:color="auto" w:sz="4" w:space="0"/>
            </w:tcBorders>
            <w:vAlign w:val="center"/>
          </w:tcPr>
          <w:p w14:paraId="3FEADDB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1043" w:type="dxa"/>
            <w:tcBorders>
              <w:top w:val="nil"/>
              <w:left w:val="nil"/>
              <w:bottom w:val="single" w:color="auto" w:sz="4" w:space="0"/>
              <w:right w:val="single" w:color="auto" w:sz="4" w:space="0"/>
            </w:tcBorders>
            <w:vAlign w:val="center"/>
          </w:tcPr>
          <w:p w14:paraId="019228B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4BCA16CD">
        <w:tblPrEx>
          <w:tblCellMar>
            <w:top w:w="0" w:type="dxa"/>
            <w:left w:w="108" w:type="dxa"/>
            <w:bottom w:w="0" w:type="dxa"/>
            <w:right w:w="108" w:type="dxa"/>
          </w:tblCellMar>
        </w:tblPrEx>
        <w:trPr>
          <w:trHeight w:val="339" w:hRule="atLeast"/>
        </w:trPr>
        <w:tc>
          <w:tcPr>
            <w:tcW w:w="1918" w:type="dxa"/>
            <w:vMerge w:val="continue"/>
            <w:tcBorders>
              <w:top w:val="nil"/>
              <w:left w:val="single" w:color="auto" w:sz="4" w:space="0"/>
              <w:bottom w:val="single" w:color="auto" w:sz="4" w:space="0"/>
              <w:right w:val="single" w:color="auto" w:sz="4" w:space="0"/>
            </w:tcBorders>
            <w:vAlign w:val="center"/>
          </w:tcPr>
          <w:p w14:paraId="67F2EDD4">
            <w:pPr>
              <w:widowControl/>
              <w:jc w:val="left"/>
              <w:rPr>
                <w:rFonts w:ascii="仿宋_GB2312" w:hAnsi="仿宋" w:eastAsia="仿宋_GB2312" w:cs="宋体"/>
                <w:b/>
                <w:bCs/>
                <w:color w:val="auto"/>
                <w:kern w:val="0"/>
                <w:sz w:val="18"/>
                <w:szCs w:val="18"/>
                <w:highlight w:val="none"/>
              </w:rPr>
            </w:pPr>
          </w:p>
        </w:tc>
        <w:tc>
          <w:tcPr>
            <w:tcW w:w="1559" w:type="dxa"/>
            <w:tcBorders>
              <w:top w:val="nil"/>
              <w:left w:val="nil"/>
              <w:bottom w:val="single" w:color="auto" w:sz="4" w:space="0"/>
              <w:right w:val="single" w:color="auto" w:sz="4" w:space="0"/>
            </w:tcBorders>
            <w:vAlign w:val="center"/>
          </w:tcPr>
          <w:p w14:paraId="3780827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1029" w:type="dxa"/>
            <w:tcBorders>
              <w:top w:val="nil"/>
              <w:left w:val="nil"/>
              <w:bottom w:val="single" w:color="auto" w:sz="4" w:space="0"/>
              <w:right w:val="single" w:color="auto" w:sz="4" w:space="0"/>
            </w:tcBorders>
            <w:vAlign w:val="center"/>
          </w:tcPr>
          <w:p w14:paraId="0A79B0E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25" w:type="dxa"/>
            <w:tcBorders>
              <w:top w:val="nil"/>
              <w:left w:val="nil"/>
              <w:bottom w:val="single" w:color="auto" w:sz="4" w:space="0"/>
              <w:right w:val="single" w:color="auto" w:sz="4" w:space="0"/>
            </w:tcBorders>
            <w:vAlign w:val="center"/>
          </w:tcPr>
          <w:p w14:paraId="32D775D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1622" w:type="dxa"/>
            <w:tcBorders>
              <w:top w:val="nil"/>
              <w:left w:val="nil"/>
              <w:bottom w:val="single" w:color="auto" w:sz="4" w:space="0"/>
              <w:right w:val="single" w:color="auto" w:sz="4" w:space="0"/>
            </w:tcBorders>
            <w:vAlign w:val="center"/>
          </w:tcPr>
          <w:p w14:paraId="0FA62D5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1043" w:type="dxa"/>
            <w:tcBorders>
              <w:top w:val="nil"/>
              <w:left w:val="nil"/>
              <w:bottom w:val="single" w:color="auto" w:sz="4" w:space="0"/>
              <w:right w:val="single" w:color="auto" w:sz="4" w:space="0"/>
            </w:tcBorders>
            <w:vAlign w:val="center"/>
          </w:tcPr>
          <w:p w14:paraId="1851315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14:paraId="3E6F09D8">
        <w:tblPrEx>
          <w:tblCellMar>
            <w:top w:w="0" w:type="dxa"/>
            <w:left w:w="108" w:type="dxa"/>
            <w:bottom w:w="0" w:type="dxa"/>
            <w:right w:w="108" w:type="dxa"/>
          </w:tblCellMar>
        </w:tblPrEx>
        <w:trPr>
          <w:trHeight w:val="339" w:hRule="atLeast"/>
        </w:trPr>
        <w:tc>
          <w:tcPr>
            <w:tcW w:w="1918" w:type="dxa"/>
            <w:vMerge w:val="restart"/>
            <w:tcBorders>
              <w:top w:val="nil"/>
              <w:left w:val="single" w:color="auto" w:sz="4" w:space="0"/>
              <w:bottom w:val="single" w:color="auto" w:sz="4" w:space="0"/>
              <w:right w:val="single" w:color="auto" w:sz="4" w:space="0"/>
            </w:tcBorders>
            <w:vAlign w:val="bottom"/>
          </w:tcPr>
          <w:p w14:paraId="57B9C3D2">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559" w:type="dxa"/>
            <w:tcBorders>
              <w:top w:val="nil"/>
              <w:left w:val="nil"/>
              <w:bottom w:val="single" w:color="auto" w:sz="4" w:space="0"/>
              <w:right w:val="single" w:color="auto" w:sz="4" w:space="0"/>
            </w:tcBorders>
            <w:vAlign w:val="center"/>
          </w:tcPr>
          <w:p w14:paraId="189E964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29" w:type="dxa"/>
            <w:tcBorders>
              <w:top w:val="nil"/>
              <w:left w:val="nil"/>
              <w:bottom w:val="single" w:color="auto" w:sz="4" w:space="0"/>
              <w:right w:val="single" w:color="auto" w:sz="4" w:space="0"/>
            </w:tcBorders>
            <w:vAlign w:val="center"/>
          </w:tcPr>
          <w:p w14:paraId="75A8152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25" w:type="dxa"/>
            <w:tcBorders>
              <w:top w:val="nil"/>
              <w:left w:val="nil"/>
              <w:bottom w:val="single" w:color="auto" w:sz="4" w:space="0"/>
              <w:right w:val="single" w:color="auto" w:sz="4" w:space="0"/>
            </w:tcBorders>
            <w:vAlign w:val="center"/>
          </w:tcPr>
          <w:p w14:paraId="26DB4D8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622" w:type="dxa"/>
            <w:tcBorders>
              <w:top w:val="nil"/>
              <w:left w:val="nil"/>
              <w:bottom w:val="single" w:color="auto" w:sz="4" w:space="0"/>
              <w:right w:val="single" w:color="auto" w:sz="4" w:space="0"/>
            </w:tcBorders>
            <w:vAlign w:val="center"/>
          </w:tcPr>
          <w:p w14:paraId="0667F9C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043" w:type="dxa"/>
            <w:tcBorders>
              <w:top w:val="nil"/>
              <w:left w:val="nil"/>
              <w:bottom w:val="single" w:color="auto" w:sz="4" w:space="0"/>
              <w:right w:val="single" w:color="auto" w:sz="4" w:space="0"/>
            </w:tcBorders>
            <w:vAlign w:val="center"/>
          </w:tcPr>
          <w:p w14:paraId="7B752E8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25AAC3BF">
        <w:tblPrEx>
          <w:tblCellMar>
            <w:top w:w="0" w:type="dxa"/>
            <w:left w:w="108" w:type="dxa"/>
            <w:bottom w:w="0" w:type="dxa"/>
            <w:right w:w="108" w:type="dxa"/>
          </w:tblCellMar>
        </w:tblPrEx>
        <w:trPr>
          <w:trHeight w:val="339" w:hRule="atLeast"/>
        </w:trPr>
        <w:tc>
          <w:tcPr>
            <w:tcW w:w="1918" w:type="dxa"/>
            <w:vMerge w:val="continue"/>
            <w:tcBorders>
              <w:top w:val="nil"/>
              <w:left w:val="single" w:color="auto" w:sz="4" w:space="0"/>
              <w:bottom w:val="single" w:color="auto" w:sz="4" w:space="0"/>
              <w:right w:val="single" w:color="auto" w:sz="4" w:space="0"/>
            </w:tcBorders>
            <w:vAlign w:val="center"/>
          </w:tcPr>
          <w:p w14:paraId="113FF637">
            <w:pPr>
              <w:widowControl/>
              <w:jc w:val="left"/>
              <w:rPr>
                <w:rFonts w:ascii="仿宋_GB2312" w:hAnsi="仿宋" w:eastAsia="仿宋_GB2312" w:cs="宋体"/>
                <w:b/>
                <w:bCs/>
                <w:color w:val="auto"/>
                <w:kern w:val="0"/>
                <w:sz w:val="18"/>
                <w:szCs w:val="18"/>
                <w:highlight w:val="none"/>
              </w:rPr>
            </w:pPr>
          </w:p>
        </w:tc>
        <w:tc>
          <w:tcPr>
            <w:tcW w:w="1559" w:type="dxa"/>
            <w:tcBorders>
              <w:top w:val="nil"/>
              <w:left w:val="nil"/>
              <w:bottom w:val="single" w:color="auto" w:sz="4" w:space="0"/>
              <w:right w:val="single" w:color="auto" w:sz="4" w:space="0"/>
            </w:tcBorders>
            <w:vAlign w:val="center"/>
          </w:tcPr>
          <w:p w14:paraId="3A5E402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1029" w:type="dxa"/>
            <w:tcBorders>
              <w:top w:val="nil"/>
              <w:left w:val="nil"/>
              <w:bottom w:val="single" w:color="auto" w:sz="4" w:space="0"/>
              <w:right w:val="single" w:color="auto" w:sz="4" w:space="0"/>
            </w:tcBorders>
            <w:vAlign w:val="center"/>
          </w:tcPr>
          <w:p w14:paraId="5B23882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25" w:type="dxa"/>
            <w:tcBorders>
              <w:top w:val="nil"/>
              <w:left w:val="nil"/>
              <w:bottom w:val="single" w:color="auto" w:sz="4" w:space="0"/>
              <w:right w:val="single" w:color="auto" w:sz="4" w:space="0"/>
            </w:tcBorders>
            <w:vAlign w:val="center"/>
          </w:tcPr>
          <w:p w14:paraId="1D35522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622" w:type="dxa"/>
            <w:tcBorders>
              <w:top w:val="nil"/>
              <w:left w:val="nil"/>
              <w:bottom w:val="single" w:color="auto" w:sz="4" w:space="0"/>
              <w:right w:val="single" w:color="auto" w:sz="4" w:space="0"/>
            </w:tcBorders>
            <w:vAlign w:val="center"/>
          </w:tcPr>
          <w:p w14:paraId="48B405E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1043" w:type="dxa"/>
            <w:tcBorders>
              <w:top w:val="nil"/>
              <w:left w:val="nil"/>
              <w:bottom w:val="single" w:color="auto" w:sz="4" w:space="0"/>
              <w:right w:val="single" w:color="auto" w:sz="4" w:space="0"/>
            </w:tcBorders>
            <w:vAlign w:val="center"/>
          </w:tcPr>
          <w:p w14:paraId="126177B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14:paraId="397E2EE0">
        <w:tblPrEx>
          <w:tblCellMar>
            <w:top w:w="0" w:type="dxa"/>
            <w:left w:w="108" w:type="dxa"/>
            <w:bottom w:w="0" w:type="dxa"/>
            <w:right w:w="108" w:type="dxa"/>
          </w:tblCellMar>
        </w:tblPrEx>
        <w:trPr>
          <w:trHeight w:val="339" w:hRule="atLeast"/>
        </w:trPr>
        <w:tc>
          <w:tcPr>
            <w:tcW w:w="1918" w:type="dxa"/>
            <w:vMerge w:val="restart"/>
            <w:tcBorders>
              <w:top w:val="nil"/>
              <w:left w:val="single" w:color="auto" w:sz="4" w:space="0"/>
              <w:bottom w:val="single" w:color="auto" w:sz="4" w:space="0"/>
              <w:right w:val="single" w:color="auto" w:sz="4" w:space="0"/>
            </w:tcBorders>
            <w:vAlign w:val="bottom"/>
          </w:tcPr>
          <w:p w14:paraId="1D09E45F">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559" w:type="dxa"/>
            <w:tcBorders>
              <w:top w:val="nil"/>
              <w:left w:val="nil"/>
              <w:bottom w:val="single" w:color="auto" w:sz="4" w:space="0"/>
              <w:right w:val="single" w:color="auto" w:sz="4" w:space="0"/>
            </w:tcBorders>
            <w:vAlign w:val="center"/>
          </w:tcPr>
          <w:p w14:paraId="15346AB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29" w:type="dxa"/>
            <w:tcBorders>
              <w:top w:val="nil"/>
              <w:left w:val="nil"/>
              <w:bottom w:val="single" w:color="auto" w:sz="4" w:space="0"/>
              <w:right w:val="single" w:color="auto" w:sz="4" w:space="0"/>
            </w:tcBorders>
            <w:vAlign w:val="center"/>
          </w:tcPr>
          <w:p w14:paraId="2499CA4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25" w:type="dxa"/>
            <w:tcBorders>
              <w:top w:val="nil"/>
              <w:left w:val="nil"/>
              <w:bottom w:val="single" w:color="auto" w:sz="4" w:space="0"/>
              <w:right w:val="single" w:color="auto" w:sz="4" w:space="0"/>
            </w:tcBorders>
            <w:vAlign w:val="center"/>
          </w:tcPr>
          <w:p w14:paraId="46CA2A0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622" w:type="dxa"/>
            <w:tcBorders>
              <w:top w:val="nil"/>
              <w:left w:val="nil"/>
              <w:bottom w:val="single" w:color="auto" w:sz="4" w:space="0"/>
              <w:right w:val="single" w:color="auto" w:sz="4" w:space="0"/>
            </w:tcBorders>
            <w:vAlign w:val="center"/>
          </w:tcPr>
          <w:p w14:paraId="0A4FB07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43" w:type="dxa"/>
            <w:tcBorders>
              <w:top w:val="nil"/>
              <w:left w:val="nil"/>
              <w:bottom w:val="single" w:color="auto" w:sz="4" w:space="0"/>
              <w:right w:val="single" w:color="auto" w:sz="4" w:space="0"/>
            </w:tcBorders>
            <w:vAlign w:val="center"/>
          </w:tcPr>
          <w:p w14:paraId="2AD7C2A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4B4253D9">
        <w:tblPrEx>
          <w:tblCellMar>
            <w:top w:w="0" w:type="dxa"/>
            <w:left w:w="108" w:type="dxa"/>
            <w:bottom w:w="0" w:type="dxa"/>
            <w:right w:w="108" w:type="dxa"/>
          </w:tblCellMar>
        </w:tblPrEx>
        <w:trPr>
          <w:trHeight w:val="339" w:hRule="atLeast"/>
        </w:trPr>
        <w:tc>
          <w:tcPr>
            <w:tcW w:w="1918" w:type="dxa"/>
            <w:vMerge w:val="continue"/>
            <w:tcBorders>
              <w:top w:val="nil"/>
              <w:left w:val="single" w:color="auto" w:sz="4" w:space="0"/>
              <w:bottom w:val="single" w:color="auto" w:sz="4" w:space="0"/>
              <w:right w:val="single" w:color="auto" w:sz="4" w:space="0"/>
            </w:tcBorders>
            <w:vAlign w:val="center"/>
          </w:tcPr>
          <w:p w14:paraId="1035BDA5">
            <w:pPr>
              <w:widowControl/>
              <w:jc w:val="left"/>
              <w:rPr>
                <w:rFonts w:ascii="仿宋_GB2312" w:hAnsi="仿宋" w:eastAsia="仿宋_GB2312" w:cs="宋体"/>
                <w:b/>
                <w:bCs/>
                <w:color w:val="auto"/>
                <w:kern w:val="0"/>
                <w:sz w:val="18"/>
                <w:szCs w:val="18"/>
                <w:highlight w:val="none"/>
              </w:rPr>
            </w:pPr>
          </w:p>
        </w:tc>
        <w:tc>
          <w:tcPr>
            <w:tcW w:w="1559" w:type="dxa"/>
            <w:tcBorders>
              <w:top w:val="nil"/>
              <w:left w:val="nil"/>
              <w:bottom w:val="single" w:color="auto" w:sz="4" w:space="0"/>
              <w:right w:val="single" w:color="auto" w:sz="4" w:space="0"/>
            </w:tcBorders>
            <w:vAlign w:val="center"/>
          </w:tcPr>
          <w:p w14:paraId="36E0BB4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1029" w:type="dxa"/>
            <w:tcBorders>
              <w:top w:val="nil"/>
              <w:left w:val="nil"/>
              <w:bottom w:val="single" w:color="auto" w:sz="4" w:space="0"/>
              <w:right w:val="single" w:color="auto" w:sz="4" w:space="0"/>
            </w:tcBorders>
            <w:vAlign w:val="center"/>
          </w:tcPr>
          <w:p w14:paraId="4DC85EA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25" w:type="dxa"/>
            <w:tcBorders>
              <w:top w:val="nil"/>
              <w:left w:val="nil"/>
              <w:bottom w:val="single" w:color="auto" w:sz="4" w:space="0"/>
              <w:right w:val="single" w:color="auto" w:sz="4" w:space="0"/>
            </w:tcBorders>
            <w:vAlign w:val="center"/>
          </w:tcPr>
          <w:p w14:paraId="792E4F4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1622" w:type="dxa"/>
            <w:tcBorders>
              <w:top w:val="nil"/>
              <w:left w:val="nil"/>
              <w:bottom w:val="single" w:color="auto" w:sz="4" w:space="0"/>
              <w:right w:val="single" w:color="auto" w:sz="4" w:space="0"/>
            </w:tcBorders>
            <w:vAlign w:val="center"/>
          </w:tcPr>
          <w:p w14:paraId="3F3C814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1043" w:type="dxa"/>
            <w:tcBorders>
              <w:top w:val="nil"/>
              <w:left w:val="nil"/>
              <w:bottom w:val="single" w:color="auto" w:sz="4" w:space="0"/>
              <w:right w:val="single" w:color="auto" w:sz="4" w:space="0"/>
            </w:tcBorders>
            <w:vAlign w:val="center"/>
          </w:tcPr>
          <w:p w14:paraId="20DC7CA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29253911">
        <w:tblPrEx>
          <w:tblCellMar>
            <w:top w:w="0" w:type="dxa"/>
            <w:left w:w="108" w:type="dxa"/>
            <w:bottom w:w="0" w:type="dxa"/>
            <w:right w:w="108" w:type="dxa"/>
          </w:tblCellMar>
        </w:tblPrEx>
        <w:trPr>
          <w:trHeight w:val="353" w:hRule="atLeast"/>
        </w:trPr>
        <w:tc>
          <w:tcPr>
            <w:tcW w:w="1918" w:type="dxa"/>
            <w:tcBorders>
              <w:top w:val="nil"/>
              <w:left w:val="single" w:color="auto" w:sz="4" w:space="0"/>
              <w:bottom w:val="single" w:color="auto" w:sz="4" w:space="0"/>
              <w:right w:val="single" w:color="auto" w:sz="4" w:space="0"/>
            </w:tcBorders>
            <w:vAlign w:val="bottom"/>
          </w:tcPr>
          <w:p w14:paraId="2699CF2C">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559" w:type="dxa"/>
            <w:tcBorders>
              <w:top w:val="nil"/>
              <w:left w:val="nil"/>
              <w:bottom w:val="single" w:color="auto" w:sz="4" w:space="0"/>
              <w:right w:val="single" w:color="auto" w:sz="4" w:space="0"/>
            </w:tcBorders>
            <w:vAlign w:val="center"/>
          </w:tcPr>
          <w:p w14:paraId="5A8960F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1029" w:type="dxa"/>
            <w:tcBorders>
              <w:top w:val="nil"/>
              <w:left w:val="nil"/>
              <w:bottom w:val="single" w:color="auto" w:sz="4" w:space="0"/>
              <w:right w:val="single" w:color="auto" w:sz="4" w:space="0"/>
            </w:tcBorders>
            <w:vAlign w:val="center"/>
          </w:tcPr>
          <w:p w14:paraId="54B0A7E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25" w:type="dxa"/>
            <w:tcBorders>
              <w:top w:val="nil"/>
              <w:left w:val="nil"/>
              <w:bottom w:val="single" w:color="auto" w:sz="4" w:space="0"/>
              <w:right w:val="single" w:color="auto" w:sz="4" w:space="0"/>
            </w:tcBorders>
            <w:vAlign w:val="center"/>
          </w:tcPr>
          <w:p w14:paraId="6798D5E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622" w:type="dxa"/>
            <w:tcBorders>
              <w:top w:val="nil"/>
              <w:left w:val="nil"/>
              <w:bottom w:val="single" w:color="auto" w:sz="4" w:space="0"/>
              <w:right w:val="single" w:color="auto" w:sz="4" w:space="0"/>
            </w:tcBorders>
            <w:vAlign w:val="center"/>
          </w:tcPr>
          <w:p w14:paraId="5F2305E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043" w:type="dxa"/>
            <w:tcBorders>
              <w:top w:val="nil"/>
              <w:left w:val="nil"/>
              <w:bottom w:val="single" w:color="auto" w:sz="4" w:space="0"/>
              <w:right w:val="single" w:color="auto" w:sz="4" w:space="0"/>
            </w:tcBorders>
            <w:vAlign w:val="center"/>
          </w:tcPr>
          <w:p w14:paraId="2490F66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14:paraId="23A1A9C1">
      <w:pPr>
        <w:pStyle w:val="69"/>
        <w:rPr>
          <w:rFonts w:ascii="宋体" w:hAnsi="宋体" w:cs="宋体"/>
          <w:b/>
          <w:color w:val="auto"/>
          <w:szCs w:val="21"/>
          <w:highlight w:val="none"/>
        </w:rPr>
      </w:pPr>
      <w:r>
        <w:rPr>
          <w:rFonts w:hint="eastAsia" w:ascii="仿宋_GB2312" w:hAnsi="仿宋" w:eastAsia="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4C50157B">
      <w:pPr>
        <w:pStyle w:val="2"/>
        <w:spacing w:before="0" w:line="579" w:lineRule="auto"/>
        <w:jc w:val="center"/>
        <w:rPr>
          <w:color w:val="auto"/>
          <w:highlight w:val="none"/>
        </w:rPr>
      </w:pPr>
      <w:r>
        <w:rPr>
          <w:rFonts w:hint="eastAsia"/>
          <w:color w:val="auto"/>
          <w:highlight w:val="none"/>
        </w:rPr>
        <w:t>第四章  评审程序、评审方法和评审标准</w:t>
      </w:r>
      <w:bookmarkEnd w:id="112"/>
    </w:p>
    <w:p w14:paraId="4E9795D9">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一、评审程序和评审方法</w:t>
      </w:r>
    </w:p>
    <w:p w14:paraId="57C915CB">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1</w:t>
      </w:r>
      <w:r>
        <w:rPr>
          <w:rFonts w:hint="eastAsia" w:ascii="黑体" w:hAnsi="黑体" w:eastAsia="黑体" w:cs="宋体"/>
          <w:b/>
          <w:bCs/>
          <w:color w:val="auto"/>
          <w:sz w:val="24"/>
          <w:highlight w:val="none"/>
        </w:rPr>
        <w:t>.资格审查</w:t>
      </w:r>
    </w:p>
    <w:p w14:paraId="5F902D3A">
      <w:pPr>
        <w:snapToGrid w:val="0"/>
        <w:spacing w:line="360" w:lineRule="auto"/>
        <w:ind w:firstLine="420" w:firstLineChars="200"/>
        <w:rPr>
          <w:rFonts w:ascii="宋体" w:hAns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.1</w:t>
      </w:r>
      <w:r>
        <w:rPr>
          <w:rFonts w:hint="eastAsia" w:ascii="宋体" w:hAnsi="宋体"/>
          <w:color w:val="auto"/>
          <w:szCs w:val="21"/>
          <w:highlight w:val="none"/>
        </w:rPr>
        <w:t>响应文件开启后，磋商小组依法对供应商的资格证明文件进行审查。</w:t>
      </w:r>
    </w:p>
    <w:p w14:paraId="6CF97E3F">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w:t>
      </w:r>
      <w:r>
        <w:rPr>
          <w:rFonts w:hint="eastAsia"/>
          <w:color w:val="auto"/>
          <w:highlight w:val="none"/>
        </w:rPr>
        <w:t>磋商小组</w:t>
      </w:r>
      <w:r>
        <w:rPr>
          <w:rFonts w:hint="eastAsia" w:ascii="宋体" w:hAnsi="宋体" w:cs="宋体"/>
          <w:color w:val="auto"/>
          <w:szCs w:val="21"/>
          <w:highlight w:val="none"/>
        </w:rPr>
        <w:t>在资格审查结束前，对供应商进行信用查询。</w:t>
      </w:r>
    </w:p>
    <w:p w14:paraId="3B27ADFD">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（1）查询渠道：“广西政府采购云”平台“信用中国”网站(www.creditchina.gov.cn)、中国政府采购网(www.ccgp.gov.cn)链接入口。</w:t>
      </w:r>
    </w:p>
    <w:p w14:paraId="0C7B4C69">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4F349631">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（3）查询记录和证据留存方式：在查询网站中直接查询，截图另存为电子文档作为评审资料保存。</w:t>
      </w:r>
    </w:p>
    <w:p w14:paraId="758DB61C">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Pr>
          <w:rFonts w:hint="eastAsia" w:ascii="宋体" w:hAnsi="宋体" w:cs="宋体"/>
          <w:color w:val="auto"/>
          <w:szCs w:val="21"/>
          <w:highlight w:val="none"/>
        </w:rPr>
        <w:t>。</w:t>
      </w:r>
    </w:p>
    <w:p w14:paraId="1063B142">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.2资格审查标准为本磋商文件中载明对供应商资格要求的条件。资格审查采用合格制，凡符合磋商文件规定的供应商资格要求的响应文件均通过资格审查。</w:t>
      </w:r>
    </w:p>
    <w:p w14:paraId="3F8C7B5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.3供应商有下列情形之一的，资格审查不通过，其响应文件按无效响应处理：</w:t>
      </w:r>
    </w:p>
    <w:p w14:paraId="1B0CDCD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）不具备磋商文件中规定的资格要求的；</w:t>
      </w:r>
    </w:p>
    <w:p w14:paraId="015E5CA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（2）未按磋商文件规定的方式获取本磋商文件的供应商；</w:t>
      </w:r>
    </w:p>
    <w:p w14:paraId="6207724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）响应文件的资格证明文件缺少任一项“供应商须知前附表”资格证明文件规定的“必须提供”的文件资料的；</w:t>
      </w:r>
    </w:p>
    <w:p w14:paraId="5DB8654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）响应文件中的资格证明文件出现任一项不符合“供应商须知前附表”资格证明文件规定的“必须提供”的文件资料要求或者无效的；</w:t>
      </w:r>
    </w:p>
    <w:p w14:paraId="57C1C4B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）同一合同项下的不同供应商，单位负责人为同一人或者存在直接控股、管理关系的；为本项目提供过整体设计、规范编制或者项目管理、监理、检测等服务的供应商，再参加该采购项目的其他采购活动的。</w:t>
      </w:r>
    </w:p>
    <w:p w14:paraId="6B3E8885">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.4通过资格审查的合格供应商不足3家的，不得进入符合性审查环节，</w:t>
      </w:r>
      <w:r>
        <w:rPr>
          <w:rFonts w:hint="eastAsia" w:ascii="宋体" w:hAnsi="宋体"/>
          <w:color w:val="auto"/>
          <w:szCs w:val="21"/>
          <w:highlight w:val="none"/>
        </w:rPr>
        <w:t>采购人或者采购代理机构应当重新开展采购活动。</w:t>
      </w:r>
    </w:p>
    <w:p w14:paraId="27D348B3">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.符合性审查</w:t>
      </w:r>
    </w:p>
    <w:p w14:paraId="57CC61C8">
      <w:pPr>
        <w:spacing w:line="360" w:lineRule="auto"/>
        <w:ind w:firstLine="420" w:firstLineChars="200"/>
        <w:rPr>
          <w:rFonts w:ascii="宋体" w:hAnsi="宋体" w:cs="宋体"/>
          <w:color w:val="auto"/>
          <w:szCs w:val="21"/>
          <w:highlight w:val="none"/>
        </w:rPr>
      </w:pPr>
      <w:bookmarkStart w:id="113" w:name="_Hlk42528882"/>
      <w:r>
        <w:rPr>
          <w:rFonts w:ascii="宋体" w:hAnsi="宋体" w:cs="宋体"/>
          <w:color w:val="auto"/>
          <w:szCs w:val="21"/>
          <w:highlight w:val="none"/>
        </w:rPr>
        <w:t>2.1</w:t>
      </w:r>
      <w:r>
        <w:rPr>
          <w:rFonts w:hint="eastAsia" w:ascii="宋体" w:hAnsi="宋体" w:cs="宋体"/>
          <w:color w:val="auto"/>
          <w:szCs w:val="21"/>
          <w:highlight w:val="none"/>
        </w:rPr>
        <w:t>由磋商小组对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的响应文件的竞标报价、商务、技术等实质性要求进行符合性审查，以确定其是否满足磋商文件的实质性要求。</w:t>
      </w:r>
    </w:p>
    <w:bookmarkEnd w:id="113"/>
    <w:p w14:paraId="615D0ED2">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2.2</w:t>
      </w:r>
      <w:r>
        <w:rPr>
          <w:rFonts w:hint="eastAsia" w:ascii="宋体" w:hAnsi="宋体" w:cs="宋体"/>
          <w:color w:val="auto"/>
          <w:szCs w:val="21"/>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8D4B41B">
      <w:pPr>
        <w:spacing w:line="360" w:lineRule="auto"/>
        <w:ind w:firstLine="420" w:firstLineChars="200"/>
        <w:rPr>
          <w:rFonts w:ascii="宋体" w:hAnsi="宋体" w:cs="宋体"/>
          <w:color w:val="auto"/>
          <w:spacing w:val="-6"/>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w:t>
      </w:r>
      <w:r>
        <w:rPr>
          <w:rFonts w:hint="eastAsia" w:hAnsi="宋体"/>
          <w:color w:val="auto"/>
          <w:highlight w:val="none"/>
        </w:rPr>
        <w:t>签章</w:t>
      </w:r>
      <w:r>
        <w:rPr>
          <w:rFonts w:hint="eastAsia" w:ascii="宋体" w:hAnsi="宋体" w:cs="宋体"/>
          <w:color w:val="auto"/>
          <w:spacing w:val="-6"/>
          <w:szCs w:val="21"/>
          <w:highlight w:val="none"/>
        </w:rPr>
        <w:t>。</w:t>
      </w:r>
    </w:p>
    <w:p w14:paraId="5F1AD593">
      <w:pPr>
        <w:spacing w:line="360" w:lineRule="auto"/>
        <w:ind w:firstLine="420" w:firstLineChars="200"/>
        <w:rPr>
          <w:rFonts w:ascii="宋体" w:hAnsi="宋体" w:cs="宋体"/>
          <w:color w:val="auto"/>
          <w:spacing w:val="-6"/>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采用书面形式，并加盖公章，或者由法定代表人或者其授权的代表签字。</w:t>
      </w:r>
    </w:p>
    <w:p w14:paraId="055A7DF7">
      <w:pPr>
        <w:spacing w:line="360" w:lineRule="auto"/>
        <w:ind w:firstLine="396" w:firstLineChars="200"/>
        <w:rPr>
          <w:rFonts w:ascii="宋体" w:hAnsi="宋体" w:cs="宋体"/>
          <w:color w:val="auto"/>
          <w:szCs w:val="21"/>
          <w:highlight w:val="none"/>
        </w:rPr>
      </w:pPr>
      <w:r>
        <w:rPr>
          <w:rFonts w:ascii="宋体" w:hAnsi="宋体" w:cs="宋体"/>
          <w:color w:val="auto"/>
          <w:spacing w:val="-6"/>
          <w:szCs w:val="21"/>
          <w:highlight w:val="none"/>
        </w:rPr>
        <w:t>2.4</w:t>
      </w:r>
      <w:r>
        <w:rPr>
          <w:rFonts w:hint="eastAsia" w:ascii="宋体" w:hAnsi="宋体" w:cs="宋体"/>
          <w:color w:val="auto"/>
          <w:szCs w:val="21"/>
          <w:highlight w:val="none"/>
        </w:rPr>
        <w:t xml:space="preserve">首次响应文件报价出现前后不一致的，按照下列规定修正： </w:t>
      </w:r>
    </w:p>
    <w:p w14:paraId="5659536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63BF679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01ED269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7299ECB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455C82B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4A9BDDD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商务技术报价评审</w:t>
      </w:r>
    </w:p>
    <w:p w14:paraId="0555470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0E508CB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（1）商务技术评审</w:t>
      </w:r>
    </w:p>
    <w:p w14:paraId="39E6012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33A8947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2）委托代理人未能出具有效身份证或者出具的身份证与授权委托书中的信息不符的； </w:t>
      </w:r>
    </w:p>
    <w:p w14:paraId="6F62F6F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3）提交的磋商保证金无效的或者未按照磋商文件的规定提交磋商保证金；</w:t>
      </w:r>
    </w:p>
    <w:p w14:paraId="13917BA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1462175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5）商务要求允许负偏离的条款数超过“供应商须知前附表”规定项数的；</w:t>
      </w:r>
    </w:p>
    <w:p w14:paraId="0AFF855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6）未对竞标有效期作出响应或者响应文件承诺的竞标有效期不满足磋商文件要求；</w:t>
      </w:r>
    </w:p>
    <w:p w14:paraId="1B2BFDF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7）响应文件的实质性内容未使用中文表述、使用计量单位不符合磋商文件要求；</w:t>
      </w:r>
    </w:p>
    <w:p w14:paraId="4F7B335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8）响应文件中的文件资料因填写不齐全或者内容虚假或者出现其他情形而导致被磋商小组认定无效；</w:t>
      </w:r>
    </w:p>
    <w:p w14:paraId="6D52C2A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9）响应文件含有采购人不能接受的附加条件；</w:t>
      </w:r>
    </w:p>
    <w:p w14:paraId="2BB2AF7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10）属于“供应商须知正文”第7.</w:t>
      </w:r>
      <w:r>
        <w:rPr>
          <w:rFonts w:ascii="宋体" w:hAnsi="宋体" w:cs="宋体"/>
          <w:color w:val="auto"/>
          <w:szCs w:val="21"/>
          <w:highlight w:val="none"/>
        </w:rPr>
        <w:t>5</w:t>
      </w:r>
      <w:r>
        <w:rPr>
          <w:rFonts w:hint="eastAsia" w:ascii="宋体" w:hAnsi="宋体" w:cs="宋体"/>
          <w:color w:val="auto"/>
          <w:szCs w:val="21"/>
          <w:highlight w:val="none"/>
        </w:rPr>
        <w:t>条情形；</w:t>
      </w:r>
    </w:p>
    <w:p w14:paraId="6E3C1855">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1）技术要求允许负偏离的条款数超过“供应商须知前附表”规定项数；</w:t>
      </w:r>
    </w:p>
    <w:p w14:paraId="4A0917E5">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2）虚假竞标，或者出现其他情形而导致被磋商小组认定无效；</w:t>
      </w:r>
    </w:p>
    <w:p w14:paraId="0D31939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3）</w:t>
      </w:r>
      <w:bookmarkStart w:id="114" w:name="_Hlk71704147"/>
      <w:r>
        <w:rPr>
          <w:rFonts w:hint="eastAsia" w:ascii="宋体" w:hAnsi="宋体" w:cs="宋体"/>
          <w:color w:val="auto"/>
          <w:szCs w:val="21"/>
          <w:highlight w:val="none"/>
        </w:rPr>
        <w:t>磋商文件未载明允许提供备选（替代）竞标方案或明确不允许提供备选（替代）竞标方案时，供应商提供了备选（替代）竞标方案的；</w:t>
      </w:r>
      <w:bookmarkEnd w:id="114"/>
    </w:p>
    <w:p w14:paraId="2A51AF56">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4）响应文件标注的项目名称或者项目编号与磋商文件标注的项目名称或者项目编号不一致的；</w:t>
      </w:r>
    </w:p>
    <w:p w14:paraId="44A28A4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w:t>
      </w:r>
      <w:r>
        <w:rPr>
          <w:rFonts w:hint="eastAsia" w:ascii="宋体" w:hAnsi="宋体"/>
          <w:b/>
          <w:color w:val="auto"/>
          <w:szCs w:val="21"/>
          <w:highlight w:val="none"/>
        </w:rPr>
        <w:t>竞争性磋商文件明确不允许分包，响应文件拟分包的；</w:t>
      </w:r>
    </w:p>
    <w:p w14:paraId="14BA520D">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6）未响应磋商文件实质性要求；</w:t>
      </w:r>
    </w:p>
    <w:p w14:paraId="3FAF25C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17）法律、法规和磋商文件规定的其他无效情形。</w:t>
      </w:r>
    </w:p>
    <w:p w14:paraId="3789FEF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）报价评审</w:t>
      </w:r>
    </w:p>
    <w:p w14:paraId="49E963D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 xml:space="preserve"> </w:t>
      </w:r>
      <w:r>
        <w:rPr>
          <w:rFonts w:hint="eastAsia" w:ascii="宋体" w:hAnsi="宋体" w:cs="宋体"/>
          <w:color w:val="auto"/>
          <w:szCs w:val="21"/>
          <w:highlight w:val="none"/>
        </w:rPr>
        <w:t>响应文件未提供“供应商须知前附表” 报价文件中规定的“竞标报价表”；</w:t>
      </w:r>
    </w:p>
    <w:p w14:paraId="26405BB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01EF461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完整唯一总价报价；供应商响应文件中存在有选择、有条件报价的（磋商文件允许有备选方案或者其他约定的除外）；</w:t>
      </w:r>
    </w:p>
    <w:p w14:paraId="6065F4D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4）竞标报价（包含首次报价、最后报价）超过所竞标分标规定的采购预算金额或者最高限价的（如本项目公布了最高限价）；</w:t>
      </w:r>
      <w:bookmarkStart w:id="115" w:name="_Hlk42596405"/>
      <w:r>
        <w:rPr>
          <w:rFonts w:hint="eastAsia" w:ascii="宋体" w:hAnsi="宋体" w:cs="宋体"/>
          <w:color w:val="auto"/>
          <w:szCs w:val="21"/>
          <w:highlight w:val="none"/>
        </w:rPr>
        <w:t>竞标报价（包含首次报价、最后报价）</w:t>
      </w:r>
      <w:bookmarkEnd w:id="115"/>
      <w:bookmarkStart w:id="116" w:name="_Hlk42596276"/>
      <w:r>
        <w:rPr>
          <w:rFonts w:hint="eastAsia" w:ascii="宋体" w:hAnsi="宋体" w:cs="宋体"/>
          <w:color w:val="auto"/>
          <w:szCs w:val="21"/>
          <w:highlight w:val="none"/>
        </w:rPr>
        <w:t>超过磋商文件分项采购预算金额或者最高限价的</w:t>
      </w:r>
      <w:bookmarkEnd w:id="116"/>
      <w:r>
        <w:rPr>
          <w:rFonts w:hint="eastAsia" w:ascii="宋体" w:hAnsi="宋体" w:cs="宋体"/>
          <w:color w:val="auto"/>
          <w:szCs w:val="21"/>
          <w:highlight w:val="none"/>
        </w:rPr>
        <w:t>（如本项目公布了最高限价）；</w:t>
      </w:r>
    </w:p>
    <w:p w14:paraId="429BAEF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磋商文件分项采购预算金额或者最高限价的（如本项目公布了最高限价）。</w:t>
      </w:r>
    </w:p>
    <w:p w14:paraId="44D65D6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响应文件响应的标的数量及单位与竞争性磋商采购文件要求实质性不一致的。</w:t>
      </w:r>
    </w:p>
    <w:p w14:paraId="1AE9C18A">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2.6</w:t>
      </w:r>
      <w:r>
        <w:rPr>
          <w:rFonts w:hint="eastAsia" w:ascii="宋体" w:hAnsi="宋体" w:cs="宋体"/>
          <w:color w:val="auto"/>
          <w:szCs w:val="21"/>
          <w:highlight w:val="none"/>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2802D81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2.7</w:t>
      </w:r>
      <w:r>
        <w:rPr>
          <w:rFonts w:hint="eastAsia" w:ascii="宋体" w:hAnsi="宋体"/>
          <w:color w:val="auto"/>
          <w:szCs w:val="21"/>
          <w:highlight w:val="none"/>
        </w:rPr>
        <w:t>通过符合性审查的合格供应商不足3家的，不得进入磋商环节，采购人或者采购代理机构应当重新开展采购活动。</w:t>
      </w:r>
    </w:p>
    <w:p w14:paraId="5C63DD29">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w:t>
      </w:r>
      <w:r>
        <w:rPr>
          <w:rFonts w:hint="eastAsia" w:ascii="黑体" w:hAnsi="黑体" w:eastAsia="黑体" w:cs="宋体"/>
          <w:b/>
          <w:bCs/>
          <w:color w:val="auto"/>
          <w:sz w:val="24"/>
          <w:highlight w:val="none"/>
        </w:rPr>
        <w:t>.磋商程序</w:t>
      </w:r>
    </w:p>
    <w:p w14:paraId="29618A2C">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w:t>
      </w:r>
      <w:r>
        <w:rPr>
          <w:rFonts w:ascii="宋体" w:hAnsi="宋体" w:cs="宋体"/>
          <w:color w:val="auto"/>
          <w:kern w:val="0"/>
          <w:szCs w:val="21"/>
          <w:highlight w:val="none"/>
        </w:rPr>
        <w:t>.1</w:t>
      </w:r>
      <w:r>
        <w:rPr>
          <w:rFonts w:hint="eastAsia" w:ascii="宋体" w:hAnsi="宋体" w:cs="宋体"/>
          <w:color w:val="auto"/>
          <w:kern w:val="0"/>
          <w:szCs w:val="21"/>
          <w:highlight w:val="none"/>
        </w:rPr>
        <w:t>磋商小组</w:t>
      </w:r>
      <w:r>
        <w:rPr>
          <w:rFonts w:hint="eastAsia" w:ascii="宋体" w:hAnsi="宋体" w:cs="宋体"/>
          <w:color w:val="auto"/>
          <w:szCs w:val="21"/>
          <w:highlight w:val="none"/>
        </w:rPr>
        <w:t>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5846522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07250026">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3.3</w:t>
      </w:r>
      <w:r>
        <w:rPr>
          <w:rFonts w:hint="eastAsia" w:ascii="宋体" w:hAnsi="宋体" w:cs="宋体"/>
          <w:color w:val="auto"/>
          <w:szCs w:val="21"/>
          <w:highlight w:val="none"/>
        </w:rPr>
        <w:t>对磋商文件作出的实质性变动是磋商文件的有效组成部分，由磋商小组及时以电子澄清函形式同时通知所有参加磋商的供应商。</w:t>
      </w:r>
    </w:p>
    <w:p w14:paraId="031CB156">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3.4</w:t>
      </w:r>
      <w:r>
        <w:rPr>
          <w:rFonts w:hint="eastAsia" w:ascii="宋体" w:hAnsi="宋体" w:cs="宋体"/>
          <w:color w:val="auto"/>
          <w:szCs w:val="21"/>
          <w:highlight w:val="none"/>
        </w:rPr>
        <w:t>供应商必须按照磋商文件的变动情况和磋商小组的要求以回函的形式重新提交响应文件，并加盖电子签章。参加磋商的供应商未在规定时间内重新提交响应文件的，视同退出磋商，其响应文件按无效处理。</w:t>
      </w:r>
    </w:p>
    <w:p w14:paraId="226BEF82">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3.5</w:t>
      </w:r>
      <w:r>
        <w:rPr>
          <w:rFonts w:hint="eastAsia" w:ascii="宋体" w:hAnsi="宋体" w:cs="宋体"/>
          <w:color w:val="auto"/>
          <w:szCs w:val="21"/>
          <w:highlight w:val="none"/>
        </w:rPr>
        <w:t>磋商中，</w:t>
      </w:r>
      <w:r>
        <w:rPr>
          <w:rFonts w:hint="eastAsia" w:ascii="宋体" w:hAnsi="宋体" w:cs="宋体"/>
          <w:color w:val="auto"/>
          <w:spacing w:val="-6"/>
          <w:szCs w:val="21"/>
          <w:highlight w:val="none"/>
        </w:rPr>
        <w:t>磋商的任何一方不得透露与磋商有关的其他供应商的技术资料、价格和其他信息。</w:t>
      </w:r>
    </w:p>
    <w:p w14:paraId="13255D9C">
      <w:pPr>
        <w:widowControl/>
        <w:tabs>
          <w:tab w:val="left" w:pos="540"/>
        </w:tabs>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3.6</w:t>
      </w:r>
      <w:r>
        <w:rPr>
          <w:rFonts w:hint="eastAsia" w:ascii="宋体" w:hAnsi="宋体" w:cs="宋体"/>
          <w:color w:val="auto"/>
          <w:szCs w:val="21"/>
          <w:highlight w:val="none"/>
        </w:rPr>
        <w:t>采购代理机构对磋商过程和重要磋商内容进行记录。</w:t>
      </w:r>
    </w:p>
    <w:p w14:paraId="36E2A05B">
      <w:pPr>
        <w:widowControl/>
        <w:tabs>
          <w:tab w:val="left" w:pos="54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.7</w:t>
      </w:r>
      <w:r>
        <w:rPr>
          <w:color w:val="auto"/>
          <w:highlight w:val="none"/>
        </w:rP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16387FF4">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3.8除</w:t>
      </w:r>
      <w:r>
        <w:rPr>
          <w:color w:val="auto"/>
          <w:highlight w:val="none"/>
        </w:rPr>
        <w:t>本章第3.7条情形</w:t>
      </w:r>
      <w:r>
        <w:rPr>
          <w:rFonts w:hint="eastAsia"/>
          <w:color w:val="auto"/>
          <w:highlight w:val="none"/>
        </w:rPr>
        <w:t>外，</w:t>
      </w:r>
      <w:r>
        <w:rPr>
          <w:rFonts w:hint="eastAsia" w:ascii="宋体" w:hAnsi="宋体"/>
          <w:color w:val="auto"/>
          <w:szCs w:val="21"/>
          <w:highlight w:val="none"/>
        </w:rPr>
        <w:t>对磋商过程提交的响应文件进行有效性、完整性和响应程度审查，通过审查的合格供应商不足3家的，采购人或者采购代理机构应当重新开展采购活动。</w:t>
      </w:r>
    </w:p>
    <w:p w14:paraId="0583FA7C">
      <w:pPr>
        <w:spacing w:line="360" w:lineRule="auto"/>
        <w:ind w:firstLine="482" w:firstLineChars="200"/>
        <w:rPr>
          <w:rFonts w:ascii="宋体" w:hAnsi="宋体" w:cs="宋体"/>
          <w:color w:val="auto"/>
          <w:szCs w:val="21"/>
          <w:highlight w:val="none"/>
        </w:rPr>
      </w:pPr>
      <w:r>
        <w:rPr>
          <w:rFonts w:ascii="黑体" w:hAnsi="黑体" w:eastAsia="黑体" w:cs="宋体"/>
          <w:b/>
          <w:bCs/>
          <w:color w:val="auto"/>
          <w:sz w:val="24"/>
          <w:highlight w:val="none"/>
        </w:rPr>
        <w:t>4.</w:t>
      </w:r>
      <w:r>
        <w:rPr>
          <w:rFonts w:hint="eastAsia" w:ascii="黑体" w:hAnsi="黑体" w:eastAsia="黑体" w:cs="宋体"/>
          <w:b/>
          <w:bCs/>
          <w:color w:val="auto"/>
          <w:sz w:val="24"/>
          <w:highlight w:val="none"/>
        </w:rPr>
        <w:t xml:space="preserve"> 最后报价</w:t>
      </w:r>
    </w:p>
    <w:p w14:paraId="0DFD28A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磋商文件能够详细列明采购标的的技术、服务要求的，磋商结束后，磋商小组应当要求所有继续参加磋商的供应商在规定时间内在“广西政府采购云”平台开标大厅提交最后报价，除本章第</w:t>
      </w:r>
      <w:r>
        <w:rPr>
          <w:rFonts w:ascii="宋体" w:hAnsi="宋体" w:cs="宋体"/>
          <w:color w:val="auto"/>
          <w:szCs w:val="21"/>
          <w:highlight w:val="none"/>
        </w:rPr>
        <w:t>4.3</w:t>
      </w:r>
      <w:r>
        <w:rPr>
          <w:rFonts w:hint="eastAsia" w:ascii="宋体" w:hAnsi="宋体" w:cs="宋体"/>
          <w:color w:val="auto"/>
          <w:szCs w:val="21"/>
          <w:highlight w:val="none"/>
        </w:rPr>
        <w:t>条外，提交最后报价的供应商不得少于3家，否则必须重新采购。</w:t>
      </w:r>
    </w:p>
    <w:p w14:paraId="3192AE5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.2</w:t>
      </w:r>
      <w:r>
        <w:rPr>
          <w:rFonts w:hint="eastAsia" w:ascii="宋体" w:hAnsi="宋体" w:cs="宋体"/>
          <w:color w:val="auto"/>
          <w:szCs w:val="21"/>
          <w:highlight w:val="none"/>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广西政府采购云”平台开标大厅提交最后报价。</w:t>
      </w:r>
    </w:p>
    <w:p w14:paraId="4B2E4AE9">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4.3</w:t>
      </w:r>
      <w:r>
        <w:rPr>
          <w:rFonts w:hint="eastAsia" w:ascii="宋体" w:hAnsi="宋体" w:cs="宋体"/>
          <w:color w:val="auto"/>
          <w:szCs w:val="21"/>
          <w:highlight w:val="none"/>
        </w:rPr>
        <w:t xml:space="preserve"> 最后报价是供应商响应文件的有效组成部分。符合《政府采购竞争性磋商采购方式管理暂行办法》（财库〔2014〕214号）第三条第四项“市场竞争不充分的科研项目，以及需要扶持的科技成果转化项目”和</w:t>
      </w:r>
      <w:r>
        <w:rPr>
          <w:color w:val="auto"/>
          <w:highlight w:val="none"/>
        </w:rPr>
        <w:t>本章第3.7条情形的，</w:t>
      </w:r>
      <w:r>
        <w:rPr>
          <w:rFonts w:hint="eastAsia" w:ascii="宋体" w:hAnsi="宋体" w:cs="宋体"/>
          <w:color w:val="auto"/>
          <w:szCs w:val="21"/>
          <w:highlight w:val="none"/>
        </w:rPr>
        <w:t>提交最后报价的供应商可以为2家。</w:t>
      </w:r>
    </w:p>
    <w:p w14:paraId="7DFAF294">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4.4</w:t>
      </w:r>
      <w:r>
        <w:rPr>
          <w:rFonts w:hint="eastAsia" w:ascii="宋体" w:hAnsi="宋体" w:cs="宋体"/>
          <w:color w:val="auto"/>
          <w:szCs w:val="21"/>
          <w:highlight w:val="none"/>
        </w:rPr>
        <w:t>已经提交响应文件的供应商，在提交最后报价之前，可以根据磋商情况退出磋商，退出磋商的供应商的响应文件按无效响应处理。采购人、采购代理机构将退还退出磋商的供应商的保证金。</w:t>
      </w:r>
    </w:p>
    <w:p w14:paraId="40E0E555">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4.5</w:t>
      </w:r>
      <w:r>
        <w:rPr>
          <w:rFonts w:hint="eastAsia" w:ascii="宋体" w:hAnsi="宋体" w:cs="宋体"/>
          <w:color w:val="auto"/>
          <w:szCs w:val="21"/>
          <w:highlight w:val="none"/>
        </w:rPr>
        <w:t>供应商未在规定时间内提交最后报价的，视同退出磋商，其响应文件按无效处理。</w:t>
      </w:r>
    </w:p>
    <w:p w14:paraId="7E6218B2">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4.6</w:t>
      </w:r>
      <w:r>
        <w:rPr>
          <w:rFonts w:hint="eastAsia" w:ascii="宋体" w:hAnsi="宋体" w:cs="宋体"/>
          <w:color w:val="auto"/>
          <w:szCs w:val="21"/>
          <w:highlight w:val="none"/>
        </w:rPr>
        <w:t>最后报价统一开启后，磋商小组对最后报价进行有效性、完整性和响应程度的审查。</w:t>
      </w:r>
    </w:p>
    <w:p w14:paraId="5FFC0F3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4.7</w:t>
      </w:r>
      <w:r>
        <w:rPr>
          <w:rFonts w:hint="eastAsia" w:ascii="宋体" w:hAnsi="宋体" w:cs="宋体"/>
          <w:color w:val="auto"/>
          <w:szCs w:val="21"/>
          <w:highlight w:val="none"/>
        </w:rPr>
        <w:t>最后报价出现前后不一致的，按照本章第</w:t>
      </w:r>
      <w:r>
        <w:rPr>
          <w:rFonts w:ascii="宋体" w:hAnsi="宋体" w:cs="宋体"/>
          <w:color w:val="auto"/>
          <w:szCs w:val="21"/>
          <w:highlight w:val="none"/>
        </w:rPr>
        <w:t>2.4</w:t>
      </w:r>
      <w:r>
        <w:rPr>
          <w:rFonts w:hint="eastAsia" w:ascii="宋体" w:hAnsi="宋体" w:cs="宋体"/>
          <w:color w:val="auto"/>
          <w:szCs w:val="21"/>
          <w:highlight w:val="none"/>
        </w:rPr>
        <w:t xml:space="preserve">条的规定修正。 </w:t>
      </w:r>
    </w:p>
    <w:p w14:paraId="4B02B359">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4.8</w:t>
      </w:r>
      <w:r>
        <w:rPr>
          <w:rFonts w:hint="eastAsia" w:ascii="宋体" w:hAnsi="宋体" w:cs="宋体"/>
          <w:color w:val="auto"/>
          <w:szCs w:val="21"/>
          <w:highlight w:val="none"/>
        </w:rPr>
        <w:t>修正后的报价出现下列情形的，按无效响应处理：</w:t>
      </w:r>
    </w:p>
    <w:p w14:paraId="225A4BE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596E78D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（2）经供应商确认修正后的竞标报价（包含首次报价、最后报价）超过所竞标分标规定的采购预算金额或者最高限价的（如本项目公布了最高限价）；</w:t>
      </w:r>
    </w:p>
    <w:p w14:paraId="4286990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（3）经供应商确认修正后的竞标报价（包含首次报价、最后报价）超过分项采购预算金额或者最高限价的（如本项目公布了最高限价）。</w:t>
      </w:r>
    </w:p>
    <w:p w14:paraId="4BDF2A1B">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4.9</w:t>
      </w:r>
      <w:r>
        <w:rPr>
          <w:rFonts w:hint="eastAsia" w:ascii="宋体" w:hAnsi="宋体" w:cs="宋体"/>
          <w:color w:val="auto"/>
          <w:szCs w:val="21"/>
          <w:highlight w:val="none"/>
        </w:rPr>
        <w:t>经供应商确认修正后的最后报价作为评审及签订合同的依据。</w:t>
      </w:r>
    </w:p>
    <w:p w14:paraId="02144ED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72169ED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1最后报价结束后，磋商小组不得再与供应商进行任何形式的商谈。</w:t>
      </w:r>
    </w:p>
    <w:p w14:paraId="60477A63">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比较与评价</w:t>
      </w:r>
    </w:p>
    <w:p w14:paraId="77A7252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5.1</w:t>
      </w:r>
      <w:r>
        <w:rPr>
          <w:rFonts w:hint="eastAsia" w:ascii="宋体" w:hAnsi="宋体" w:cs="宋体"/>
          <w:color w:val="auto"/>
          <w:szCs w:val="21"/>
          <w:highlight w:val="none"/>
        </w:rPr>
        <w:t>评审方法：综合评分法。</w:t>
      </w:r>
    </w:p>
    <w:p w14:paraId="4D8D7E2A">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5.2</w:t>
      </w:r>
      <w:r>
        <w:rPr>
          <w:rFonts w:hint="eastAsia" w:ascii="宋体" w:hAnsi="宋体" w:cs="宋体"/>
          <w:color w:val="auto"/>
          <w:szCs w:val="21"/>
          <w:highlight w:val="none"/>
        </w:rPr>
        <w:t>经磋商确定最终采购需求和提交最后报价的供应商后，由磋商小组采用综合评分法对提交最后报价的供应商的响应文件和最后报价进行综合评分。</w:t>
      </w:r>
    </w:p>
    <w:p w14:paraId="77F1D012">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5.3</w:t>
      </w:r>
      <w:r>
        <w:rPr>
          <w:rFonts w:hint="eastAsia" w:ascii="宋体" w:hAnsi="宋体" w:cs="宋体"/>
          <w:color w:val="auto"/>
          <w:szCs w:val="21"/>
          <w:highlight w:val="none"/>
        </w:rPr>
        <w:t>评审时，磋商小组各成员应当独立对每个有效响应的文件进行评价、打分，然后汇总每个供应商每项评分因素的得分。</w:t>
      </w:r>
    </w:p>
    <w:p w14:paraId="6BBC1F2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（1）磋商小组按照磋商文件中规定的评审标准计算各供应商的报价得分。项目评审过程中，不得去掉最后报价中的最高报价和最低报价。</w:t>
      </w:r>
    </w:p>
    <w:p w14:paraId="7FE7917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（2）各供应商的得分为磋商小组所有成员的有效评分的算术平均数。</w:t>
      </w:r>
    </w:p>
    <w:p w14:paraId="5AE4C8CF">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5.4</w:t>
      </w:r>
      <w:r>
        <w:rPr>
          <w:rFonts w:hint="eastAsia" w:ascii="宋体" w:hAnsi="宋体" w:cs="宋体"/>
          <w:color w:val="auto"/>
          <w:szCs w:val="21"/>
          <w:highlight w:val="none"/>
        </w:rPr>
        <w:t>评审价为供应商的最后报价进行政策性扣除后的价格，评审价只是作为评审时使用。最终成交供应商的成交金额等于最后报价（如有修正，以确认修正后的最后报价为准）。</w:t>
      </w:r>
    </w:p>
    <w:p w14:paraId="2EE6BB4C">
      <w:pPr>
        <w:spacing w:line="360" w:lineRule="auto"/>
        <w:ind w:firstLine="420" w:firstLineChars="200"/>
        <w:rPr>
          <w:rFonts w:ascii="宋体" w:hAnsi="宋体"/>
          <w:color w:val="auto"/>
          <w:kern w:val="0"/>
          <w:szCs w:val="21"/>
          <w:highlight w:val="none"/>
        </w:rPr>
      </w:pPr>
      <w:r>
        <w:rPr>
          <w:rFonts w:ascii="宋体" w:hAnsi="宋体" w:cs="宋体"/>
          <w:color w:val="auto"/>
          <w:szCs w:val="21"/>
          <w:highlight w:val="none"/>
        </w:rPr>
        <w:t>5.5</w:t>
      </w:r>
      <w:r>
        <w:rPr>
          <w:rFonts w:hint="eastAsia" w:ascii="宋体" w:hAnsi="宋体" w:cs="宋体"/>
          <w:color w:val="auto"/>
          <w:szCs w:val="21"/>
          <w:highlight w:val="none"/>
        </w:rPr>
        <w:t>由磋商小组根据综合评分情况，按照评审得分由高到低顺序推荐3名以上成交候选供应商，并编写评</w:t>
      </w:r>
      <w:r>
        <w:rPr>
          <w:rFonts w:hint="eastAsia" w:ascii="宋体" w:hAnsi="宋体"/>
          <w:color w:val="auto"/>
          <w:kern w:val="0"/>
          <w:szCs w:val="21"/>
          <w:highlight w:val="none"/>
        </w:rPr>
        <w:t>审报告。符合本章第</w:t>
      </w:r>
      <w:r>
        <w:rPr>
          <w:rFonts w:ascii="宋体" w:hAnsi="宋体"/>
          <w:color w:val="auto"/>
          <w:kern w:val="0"/>
          <w:szCs w:val="21"/>
          <w:highlight w:val="none"/>
        </w:rPr>
        <w:t>4.3</w:t>
      </w:r>
      <w:r>
        <w:rPr>
          <w:rFonts w:hint="eastAsia" w:ascii="宋体" w:hAnsi="宋体"/>
          <w:color w:val="auto"/>
          <w:kern w:val="0"/>
          <w:szCs w:val="21"/>
          <w:highlight w:val="none"/>
        </w:rPr>
        <w:t>条情形的，可以推荐2家成交候选供应商。评审得分相同的，按照最后报价由低到高的顺序推荐。评审得分且最后报价相同的，按照技术指标优劣顺序推荐。</w:t>
      </w:r>
    </w:p>
    <w:p w14:paraId="12B5A83D">
      <w:pPr>
        <w:spacing w:line="360" w:lineRule="auto"/>
        <w:ind w:firstLine="420" w:firstLineChars="200"/>
        <w:rPr>
          <w:rFonts w:ascii="宋体" w:hAnsi="宋体" w:cs="宋体"/>
          <w:color w:val="auto"/>
          <w:szCs w:val="21"/>
          <w:highlight w:val="none"/>
        </w:rPr>
      </w:pPr>
      <w:r>
        <w:rPr>
          <w:rFonts w:ascii="宋体" w:hAnsi="宋体"/>
          <w:color w:val="auto"/>
          <w:kern w:val="0"/>
          <w:szCs w:val="21"/>
          <w:highlight w:val="none"/>
        </w:rPr>
        <w:t>5.6</w:t>
      </w:r>
      <w:r>
        <w:rPr>
          <w:rFonts w:hint="eastAsia" w:ascii="宋体" w:hAnsi="宋体"/>
          <w:color w:val="auto"/>
          <w:kern w:val="0"/>
          <w:szCs w:val="21"/>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13C47939">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二、评审标准</w:t>
      </w:r>
    </w:p>
    <w:p w14:paraId="55E7921D">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w:t>
      </w:r>
      <w:r>
        <w:rPr>
          <w:rFonts w:ascii="宋体" w:hAnsi="宋体"/>
          <w:bCs/>
          <w:color w:val="auto"/>
          <w:szCs w:val="21"/>
          <w:highlight w:val="none"/>
        </w:rPr>
        <w:t>.</w:t>
      </w:r>
      <w:r>
        <w:rPr>
          <w:rFonts w:hint="eastAsia" w:ascii="宋体" w:hAnsi="宋体"/>
          <w:bCs/>
          <w:color w:val="auto"/>
          <w:szCs w:val="21"/>
          <w:highlight w:val="none"/>
        </w:rPr>
        <w:t>评审依据：磋商小组将以磋商响应文件为评审依据，对供应商的报价、技术、商务等方面内容按百分制打分。（计分方法按四舍五入取至百分位）</w:t>
      </w:r>
    </w:p>
    <w:tbl>
      <w:tblPr>
        <w:tblStyle w:val="27"/>
        <w:tblW w:w="0" w:type="auto"/>
        <w:jc w:val="center"/>
        <w:tblLayout w:type="fixed"/>
        <w:tblCellMar>
          <w:top w:w="0" w:type="dxa"/>
          <w:left w:w="108" w:type="dxa"/>
          <w:bottom w:w="0" w:type="dxa"/>
          <w:right w:w="108" w:type="dxa"/>
        </w:tblCellMar>
      </w:tblPr>
      <w:tblGrid>
        <w:gridCol w:w="735"/>
        <w:gridCol w:w="1115"/>
        <w:gridCol w:w="6539"/>
        <w:gridCol w:w="766"/>
      </w:tblGrid>
      <w:tr w14:paraId="5FF32F46">
        <w:tblPrEx>
          <w:tblCellMar>
            <w:top w:w="0" w:type="dxa"/>
            <w:left w:w="108" w:type="dxa"/>
            <w:bottom w:w="0" w:type="dxa"/>
            <w:right w:w="108" w:type="dxa"/>
          </w:tblCellMar>
        </w:tblPrEx>
        <w:trPr>
          <w:trHeight w:val="225" w:hRule="atLeast"/>
          <w:jc w:val="center"/>
        </w:trPr>
        <w:tc>
          <w:tcPr>
            <w:tcW w:w="735" w:type="dxa"/>
            <w:tcBorders>
              <w:top w:val="single" w:color="000000" w:sz="4" w:space="0"/>
              <w:left w:val="single" w:color="000000" w:sz="4" w:space="0"/>
              <w:bottom w:val="single" w:color="000000" w:sz="4" w:space="0"/>
              <w:right w:val="single" w:color="000000" w:sz="4" w:space="0"/>
            </w:tcBorders>
            <w:vAlign w:val="center"/>
          </w:tcPr>
          <w:p w14:paraId="7DBBC8BA">
            <w:pPr>
              <w:widowControl/>
              <w:spacing w:line="400" w:lineRule="exact"/>
              <w:jc w:val="center"/>
              <w:textAlignment w:val="center"/>
              <w:rPr>
                <w:rFonts w:ascii="宋体" w:hAnsi="宋体" w:cs="宋体"/>
                <w:b/>
                <w:bCs/>
                <w:color w:val="auto"/>
                <w:szCs w:val="21"/>
                <w:highlight w:val="none"/>
              </w:rPr>
            </w:pPr>
            <w:bookmarkStart w:id="117" w:name="_Toc74323460"/>
            <w:r>
              <w:rPr>
                <w:rFonts w:hint="eastAsia" w:ascii="宋体" w:hAnsi="宋体" w:cs="宋体"/>
                <w:b/>
                <w:bCs/>
                <w:color w:val="auto"/>
                <w:kern w:val="0"/>
                <w:szCs w:val="21"/>
                <w:highlight w:val="none"/>
                <w:lang w:bidi="ar"/>
              </w:rPr>
              <w:t>序号</w:t>
            </w:r>
          </w:p>
        </w:tc>
        <w:tc>
          <w:tcPr>
            <w:tcW w:w="1115" w:type="dxa"/>
            <w:tcBorders>
              <w:top w:val="single" w:color="000000" w:sz="4" w:space="0"/>
              <w:left w:val="single" w:color="000000" w:sz="4" w:space="0"/>
              <w:bottom w:val="single" w:color="000000" w:sz="4" w:space="0"/>
              <w:right w:val="single" w:color="000000" w:sz="4" w:space="0"/>
            </w:tcBorders>
            <w:vAlign w:val="center"/>
          </w:tcPr>
          <w:p w14:paraId="0A257D9E">
            <w:pPr>
              <w:widowControl/>
              <w:spacing w:line="400" w:lineRule="exact"/>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评审因素</w:t>
            </w:r>
          </w:p>
        </w:tc>
        <w:tc>
          <w:tcPr>
            <w:tcW w:w="6539" w:type="dxa"/>
            <w:tcBorders>
              <w:top w:val="single" w:color="000000" w:sz="4" w:space="0"/>
              <w:left w:val="single" w:color="000000" w:sz="4" w:space="0"/>
              <w:bottom w:val="single" w:color="000000" w:sz="4" w:space="0"/>
              <w:right w:val="single" w:color="000000" w:sz="4" w:space="0"/>
            </w:tcBorders>
            <w:vAlign w:val="center"/>
          </w:tcPr>
          <w:p w14:paraId="15333D10">
            <w:pPr>
              <w:widowControl/>
              <w:spacing w:line="400" w:lineRule="exact"/>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评审因素具体内容</w:t>
            </w:r>
          </w:p>
        </w:tc>
        <w:tc>
          <w:tcPr>
            <w:tcW w:w="766" w:type="dxa"/>
            <w:tcBorders>
              <w:top w:val="single" w:color="000000" w:sz="4" w:space="0"/>
              <w:left w:val="single" w:color="000000" w:sz="4" w:space="0"/>
              <w:bottom w:val="single" w:color="000000" w:sz="4" w:space="0"/>
              <w:right w:val="single" w:color="000000" w:sz="4" w:space="0"/>
            </w:tcBorders>
            <w:vAlign w:val="center"/>
          </w:tcPr>
          <w:p w14:paraId="61A9F52C">
            <w:pPr>
              <w:widowControl/>
              <w:spacing w:line="400" w:lineRule="exact"/>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分值</w:t>
            </w:r>
          </w:p>
        </w:tc>
      </w:tr>
      <w:tr w14:paraId="0454A45B">
        <w:tblPrEx>
          <w:tblCellMar>
            <w:top w:w="0" w:type="dxa"/>
            <w:left w:w="108" w:type="dxa"/>
            <w:bottom w:w="0" w:type="dxa"/>
            <w:right w:w="108" w:type="dxa"/>
          </w:tblCellMar>
        </w:tblPrEx>
        <w:trPr>
          <w:trHeight w:val="736" w:hRule="atLeast"/>
          <w:jc w:val="center"/>
        </w:trPr>
        <w:tc>
          <w:tcPr>
            <w:tcW w:w="735" w:type="dxa"/>
            <w:tcBorders>
              <w:top w:val="single" w:color="000000" w:sz="4" w:space="0"/>
              <w:left w:val="single" w:color="000000" w:sz="4" w:space="0"/>
              <w:bottom w:val="single" w:color="000000" w:sz="4" w:space="0"/>
              <w:right w:val="single" w:color="000000" w:sz="4" w:space="0"/>
            </w:tcBorders>
            <w:vAlign w:val="center"/>
          </w:tcPr>
          <w:p w14:paraId="5E888151">
            <w:pPr>
              <w:widowControl/>
              <w:spacing w:line="400" w:lineRule="exact"/>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1</w:t>
            </w:r>
          </w:p>
        </w:tc>
        <w:tc>
          <w:tcPr>
            <w:tcW w:w="1115" w:type="dxa"/>
            <w:tcBorders>
              <w:top w:val="single" w:color="000000" w:sz="4" w:space="0"/>
              <w:left w:val="single" w:color="000000" w:sz="4" w:space="0"/>
              <w:bottom w:val="single" w:color="000000" w:sz="4" w:space="0"/>
              <w:right w:val="single" w:color="000000" w:sz="4" w:space="0"/>
            </w:tcBorders>
            <w:vAlign w:val="center"/>
          </w:tcPr>
          <w:p w14:paraId="6BE9144B">
            <w:pPr>
              <w:widowControl/>
              <w:spacing w:line="400" w:lineRule="exact"/>
              <w:jc w:val="center"/>
              <w:textAlignment w:val="center"/>
              <w:rPr>
                <w:rFonts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价格分</w:t>
            </w:r>
          </w:p>
          <w:p w14:paraId="69BE11BB">
            <w:pPr>
              <w:widowControl/>
              <w:spacing w:line="400" w:lineRule="exact"/>
              <w:jc w:val="center"/>
              <w:textAlignment w:val="center"/>
              <w:rPr>
                <w:rFonts w:ascii="宋体" w:hAnsi="宋体" w:cs="宋体"/>
                <w:b/>
                <w:bCs/>
                <w:color w:val="auto"/>
                <w:kern w:val="0"/>
                <w:szCs w:val="21"/>
                <w:highlight w:val="none"/>
                <w:lang w:bidi="ar"/>
              </w:rPr>
            </w:pPr>
            <w:r>
              <w:rPr>
                <w:rFonts w:hint="eastAsia" w:ascii="宋体" w:hAnsi="宋体" w:cs="宋体"/>
                <w:b/>
                <w:color w:val="auto"/>
                <w:szCs w:val="21"/>
                <w:highlight w:val="none"/>
              </w:rPr>
              <w:t>（</w:t>
            </w:r>
            <w:r>
              <w:rPr>
                <w:rFonts w:hint="eastAsia" w:ascii="宋体" w:hAnsi="宋体" w:cs="宋体"/>
                <w:b/>
                <w:bCs/>
                <w:color w:val="auto"/>
                <w:szCs w:val="21"/>
                <w:highlight w:val="none"/>
              </w:rPr>
              <w:t>满分</w:t>
            </w:r>
            <w:r>
              <w:rPr>
                <w:rFonts w:hint="eastAsia" w:ascii="宋体" w:hAnsi="宋体" w:cs="宋体"/>
                <w:b/>
                <w:color w:val="auto"/>
                <w:szCs w:val="21"/>
                <w:highlight w:val="none"/>
              </w:rPr>
              <w:t>20分）</w:t>
            </w:r>
          </w:p>
        </w:tc>
        <w:tc>
          <w:tcPr>
            <w:tcW w:w="6539" w:type="dxa"/>
            <w:tcBorders>
              <w:top w:val="single" w:color="000000" w:sz="4" w:space="0"/>
              <w:left w:val="single" w:color="000000" w:sz="4" w:space="0"/>
              <w:bottom w:val="single" w:color="000000" w:sz="4" w:space="0"/>
              <w:right w:val="single" w:color="000000" w:sz="4" w:space="0"/>
            </w:tcBorders>
          </w:tcPr>
          <w:p w14:paraId="59409577">
            <w:pPr>
              <w:wordWrap w:val="0"/>
              <w:spacing w:line="400" w:lineRule="exact"/>
              <w:ind w:firstLine="420" w:firstLineChars="200"/>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（1）以进入综合评分环节的最低的评标报价为基准价，基准价报价得分为满分。</w:t>
            </w:r>
          </w:p>
          <w:p w14:paraId="1BB0EBAD">
            <w:pPr>
              <w:pStyle w:val="16"/>
              <w:adjustRightInd w:val="0"/>
              <w:snapToGrid w:val="0"/>
              <w:spacing w:line="400" w:lineRule="exact"/>
              <w:ind w:firstLine="420" w:firstLineChars="200"/>
              <w:rPr>
                <w:rFonts w:hAnsi="宋体" w:cs="宋体"/>
                <w:color w:val="auto"/>
                <w:sz w:val="21"/>
                <w:highlight w:val="none"/>
              </w:rPr>
            </w:pPr>
            <w:r>
              <w:rPr>
                <w:rFonts w:hint="eastAsia" w:hAnsi="宋体" w:cs="宋体"/>
                <w:color w:val="auto"/>
                <w:sz w:val="21"/>
                <w:highlight w:val="none"/>
              </w:rPr>
              <w:t>（2）价格分计算公式：某供应商价格分=基准价/某供应商评标报价×20分</w:t>
            </w:r>
          </w:p>
        </w:tc>
        <w:tc>
          <w:tcPr>
            <w:tcW w:w="766" w:type="dxa"/>
            <w:tcBorders>
              <w:top w:val="single" w:color="000000" w:sz="4" w:space="0"/>
              <w:left w:val="single" w:color="000000" w:sz="4" w:space="0"/>
              <w:bottom w:val="single" w:color="000000" w:sz="4" w:space="0"/>
              <w:right w:val="single" w:color="000000" w:sz="4" w:space="0"/>
            </w:tcBorders>
            <w:vAlign w:val="center"/>
          </w:tcPr>
          <w:p w14:paraId="07D5C08F">
            <w:pPr>
              <w:spacing w:line="400" w:lineRule="exact"/>
              <w:rPr>
                <w:rFonts w:ascii="宋体" w:hAnsi="宋体" w:cs="宋体"/>
                <w:color w:val="auto"/>
                <w:szCs w:val="21"/>
                <w:highlight w:val="none"/>
              </w:rPr>
            </w:pPr>
            <w:r>
              <w:rPr>
                <w:rFonts w:hint="eastAsia" w:ascii="宋体" w:hAnsi="宋体" w:cs="宋体"/>
                <w:color w:val="auto"/>
                <w:szCs w:val="21"/>
                <w:highlight w:val="none"/>
              </w:rPr>
              <w:t>20分</w:t>
            </w:r>
          </w:p>
          <w:p w14:paraId="4EF7F86C">
            <w:pPr>
              <w:widowControl/>
              <w:spacing w:line="400" w:lineRule="exact"/>
              <w:jc w:val="center"/>
              <w:textAlignment w:val="center"/>
              <w:rPr>
                <w:rFonts w:ascii="宋体" w:hAnsi="宋体" w:cs="宋体"/>
                <w:color w:val="auto"/>
                <w:kern w:val="0"/>
                <w:szCs w:val="21"/>
                <w:highlight w:val="none"/>
                <w:lang w:bidi="ar"/>
              </w:rPr>
            </w:pPr>
          </w:p>
        </w:tc>
      </w:tr>
      <w:tr w14:paraId="76430ED5">
        <w:tblPrEx>
          <w:tblCellMar>
            <w:top w:w="0" w:type="dxa"/>
            <w:left w:w="108" w:type="dxa"/>
            <w:bottom w:w="0" w:type="dxa"/>
            <w:right w:w="108" w:type="dxa"/>
          </w:tblCellMar>
        </w:tblPrEx>
        <w:trPr>
          <w:trHeight w:val="549" w:hRule="atLeast"/>
          <w:jc w:val="center"/>
        </w:trPr>
        <w:tc>
          <w:tcPr>
            <w:tcW w:w="735" w:type="dxa"/>
            <w:tcBorders>
              <w:top w:val="single" w:color="000000" w:sz="4" w:space="0"/>
              <w:left w:val="single" w:color="000000" w:sz="4" w:space="0"/>
              <w:bottom w:val="single" w:color="000000" w:sz="4" w:space="0"/>
              <w:right w:val="single" w:color="000000" w:sz="4" w:space="0"/>
            </w:tcBorders>
            <w:vAlign w:val="center"/>
          </w:tcPr>
          <w:p w14:paraId="769B0B4B">
            <w:pPr>
              <w:widowControl/>
              <w:spacing w:line="400" w:lineRule="exact"/>
              <w:jc w:val="center"/>
              <w:textAlignment w:val="center"/>
              <w:rPr>
                <w:rFonts w:ascii="宋体" w:hAnsi="宋体" w:cs="宋体"/>
                <w:b/>
                <w:bCs/>
                <w:color w:val="auto"/>
                <w:kern w:val="0"/>
                <w:szCs w:val="21"/>
                <w:highlight w:val="none"/>
                <w:lang w:bidi="ar"/>
              </w:rPr>
            </w:pPr>
            <w:r>
              <w:rPr>
                <w:rFonts w:hint="eastAsia" w:ascii="宋体" w:hAnsi="宋体" w:cs="宋体"/>
                <w:b/>
                <w:bCs/>
                <w:color w:val="auto"/>
                <w:kern w:val="0"/>
                <w:szCs w:val="21"/>
                <w:highlight w:val="none"/>
                <w:lang w:bidi="ar"/>
              </w:rPr>
              <w:t>2</w:t>
            </w:r>
          </w:p>
        </w:tc>
        <w:tc>
          <w:tcPr>
            <w:tcW w:w="8420" w:type="dxa"/>
            <w:gridSpan w:val="3"/>
            <w:tcBorders>
              <w:top w:val="single" w:color="000000" w:sz="4" w:space="0"/>
              <w:left w:val="single" w:color="000000" w:sz="4" w:space="0"/>
              <w:bottom w:val="single" w:color="000000" w:sz="4" w:space="0"/>
              <w:right w:val="single" w:color="000000" w:sz="4" w:space="0"/>
            </w:tcBorders>
            <w:vAlign w:val="center"/>
          </w:tcPr>
          <w:p w14:paraId="73D403F1">
            <w:pPr>
              <w:widowControl/>
              <w:spacing w:line="400" w:lineRule="exact"/>
              <w:jc w:val="center"/>
              <w:textAlignment w:val="center"/>
              <w:rPr>
                <w:rFonts w:ascii="宋体" w:hAnsi="宋体" w:cs="宋体"/>
                <w:color w:val="auto"/>
                <w:kern w:val="0"/>
                <w:szCs w:val="21"/>
                <w:highlight w:val="none"/>
                <w:lang w:bidi="ar"/>
              </w:rPr>
            </w:pPr>
            <w:r>
              <w:rPr>
                <w:rFonts w:hint="eastAsia" w:ascii="宋体" w:hAnsi="宋体" w:cs="宋体"/>
                <w:b/>
                <w:bCs/>
                <w:color w:val="auto"/>
                <w:kern w:val="0"/>
                <w:szCs w:val="21"/>
                <w:highlight w:val="none"/>
                <w:lang w:bidi="ar"/>
              </w:rPr>
              <w:t>技术分（满分</w:t>
            </w:r>
            <w:r>
              <w:rPr>
                <w:rFonts w:hint="eastAsia" w:ascii="宋体" w:hAnsi="宋体" w:cs="宋体"/>
                <w:b/>
                <w:bCs/>
                <w:color w:val="auto"/>
                <w:kern w:val="0"/>
                <w:szCs w:val="21"/>
                <w:highlight w:val="none"/>
                <w:lang w:val="en-US" w:eastAsia="zh-CN" w:bidi="ar"/>
              </w:rPr>
              <w:t>66</w:t>
            </w:r>
            <w:r>
              <w:rPr>
                <w:rFonts w:hint="eastAsia" w:ascii="宋体" w:hAnsi="宋体" w:cs="宋体"/>
                <w:b/>
                <w:bCs/>
                <w:color w:val="auto"/>
                <w:kern w:val="0"/>
                <w:szCs w:val="21"/>
                <w:highlight w:val="none"/>
                <w:lang w:bidi="ar"/>
              </w:rPr>
              <w:t>分）</w:t>
            </w:r>
          </w:p>
        </w:tc>
      </w:tr>
      <w:tr w14:paraId="78F9E156">
        <w:tblPrEx>
          <w:tblCellMar>
            <w:top w:w="0" w:type="dxa"/>
            <w:left w:w="108" w:type="dxa"/>
            <w:bottom w:w="0" w:type="dxa"/>
            <w:right w:w="108" w:type="dxa"/>
          </w:tblCellMar>
        </w:tblPrEx>
        <w:trPr>
          <w:trHeight w:val="736" w:hRule="atLeast"/>
          <w:jc w:val="center"/>
        </w:trPr>
        <w:tc>
          <w:tcPr>
            <w:tcW w:w="735" w:type="dxa"/>
            <w:tcBorders>
              <w:top w:val="single" w:color="000000" w:sz="4" w:space="0"/>
              <w:left w:val="single" w:color="000000" w:sz="4" w:space="0"/>
              <w:bottom w:val="single" w:color="000000" w:sz="4" w:space="0"/>
              <w:right w:val="single" w:color="000000" w:sz="4" w:space="0"/>
            </w:tcBorders>
            <w:vAlign w:val="center"/>
          </w:tcPr>
          <w:p w14:paraId="406FD8D7">
            <w:pPr>
              <w:widowControl/>
              <w:spacing w:line="400" w:lineRule="exact"/>
              <w:jc w:val="center"/>
              <w:textAlignment w:val="center"/>
              <w:rPr>
                <w:rFonts w:ascii="宋体" w:hAnsi="宋体" w:cs="宋体"/>
                <w:b/>
                <w:bCs/>
                <w:color w:val="auto"/>
                <w:kern w:val="0"/>
                <w:szCs w:val="21"/>
                <w:highlight w:val="none"/>
                <w:lang w:bidi="ar"/>
              </w:rPr>
            </w:pPr>
            <w:r>
              <w:rPr>
                <w:rFonts w:hint="eastAsia" w:ascii="宋体" w:hAnsi="宋体" w:cs="宋体"/>
                <w:color w:val="auto"/>
                <w:kern w:val="0"/>
                <w:szCs w:val="21"/>
                <w:highlight w:val="none"/>
                <w:lang w:bidi="ar"/>
              </w:rPr>
              <w:t>2.1</w:t>
            </w:r>
          </w:p>
        </w:tc>
        <w:tc>
          <w:tcPr>
            <w:tcW w:w="1115" w:type="dxa"/>
            <w:tcBorders>
              <w:top w:val="single" w:color="000000" w:sz="4" w:space="0"/>
              <w:left w:val="single" w:color="000000" w:sz="4" w:space="0"/>
              <w:bottom w:val="single" w:color="000000" w:sz="4" w:space="0"/>
              <w:right w:val="single" w:color="000000" w:sz="4" w:space="0"/>
            </w:tcBorders>
            <w:vAlign w:val="center"/>
          </w:tcPr>
          <w:p w14:paraId="4D34B4C7">
            <w:pPr>
              <w:widowControl/>
              <w:spacing w:line="400" w:lineRule="exact"/>
              <w:jc w:val="center"/>
              <w:textAlignment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需求分析</w:t>
            </w:r>
          </w:p>
          <w:p w14:paraId="603EAD96">
            <w:pPr>
              <w:widowControl/>
              <w:spacing w:line="400" w:lineRule="exact"/>
              <w:jc w:val="center"/>
              <w:textAlignment w:val="center"/>
              <w:rPr>
                <w:rFonts w:ascii="宋体" w:hAnsi="宋体" w:cs="宋体"/>
                <w:b/>
                <w:bCs/>
                <w:color w:val="auto"/>
                <w:kern w:val="0"/>
                <w:szCs w:val="21"/>
                <w:highlight w:val="none"/>
                <w:lang w:bidi="ar"/>
              </w:rPr>
            </w:pPr>
            <w:r>
              <w:rPr>
                <w:rFonts w:hint="eastAsia" w:ascii="宋体" w:hAnsi="宋体" w:cs="宋体"/>
                <w:b/>
                <w:bCs/>
                <w:color w:val="auto"/>
                <w:kern w:val="0"/>
                <w:szCs w:val="21"/>
                <w:highlight w:val="none"/>
              </w:rPr>
              <w:t>（满分6分）</w:t>
            </w:r>
          </w:p>
        </w:tc>
        <w:tc>
          <w:tcPr>
            <w:tcW w:w="6539" w:type="dxa"/>
            <w:tcBorders>
              <w:top w:val="single" w:color="000000" w:sz="4" w:space="0"/>
              <w:left w:val="single" w:color="000000" w:sz="4" w:space="0"/>
              <w:bottom w:val="single" w:color="000000" w:sz="4" w:space="0"/>
              <w:right w:val="single" w:color="000000" w:sz="4" w:space="0"/>
            </w:tcBorders>
            <w:vAlign w:val="center"/>
          </w:tcPr>
          <w:p w14:paraId="0FAADE21">
            <w:pPr>
              <w:widowControl/>
              <w:spacing w:line="400" w:lineRule="exact"/>
              <w:ind w:firstLine="420" w:firstLineChars="200"/>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四档（0分）：未提供或对广西国土空间规划实施监测网络建设试点（一张图）的建设内容、建设背景、需求分析有严重偏差或逻辑不明确的；</w:t>
            </w:r>
          </w:p>
          <w:p w14:paraId="4DAFC26B">
            <w:pPr>
              <w:widowControl/>
              <w:spacing w:line="400" w:lineRule="exact"/>
              <w:ind w:firstLine="420" w:firstLineChars="200"/>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三档（2分）：对广西国土空间规划实施监测网络建设试点（一张图）的建设内容、建设背景、需求分析基本符合要求，逻辑设计基本合理；</w:t>
            </w:r>
          </w:p>
          <w:p w14:paraId="0ADE31AD">
            <w:pPr>
              <w:widowControl/>
              <w:spacing w:line="400" w:lineRule="exact"/>
              <w:ind w:firstLine="420" w:firstLineChars="200"/>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二档（4分）：对广西国土空间规划实施监测网络建设试点（一张图）的建设内容、建设背景、需求分析基本准确、完善，逻辑设计合理；</w:t>
            </w:r>
          </w:p>
          <w:p w14:paraId="08A72ABF">
            <w:pPr>
              <w:widowControl/>
              <w:spacing w:line="400" w:lineRule="exact"/>
              <w:ind w:firstLine="420" w:firstLineChars="200"/>
              <w:jc w:val="left"/>
              <w:textAlignment w:val="center"/>
              <w:rPr>
                <w:rFonts w:ascii="宋体" w:hAnsi="宋体" w:cs="宋体"/>
                <w:color w:val="auto"/>
                <w:szCs w:val="21"/>
                <w:highlight w:val="none"/>
              </w:rPr>
            </w:pPr>
            <w:r>
              <w:rPr>
                <w:rFonts w:hint="eastAsia" w:ascii="宋体" w:hAnsi="宋体" w:cs="宋体"/>
                <w:color w:val="auto"/>
                <w:kern w:val="0"/>
                <w:szCs w:val="21"/>
                <w:highlight w:val="none"/>
              </w:rPr>
              <w:t>一档（6分）：对广西国土空间规划实施监测网络建设试点（一张图）的建设内容、建设背景、需求分析完全符合的，分析详实具体、表达清晰，针对性强且合理的，适用性高的。</w:t>
            </w:r>
          </w:p>
        </w:tc>
        <w:tc>
          <w:tcPr>
            <w:tcW w:w="766" w:type="dxa"/>
            <w:tcBorders>
              <w:top w:val="single" w:color="000000" w:sz="4" w:space="0"/>
              <w:left w:val="single" w:color="000000" w:sz="4" w:space="0"/>
              <w:bottom w:val="single" w:color="000000" w:sz="4" w:space="0"/>
              <w:right w:val="single" w:color="000000" w:sz="4" w:space="0"/>
            </w:tcBorders>
            <w:vAlign w:val="center"/>
          </w:tcPr>
          <w:p w14:paraId="199D0E25">
            <w:pPr>
              <w:widowControl/>
              <w:spacing w:line="400" w:lineRule="exact"/>
              <w:jc w:val="center"/>
              <w:textAlignment w:val="center"/>
              <w:rPr>
                <w:rFonts w:ascii="宋体" w:hAnsi="宋体" w:cs="宋体"/>
                <w:color w:val="auto"/>
                <w:kern w:val="0"/>
                <w:szCs w:val="21"/>
                <w:highlight w:val="none"/>
                <w:lang w:bidi="ar"/>
              </w:rPr>
            </w:pPr>
            <w:r>
              <w:rPr>
                <w:rFonts w:hint="eastAsia" w:ascii="宋体" w:hAnsi="宋体" w:cs="宋体"/>
                <w:b/>
                <w:bCs/>
                <w:color w:val="auto"/>
                <w:kern w:val="0"/>
                <w:szCs w:val="21"/>
                <w:highlight w:val="none"/>
              </w:rPr>
              <w:t>6分</w:t>
            </w:r>
          </w:p>
        </w:tc>
      </w:tr>
      <w:tr w14:paraId="3834DB14">
        <w:tblPrEx>
          <w:tblCellMar>
            <w:top w:w="0" w:type="dxa"/>
            <w:left w:w="108" w:type="dxa"/>
            <w:bottom w:w="0" w:type="dxa"/>
            <w:right w:w="108" w:type="dxa"/>
          </w:tblCellMar>
        </w:tblPrEx>
        <w:trPr>
          <w:trHeight w:val="803" w:hRule="atLeast"/>
          <w:jc w:val="center"/>
        </w:trPr>
        <w:tc>
          <w:tcPr>
            <w:tcW w:w="735" w:type="dxa"/>
            <w:tcBorders>
              <w:top w:val="single" w:color="000000" w:sz="4" w:space="0"/>
              <w:left w:val="single" w:color="000000" w:sz="4" w:space="0"/>
              <w:bottom w:val="single" w:color="000000" w:sz="4" w:space="0"/>
              <w:right w:val="single" w:color="000000" w:sz="4" w:space="0"/>
            </w:tcBorders>
            <w:vAlign w:val="center"/>
          </w:tcPr>
          <w:p w14:paraId="00BC2863">
            <w:pPr>
              <w:widowControl/>
              <w:spacing w:line="400" w:lineRule="exact"/>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2.2</w:t>
            </w:r>
          </w:p>
        </w:tc>
        <w:tc>
          <w:tcPr>
            <w:tcW w:w="1115" w:type="dxa"/>
            <w:tcBorders>
              <w:top w:val="single" w:color="000000" w:sz="4" w:space="0"/>
              <w:left w:val="single" w:color="000000" w:sz="4" w:space="0"/>
              <w:bottom w:val="single" w:color="000000" w:sz="4" w:space="0"/>
              <w:right w:val="single" w:color="000000" w:sz="4" w:space="0"/>
            </w:tcBorders>
            <w:vAlign w:val="center"/>
          </w:tcPr>
          <w:p w14:paraId="07AECED1">
            <w:pPr>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rPr>
              <w:t>总体设计方案（满分15分）</w:t>
            </w:r>
          </w:p>
        </w:tc>
        <w:tc>
          <w:tcPr>
            <w:tcW w:w="6539" w:type="dxa"/>
            <w:tcBorders>
              <w:top w:val="single" w:color="000000" w:sz="4" w:space="0"/>
              <w:left w:val="single" w:color="000000" w:sz="4" w:space="0"/>
              <w:bottom w:val="single" w:color="000000" w:sz="4" w:space="0"/>
              <w:right w:val="single" w:color="000000" w:sz="4" w:space="0"/>
            </w:tcBorders>
            <w:vAlign w:val="center"/>
          </w:tcPr>
          <w:p w14:paraId="109225E8">
            <w:pPr>
              <w:widowControl/>
              <w:spacing w:line="400" w:lineRule="exact"/>
              <w:ind w:firstLine="420" w:firstLineChars="200"/>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根据项目需求制定总体设计方案，综合考虑总体架构、技术架构、数据架构等逻辑性、合理性、实用性，根据实际需求进行评分：</w:t>
            </w:r>
          </w:p>
          <w:p w14:paraId="390BC7E6">
            <w:pPr>
              <w:widowControl/>
              <w:spacing w:line="400" w:lineRule="exact"/>
              <w:ind w:firstLine="420" w:firstLineChars="200"/>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四档（0分）：未提供或提供系统总体架构、技术架构、数据架构等方案不符合采购需求的；</w:t>
            </w:r>
          </w:p>
          <w:p w14:paraId="6BCDD6B2">
            <w:pPr>
              <w:widowControl/>
              <w:spacing w:line="400" w:lineRule="exact"/>
              <w:ind w:firstLine="420" w:firstLineChars="200"/>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三档（5分）：提供系统总体架构、技术架构、数据架构等方案基本符合要求，逻辑设计基本合理；</w:t>
            </w:r>
          </w:p>
          <w:p w14:paraId="63A70760">
            <w:pPr>
              <w:widowControl/>
              <w:spacing w:line="400" w:lineRule="exact"/>
              <w:ind w:firstLine="420" w:firstLineChars="200"/>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二档（10分）：提供系统总体架构、技术架构、数据架构等方案实际需求匹配，逻辑清晰、可以指导后续的工作的；</w:t>
            </w:r>
          </w:p>
          <w:p w14:paraId="0DADBCE7">
            <w:pPr>
              <w:widowControl/>
              <w:spacing w:line="400" w:lineRule="exact"/>
              <w:ind w:firstLine="420" w:firstLineChars="200"/>
              <w:jc w:val="left"/>
              <w:textAlignment w:val="center"/>
              <w:rPr>
                <w:rFonts w:ascii="宋体" w:hAnsi="宋体" w:cs="宋体"/>
                <w:b/>
                <w:bCs/>
                <w:color w:val="auto"/>
                <w:szCs w:val="21"/>
                <w:highlight w:val="none"/>
              </w:rPr>
            </w:pPr>
            <w:r>
              <w:rPr>
                <w:rFonts w:hint="eastAsia" w:ascii="宋体" w:hAnsi="宋体" w:cs="宋体"/>
                <w:color w:val="auto"/>
                <w:kern w:val="0"/>
                <w:szCs w:val="21"/>
                <w:highlight w:val="none"/>
              </w:rPr>
              <w:t>一档（15分）：提供系统总体架构、技术架构、数据架构等方案合理实用、逻辑清晰且完全满足采购需求或是优于采购需求的。</w:t>
            </w:r>
          </w:p>
        </w:tc>
        <w:tc>
          <w:tcPr>
            <w:tcW w:w="766" w:type="dxa"/>
            <w:tcBorders>
              <w:top w:val="single" w:color="000000" w:sz="4" w:space="0"/>
              <w:left w:val="single" w:color="000000" w:sz="4" w:space="0"/>
              <w:bottom w:val="single" w:color="000000" w:sz="4" w:space="0"/>
              <w:right w:val="single" w:color="000000" w:sz="4" w:space="0"/>
            </w:tcBorders>
            <w:vAlign w:val="center"/>
          </w:tcPr>
          <w:p w14:paraId="267F3039">
            <w:pPr>
              <w:widowControl/>
              <w:spacing w:line="400" w:lineRule="exact"/>
              <w:jc w:val="center"/>
              <w:textAlignment w:val="center"/>
              <w:rPr>
                <w:rFonts w:ascii="宋体" w:hAnsi="宋体" w:cs="宋体"/>
                <w:color w:val="auto"/>
                <w:szCs w:val="21"/>
                <w:highlight w:val="none"/>
              </w:rPr>
            </w:pPr>
            <w:r>
              <w:rPr>
                <w:rFonts w:hint="eastAsia" w:ascii="宋体" w:hAnsi="宋体" w:cs="宋体"/>
                <w:b/>
                <w:bCs/>
                <w:color w:val="auto"/>
                <w:kern w:val="0"/>
                <w:szCs w:val="21"/>
                <w:highlight w:val="none"/>
              </w:rPr>
              <w:t>15分</w:t>
            </w:r>
          </w:p>
        </w:tc>
      </w:tr>
      <w:tr w14:paraId="6326B75D">
        <w:tblPrEx>
          <w:tblCellMar>
            <w:top w:w="0" w:type="dxa"/>
            <w:left w:w="108" w:type="dxa"/>
            <w:bottom w:w="0" w:type="dxa"/>
            <w:right w:w="108" w:type="dxa"/>
          </w:tblCellMar>
        </w:tblPrEx>
        <w:trPr>
          <w:jc w:val="center"/>
        </w:trPr>
        <w:tc>
          <w:tcPr>
            <w:tcW w:w="735" w:type="dxa"/>
            <w:tcBorders>
              <w:top w:val="single" w:color="000000" w:sz="4" w:space="0"/>
              <w:left w:val="single" w:color="000000" w:sz="4" w:space="0"/>
              <w:bottom w:val="single" w:color="000000" w:sz="4" w:space="0"/>
              <w:right w:val="single" w:color="000000" w:sz="4" w:space="0"/>
            </w:tcBorders>
            <w:vAlign w:val="center"/>
          </w:tcPr>
          <w:p w14:paraId="359D3F64">
            <w:pPr>
              <w:widowControl/>
              <w:spacing w:line="400" w:lineRule="exact"/>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2.3</w:t>
            </w:r>
          </w:p>
        </w:tc>
        <w:tc>
          <w:tcPr>
            <w:tcW w:w="1115" w:type="dxa"/>
            <w:tcBorders>
              <w:top w:val="single" w:color="000000" w:sz="4" w:space="0"/>
              <w:left w:val="single" w:color="000000" w:sz="4" w:space="0"/>
              <w:bottom w:val="single" w:color="000000" w:sz="4" w:space="0"/>
              <w:right w:val="single" w:color="000000" w:sz="4" w:space="0"/>
            </w:tcBorders>
            <w:vAlign w:val="center"/>
          </w:tcPr>
          <w:p w14:paraId="3FBF5498">
            <w:pPr>
              <w:widowControl/>
              <w:spacing w:line="400" w:lineRule="exact"/>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技术方案</w:t>
            </w:r>
            <w:r>
              <w:rPr>
                <w:rFonts w:hint="eastAsia" w:ascii="宋体" w:hAnsi="宋体" w:cs="宋体"/>
                <w:b/>
                <w:bCs/>
                <w:color w:val="auto"/>
                <w:kern w:val="0"/>
                <w:szCs w:val="21"/>
                <w:highlight w:val="none"/>
              </w:rPr>
              <w:br w:type="textWrapping"/>
            </w:r>
            <w:r>
              <w:rPr>
                <w:rFonts w:hint="eastAsia" w:ascii="宋体" w:hAnsi="宋体" w:cs="宋体"/>
                <w:b/>
                <w:bCs/>
                <w:color w:val="auto"/>
                <w:kern w:val="0"/>
                <w:szCs w:val="21"/>
                <w:highlight w:val="none"/>
              </w:rPr>
              <w:t>（满分15分）</w:t>
            </w:r>
          </w:p>
        </w:tc>
        <w:tc>
          <w:tcPr>
            <w:tcW w:w="6539" w:type="dxa"/>
            <w:tcBorders>
              <w:top w:val="single" w:color="000000" w:sz="4" w:space="0"/>
              <w:left w:val="single" w:color="000000" w:sz="4" w:space="0"/>
              <w:bottom w:val="single" w:color="000000" w:sz="4" w:space="0"/>
              <w:right w:val="single" w:color="000000" w:sz="4" w:space="0"/>
            </w:tcBorders>
            <w:vAlign w:val="center"/>
          </w:tcPr>
          <w:p w14:paraId="7CFD618E">
            <w:pPr>
              <w:widowControl/>
              <w:spacing w:line="400" w:lineRule="exact"/>
              <w:ind w:firstLine="420" w:firstLineChars="200"/>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根据采购要求，提供本项目的详细技术及功能设计：</w:t>
            </w:r>
          </w:p>
          <w:p w14:paraId="17B7A166">
            <w:pPr>
              <w:widowControl/>
              <w:spacing w:line="400" w:lineRule="exact"/>
              <w:ind w:firstLine="420" w:firstLineChars="200"/>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四档（0分）：未提供或提供的技术方案有严重偏差、不符合采购需求不得分；</w:t>
            </w:r>
          </w:p>
          <w:p w14:paraId="23E63124">
            <w:pPr>
              <w:widowControl/>
              <w:spacing w:line="400" w:lineRule="exact"/>
              <w:ind w:firstLine="420" w:firstLineChars="200"/>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三档（5分）：提供的技术方案对各大场景内容及场景的设计、指标库设计、模型规则设计等详细方案与实际需求基本符合；</w:t>
            </w:r>
          </w:p>
          <w:p w14:paraId="335CDCD0">
            <w:pPr>
              <w:widowControl/>
              <w:spacing w:line="400" w:lineRule="exact"/>
              <w:ind w:firstLine="420" w:firstLineChars="200"/>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二档（10分）：提供的技术方案中各大场景内容及场景的设计、指标库设计、模型规则设计等详细方案与实际需求匹配，逻辑设计较为清晰的；</w:t>
            </w:r>
          </w:p>
          <w:p w14:paraId="4F84C692">
            <w:pPr>
              <w:widowControl/>
              <w:spacing w:line="400" w:lineRule="exact"/>
              <w:ind w:firstLine="420" w:firstLineChars="200"/>
              <w:jc w:val="left"/>
              <w:textAlignment w:val="center"/>
              <w:rPr>
                <w:rFonts w:ascii="宋体" w:hAnsi="宋体" w:cs="宋体"/>
                <w:b/>
                <w:bCs/>
                <w:color w:val="auto"/>
                <w:szCs w:val="21"/>
                <w:highlight w:val="none"/>
              </w:rPr>
            </w:pPr>
            <w:r>
              <w:rPr>
                <w:rFonts w:hint="eastAsia" w:ascii="宋体" w:hAnsi="宋体" w:cs="宋体"/>
                <w:color w:val="auto"/>
                <w:kern w:val="0"/>
                <w:szCs w:val="21"/>
                <w:highlight w:val="none"/>
              </w:rPr>
              <w:t>一档（15分）：提供的技术方案中各大场景内容及场景的设计、指标库设计、模型规则设计等详细方案与实际需求匹配、内容详实、设计逻辑清晰、科学合理、针对性强的，同时投标人具有针对自动提取空间元数据并和空间数据模型自动关联、城市信息模型的空间单元编码生成方法、基于Spark分布式的矢量转栅格方法等方面的技术能力。</w:t>
            </w:r>
          </w:p>
        </w:tc>
        <w:tc>
          <w:tcPr>
            <w:tcW w:w="766" w:type="dxa"/>
            <w:tcBorders>
              <w:top w:val="single" w:color="000000" w:sz="4" w:space="0"/>
              <w:left w:val="single" w:color="000000" w:sz="4" w:space="0"/>
              <w:bottom w:val="single" w:color="000000" w:sz="4" w:space="0"/>
              <w:right w:val="single" w:color="000000" w:sz="4" w:space="0"/>
            </w:tcBorders>
            <w:vAlign w:val="center"/>
          </w:tcPr>
          <w:p w14:paraId="1D374CFE">
            <w:pPr>
              <w:widowControl/>
              <w:spacing w:line="40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rPr>
              <w:t>15分</w:t>
            </w:r>
          </w:p>
        </w:tc>
      </w:tr>
      <w:tr w14:paraId="1D7A6D28">
        <w:tblPrEx>
          <w:tblCellMar>
            <w:top w:w="0" w:type="dxa"/>
            <w:left w:w="108" w:type="dxa"/>
            <w:bottom w:w="0" w:type="dxa"/>
            <w:right w:w="108" w:type="dxa"/>
          </w:tblCellMar>
        </w:tblPrEx>
        <w:trPr>
          <w:jc w:val="center"/>
        </w:trPr>
        <w:tc>
          <w:tcPr>
            <w:tcW w:w="735" w:type="dxa"/>
            <w:tcBorders>
              <w:top w:val="single" w:color="000000" w:sz="4" w:space="0"/>
              <w:left w:val="single" w:color="000000" w:sz="4" w:space="0"/>
              <w:bottom w:val="single" w:color="000000" w:sz="4" w:space="0"/>
              <w:right w:val="single" w:color="000000" w:sz="4" w:space="0"/>
            </w:tcBorders>
            <w:vAlign w:val="center"/>
          </w:tcPr>
          <w:p w14:paraId="67F58F82">
            <w:pPr>
              <w:widowControl/>
              <w:spacing w:line="400" w:lineRule="exact"/>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2.4</w:t>
            </w:r>
          </w:p>
        </w:tc>
        <w:tc>
          <w:tcPr>
            <w:tcW w:w="1115" w:type="dxa"/>
            <w:tcBorders>
              <w:top w:val="single" w:color="000000" w:sz="4" w:space="0"/>
              <w:left w:val="single" w:color="000000" w:sz="4" w:space="0"/>
              <w:bottom w:val="single" w:color="000000" w:sz="4" w:space="0"/>
              <w:right w:val="single" w:color="000000" w:sz="4" w:space="0"/>
            </w:tcBorders>
            <w:vAlign w:val="center"/>
          </w:tcPr>
          <w:p w14:paraId="5C66122F">
            <w:pPr>
              <w:widowControl/>
              <w:spacing w:line="400" w:lineRule="exact"/>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实施方案   (满分12分)</w:t>
            </w:r>
          </w:p>
        </w:tc>
        <w:tc>
          <w:tcPr>
            <w:tcW w:w="6539" w:type="dxa"/>
            <w:tcBorders>
              <w:top w:val="single" w:color="000000" w:sz="4" w:space="0"/>
              <w:left w:val="single" w:color="000000" w:sz="4" w:space="0"/>
              <w:bottom w:val="single" w:color="000000" w:sz="4" w:space="0"/>
              <w:right w:val="single" w:color="000000" w:sz="4" w:space="0"/>
            </w:tcBorders>
            <w:vAlign w:val="center"/>
          </w:tcPr>
          <w:p w14:paraId="2C687F4F">
            <w:pPr>
              <w:widowControl/>
              <w:spacing w:line="400" w:lineRule="exact"/>
              <w:ind w:firstLine="420" w:firstLineChars="200"/>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四档（0分）：未提供或提供的项目实施方案有严重缺陷、操作性较弱的；</w:t>
            </w:r>
          </w:p>
          <w:p w14:paraId="4B5B9507">
            <w:pPr>
              <w:widowControl/>
              <w:spacing w:line="400" w:lineRule="exact"/>
              <w:ind w:firstLine="420" w:firstLineChars="200"/>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三档（4分）：提供项目实施方案略基本合理，操作性一般的；</w:t>
            </w:r>
          </w:p>
          <w:p w14:paraId="678092D9">
            <w:pPr>
              <w:widowControl/>
              <w:spacing w:line="400" w:lineRule="exact"/>
              <w:ind w:firstLine="420" w:firstLineChars="200"/>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二档（8分）：提供较为完整的项目实施方案，</w:t>
            </w:r>
            <w:r>
              <w:rPr>
                <w:rFonts w:ascii="宋体" w:hAnsi="宋体" w:cs="宋体"/>
                <w:color w:val="auto"/>
                <w:kern w:val="0"/>
                <w:szCs w:val="21"/>
                <w:highlight w:val="none"/>
              </w:rPr>
              <w:t>且</w:t>
            </w:r>
            <w:r>
              <w:rPr>
                <w:rFonts w:hint="eastAsia" w:ascii="宋体" w:hAnsi="宋体" w:cs="宋体"/>
                <w:color w:val="auto"/>
                <w:kern w:val="0"/>
                <w:szCs w:val="21"/>
                <w:highlight w:val="none"/>
              </w:rPr>
              <w:t>项目实施</w:t>
            </w:r>
            <w:r>
              <w:rPr>
                <w:rFonts w:ascii="宋体" w:hAnsi="宋体" w:cs="宋体"/>
                <w:color w:val="auto"/>
                <w:kern w:val="0"/>
                <w:szCs w:val="21"/>
                <w:highlight w:val="none"/>
              </w:rPr>
              <w:t>方案</w:t>
            </w:r>
            <w:r>
              <w:rPr>
                <w:rFonts w:hint="eastAsia" w:ascii="宋体" w:hAnsi="宋体" w:cs="宋体"/>
                <w:color w:val="auto"/>
                <w:kern w:val="0"/>
                <w:szCs w:val="21"/>
                <w:highlight w:val="none"/>
              </w:rPr>
              <w:t>较好</w:t>
            </w:r>
            <w:r>
              <w:rPr>
                <w:rFonts w:ascii="宋体" w:hAnsi="宋体" w:cs="宋体"/>
                <w:color w:val="auto"/>
                <w:kern w:val="0"/>
                <w:szCs w:val="21"/>
                <w:highlight w:val="none"/>
              </w:rPr>
              <w:t>结合本项目采购核心内容</w:t>
            </w:r>
            <w:r>
              <w:rPr>
                <w:rFonts w:hint="eastAsia" w:ascii="宋体" w:hAnsi="宋体" w:cs="宋体"/>
                <w:color w:val="auto"/>
                <w:kern w:val="0"/>
                <w:szCs w:val="21"/>
                <w:highlight w:val="none"/>
              </w:rPr>
              <w:t>，可操作性较强；</w:t>
            </w:r>
          </w:p>
          <w:p w14:paraId="03A5FC40">
            <w:pPr>
              <w:widowControl/>
              <w:spacing w:line="400" w:lineRule="exact"/>
              <w:ind w:firstLine="420" w:firstLineChars="200"/>
              <w:jc w:val="left"/>
              <w:textAlignment w:val="center"/>
              <w:rPr>
                <w:rFonts w:ascii="宋体" w:hAnsi="宋体" w:cs="宋体"/>
                <w:b/>
                <w:bCs/>
                <w:color w:val="auto"/>
                <w:szCs w:val="21"/>
                <w:highlight w:val="none"/>
              </w:rPr>
            </w:pPr>
            <w:r>
              <w:rPr>
                <w:rFonts w:hint="eastAsia" w:ascii="宋体" w:hAnsi="宋体" w:cs="宋体"/>
                <w:color w:val="auto"/>
                <w:kern w:val="0"/>
                <w:szCs w:val="21"/>
                <w:highlight w:val="none"/>
              </w:rPr>
              <w:t>一档（12分）：提供完整项目实施方案，且项目实施方案紧密结合本项目</w:t>
            </w:r>
            <w:r>
              <w:rPr>
                <w:rFonts w:ascii="宋体" w:hAnsi="宋体" w:cs="宋体"/>
                <w:color w:val="auto"/>
                <w:kern w:val="0"/>
                <w:szCs w:val="21"/>
                <w:highlight w:val="none"/>
              </w:rPr>
              <w:t>采购核心内容</w:t>
            </w:r>
            <w:r>
              <w:rPr>
                <w:rFonts w:hint="eastAsia" w:ascii="宋体" w:hAnsi="宋体" w:cs="宋体"/>
                <w:color w:val="auto"/>
                <w:kern w:val="0"/>
                <w:szCs w:val="21"/>
                <w:highlight w:val="none"/>
              </w:rPr>
              <w:t>，</w:t>
            </w:r>
            <w:r>
              <w:rPr>
                <w:rFonts w:ascii="宋体" w:hAnsi="宋体" w:cs="宋体"/>
                <w:color w:val="auto"/>
                <w:kern w:val="0"/>
                <w:szCs w:val="21"/>
                <w:highlight w:val="none"/>
              </w:rPr>
              <w:t>具备明确针对性、突出编写重点且可操作性强</w:t>
            </w:r>
            <w:r>
              <w:rPr>
                <w:rFonts w:hint="eastAsia" w:ascii="宋体" w:hAnsi="宋体" w:cs="宋体"/>
                <w:color w:val="auto"/>
                <w:kern w:val="0"/>
                <w:szCs w:val="21"/>
                <w:highlight w:val="none"/>
              </w:rPr>
              <w:t>。</w:t>
            </w:r>
          </w:p>
        </w:tc>
        <w:tc>
          <w:tcPr>
            <w:tcW w:w="766" w:type="dxa"/>
            <w:tcBorders>
              <w:top w:val="single" w:color="000000" w:sz="4" w:space="0"/>
              <w:left w:val="single" w:color="000000" w:sz="4" w:space="0"/>
              <w:bottom w:val="single" w:color="000000" w:sz="4" w:space="0"/>
              <w:right w:val="single" w:color="000000" w:sz="4" w:space="0"/>
            </w:tcBorders>
            <w:vAlign w:val="center"/>
          </w:tcPr>
          <w:p w14:paraId="067EB1AE">
            <w:pPr>
              <w:widowControl/>
              <w:spacing w:line="40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rPr>
              <w:t>12分</w:t>
            </w:r>
          </w:p>
        </w:tc>
      </w:tr>
      <w:tr w14:paraId="0B4D0B82">
        <w:tblPrEx>
          <w:tblCellMar>
            <w:top w:w="0" w:type="dxa"/>
            <w:left w:w="108" w:type="dxa"/>
            <w:bottom w:w="0" w:type="dxa"/>
            <w:right w:w="108" w:type="dxa"/>
          </w:tblCellMar>
        </w:tblPrEx>
        <w:trPr>
          <w:jc w:val="center"/>
        </w:trPr>
        <w:tc>
          <w:tcPr>
            <w:tcW w:w="735" w:type="dxa"/>
            <w:tcBorders>
              <w:top w:val="single" w:color="000000" w:sz="4" w:space="0"/>
              <w:left w:val="single" w:color="000000" w:sz="4" w:space="0"/>
              <w:bottom w:val="single" w:color="000000" w:sz="4" w:space="0"/>
              <w:right w:val="single" w:color="000000" w:sz="4" w:space="0"/>
            </w:tcBorders>
            <w:vAlign w:val="center"/>
          </w:tcPr>
          <w:p w14:paraId="2448FD68">
            <w:pPr>
              <w:widowControl/>
              <w:spacing w:line="400" w:lineRule="exact"/>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2.5</w:t>
            </w:r>
          </w:p>
        </w:tc>
        <w:tc>
          <w:tcPr>
            <w:tcW w:w="1115" w:type="dxa"/>
            <w:tcBorders>
              <w:top w:val="single" w:color="000000" w:sz="4" w:space="0"/>
              <w:left w:val="single" w:color="000000" w:sz="4" w:space="0"/>
              <w:bottom w:val="single" w:color="000000" w:sz="4" w:space="0"/>
              <w:right w:val="single" w:color="000000" w:sz="4" w:space="0"/>
            </w:tcBorders>
            <w:vAlign w:val="center"/>
          </w:tcPr>
          <w:p w14:paraId="27EC6F03">
            <w:pPr>
              <w:widowControl/>
              <w:spacing w:line="400" w:lineRule="exact"/>
              <w:jc w:val="center"/>
              <w:textAlignment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现场演示</w:t>
            </w:r>
          </w:p>
          <w:p w14:paraId="46735725">
            <w:pPr>
              <w:adjustRightInd w:val="0"/>
              <w:spacing w:line="400" w:lineRule="exact"/>
              <w:jc w:val="center"/>
              <w:textAlignment w:val="baseline"/>
              <w:rPr>
                <w:rFonts w:ascii="宋体" w:hAnsi="宋体" w:cs="宋体"/>
                <w:b/>
                <w:bCs/>
                <w:color w:val="auto"/>
                <w:szCs w:val="21"/>
                <w:highlight w:val="none"/>
              </w:rPr>
            </w:pPr>
            <w:r>
              <w:rPr>
                <w:rFonts w:hint="eastAsia" w:ascii="宋体" w:hAnsi="宋体" w:cs="宋体"/>
                <w:b/>
                <w:bCs/>
                <w:color w:val="auto"/>
                <w:kern w:val="0"/>
                <w:szCs w:val="21"/>
                <w:highlight w:val="none"/>
              </w:rPr>
              <w:t>（满分18）</w:t>
            </w:r>
          </w:p>
        </w:tc>
        <w:tc>
          <w:tcPr>
            <w:tcW w:w="6539" w:type="dxa"/>
            <w:tcBorders>
              <w:top w:val="single" w:color="000000" w:sz="4" w:space="0"/>
              <w:left w:val="single" w:color="000000" w:sz="4" w:space="0"/>
              <w:bottom w:val="single" w:color="000000" w:sz="4" w:space="0"/>
              <w:right w:val="single" w:color="000000" w:sz="4" w:space="0"/>
            </w:tcBorders>
            <w:vAlign w:val="center"/>
          </w:tcPr>
          <w:p w14:paraId="14725586">
            <w:pPr>
              <w:widowControl/>
              <w:spacing w:line="400" w:lineRule="exact"/>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（1）耕地保护的应用场景展示</w:t>
            </w:r>
          </w:p>
          <w:p w14:paraId="62D7B460">
            <w:pPr>
              <w:widowControl/>
              <w:spacing w:line="400" w:lineRule="exact"/>
              <w:ind w:firstLine="420" w:firstLineChars="200"/>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提供耕地保护的应用场景的展示界面，明确本年总体情况、预警、实施监督等模块各类指标展示布局进行可视化展示，提供耕地保护、永久基本农田、实施监督等模块的详情查看及丰富的图表展示。</w:t>
            </w:r>
          </w:p>
          <w:p w14:paraId="5C60FD6B">
            <w:pPr>
              <w:spacing w:line="400" w:lineRule="exact"/>
              <w:rPr>
                <w:rFonts w:ascii="宋体" w:hAnsi="宋体" w:cs="宋体"/>
                <w:b/>
                <w:bCs/>
                <w:color w:val="auto"/>
                <w:kern w:val="0"/>
                <w:szCs w:val="21"/>
                <w:highlight w:val="none"/>
              </w:rPr>
            </w:pPr>
            <w:r>
              <w:rPr>
                <w:rFonts w:hint="eastAsia" w:ascii="宋体" w:hAnsi="宋体" w:cs="宋体"/>
                <w:b/>
                <w:bCs/>
                <w:color w:val="auto"/>
                <w:kern w:val="0"/>
                <w:szCs w:val="21"/>
                <w:highlight w:val="none"/>
              </w:rPr>
              <w:t>(评分依据:符合上述条件，</w:t>
            </w:r>
            <w:r>
              <w:rPr>
                <w:rFonts w:hint="eastAsia" w:ascii="宋体" w:hAnsi="宋体" w:cs="宋体"/>
                <w:b/>
                <w:bCs/>
                <w:color w:val="auto"/>
                <w:kern w:val="0"/>
                <w:sz w:val="21"/>
                <w:szCs w:val="21"/>
                <w:highlight w:val="none"/>
                <w:lang w:val="en-US" w:eastAsia="zh-CN"/>
              </w:rPr>
              <w:t>供应商</w:t>
            </w:r>
            <w:r>
              <w:rPr>
                <w:rFonts w:hint="eastAsia" w:ascii="宋体" w:hAnsi="宋体" w:cs="宋体"/>
                <w:b/>
                <w:bCs/>
                <w:color w:val="auto"/>
                <w:kern w:val="0"/>
                <w:sz w:val="21"/>
                <w:szCs w:val="21"/>
                <w:highlight w:val="none"/>
              </w:rPr>
              <w:t>使用自己已有系统、</w:t>
            </w:r>
            <w:r>
              <w:rPr>
                <w:rFonts w:hint="eastAsia" w:ascii="宋体" w:hAnsi="宋体" w:cs="宋体"/>
                <w:b/>
                <w:bCs/>
                <w:color w:val="auto"/>
                <w:kern w:val="0"/>
                <w:szCs w:val="21"/>
                <w:highlight w:val="none"/>
              </w:rPr>
              <w:t>DEMO系统进行演示的最高得6分、使用视频动画、PPT、图像、图片任意一种形式进行演示的最高得2分。)</w:t>
            </w:r>
          </w:p>
          <w:p w14:paraId="637DA48E">
            <w:pPr>
              <w:widowControl/>
              <w:spacing w:line="400" w:lineRule="exact"/>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（2）生态安全的应用场景展示</w:t>
            </w:r>
          </w:p>
          <w:p w14:paraId="21CF8E81">
            <w:pPr>
              <w:widowControl/>
              <w:spacing w:line="400" w:lineRule="exact"/>
              <w:ind w:firstLine="420" w:firstLineChars="200"/>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提供生态安全的应用场景的展示界面，明确本年总体情况、重点关注、实施管理等模块各类指标展示布局进行可视化展示，提供上述模块的详情查看及丰富的图表展示。</w:t>
            </w:r>
          </w:p>
          <w:p w14:paraId="65B8DA5E">
            <w:pPr>
              <w:spacing w:line="400" w:lineRule="exact"/>
              <w:rPr>
                <w:rFonts w:ascii="宋体" w:hAnsi="宋体" w:cs="宋体"/>
                <w:b/>
                <w:bCs/>
                <w:color w:val="auto"/>
                <w:kern w:val="0"/>
                <w:szCs w:val="21"/>
                <w:highlight w:val="none"/>
              </w:rPr>
            </w:pPr>
            <w:r>
              <w:rPr>
                <w:rFonts w:hint="eastAsia" w:ascii="宋体" w:hAnsi="宋体" w:cs="宋体"/>
                <w:b/>
                <w:bCs/>
                <w:color w:val="auto"/>
                <w:kern w:val="0"/>
                <w:szCs w:val="21"/>
                <w:highlight w:val="none"/>
              </w:rPr>
              <w:t>(评分依据:符合上述条件，</w:t>
            </w:r>
            <w:r>
              <w:rPr>
                <w:rFonts w:hint="eastAsia" w:ascii="宋体" w:hAnsi="宋体" w:cs="宋体"/>
                <w:b/>
                <w:bCs/>
                <w:color w:val="auto"/>
                <w:kern w:val="0"/>
                <w:szCs w:val="21"/>
                <w:highlight w:val="none"/>
                <w:lang w:val="en-US" w:eastAsia="zh-CN"/>
              </w:rPr>
              <w:t>供应商</w:t>
            </w:r>
            <w:r>
              <w:rPr>
                <w:rFonts w:hint="eastAsia" w:ascii="宋体" w:hAnsi="宋体" w:cs="宋体"/>
                <w:b/>
                <w:bCs/>
                <w:color w:val="auto"/>
                <w:kern w:val="0"/>
                <w:szCs w:val="21"/>
                <w:highlight w:val="none"/>
              </w:rPr>
              <w:t>使用自己已有系统、DEMO系统进行演示的最高得6分、使用视频动画、PPT、图像、图片任意一种形式进行演示的最高得2分。)</w:t>
            </w:r>
          </w:p>
          <w:p w14:paraId="4793B528">
            <w:pPr>
              <w:widowControl/>
              <w:spacing w:line="400" w:lineRule="exact"/>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（3）支撑现代化产业体系的应用场景展示</w:t>
            </w:r>
          </w:p>
          <w:p w14:paraId="36A3A139">
            <w:pPr>
              <w:widowControl/>
              <w:spacing w:line="400" w:lineRule="exact"/>
              <w:ind w:firstLine="420" w:firstLineChars="200"/>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提供区域产业空间、沿边临港产业园、中国东盟产业合作区3大子场景的展示界面，明确年度总体情况、预警项、实施管理等模块各类指标展示布局进行可视化展示，支持园区（或片区、合作区）基本信息、用地详情等信息展示。</w:t>
            </w:r>
          </w:p>
          <w:p w14:paraId="796BFCCA">
            <w:pPr>
              <w:spacing w:line="400" w:lineRule="exact"/>
              <w:rPr>
                <w:rFonts w:ascii="宋体" w:hAnsi="宋体" w:cs="宋体"/>
                <w:b/>
                <w:bCs/>
                <w:color w:val="auto"/>
                <w:szCs w:val="21"/>
                <w:highlight w:val="none"/>
              </w:rPr>
            </w:pPr>
            <w:r>
              <w:rPr>
                <w:rFonts w:hint="eastAsia" w:ascii="宋体" w:hAnsi="宋体" w:cs="宋体"/>
                <w:b/>
                <w:bCs/>
                <w:color w:val="auto"/>
                <w:kern w:val="0"/>
                <w:szCs w:val="21"/>
                <w:highlight w:val="none"/>
              </w:rPr>
              <w:t>(评分依据:符合上述条件，</w:t>
            </w:r>
            <w:r>
              <w:rPr>
                <w:rFonts w:hint="eastAsia" w:ascii="宋体" w:hAnsi="宋体" w:cs="宋体"/>
                <w:b/>
                <w:bCs/>
                <w:color w:val="auto"/>
                <w:kern w:val="0"/>
                <w:szCs w:val="21"/>
                <w:highlight w:val="none"/>
                <w:lang w:val="en-US" w:eastAsia="zh-CN"/>
              </w:rPr>
              <w:t>供应商</w:t>
            </w:r>
            <w:r>
              <w:rPr>
                <w:rFonts w:hint="eastAsia" w:ascii="宋体" w:hAnsi="宋体" w:cs="宋体"/>
                <w:b/>
                <w:bCs/>
                <w:color w:val="auto"/>
                <w:kern w:val="0"/>
                <w:szCs w:val="21"/>
                <w:highlight w:val="none"/>
              </w:rPr>
              <w:t>使用自己已有系统、DEMO系统进行演示最高得6分、使用视频动画、PPT、图像、图片任意一种形式进行演示的最高得2分。)</w:t>
            </w:r>
          </w:p>
        </w:tc>
        <w:tc>
          <w:tcPr>
            <w:tcW w:w="766" w:type="dxa"/>
            <w:tcBorders>
              <w:top w:val="single" w:color="000000" w:sz="4" w:space="0"/>
              <w:left w:val="single" w:color="000000" w:sz="4" w:space="0"/>
              <w:bottom w:val="single" w:color="000000" w:sz="4" w:space="0"/>
              <w:right w:val="single" w:color="000000" w:sz="4" w:space="0"/>
            </w:tcBorders>
            <w:vAlign w:val="center"/>
          </w:tcPr>
          <w:p w14:paraId="41965E5D">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18分</w:t>
            </w:r>
          </w:p>
        </w:tc>
      </w:tr>
      <w:tr w14:paraId="2EBB175A">
        <w:tblPrEx>
          <w:tblCellMar>
            <w:top w:w="0" w:type="dxa"/>
            <w:left w:w="108" w:type="dxa"/>
            <w:bottom w:w="0" w:type="dxa"/>
            <w:right w:w="108" w:type="dxa"/>
          </w:tblCellMar>
        </w:tblPrEx>
        <w:trPr>
          <w:jc w:val="center"/>
        </w:trPr>
        <w:tc>
          <w:tcPr>
            <w:tcW w:w="735" w:type="dxa"/>
            <w:tcBorders>
              <w:top w:val="single" w:color="000000" w:sz="4" w:space="0"/>
              <w:left w:val="single" w:color="000000" w:sz="4" w:space="0"/>
              <w:bottom w:val="single" w:color="000000" w:sz="4" w:space="0"/>
              <w:right w:val="single" w:color="000000" w:sz="4" w:space="0"/>
            </w:tcBorders>
            <w:vAlign w:val="center"/>
          </w:tcPr>
          <w:p w14:paraId="5A62F147">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8420" w:type="dxa"/>
            <w:gridSpan w:val="3"/>
            <w:tcBorders>
              <w:top w:val="single" w:color="000000" w:sz="4" w:space="0"/>
              <w:left w:val="single" w:color="000000" w:sz="4" w:space="0"/>
              <w:bottom w:val="single" w:color="000000" w:sz="4" w:space="0"/>
              <w:right w:val="single" w:color="000000" w:sz="4" w:space="0"/>
            </w:tcBorders>
            <w:vAlign w:val="center"/>
          </w:tcPr>
          <w:p w14:paraId="32D81A81">
            <w:pPr>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rPr>
              <w:t>商务分（满分14分）</w:t>
            </w:r>
          </w:p>
        </w:tc>
      </w:tr>
      <w:tr w14:paraId="777BF2FD">
        <w:tblPrEx>
          <w:tblCellMar>
            <w:top w:w="0" w:type="dxa"/>
            <w:left w:w="108" w:type="dxa"/>
            <w:bottom w:w="0" w:type="dxa"/>
            <w:right w:w="108" w:type="dxa"/>
          </w:tblCellMar>
        </w:tblPrEx>
        <w:trPr>
          <w:jc w:val="center"/>
        </w:trPr>
        <w:tc>
          <w:tcPr>
            <w:tcW w:w="735" w:type="dxa"/>
            <w:tcBorders>
              <w:top w:val="single" w:color="000000" w:sz="4" w:space="0"/>
              <w:left w:val="single" w:color="000000" w:sz="4" w:space="0"/>
              <w:bottom w:val="single" w:color="000000" w:sz="4" w:space="0"/>
              <w:right w:val="single" w:color="000000" w:sz="4" w:space="0"/>
            </w:tcBorders>
            <w:vAlign w:val="center"/>
          </w:tcPr>
          <w:p w14:paraId="1450F712">
            <w:pPr>
              <w:widowControl/>
              <w:spacing w:line="400" w:lineRule="exact"/>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3.1</w:t>
            </w:r>
          </w:p>
        </w:tc>
        <w:tc>
          <w:tcPr>
            <w:tcW w:w="1115" w:type="dxa"/>
            <w:tcBorders>
              <w:top w:val="single" w:color="000000" w:sz="4" w:space="0"/>
              <w:left w:val="single" w:color="000000" w:sz="4" w:space="0"/>
              <w:bottom w:val="single" w:color="000000" w:sz="4" w:space="0"/>
              <w:right w:val="single" w:color="000000" w:sz="4" w:space="0"/>
            </w:tcBorders>
            <w:vAlign w:val="center"/>
          </w:tcPr>
          <w:p w14:paraId="6EA8D760">
            <w:pPr>
              <w:spacing w:line="400" w:lineRule="exact"/>
              <w:jc w:val="center"/>
              <w:rPr>
                <w:rFonts w:ascii="宋体" w:hAnsi="宋体" w:cs="宋体"/>
                <w:b/>
                <w:bCs/>
                <w:color w:val="auto"/>
                <w:szCs w:val="21"/>
                <w:highlight w:val="none"/>
              </w:rPr>
            </w:pPr>
            <w:r>
              <w:rPr>
                <w:rFonts w:hint="eastAsia" w:ascii="宋体" w:hAnsi="宋体" w:cs="宋体"/>
                <w:b/>
                <w:color w:val="auto"/>
                <w:szCs w:val="21"/>
                <w:highlight w:val="none"/>
              </w:rPr>
              <w:t>企业综合实力及业绩分（满分14分）</w:t>
            </w:r>
          </w:p>
        </w:tc>
        <w:tc>
          <w:tcPr>
            <w:tcW w:w="6539" w:type="dxa"/>
            <w:tcBorders>
              <w:top w:val="single" w:color="000000" w:sz="4" w:space="0"/>
              <w:left w:val="single" w:color="000000" w:sz="4" w:space="0"/>
              <w:bottom w:val="single" w:color="000000" w:sz="4" w:space="0"/>
              <w:right w:val="single" w:color="000000" w:sz="4" w:space="0"/>
            </w:tcBorders>
          </w:tcPr>
          <w:p w14:paraId="624F6D78">
            <w:pPr>
              <w:spacing w:line="400" w:lineRule="exact"/>
              <w:rPr>
                <w:rFonts w:ascii="宋体" w:hAnsi="宋体" w:cs="宋体"/>
                <w:color w:val="auto"/>
                <w:szCs w:val="21"/>
                <w:highlight w:val="none"/>
              </w:rPr>
            </w:pPr>
            <w:r>
              <w:rPr>
                <w:rFonts w:hint="eastAsia" w:ascii="宋体" w:hAnsi="宋体" w:cs="宋体"/>
                <w:color w:val="auto"/>
                <w:szCs w:val="21"/>
                <w:highlight w:val="none"/>
              </w:rPr>
              <w:t>1、企业实力（满分10分）</w:t>
            </w:r>
          </w:p>
          <w:p w14:paraId="3CEB7F1B">
            <w:pPr>
              <w:spacing w:line="400" w:lineRule="exact"/>
              <w:rPr>
                <w:rFonts w:ascii="宋体" w:hAnsi="宋体" w:cs="宋体"/>
                <w:color w:val="auto"/>
                <w:szCs w:val="21"/>
                <w:highlight w:val="none"/>
              </w:rPr>
            </w:pPr>
            <w:r>
              <w:rPr>
                <w:rFonts w:hint="eastAsia" w:ascii="宋体" w:hAnsi="宋体" w:cs="宋体"/>
                <w:color w:val="auto"/>
                <w:szCs w:val="21"/>
                <w:highlight w:val="none"/>
              </w:rPr>
              <w:t>（1）投标人自近三年以来自身拥有“国土空间规划软件类”技术能力，得2分。（需提供国家机关认定证书复印件加盖竞标人电子签章，不提供不得分。）</w:t>
            </w:r>
          </w:p>
          <w:p w14:paraId="277187C4">
            <w:pPr>
              <w:spacing w:line="400" w:lineRule="exact"/>
              <w:rPr>
                <w:rFonts w:ascii="宋体" w:hAnsi="宋体" w:cs="宋体"/>
                <w:color w:val="auto"/>
                <w:szCs w:val="21"/>
                <w:highlight w:val="none"/>
              </w:rPr>
            </w:pPr>
            <w:r>
              <w:rPr>
                <w:rFonts w:hint="eastAsia" w:ascii="宋体" w:hAnsi="宋体" w:cs="宋体"/>
                <w:color w:val="auto"/>
                <w:szCs w:val="21"/>
                <w:highlight w:val="none"/>
              </w:rPr>
              <w:t>（2）投标人自近三年以来自身拥有“自然资源数据</w:t>
            </w:r>
            <w:r>
              <w:rPr>
                <w:rFonts w:hint="eastAsia" w:ascii="宋体" w:hAnsi="宋体" w:cs="宋体"/>
                <w:bCs/>
                <w:color w:val="auto"/>
                <w:szCs w:val="21"/>
                <w:highlight w:val="none"/>
              </w:rPr>
              <w:t>收集与整理类”</w:t>
            </w:r>
            <w:r>
              <w:rPr>
                <w:rFonts w:hint="eastAsia" w:ascii="宋体" w:hAnsi="宋体" w:cs="宋体"/>
                <w:color w:val="auto"/>
                <w:szCs w:val="21"/>
                <w:highlight w:val="none"/>
              </w:rPr>
              <w:t>技术能力，得2分。（需提供国家机关认定证书复印件加盖竞标人电子签章，不提供不得分。）</w:t>
            </w:r>
          </w:p>
          <w:p w14:paraId="5A04E9A5">
            <w:pPr>
              <w:spacing w:line="400" w:lineRule="exact"/>
              <w:rPr>
                <w:rFonts w:ascii="宋体" w:hAnsi="宋体" w:cs="宋体"/>
                <w:color w:val="auto"/>
                <w:szCs w:val="21"/>
                <w:highlight w:val="none"/>
              </w:rPr>
            </w:pPr>
            <w:r>
              <w:rPr>
                <w:rFonts w:hint="eastAsia" w:ascii="宋体" w:hAnsi="宋体" w:cs="宋体"/>
                <w:color w:val="auto"/>
                <w:szCs w:val="21"/>
                <w:highlight w:val="none"/>
              </w:rPr>
              <w:t>（3）投标人具有甲级测绘资质得3分，乙级测绘资质得1分，最高得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分。（需提供证书复印件加盖竞标人电子签章，不提供不得分。）</w:t>
            </w:r>
          </w:p>
          <w:p w14:paraId="21C0443F">
            <w:pPr>
              <w:spacing w:line="400" w:lineRule="exact"/>
              <w:rPr>
                <w:rFonts w:ascii="宋体" w:hAnsi="宋体" w:cs="宋体"/>
                <w:color w:val="auto"/>
                <w:szCs w:val="21"/>
                <w:highlight w:val="none"/>
              </w:rPr>
            </w:pPr>
            <w:r>
              <w:rPr>
                <w:rFonts w:hint="eastAsia" w:ascii="宋体" w:hAnsi="宋体" w:cs="宋体"/>
                <w:color w:val="auto"/>
                <w:szCs w:val="21"/>
                <w:highlight w:val="none"/>
              </w:rPr>
              <w:t>（4）投标人具有甲级涉密资质得3分，乙级涉密资质得1份，最高得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分。（需提供证书复印件加盖竞标人电子签章，不提供不得分。）</w:t>
            </w:r>
          </w:p>
          <w:p w14:paraId="3A5FBF8B">
            <w:pPr>
              <w:spacing w:line="400" w:lineRule="exact"/>
              <w:rPr>
                <w:rFonts w:ascii="宋体" w:hAnsi="宋体" w:cs="宋体"/>
                <w:color w:val="auto"/>
                <w:szCs w:val="21"/>
                <w:highlight w:val="none"/>
              </w:rPr>
            </w:pPr>
            <w:r>
              <w:rPr>
                <w:rFonts w:hint="eastAsia" w:ascii="宋体" w:hAnsi="宋体" w:cs="宋体"/>
                <w:color w:val="auto"/>
                <w:szCs w:val="21"/>
                <w:highlight w:val="none"/>
              </w:rPr>
              <w:t>2、企业业绩（满分4分）</w:t>
            </w:r>
          </w:p>
          <w:p w14:paraId="4489DFC6">
            <w:pPr>
              <w:spacing w:line="400" w:lineRule="exact"/>
              <w:rPr>
                <w:rFonts w:ascii="宋体" w:hAnsi="宋体" w:cs="宋体"/>
                <w:b/>
                <w:bCs/>
                <w:color w:val="auto"/>
                <w:szCs w:val="21"/>
                <w:highlight w:val="none"/>
              </w:rPr>
            </w:pPr>
            <w:r>
              <w:rPr>
                <w:rFonts w:hint="eastAsia" w:ascii="宋体" w:hAnsi="宋体" w:cs="宋体"/>
                <w:color w:val="auto"/>
                <w:szCs w:val="21"/>
                <w:highlight w:val="none"/>
              </w:rPr>
              <w:t>（1）投标人自近三年以来承担过国土空间规划类软件建设应用建设案例的，每个案例得1分，最多得4分；（需提供业绩合同证明材料复印件加盖竞标人电子签章，不提供不得分。）</w:t>
            </w:r>
            <w:r>
              <w:rPr>
                <w:rFonts w:hint="eastAsia" w:ascii="宋体" w:hAnsi="宋体" w:cs="宋体"/>
                <w:b/>
                <w:bCs/>
                <w:color w:val="auto"/>
                <w:szCs w:val="21"/>
                <w:highlight w:val="none"/>
              </w:rPr>
              <w:t>说明：若所提供以上材料不实，将取消中标资格并追究相应责任。</w:t>
            </w:r>
          </w:p>
        </w:tc>
        <w:tc>
          <w:tcPr>
            <w:tcW w:w="766" w:type="dxa"/>
            <w:tcBorders>
              <w:top w:val="single" w:color="000000" w:sz="4" w:space="0"/>
              <w:left w:val="single" w:color="000000" w:sz="4" w:space="0"/>
              <w:bottom w:val="single" w:color="000000" w:sz="4" w:space="0"/>
              <w:right w:val="single" w:color="000000" w:sz="4" w:space="0"/>
            </w:tcBorders>
            <w:vAlign w:val="center"/>
          </w:tcPr>
          <w:p w14:paraId="6CECDB5C">
            <w:pPr>
              <w:widowControl/>
              <w:spacing w:line="400" w:lineRule="exact"/>
              <w:jc w:val="center"/>
              <w:rPr>
                <w:rFonts w:ascii="宋体" w:hAnsi="宋体" w:cs="宋体"/>
                <w:color w:val="auto"/>
                <w:szCs w:val="21"/>
                <w:highlight w:val="none"/>
              </w:rPr>
            </w:pPr>
            <w:r>
              <w:rPr>
                <w:rFonts w:hint="eastAsia" w:ascii="宋体" w:hAnsi="宋体" w:cs="宋体"/>
                <w:b/>
                <w:color w:val="auto"/>
                <w:szCs w:val="21"/>
                <w:highlight w:val="none"/>
              </w:rPr>
              <w:t>14分</w:t>
            </w:r>
          </w:p>
        </w:tc>
      </w:tr>
      <w:tr w14:paraId="45D9DE95">
        <w:tblPrEx>
          <w:tblCellMar>
            <w:top w:w="0" w:type="dxa"/>
            <w:left w:w="108" w:type="dxa"/>
            <w:bottom w:w="0" w:type="dxa"/>
            <w:right w:w="108" w:type="dxa"/>
          </w:tblCellMar>
        </w:tblPrEx>
        <w:trPr>
          <w:trHeight w:val="225" w:hRule="atLeast"/>
          <w:jc w:val="center"/>
        </w:trPr>
        <w:tc>
          <w:tcPr>
            <w:tcW w:w="8389" w:type="dxa"/>
            <w:gridSpan w:val="3"/>
            <w:tcBorders>
              <w:top w:val="single" w:color="000000" w:sz="4" w:space="0"/>
              <w:left w:val="single" w:color="000000" w:sz="4" w:space="0"/>
              <w:bottom w:val="single" w:color="000000" w:sz="4" w:space="0"/>
              <w:right w:val="single" w:color="000000" w:sz="4" w:space="0"/>
            </w:tcBorders>
          </w:tcPr>
          <w:p w14:paraId="4B350416">
            <w:pPr>
              <w:widowControl/>
              <w:spacing w:line="400" w:lineRule="exact"/>
              <w:ind w:firstLine="420" w:firstLineChars="200"/>
              <w:textAlignment w:val="top"/>
              <w:rPr>
                <w:rFonts w:ascii="宋体" w:hAnsi="宋体" w:cs="宋体"/>
                <w:color w:val="auto"/>
                <w:szCs w:val="21"/>
                <w:highlight w:val="none"/>
              </w:rPr>
            </w:pPr>
            <w:r>
              <w:rPr>
                <w:rFonts w:hint="eastAsia" w:ascii="宋体" w:hAnsi="宋体" w:cs="宋体"/>
                <w:color w:val="auto"/>
                <w:kern w:val="0"/>
                <w:szCs w:val="21"/>
                <w:highlight w:val="none"/>
                <w:lang w:bidi="ar"/>
              </w:rPr>
              <w:t>总得分＝1＋2＋3</w:t>
            </w:r>
          </w:p>
        </w:tc>
        <w:tc>
          <w:tcPr>
            <w:tcW w:w="766" w:type="dxa"/>
            <w:tcBorders>
              <w:top w:val="single" w:color="000000" w:sz="4" w:space="0"/>
              <w:left w:val="single" w:color="000000" w:sz="4" w:space="0"/>
              <w:bottom w:val="single" w:color="000000" w:sz="4" w:space="0"/>
              <w:right w:val="single" w:color="000000" w:sz="4" w:space="0"/>
            </w:tcBorders>
            <w:vAlign w:val="center"/>
          </w:tcPr>
          <w:p w14:paraId="317F4457">
            <w:pPr>
              <w:spacing w:line="400" w:lineRule="exact"/>
              <w:rPr>
                <w:rFonts w:ascii="宋体" w:hAnsi="宋体" w:cs="宋体"/>
                <w:color w:val="auto"/>
                <w:szCs w:val="21"/>
                <w:highlight w:val="none"/>
              </w:rPr>
            </w:pPr>
          </w:p>
        </w:tc>
      </w:tr>
    </w:tbl>
    <w:p w14:paraId="2BDB0D26">
      <w:pPr>
        <w:rPr>
          <w:color w:val="auto"/>
          <w:highlight w:val="none"/>
        </w:rPr>
      </w:pPr>
    </w:p>
    <w:p w14:paraId="1869BC43">
      <w:pPr>
        <w:pStyle w:val="9"/>
        <w:spacing w:line="360" w:lineRule="auto"/>
        <w:ind w:firstLine="420" w:firstLineChars="200"/>
        <w:rPr>
          <w:rFonts w:ascii="宋体" w:hAnsi="宋体"/>
          <w:bCs/>
          <w:color w:val="auto"/>
          <w:szCs w:val="21"/>
          <w:highlight w:val="none"/>
        </w:rPr>
      </w:pPr>
    </w:p>
    <w:p w14:paraId="710DB5A2">
      <w:pPr>
        <w:pStyle w:val="9"/>
        <w:spacing w:line="360" w:lineRule="auto"/>
        <w:ind w:firstLine="420" w:firstLineChars="200"/>
        <w:rPr>
          <w:color w:val="auto"/>
          <w:highlight w:val="none"/>
        </w:rPr>
      </w:pPr>
      <w:r>
        <w:rPr>
          <w:rFonts w:hint="eastAsia" w:ascii="宋体" w:hAnsi="宋体"/>
          <w:bCs/>
          <w:color w:val="auto"/>
          <w:szCs w:val="21"/>
          <w:highlight w:val="none"/>
        </w:rPr>
        <w:t>7.由磋商小组根据综合评分情况，按照评审得分由高到低顺序推荐 3 名以上成交候选供应商，并编写评审报告。评审得分相同的，按照最终磋商报价由低到高的顺序推荐。评审得分且最终磋商报价相同的，按照技术指标优劣顺序推荐（按技术得分由高到低排序，技术得分相同的，按照商务得分由高到低排序）。评审得分、最终磋商报价、技术得分、商务得分均相同的，由磋商小组随机抽取推荐。</w:t>
      </w:r>
    </w:p>
    <w:p w14:paraId="1D141831">
      <w:pPr>
        <w:pStyle w:val="2"/>
        <w:jc w:val="center"/>
        <w:rPr>
          <w:color w:val="auto"/>
          <w:highlight w:val="none"/>
        </w:rPr>
      </w:pPr>
      <w:r>
        <w:rPr>
          <w:rFonts w:hint="eastAsia"/>
          <w:color w:val="auto"/>
          <w:highlight w:val="none"/>
        </w:rPr>
        <w:br w:type="page"/>
      </w:r>
      <w:r>
        <w:rPr>
          <w:rFonts w:hint="eastAsia"/>
          <w:color w:val="auto"/>
          <w:highlight w:val="none"/>
        </w:rPr>
        <w:t>第五章 响应文件格式</w:t>
      </w:r>
      <w:bookmarkEnd w:id="117"/>
    </w:p>
    <w:p w14:paraId="13D61135">
      <w:pPr>
        <w:rPr>
          <w:b/>
          <w:color w:val="auto"/>
          <w:sz w:val="32"/>
          <w:szCs w:val="32"/>
          <w:highlight w:val="none"/>
        </w:rPr>
      </w:pPr>
      <w:bookmarkStart w:id="118" w:name="_Toc71366186"/>
      <w:bookmarkStart w:id="119" w:name="_Toc35611438"/>
      <w:bookmarkStart w:id="120" w:name="_Toc35611516"/>
      <w:bookmarkStart w:id="121" w:name="_Toc44229899"/>
      <w:bookmarkStart w:id="122" w:name="_Toc31723070"/>
      <w:bookmarkStart w:id="123" w:name="_Toc31728084"/>
      <w:r>
        <w:rPr>
          <w:rFonts w:hint="eastAsia"/>
          <w:b/>
          <w:color w:val="auto"/>
          <w:sz w:val="32"/>
          <w:szCs w:val="32"/>
          <w:highlight w:val="none"/>
        </w:rPr>
        <w:t>一、资格证明文件格式</w:t>
      </w:r>
      <w:bookmarkEnd w:id="118"/>
      <w:bookmarkEnd w:id="119"/>
      <w:bookmarkEnd w:id="120"/>
      <w:bookmarkEnd w:id="121"/>
      <w:bookmarkEnd w:id="122"/>
      <w:bookmarkEnd w:id="123"/>
    </w:p>
    <w:p w14:paraId="2A57C871">
      <w:pPr>
        <w:snapToGrid w:val="0"/>
        <w:spacing w:before="156" w:beforeLines="50" w:after="50" w:line="360" w:lineRule="auto"/>
        <w:jc w:val="left"/>
        <w:rPr>
          <w:rFonts w:ascii="宋体" w:hAnsi="宋体"/>
          <w:b/>
          <w:color w:val="auto"/>
          <w:sz w:val="24"/>
          <w:highlight w:val="none"/>
        </w:rPr>
      </w:pPr>
      <w:r>
        <w:rPr>
          <w:rFonts w:hint="eastAsia" w:ascii="宋体" w:hAnsi="宋体"/>
          <w:b/>
          <w:color w:val="auto"/>
          <w:sz w:val="32"/>
          <w:szCs w:val="32"/>
          <w:highlight w:val="none"/>
        </w:rPr>
        <w:t>1.资格证明文件封面格式：</w:t>
      </w:r>
      <w:r>
        <w:rPr>
          <w:rFonts w:hint="eastAsia" w:ascii="宋体" w:hAnsi="宋体"/>
          <w:b/>
          <w:color w:val="auto"/>
          <w:sz w:val="24"/>
          <w:highlight w:val="none"/>
        </w:rPr>
        <w:t xml:space="preserve"> </w:t>
      </w:r>
    </w:p>
    <w:p w14:paraId="6F7CCA9E">
      <w:pPr>
        <w:snapToGrid w:val="0"/>
        <w:spacing w:before="156" w:beforeLines="50" w:after="50"/>
        <w:jc w:val="center"/>
        <w:rPr>
          <w:rFonts w:ascii="宋体" w:hAnsi="宋体"/>
          <w:color w:val="auto"/>
          <w:sz w:val="44"/>
          <w:szCs w:val="44"/>
          <w:highlight w:val="none"/>
        </w:rPr>
      </w:pPr>
    </w:p>
    <w:p w14:paraId="697B3FB3">
      <w:pPr>
        <w:snapToGrid w:val="0"/>
        <w:spacing w:before="156" w:beforeLines="50" w:after="50"/>
        <w:jc w:val="center"/>
        <w:rPr>
          <w:rFonts w:ascii="宋体" w:hAnsi="宋体"/>
          <w:color w:val="auto"/>
          <w:sz w:val="44"/>
          <w:szCs w:val="44"/>
          <w:highlight w:val="none"/>
        </w:rPr>
      </w:pPr>
      <w:r>
        <w:rPr>
          <w:rFonts w:hint="eastAsia" w:ascii="宋体" w:hAnsi="宋体"/>
          <w:color w:val="auto"/>
          <w:sz w:val="44"/>
          <w:szCs w:val="44"/>
          <w:highlight w:val="none"/>
        </w:rPr>
        <w:t>电 子 响 应 文 件</w:t>
      </w:r>
    </w:p>
    <w:p w14:paraId="5F91A9DD">
      <w:pPr>
        <w:snapToGrid w:val="0"/>
        <w:spacing w:before="156" w:beforeLines="50" w:after="50"/>
        <w:rPr>
          <w:rFonts w:ascii="宋体" w:hAnsi="宋体"/>
          <w:color w:val="auto"/>
          <w:sz w:val="24"/>
          <w:szCs w:val="20"/>
          <w:highlight w:val="none"/>
        </w:rPr>
      </w:pPr>
    </w:p>
    <w:p w14:paraId="2880CFB9">
      <w:pPr>
        <w:snapToGrid w:val="0"/>
        <w:spacing w:before="156" w:beforeLines="50" w:after="50"/>
        <w:jc w:val="center"/>
        <w:rPr>
          <w:rFonts w:ascii="宋体" w:hAnsi="宋体" w:cs="宋体"/>
          <w:bCs/>
          <w:color w:val="auto"/>
          <w:sz w:val="44"/>
          <w:szCs w:val="44"/>
          <w:highlight w:val="none"/>
        </w:rPr>
      </w:pPr>
      <w:r>
        <w:rPr>
          <w:rFonts w:hint="eastAsia" w:ascii="宋体" w:hAnsi="宋体" w:cs="宋体"/>
          <w:bCs/>
          <w:color w:val="auto"/>
          <w:sz w:val="44"/>
          <w:szCs w:val="44"/>
          <w:highlight w:val="none"/>
        </w:rPr>
        <w:t>资  格  证  明  文  件</w:t>
      </w:r>
    </w:p>
    <w:p w14:paraId="09ECF9AB">
      <w:pPr>
        <w:snapToGrid w:val="0"/>
        <w:spacing w:before="156" w:beforeLines="50" w:after="50"/>
        <w:rPr>
          <w:rFonts w:ascii="宋体" w:hAnsi="宋体"/>
          <w:bCs/>
          <w:color w:val="auto"/>
          <w:sz w:val="24"/>
          <w:szCs w:val="20"/>
          <w:highlight w:val="none"/>
        </w:rPr>
      </w:pPr>
    </w:p>
    <w:p w14:paraId="116170CC">
      <w:pPr>
        <w:snapToGrid w:val="0"/>
        <w:spacing w:before="156" w:beforeLines="50" w:after="50"/>
        <w:rPr>
          <w:rFonts w:ascii="宋体" w:hAnsi="宋体"/>
          <w:bCs/>
          <w:color w:val="auto"/>
          <w:sz w:val="24"/>
          <w:szCs w:val="20"/>
          <w:highlight w:val="none"/>
        </w:rPr>
      </w:pPr>
    </w:p>
    <w:p w14:paraId="16DC7049">
      <w:pPr>
        <w:snapToGrid w:val="0"/>
        <w:spacing w:before="156" w:beforeLines="50" w:after="50"/>
        <w:rPr>
          <w:rFonts w:ascii="宋体" w:hAnsi="宋体"/>
          <w:bCs/>
          <w:color w:val="auto"/>
          <w:sz w:val="24"/>
          <w:szCs w:val="20"/>
          <w:highlight w:val="none"/>
        </w:rPr>
      </w:pPr>
    </w:p>
    <w:p w14:paraId="6CBA5377">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76F94108">
      <w:pPr>
        <w:snapToGrid w:val="0"/>
        <w:spacing w:before="156" w:beforeLines="50" w:after="50"/>
        <w:ind w:firstLine="720" w:firstLineChars="225"/>
        <w:rPr>
          <w:rFonts w:ascii="宋体" w:hAnsi="宋体" w:cs="仿宋_GB2312"/>
          <w:bCs/>
          <w:color w:val="auto"/>
          <w:sz w:val="32"/>
          <w:szCs w:val="32"/>
          <w:highlight w:val="none"/>
        </w:rPr>
      </w:pPr>
    </w:p>
    <w:p w14:paraId="28A0CC36">
      <w:pPr>
        <w:snapToGrid w:val="0"/>
        <w:spacing w:before="156"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44BDF507">
      <w:pPr>
        <w:snapToGrid w:val="0"/>
        <w:spacing w:before="156"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040E0B7F">
      <w:pPr>
        <w:snapToGrid w:val="0"/>
        <w:spacing w:before="156"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43E1D987">
      <w:pPr>
        <w:snapToGrid w:val="0"/>
        <w:spacing w:before="156" w:beforeLines="50" w:after="50"/>
        <w:ind w:firstLine="720" w:firstLineChars="225"/>
        <w:rPr>
          <w:rFonts w:ascii="宋体" w:hAnsi="宋体" w:cs="仿宋_GB2312"/>
          <w:bCs/>
          <w:color w:val="auto"/>
          <w:sz w:val="32"/>
          <w:szCs w:val="32"/>
          <w:highlight w:val="none"/>
        </w:rPr>
      </w:pPr>
    </w:p>
    <w:p w14:paraId="7D15BF6D">
      <w:pPr>
        <w:pStyle w:val="6"/>
        <w:snapToGrid w:val="0"/>
        <w:spacing w:before="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5A1BAB07">
      <w:pPr>
        <w:snapToGrid w:val="0"/>
        <w:spacing w:before="156" w:beforeLines="50" w:after="50"/>
        <w:ind w:firstLine="640" w:firstLineChars="200"/>
        <w:rPr>
          <w:rFonts w:ascii="宋体" w:hAnsi="宋体" w:cs="仿宋_GB2312"/>
          <w:bCs/>
          <w:color w:val="auto"/>
          <w:sz w:val="32"/>
          <w:szCs w:val="32"/>
          <w:highlight w:val="none"/>
        </w:rPr>
      </w:pPr>
    </w:p>
    <w:p w14:paraId="45DC20A7">
      <w:pPr>
        <w:pStyle w:val="6"/>
        <w:snapToGrid w:val="0"/>
        <w:spacing w:before="50" w:after="50"/>
        <w:ind w:firstLine="0"/>
        <w:rPr>
          <w:rFonts w:ascii="宋体" w:hAnsi="宋体" w:cs="仿宋_GB2312"/>
          <w:bCs/>
          <w:color w:val="auto"/>
          <w:sz w:val="32"/>
          <w:szCs w:val="32"/>
          <w:highlight w:val="none"/>
        </w:rPr>
      </w:pPr>
    </w:p>
    <w:p w14:paraId="27F64B69">
      <w:pPr>
        <w:snapToGrid w:val="0"/>
        <w:spacing w:before="156"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415BC6A1">
      <w:pPr>
        <w:snapToGrid w:val="0"/>
        <w:spacing w:before="156" w:beforeLines="50" w:after="50" w:line="360" w:lineRule="auto"/>
        <w:ind w:left="142"/>
        <w:jc w:val="left"/>
        <w:rPr>
          <w:rFonts w:ascii="宋体" w:hAnsi="宋体"/>
          <w:b/>
          <w:bCs/>
          <w:color w:val="auto"/>
          <w:sz w:val="32"/>
          <w:szCs w:val="32"/>
          <w:highlight w:val="none"/>
        </w:rPr>
      </w:pPr>
      <w:r>
        <w:rPr>
          <w:rFonts w:ascii="宋体" w:hAnsi="宋体"/>
          <w:color w:val="auto"/>
          <w:sz w:val="24"/>
          <w:highlight w:val="none"/>
        </w:rPr>
        <w:br w:type="page"/>
      </w:r>
      <w:r>
        <w:rPr>
          <w:rFonts w:hint="eastAsia" w:ascii="宋体" w:hAnsi="宋体"/>
          <w:b/>
          <w:bCs/>
          <w:color w:val="auto"/>
          <w:sz w:val="32"/>
          <w:szCs w:val="32"/>
          <w:highlight w:val="none"/>
        </w:rPr>
        <w:t>2.资格证明文件目录</w:t>
      </w:r>
    </w:p>
    <w:p w14:paraId="2104BA94">
      <w:pPr>
        <w:snapToGrid w:val="0"/>
        <w:spacing w:before="156" w:beforeLines="50" w:after="50" w:line="360" w:lineRule="auto"/>
        <w:ind w:firstLine="645"/>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659D8E32">
      <w:pPr>
        <w:snapToGrid w:val="0"/>
        <w:spacing w:before="156" w:beforeLines="50" w:after="50"/>
        <w:rPr>
          <w:rFonts w:ascii="宋体" w:hAnsi="宋体"/>
          <w:color w:val="auto"/>
          <w:sz w:val="24"/>
          <w:szCs w:val="20"/>
          <w:highlight w:val="none"/>
        </w:rPr>
      </w:pPr>
      <w:r>
        <w:rPr>
          <w:rFonts w:ascii="宋体" w:hAnsi="宋体"/>
          <w:color w:val="auto"/>
          <w:sz w:val="24"/>
          <w:szCs w:val="20"/>
          <w:highlight w:val="none"/>
        </w:rPr>
        <w:t xml:space="preserve"> </w:t>
      </w:r>
    </w:p>
    <w:p w14:paraId="13BEC3A6">
      <w:pPr>
        <w:spacing w:line="300" w:lineRule="auto"/>
        <w:rPr>
          <w:rFonts w:ascii="宋体" w:hAnsi="宋体"/>
          <w:color w:val="auto"/>
          <w:szCs w:val="21"/>
          <w:highlight w:val="none"/>
        </w:rPr>
      </w:pPr>
    </w:p>
    <w:p w14:paraId="74726531">
      <w:pPr>
        <w:spacing w:line="300" w:lineRule="auto"/>
        <w:rPr>
          <w:rFonts w:ascii="宋体" w:hAnsi="宋体"/>
          <w:color w:val="auto"/>
          <w:szCs w:val="21"/>
          <w:highlight w:val="none"/>
        </w:rPr>
      </w:pPr>
    </w:p>
    <w:p w14:paraId="4C6DF416">
      <w:pPr>
        <w:spacing w:line="300" w:lineRule="auto"/>
        <w:rPr>
          <w:rFonts w:ascii="宋体" w:hAnsi="宋体"/>
          <w:color w:val="auto"/>
          <w:szCs w:val="21"/>
          <w:highlight w:val="none"/>
        </w:rPr>
      </w:pPr>
    </w:p>
    <w:p w14:paraId="5AD68220">
      <w:pPr>
        <w:spacing w:line="300" w:lineRule="auto"/>
        <w:rPr>
          <w:rFonts w:ascii="宋体" w:hAnsi="宋体"/>
          <w:color w:val="auto"/>
          <w:szCs w:val="21"/>
          <w:highlight w:val="none"/>
        </w:rPr>
      </w:pPr>
    </w:p>
    <w:p w14:paraId="63B72ABE">
      <w:pPr>
        <w:spacing w:line="300" w:lineRule="auto"/>
        <w:rPr>
          <w:rFonts w:ascii="宋体" w:hAnsi="宋体"/>
          <w:color w:val="auto"/>
          <w:szCs w:val="21"/>
          <w:highlight w:val="none"/>
        </w:rPr>
      </w:pPr>
    </w:p>
    <w:p w14:paraId="1274B259">
      <w:pPr>
        <w:spacing w:line="300" w:lineRule="auto"/>
        <w:rPr>
          <w:rFonts w:ascii="宋体" w:hAnsi="宋体"/>
          <w:color w:val="auto"/>
          <w:szCs w:val="21"/>
          <w:highlight w:val="none"/>
        </w:rPr>
      </w:pPr>
    </w:p>
    <w:p w14:paraId="643DC895">
      <w:pPr>
        <w:spacing w:line="300" w:lineRule="auto"/>
        <w:rPr>
          <w:rFonts w:ascii="宋体" w:hAnsi="宋体"/>
          <w:color w:val="auto"/>
          <w:szCs w:val="21"/>
          <w:highlight w:val="none"/>
        </w:rPr>
      </w:pPr>
    </w:p>
    <w:p w14:paraId="1095E6CD">
      <w:pPr>
        <w:spacing w:line="300" w:lineRule="auto"/>
        <w:rPr>
          <w:rFonts w:ascii="宋体" w:hAnsi="宋体"/>
          <w:color w:val="auto"/>
          <w:szCs w:val="21"/>
          <w:highlight w:val="none"/>
        </w:rPr>
      </w:pPr>
    </w:p>
    <w:p w14:paraId="4D320897">
      <w:pPr>
        <w:spacing w:line="300" w:lineRule="auto"/>
        <w:rPr>
          <w:rFonts w:ascii="宋体" w:hAnsi="宋体"/>
          <w:color w:val="auto"/>
          <w:szCs w:val="21"/>
          <w:highlight w:val="none"/>
        </w:rPr>
      </w:pPr>
    </w:p>
    <w:p w14:paraId="6D452795">
      <w:pPr>
        <w:spacing w:line="300" w:lineRule="auto"/>
        <w:rPr>
          <w:rFonts w:ascii="宋体" w:hAnsi="宋体"/>
          <w:color w:val="auto"/>
          <w:szCs w:val="21"/>
          <w:highlight w:val="none"/>
        </w:rPr>
      </w:pPr>
    </w:p>
    <w:p w14:paraId="2C25EA90">
      <w:pPr>
        <w:spacing w:line="300" w:lineRule="auto"/>
        <w:rPr>
          <w:rFonts w:ascii="宋体" w:hAnsi="宋体"/>
          <w:color w:val="auto"/>
          <w:szCs w:val="21"/>
          <w:highlight w:val="none"/>
        </w:rPr>
      </w:pPr>
    </w:p>
    <w:p w14:paraId="271802CE">
      <w:pPr>
        <w:spacing w:line="300" w:lineRule="auto"/>
        <w:rPr>
          <w:rFonts w:ascii="宋体" w:hAnsi="宋体"/>
          <w:color w:val="auto"/>
          <w:szCs w:val="21"/>
          <w:highlight w:val="none"/>
        </w:rPr>
      </w:pPr>
    </w:p>
    <w:p w14:paraId="10F21AFF">
      <w:pPr>
        <w:spacing w:line="300" w:lineRule="auto"/>
        <w:rPr>
          <w:rFonts w:ascii="宋体" w:hAnsi="宋体"/>
          <w:color w:val="auto"/>
          <w:szCs w:val="21"/>
          <w:highlight w:val="none"/>
        </w:rPr>
      </w:pPr>
    </w:p>
    <w:p w14:paraId="3907D5A8">
      <w:pPr>
        <w:spacing w:line="300" w:lineRule="auto"/>
        <w:rPr>
          <w:rFonts w:ascii="宋体" w:hAnsi="宋体"/>
          <w:color w:val="auto"/>
          <w:szCs w:val="21"/>
          <w:highlight w:val="none"/>
        </w:rPr>
      </w:pPr>
    </w:p>
    <w:p w14:paraId="75E1A2B4">
      <w:pPr>
        <w:spacing w:line="300" w:lineRule="auto"/>
        <w:rPr>
          <w:rFonts w:ascii="宋体" w:hAnsi="宋体"/>
          <w:color w:val="auto"/>
          <w:szCs w:val="21"/>
          <w:highlight w:val="none"/>
        </w:rPr>
      </w:pPr>
    </w:p>
    <w:p w14:paraId="2CE04C24">
      <w:pPr>
        <w:spacing w:line="320" w:lineRule="exact"/>
        <w:jc w:val="left"/>
        <w:rPr>
          <w:rFonts w:ascii="宋体" w:hAnsi="宋体"/>
          <w:color w:val="auto"/>
          <w:szCs w:val="21"/>
          <w:highlight w:val="none"/>
        </w:rPr>
      </w:pPr>
      <w:r>
        <w:rPr>
          <w:rFonts w:ascii="宋体" w:hAnsi="宋体"/>
          <w:color w:val="auto"/>
          <w:szCs w:val="21"/>
          <w:highlight w:val="none"/>
        </w:rPr>
        <w:br w:type="page"/>
      </w:r>
      <w:r>
        <w:rPr>
          <w:rFonts w:hint="eastAsia" w:ascii="宋体" w:hAnsi="宋体"/>
          <w:color w:val="auto"/>
          <w:szCs w:val="21"/>
          <w:highlight w:val="none"/>
        </w:rPr>
        <w:t xml:space="preserve"> </w:t>
      </w:r>
    </w:p>
    <w:p w14:paraId="7C63B71B">
      <w:pPr>
        <w:spacing w:line="320" w:lineRule="exact"/>
        <w:jc w:val="center"/>
        <w:rPr>
          <w:rFonts w:ascii="宋体" w:hAnsi="宋体"/>
          <w:b/>
          <w:color w:val="auto"/>
          <w:sz w:val="32"/>
          <w:szCs w:val="32"/>
          <w:highlight w:val="none"/>
        </w:rPr>
      </w:pPr>
      <w:r>
        <w:rPr>
          <w:rFonts w:hint="eastAsia" w:ascii="宋体" w:hAnsi="宋体"/>
          <w:b/>
          <w:color w:val="auto"/>
          <w:sz w:val="32"/>
          <w:szCs w:val="32"/>
          <w:highlight w:val="none"/>
        </w:rPr>
        <w:t>供应商直接控股、管理关系信息表</w:t>
      </w:r>
    </w:p>
    <w:p w14:paraId="25733467">
      <w:pPr>
        <w:snapToGrid w:val="0"/>
        <w:spacing w:before="156" w:beforeLines="50" w:after="50" w:line="360" w:lineRule="auto"/>
        <w:jc w:val="center"/>
        <w:rPr>
          <w:rFonts w:ascii="宋体" w:hAnsi="宋体"/>
          <w:b/>
          <w:color w:val="auto"/>
          <w:sz w:val="24"/>
          <w:highlight w:val="none"/>
        </w:rPr>
      </w:pPr>
    </w:p>
    <w:p w14:paraId="2DF59852">
      <w:pPr>
        <w:spacing w:line="360" w:lineRule="auto"/>
        <w:contextualSpacing/>
        <w:jc w:val="center"/>
        <w:rPr>
          <w:rFonts w:ascii="宋体" w:hAnsi="宋体"/>
          <w:b/>
          <w:color w:val="auto"/>
          <w:sz w:val="32"/>
          <w:szCs w:val="32"/>
          <w:highlight w:val="none"/>
        </w:rPr>
      </w:pPr>
      <w:r>
        <w:rPr>
          <w:rFonts w:hint="eastAsia" w:ascii="宋体" w:hAnsi="宋体"/>
          <w:b/>
          <w:color w:val="auto"/>
          <w:sz w:val="32"/>
          <w:szCs w:val="32"/>
          <w:highlight w:val="none"/>
        </w:rPr>
        <w:t>（1）供应商直接控股股东信息表</w:t>
      </w:r>
    </w:p>
    <w:p w14:paraId="5FFFC52C">
      <w:pPr>
        <w:spacing w:line="360" w:lineRule="auto"/>
        <w:contextualSpacing/>
        <w:jc w:val="center"/>
        <w:rPr>
          <w:rFonts w:ascii="宋体" w:hAnsi="宋体"/>
          <w:b/>
          <w:color w:val="auto"/>
          <w:sz w:val="24"/>
          <w:highlight w:val="none"/>
        </w:rPr>
      </w:pPr>
    </w:p>
    <w:tbl>
      <w:tblPr>
        <w:tblStyle w:val="27"/>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104F13C9">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8E40625">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579B7F9">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E697B04">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BFF8825">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22DF75C">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7509F3B2">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3697C6E">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622F8A7">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697BC02">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29EB256">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5EBCA95">
            <w:pPr>
              <w:widowControl/>
              <w:spacing w:line="360" w:lineRule="auto"/>
              <w:contextualSpacing/>
              <w:jc w:val="center"/>
              <w:rPr>
                <w:rFonts w:ascii="宋体" w:hAnsi="宋体" w:cs="宋体"/>
                <w:color w:val="auto"/>
                <w:kern w:val="0"/>
                <w:sz w:val="24"/>
                <w:highlight w:val="none"/>
              </w:rPr>
            </w:pPr>
          </w:p>
        </w:tc>
      </w:tr>
      <w:tr w14:paraId="3F436D81">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F05C3DA">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BA9FCF6">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4AFE8B9">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8C838ED">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0EDAA51">
            <w:pPr>
              <w:widowControl/>
              <w:spacing w:line="360" w:lineRule="auto"/>
              <w:contextualSpacing/>
              <w:jc w:val="center"/>
              <w:rPr>
                <w:rFonts w:ascii="宋体" w:hAnsi="宋体" w:cs="宋体"/>
                <w:color w:val="auto"/>
                <w:kern w:val="0"/>
                <w:sz w:val="24"/>
                <w:highlight w:val="none"/>
              </w:rPr>
            </w:pPr>
          </w:p>
        </w:tc>
      </w:tr>
      <w:tr w14:paraId="0F36B39E">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978E675">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3045D3F">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3D6B2B8">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90792BD">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3E6A840">
            <w:pPr>
              <w:widowControl/>
              <w:spacing w:line="360" w:lineRule="auto"/>
              <w:contextualSpacing/>
              <w:jc w:val="center"/>
              <w:rPr>
                <w:rFonts w:ascii="宋体" w:hAnsi="宋体" w:cs="宋体"/>
                <w:color w:val="auto"/>
                <w:kern w:val="0"/>
                <w:sz w:val="24"/>
                <w:highlight w:val="none"/>
              </w:rPr>
            </w:pPr>
          </w:p>
        </w:tc>
      </w:tr>
      <w:tr w14:paraId="2886114A">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3E5F245">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CE896F0">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D97DC21">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EFD93C7">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32A1D48">
            <w:pPr>
              <w:widowControl/>
              <w:spacing w:line="360" w:lineRule="auto"/>
              <w:contextualSpacing/>
              <w:jc w:val="center"/>
              <w:rPr>
                <w:rFonts w:ascii="宋体" w:hAnsi="宋体" w:cs="宋体"/>
                <w:color w:val="auto"/>
                <w:kern w:val="0"/>
                <w:sz w:val="24"/>
                <w:highlight w:val="none"/>
              </w:rPr>
            </w:pPr>
          </w:p>
        </w:tc>
      </w:tr>
    </w:tbl>
    <w:p w14:paraId="6592E6F5">
      <w:pPr>
        <w:spacing w:line="360" w:lineRule="auto"/>
        <w:contextualSpacing/>
        <w:jc w:val="left"/>
        <w:rPr>
          <w:rFonts w:ascii="宋体" w:hAnsi="宋体" w:cs="宋体"/>
          <w:color w:val="auto"/>
          <w:sz w:val="24"/>
          <w:highlight w:val="none"/>
        </w:rPr>
      </w:pPr>
      <w:r>
        <w:rPr>
          <w:rFonts w:hint="eastAsia" w:ascii="宋体" w:hAnsi="宋体" w:cs="宋体"/>
          <w:color w:val="auto"/>
          <w:sz w:val="24"/>
          <w:highlight w:val="none"/>
        </w:rPr>
        <w:t>注：</w:t>
      </w:r>
    </w:p>
    <w:p w14:paraId="004BEA3F">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D3A2AF4">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3E7567F7">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3.供应商不存在直接控股股东的，</w:t>
      </w:r>
      <w:r>
        <w:rPr>
          <w:rFonts w:hint="eastAsia" w:ascii="宋体" w:hAnsi="宋体"/>
          <w:color w:val="auto"/>
          <w:sz w:val="24"/>
          <w:highlight w:val="none"/>
        </w:rPr>
        <w:t>则在“直接控股股东名称”填“无”</w:t>
      </w:r>
      <w:r>
        <w:rPr>
          <w:rFonts w:hint="eastAsia" w:ascii="宋体" w:hAnsi="宋体" w:cs="宋体"/>
          <w:color w:val="auto"/>
          <w:sz w:val="24"/>
          <w:highlight w:val="none"/>
        </w:rPr>
        <w:t>。</w:t>
      </w:r>
    </w:p>
    <w:p w14:paraId="2994D706">
      <w:pPr>
        <w:spacing w:line="360" w:lineRule="auto"/>
        <w:ind w:firstLine="420" w:firstLineChars="200"/>
        <w:contextualSpacing/>
        <w:jc w:val="left"/>
        <w:rPr>
          <w:rFonts w:ascii="宋体" w:hAnsi="宋体" w:cs="宋体"/>
          <w:color w:val="auto"/>
          <w:szCs w:val="21"/>
          <w:highlight w:val="none"/>
        </w:rPr>
      </w:pPr>
    </w:p>
    <w:p w14:paraId="20022370">
      <w:pPr>
        <w:spacing w:line="360" w:lineRule="auto"/>
        <w:ind w:firstLine="560" w:firstLineChars="200"/>
        <w:contextualSpacing/>
        <w:jc w:val="left"/>
        <w:rPr>
          <w:rFonts w:ascii="宋体" w:hAnsi="宋体" w:cs="宋体"/>
          <w:color w:val="auto"/>
          <w:sz w:val="28"/>
          <w:szCs w:val="28"/>
          <w:highlight w:val="none"/>
        </w:rPr>
      </w:pPr>
    </w:p>
    <w:p w14:paraId="2D714C9F">
      <w:pPr>
        <w:spacing w:line="360" w:lineRule="auto"/>
        <w:ind w:right="480"/>
        <w:contextualSpacing/>
        <w:jc w:val="center"/>
        <w:rPr>
          <w:rFonts w:ascii="宋体" w:hAnsi="宋体" w:cs="宋体"/>
          <w:color w:val="auto"/>
          <w:sz w:val="24"/>
          <w:highlight w:val="none"/>
          <w:u w:val="single"/>
        </w:rPr>
      </w:pPr>
      <w:r>
        <w:rPr>
          <w:rFonts w:hint="eastAsia" w:ascii="宋体" w:hAnsi="宋体" w:cs="宋体"/>
          <w:color w:val="auto"/>
          <w:sz w:val="24"/>
          <w:highlight w:val="none"/>
        </w:rPr>
        <w:t xml:space="preserve"> </w:t>
      </w:r>
      <w:r>
        <w:rPr>
          <w:rFonts w:ascii="宋体" w:hAnsi="宋体" w:cs="宋体"/>
          <w:color w:val="auto"/>
          <w:sz w:val="24"/>
          <w:highlight w:val="none"/>
        </w:rPr>
        <w:t xml:space="preserve">    </w:t>
      </w:r>
    </w:p>
    <w:p w14:paraId="6934B573">
      <w:pPr>
        <w:spacing w:line="360" w:lineRule="auto"/>
        <w:ind w:right="480" w:firstLine="3000" w:firstLineChars="1250"/>
        <w:contextualSpacing/>
        <w:rPr>
          <w:rFonts w:ascii="宋体" w:hAnsi="宋体" w:cs="宋体"/>
          <w:color w:val="auto"/>
          <w:sz w:val="24"/>
          <w:highlight w:val="none"/>
          <w:u w:val="single"/>
        </w:rPr>
      </w:pPr>
      <w:r>
        <w:rPr>
          <w:rFonts w:hint="eastAsia" w:ascii="宋体" w:hAnsi="宋体" w:cs="宋体"/>
          <w:color w:val="auto"/>
          <w:sz w:val="24"/>
          <w:highlight w:val="none"/>
        </w:rPr>
        <w:t>供应商</w:t>
      </w:r>
      <w:r>
        <w:rPr>
          <w:rFonts w:hint="eastAsia" w:ascii="宋体" w:hAnsi="宋体"/>
          <w:color w:val="auto"/>
          <w:sz w:val="24"/>
          <w:highlight w:val="none"/>
        </w:rPr>
        <w:t>（电子签章）</w:t>
      </w:r>
      <w:r>
        <w:rPr>
          <w:rFonts w:hint="eastAsia" w:ascii="宋体" w:hAnsi="宋体" w:cs="宋体"/>
          <w:color w:val="auto"/>
          <w:sz w:val="24"/>
          <w:highlight w:val="none"/>
        </w:rPr>
        <w:t xml:space="preserve">： </w:t>
      </w:r>
      <w:r>
        <w:rPr>
          <w:rFonts w:hint="eastAsia" w:ascii="宋体" w:hAnsi="宋体" w:cs="宋体"/>
          <w:color w:val="auto"/>
          <w:sz w:val="24"/>
          <w:highlight w:val="none"/>
          <w:u w:val="single"/>
        </w:rPr>
        <w:t xml:space="preserve">                              </w:t>
      </w:r>
    </w:p>
    <w:p w14:paraId="76EE918C">
      <w:pPr>
        <w:spacing w:line="360" w:lineRule="auto"/>
        <w:ind w:firstLine="480" w:firstLineChars="200"/>
        <w:contextualSpacing/>
        <w:jc w:val="right"/>
        <w:rPr>
          <w:rFonts w:ascii="宋体" w:hAnsi="宋体" w:cs="宋体"/>
          <w:color w:val="auto"/>
          <w:sz w:val="28"/>
          <w:szCs w:val="28"/>
          <w:highlight w:val="none"/>
        </w:rPr>
      </w:pPr>
      <w:r>
        <w:rPr>
          <w:rFonts w:hint="eastAsia" w:ascii="宋体" w:hAnsi="宋体" w:cs="宋体"/>
          <w:color w:val="auto"/>
          <w:sz w:val="24"/>
          <w:highlight w:val="none"/>
        </w:rPr>
        <w:t>年    月    日</w:t>
      </w:r>
    </w:p>
    <w:p w14:paraId="740CDEDA">
      <w:pPr>
        <w:snapToGrid w:val="0"/>
        <w:jc w:val="center"/>
        <w:rPr>
          <w:rFonts w:ascii="宋体" w:hAnsi="宋体"/>
          <w:b/>
          <w:color w:val="auto"/>
          <w:sz w:val="32"/>
          <w:szCs w:val="32"/>
          <w:highlight w:val="none"/>
        </w:rPr>
      </w:pPr>
      <w:r>
        <w:rPr>
          <w:rFonts w:ascii="宋体" w:hAnsi="宋体"/>
          <w:b/>
          <w:color w:val="auto"/>
          <w:sz w:val="28"/>
          <w:szCs w:val="28"/>
          <w:highlight w:val="none"/>
        </w:rPr>
        <w:br w:type="page"/>
      </w:r>
      <w:r>
        <w:rPr>
          <w:rFonts w:hint="eastAsia" w:ascii="宋体" w:hAnsi="宋体"/>
          <w:b/>
          <w:color w:val="auto"/>
          <w:sz w:val="28"/>
          <w:szCs w:val="28"/>
          <w:highlight w:val="none"/>
        </w:rPr>
        <w:t>（2）</w:t>
      </w:r>
      <w:r>
        <w:rPr>
          <w:rFonts w:hint="eastAsia" w:ascii="宋体" w:hAnsi="宋体"/>
          <w:b/>
          <w:color w:val="auto"/>
          <w:sz w:val="32"/>
          <w:szCs w:val="32"/>
          <w:highlight w:val="none"/>
        </w:rPr>
        <w:t>供应商直接管理关系信息表</w:t>
      </w:r>
    </w:p>
    <w:p w14:paraId="1A1A6945">
      <w:pPr>
        <w:snapToGrid w:val="0"/>
        <w:spacing w:line="360" w:lineRule="auto"/>
        <w:jc w:val="center"/>
        <w:rPr>
          <w:rFonts w:ascii="宋体" w:hAnsi="宋体"/>
          <w:b/>
          <w:color w:val="auto"/>
          <w:sz w:val="24"/>
          <w:highlight w:val="none"/>
        </w:rPr>
      </w:pPr>
    </w:p>
    <w:tbl>
      <w:tblPr>
        <w:tblStyle w:val="27"/>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49E4E460">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1C83E13">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B90E969">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3D84B4E">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F2B8043">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6D9476D2">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12BB894">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CE88DDF">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09F5C1D">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442339F">
            <w:pPr>
              <w:widowControl/>
              <w:spacing w:line="360" w:lineRule="auto"/>
              <w:contextualSpacing/>
              <w:jc w:val="center"/>
              <w:rPr>
                <w:rFonts w:ascii="宋体" w:hAnsi="宋体" w:cs="宋体"/>
                <w:color w:val="auto"/>
                <w:kern w:val="0"/>
                <w:sz w:val="24"/>
                <w:highlight w:val="none"/>
              </w:rPr>
            </w:pPr>
          </w:p>
        </w:tc>
      </w:tr>
      <w:tr w14:paraId="7EFEFDC0">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E0A1835">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F0FF7DB">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4429C50">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02FCC86">
            <w:pPr>
              <w:widowControl/>
              <w:spacing w:line="360" w:lineRule="auto"/>
              <w:contextualSpacing/>
              <w:jc w:val="center"/>
              <w:rPr>
                <w:rFonts w:ascii="宋体" w:hAnsi="宋体" w:cs="宋体"/>
                <w:color w:val="auto"/>
                <w:kern w:val="0"/>
                <w:sz w:val="24"/>
                <w:highlight w:val="none"/>
              </w:rPr>
            </w:pPr>
          </w:p>
        </w:tc>
      </w:tr>
      <w:tr w14:paraId="62B67E20">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FDA9B8D">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A0CFB5D">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DD25EF8">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7964C8D">
            <w:pPr>
              <w:widowControl/>
              <w:spacing w:line="360" w:lineRule="auto"/>
              <w:contextualSpacing/>
              <w:jc w:val="center"/>
              <w:rPr>
                <w:rFonts w:ascii="宋体" w:hAnsi="宋体" w:cs="宋体"/>
                <w:color w:val="auto"/>
                <w:kern w:val="0"/>
                <w:sz w:val="24"/>
                <w:highlight w:val="none"/>
              </w:rPr>
            </w:pPr>
          </w:p>
        </w:tc>
      </w:tr>
      <w:tr w14:paraId="3B6B4C20">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38879EC">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A101C5A">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52AFBB3">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53BAE23">
            <w:pPr>
              <w:widowControl/>
              <w:spacing w:line="360" w:lineRule="auto"/>
              <w:contextualSpacing/>
              <w:jc w:val="center"/>
              <w:rPr>
                <w:rFonts w:ascii="宋体" w:hAnsi="宋体" w:cs="宋体"/>
                <w:color w:val="auto"/>
                <w:kern w:val="0"/>
                <w:sz w:val="24"/>
                <w:highlight w:val="none"/>
              </w:rPr>
            </w:pPr>
          </w:p>
        </w:tc>
      </w:tr>
    </w:tbl>
    <w:p w14:paraId="0C172134">
      <w:pPr>
        <w:spacing w:line="360" w:lineRule="auto"/>
        <w:contextualSpacing/>
        <w:jc w:val="left"/>
        <w:rPr>
          <w:rFonts w:ascii="宋体" w:hAnsi="宋体"/>
          <w:color w:val="auto"/>
          <w:sz w:val="24"/>
          <w:highlight w:val="none"/>
        </w:rPr>
      </w:pPr>
      <w:r>
        <w:rPr>
          <w:rFonts w:hint="eastAsia" w:ascii="宋体" w:hAnsi="宋体"/>
          <w:color w:val="auto"/>
          <w:sz w:val="24"/>
          <w:highlight w:val="none"/>
        </w:rPr>
        <w:t>注：</w:t>
      </w:r>
    </w:p>
    <w:p w14:paraId="2EE8DB68">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144F414C">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75664C4A">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3.供应商不存在直接管理关系的，则在“直接管理关系单位名称”填“无”。</w:t>
      </w:r>
    </w:p>
    <w:p w14:paraId="600EDA0F">
      <w:pPr>
        <w:spacing w:line="360" w:lineRule="auto"/>
        <w:contextualSpacing/>
        <w:jc w:val="left"/>
        <w:rPr>
          <w:rFonts w:ascii="宋体" w:hAnsi="宋体"/>
          <w:color w:val="auto"/>
          <w:sz w:val="28"/>
          <w:szCs w:val="28"/>
          <w:highlight w:val="none"/>
        </w:rPr>
      </w:pPr>
    </w:p>
    <w:p w14:paraId="6BCBA16B">
      <w:pPr>
        <w:spacing w:line="360" w:lineRule="auto"/>
        <w:contextualSpacing/>
        <w:jc w:val="left"/>
        <w:rPr>
          <w:rFonts w:ascii="宋体" w:hAnsi="宋体"/>
          <w:color w:val="auto"/>
          <w:sz w:val="28"/>
          <w:szCs w:val="28"/>
          <w:highlight w:val="none"/>
        </w:rPr>
      </w:pPr>
    </w:p>
    <w:p w14:paraId="7E3CB6CA">
      <w:pPr>
        <w:spacing w:line="360" w:lineRule="auto"/>
        <w:contextualSpacing/>
        <w:jc w:val="left"/>
        <w:rPr>
          <w:color w:val="auto"/>
          <w:sz w:val="28"/>
          <w:szCs w:val="28"/>
          <w:highlight w:val="none"/>
        </w:rPr>
      </w:pPr>
    </w:p>
    <w:p w14:paraId="4F3F1AE8">
      <w:pPr>
        <w:spacing w:line="360" w:lineRule="auto"/>
        <w:contextualSpacing/>
        <w:jc w:val="left"/>
        <w:rPr>
          <w:color w:val="auto"/>
          <w:sz w:val="28"/>
          <w:szCs w:val="28"/>
          <w:highlight w:val="none"/>
        </w:rPr>
      </w:pPr>
    </w:p>
    <w:p w14:paraId="746E14A1">
      <w:pPr>
        <w:spacing w:line="360" w:lineRule="auto"/>
        <w:contextualSpacing/>
        <w:jc w:val="left"/>
        <w:rPr>
          <w:color w:val="auto"/>
          <w:sz w:val="28"/>
          <w:szCs w:val="28"/>
          <w:highlight w:val="none"/>
        </w:rPr>
      </w:pPr>
    </w:p>
    <w:p w14:paraId="2710D2A9">
      <w:pPr>
        <w:spacing w:line="360" w:lineRule="auto"/>
        <w:contextualSpacing/>
        <w:jc w:val="left"/>
        <w:rPr>
          <w:rFonts w:ascii="宋体" w:hAnsi="宋体"/>
          <w:color w:val="auto"/>
          <w:sz w:val="28"/>
          <w:szCs w:val="28"/>
          <w:highlight w:val="none"/>
        </w:rPr>
      </w:pPr>
    </w:p>
    <w:p w14:paraId="3A1E82BE">
      <w:pPr>
        <w:spacing w:line="360" w:lineRule="auto"/>
        <w:ind w:right="480"/>
        <w:contextualSpacing/>
        <w:jc w:val="center"/>
        <w:rPr>
          <w:rFonts w:ascii="宋体" w:hAnsi="宋体"/>
          <w:color w:val="auto"/>
          <w:sz w:val="24"/>
          <w:highlight w:val="none"/>
          <w:u w:val="single"/>
        </w:rPr>
      </w:pPr>
      <w:r>
        <w:rPr>
          <w:rFonts w:hint="eastAsia" w:ascii="宋体" w:hAnsi="宋体"/>
          <w:color w:val="auto"/>
          <w:sz w:val="24"/>
          <w:highlight w:val="none"/>
        </w:rPr>
        <w:t xml:space="preserve"> </w:t>
      </w:r>
      <w:r>
        <w:rPr>
          <w:rFonts w:ascii="宋体" w:hAnsi="宋体"/>
          <w:color w:val="auto"/>
          <w:sz w:val="24"/>
          <w:highlight w:val="none"/>
        </w:rPr>
        <w:t xml:space="preserve">      </w:t>
      </w:r>
    </w:p>
    <w:p w14:paraId="10756B1D">
      <w:pPr>
        <w:spacing w:line="360" w:lineRule="auto"/>
        <w:ind w:right="480" w:firstLine="3360" w:firstLineChars="1400"/>
        <w:contextualSpacing/>
        <w:rPr>
          <w:rFonts w:ascii="宋体" w:hAnsi="宋体"/>
          <w:color w:val="auto"/>
          <w:sz w:val="24"/>
          <w:highlight w:val="none"/>
        </w:rPr>
      </w:pPr>
      <w:r>
        <w:rPr>
          <w:rFonts w:hint="eastAsia" w:ascii="宋体" w:hAnsi="宋体"/>
          <w:color w:val="auto"/>
          <w:sz w:val="24"/>
          <w:highlight w:val="none"/>
        </w:rPr>
        <w:t>供应商（电子签章）：</w:t>
      </w:r>
      <w:r>
        <w:rPr>
          <w:rFonts w:hint="eastAsia" w:ascii="宋体" w:hAnsi="宋体"/>
          <w:color w:val="auto"/>
          <w:sz w:val="24"/>
          <w:highlight w:val="none"/>
          <w:u w:val="single"/>
        </w:rPr>
        <w:t xml:space="preserve">                </w:t>
      </w:r>
    </w:p>
    <w:p w14:paraId="1DB0FEE0">
      <w:pPr>
        <w:spacing w:line="360" w:lineRule="auto"/>
        <w:ind w:firstLine="480" w:firstLineChars="200"/>
        <w:contextualSpacing/>
        <w:jc w:val="left"/>
        <w:rPr>
          <w:rFonts w:ascii="宋体" w:hAnsi="宋体"/>
          <w:color w:val="auto"/>
          <w:sz w:val="28"/>
          <w:szCs w:val="28"/>
          <w:highlight w:val="none"/>
        </w:rPr>
      </w:pPr>
      <w:r>
        <w:rPr>
          <w:rFonts w:hint="eastAsia" w:ascii="宋体" w:hAnsi="宋体"/>
          <w:color w:val="auto"/>
          <w:sz w:val="24"/>
          <w:highlight w:val="none"/>
        </w:rPr>
        <w:t xml:space="preserve">                                        年    月    日</w:t>
      </w:r>
    </w:p>
    <w:p w14:paraId="768A7586">
      <w:pPr>
        <w:spacing w:line="320" w:lineRule="exact"/>
        <w:jc w:val="center"/>
        <w:rPr>
          <w:rFonts w:ascii="宋体" w:hAnsi="宋体"/>
          <w:b/>
          <w:color w:val="auto"/>
          <w:sz w:val="32"/>
          <w:szCs w:val="32"/>
          <w:highlight w:val="none"/>
        </w:rPr>
      </w:pPr>
      <w:r>
        <w:rPr>
          <w:rFonts w:ascii="宋体" w:hAnsi="宋体"/>
          <w:color w:val="auto"/>
          <w:sz w:val="28"/>
          <w:szCs w:val="28"/>
          <w:highlight w:val="none"/>
        </w:rPr>
        <w:br w:type="page"/>
      </w:r>
      <w:r>
        <w:rPr>
          <w:rFonts w:hint="eastAsia" w:ascii="宋体" w:hAnsi="宋体"/>
          <w:b/>
          <w:color w:val="auto"/>
          <w:sz w:val="32"/>
          <w:szCs w:val="32"/>
          <w:highlight w:val="none"/>
        </w:rPr>
        <w:t>竞标声明</w:t>
      </w:r>
    </w:p>
    <w:p w14:paraId="4A0AA074">
      <w:pPr>
        <w:spacing w:line="320" w:lineRule="exact"/>
        <w:jc w:val="center"/>
        <w:rPr>
          <w:rFonts w:ascii="宋体" w:hAnsi="宋体"/>
          <w:color w:val="auto"/>
          <w:sz w:val="24"/>
          <w:szCs w:val="20"/>
          <w:highlight w:val="none"/>
        </w:rPr>
      </w:pPr>
    </w:p>
    <w:p w14:paraId="4CEDADEF">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37C75BF5">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CA4E68C">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w:t>
      </w:r>
      <w:r>
        <w:rPr>
          <w:rFonts w:hint="eastAsia" w:ascii="宋体" w:hAnsi="宋体" w:cs="宋体"/>
          <w:color w:val="auto"/>
          <w:sz w:val="24"/>
          <w:highlight w:val="none"/>
        </w:rPr>
        <w:t>项目的竞标，为便于贵方公正、择优地确定成交供应商及其竞标产品和服务，我方就本次竞标有关事项郑重声明如下：</w:t>
      </w:r>
    </w:p>
    <w:p w14:paraId="5AC427E0">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081B140A">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我方不是为本次采购项目提供整体设计、规范编制或者项目管理、监理、检测等服务的供应商</w:t>
      </w:r>
      <w:r>
        <w:rPr>
          <w:rFonts w:hint="eastAsia" w:ascii="宋体" w:hAnsi="宋体" w:cs="宋体"/>
          <w:color w:val="auto"/>
          <w:sz w:val="24"/>
          <w:highlight w:val="none"/>
        </w:rPr>
        <w:t>。</w:t>
      </w:r>
    </w:p>
    <w:p w14:paraId="3FF63D43">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3.在此，我方宣布同意如下：</w:t>
      </w:r>
    </w:p>
    <w:p w14:paraId="1C49289C">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（1）将按磋商文件的约定履行合同责任和义务；</w:t>
      </w:r>
    </w:p>
    <w:p w14:paraId="682A2B26">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（2）已详细审查全部磋商文件，包括澄清或者更正公告（如有）；</w:t>
      </w:r>
    </w:p>
    <w:p w14:paraId="58C5A409">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（3）同意提供按照贵方可能要求的与磋商有关的一切数据或者资料；</w:t>
      </w:r>
    </w:p>
    <w:p w14:paraId="37BAC6B8">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（4）响应磋商文件规定的竞标有效期。</w:t>
      </w:r>
    </w:p>
    <w:p w14:paraId="77AC0831">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36D886A9">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69F911FE">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431CEDB2">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773E3520">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21A14410">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0DB5121C">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（6）法律、行政法规规定的其他条件。</w:t>
      </w:r>
    </w:p>
    <w:p w14:paraId="0551CC5F">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7F389D91">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022B2686">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7B829475">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6C3B97EC">
      <w:pPr>
        <w:pStyle w:val="16"/>
        <w:spacing w:line="360" w:lineRule="auto"/>
        <w:ind w:firstLine="480" w:firstLineChars="200"/>
        <w:contextualSpacing/>
        <w:rPr>
          <w:rFonts w:hAnsi="宋体" w:cs="宋体"/>
          <w:color w:val="auto"/>
          <w:sz w:val="24"/>
          <w:szCs w:val="24"/>
          <w:highlight w:val="none"/>
          <w:u w:val="single"/>
        </w:rPr>
      </w:pPr>
      <w:r>
        <w:rPr>
          <w:rFonts w:hint="eastAsia" w:hAnsi="宋体" w:cs="宋体"/>
          <w:color w:val="auto"/>
          <w:sz w:val="24"/>
          <w:szCs w:val="24"/>
          <w:highlight w:val="none"/>
        </w:rPr>
        <w:t>7.与本磋商有关的一切正式往来信函请寄：</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邮政编号：</w:t>
      </w:r>
      <w:r>
        <w:rPr>
          <w:rFonts w:hint="eastAsia" w:hAnsi="宋体" w:cs="宋体"/>
          <w:color w:val="auto"/>
          <w:sz w:val="24"/>
          <w:szCs w:val="24"/>
          <w:highlight w:val="none"/>
          <w:u w:val="single"/>
        </w:rPr>
        <w:t xml:space="preserve">        </w:t>
      </w:r>
    </w:p>
    <w:p w14:paraId="3AFA034D">
      <w:pPr>
        <w:pStyle w:val="16"/>
        <w:spacing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电子邮箱：</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60F97888">
      <w:pPr>
        <w:pStyle w:val="15"/>
        <w:tabs>
          <w:tab w:val="left" w:pos="939"/>
        </w:tabs>
        <w:spacing w:line="360" w:lineRule="auto"/>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帐号：</w:t>
      </w:r>
      <w:r>
        <w:rPr>
          <w:rFonts w:hint="eastAsia" w:ascii="宋体" w:hAnsi="宋体" w:cs="宋体"/>
          <w:color w:val="auto"/>
          <w:sz w:val="24"/>
          <w:highlight w:val="none"/>
          <w:u w:val="single"/>
        </w:rPr>
        <w:t xml:space="preserve">                               </w:t>
      </w:r>
    </w:p>
    <w:p w14:paraId="054B375C">
      <w:pPr>
        <w:pStyle w:val="15"/>
        <w:tabs>
          <w:tab w:val="left" w:pos="939"/>
        </w:tabs>
        <w:spacing w:line="360" w:lineRule="auto"/>
        <w:ind w:left="0" w:leftChars="0" w:firstLine="480" w:firstLineChars="200"/>
        <w:rPr>
          <w:rFonts w:ascii="宋体" w:hAnsi="宋体" w:cs="宋体"/>
          <w:color w:val="auto"/>
          <w:sz w:val="24"/>
          <w:highlight w:val="none"/>
        </w:rPr>
      </w:pPr>
      <w:r>
        <w:rPr>
          <w:rFonts w:hint="eastAsia" w:ascii="宋体" w:hAnsi="宋体" w:cs="宋体"/>
          <w:color w:val="auto"/>
          <w:sz w:val="24"/>
          <w:highlight w:val="none"/>
        </w:rPr>
        <w:t>8.以上事项如有虚假或者隐瞒，我方愿意承担一切后果，并不再寻求任何旨在减轻或者免除法律责任的辩解。</w:t>
      </w:r>
    </w:p>
    <w:p w14:paraId="17DC07AC">
      <w:pPr>
        <w:pStyle w:val="15"/>
        <w:tabs>
          <w:tab w:val="left" w:pos="939"/>
        </w:tabs>
        <w:spacing w:line="360" w:lineRule="auto"/>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特此承诺。</w:t>
      </w:r>
    </w:p>
    <w:p w14:paraId="5F937D09">
      <w:pPr>
        <w:spacing w:line="360" w:lineRule="auto"/>
        <w:ind w:firstLine="482" w:firstLineChars="200"/>
        <w:contextualSpacing/>
        <w:jc w:val="left"/>
        <w:rPr>
          <w:rFonts w:ascii="宋体" w:hAnsi="宋体"/>
          <w:b/>
          <w:color w:val="auto"/>
          <w:sz w:val="24"/>
          <w:highlight w:val="none"/>
        </w:rPr>
      </w:pPr>
      <w:r>
        <w:rPr>
          <w:rFonts w:hint="eastAsia" w:ascii="宋体" w:hAnsi="宋体" w:cs="宋体"/>
          <w:b/>
          <w:color w:val="auto"/>
          <w:sz w:val="24"/>
          <w:highlight w:val="none"/>
        </w:rPr>
        <w:t>注：</w:t>
      </w:r>
      <w:r>
        <w:rPr>
          <w:rFonts w:hint="eastAsia" w:ascii="宋体" w:hAnsi="宋体"/>
          <w:b/>
          <w:color w:val="auto"/>
          <w:sz w:val="24"/>
          <w:highlight w:val="none"/>
        </w:rPr>
        <w:t>如为联合体竞标，盖章处须加盖联合体牵头人电子签章并由联合体牵头人法定代表人分别签字或者盖章或者电子签名，否则响应文件按无效处理。</w:t>
      </w:r>
    </w:p>
    <w:p w14:paraId="1097439B">
      <w:pPr>
        <w:spacing w:line="360" w:lineRule="auto"/>
        <w:contextualSpacing/>
        <w:jc w:val="left"/>
        <w:rPr>
          <w:rFonts w:ascii="宋体" w:hAnsi="宋体" w:cs="宋体"/>
          <w:color w:val="auto"/>
          <w:szCs w:val="21"/>
          <w:highlight w:val="none"/>
        </w:rPr>
      </w:pPr>
    </w:p>
    <w:p w14:paraId="457D4340">
      <w:pPr>
        <w:spacing w:line="360" w:lineRule="auto"/>
        <w:ind w:firstLine="1575" w:firstLineChars="750"/>
        <w:contextualSpacing/>
        <w:rPr>
          <w:color w:val="auto"/>
          <w:highlight w:val="none"/>
        </w:rPr>
      </w:pPr>
      <w:r>
        <w:rPr>
          <w:rFonts w:hint="eastAsia"/>
          <w:color w:val="auto"/>
          <w:highlight w:val="none"/>
        </w:rPr>
        <w:t xml:space="preserve">                                  </w:t>
      </w:r>
    </w:p>
    <w:p w14:paraId="6907AFAD">
      <w:pPr>
        <w:spacing w:line="360" w:lineRule="auto"/>
        <w:ind w:firstLine="4320" w:firstLineChars="1800"/>
        <w:contextualSpacing/>
        <w:rPr>
          <w:rFonts w:ascii="宋体" w:hAnsi="宋体" w:cs="宋体"/>
          <w:color w:val="auto"/>
          <w:sz w:val="24"/>
          <w:highlight w:val="none"/>
          <w:u w:val="single"/>
        </w:rPr>
      </w:pPr>
      <w:r>
        <w:rPr>
          <w:rFonts w:hint="eastAsia"/>
          <w:color w:val="auto"/>
          <w:sz w:val="24"/>
          <w:highlight w:val="none"/>
        </w:rPr>
        <w:t>供应商（电子签章）：</w:t>
      </w:r>
      <w:r>
        <w:rPr>
          <w:rFonts w:hint="eastAsia"/>
          <w:color w:val="auto"/>
          <w:sz w:val="24"/>
          <w:highlight w:val="none"/>
          <w:u w:val="single"/>
        </w:rPr>
        <w:t xml:space="preserve">                               </w:t>
      </w:r>
      <w:r>
        <w:rPr>
          <w:rFonts w:hint="eastAsia"/>
          <w:color w:val="auto"/>
          <w:sz w:val="24"/>
          <w:highlight w:val="none"/>
        </w:rPr>
        <w:t xml:space="preserve">       </w:t>
      </w:r>
      <w:r>
        <w:rPr>
          <w:rFonts w:hint="eastAsia" w:ascii="宋体" w:hAnsi="宋体" w:cs="宋体"/>
          <w:color w:val="auto"/>
          <w:sz w:val="24"/>
          <w:highlight w:val="none"/>
        </w:rPr>
        <w:t xml:space="preserve">    </w:t>
      </w:r>
    </w:p>
    <w:p w14:paraId="696B677D">
      <w:pPr>
        <w:pStyle w:val="15"/>
        <w:tabs>
          <w:tab w:val="left" w:pos="939"/>
        </w:tabs>
        <w:spacing w:line="360" w:lineRule="auto"/>
        <w:ind w:left="0" w:leftChars="0" w:firstLine="480" w:firstLineChars="200"/>
        <w:rPr>
          <w:color w:val="auto"/>
          <w:sz w:val="24"/>
          <w:highlight w:val="none"/>
        </w:rPr>
      </w:pPr>
      <w:r>
        <w:rPr>
          <w:rFonts w:hint="eastAsia" w:ascii="宋体" w:hAnsi="宋体" w:cs="宋体"/>
          <w:color w:val="auto"/>
          <w:sz w:val="24"/>
          <w:highlight w:val="none"/>
        </w:rPr>
        <w:t xml:space="preserve">                                                        </w:t>
      </w:r>
      <w:r>
        <w:rPr>
          <w:rFonts w:hint="eastAsia"/>
          <w:color w:val="auto"/>
          <w:sz w:val="24"/>
          <w:highlight w:val="none"/>
        </w:rPr>
        <w:t xml:space="preserve"> 年    月    日</w:t>
      </w:r>
    </w:p>
    <w:p w14:paraId="49C171DD">
      <w:pPr>
        <w:pStyle w:val="6"/>
        <w:overflowPunct w:val="0"/>
        <w:spacing w:line="520" w:lineRule="exact"/>
        <w:ind w:firstLine="0"/>
        <w:jc w:val="center"/>
        <w:rPr>
          <w:rFonts w:ascii="宋体" w:hAnsi="宋体" w:cs="宋体"/>
          <w:color w:val="auto"/>
          <w:sz w:val="44"/>
          <w:szCs w:val="44"/>
          <w:highlight w:val="none"/>
        </w:rPr>
      </w:pPr>
      <w:r>
        <w:rPr>
          <w:rFonts w:hint="eastAsia"/>
          <w:color w:val="auto"/>
          <w:sz w:val="24"/>
          <w:highlight w:val="none"/>
        </w:rPr>
        <w:br w:type="page"/>
      </w:r>
      <w:r>
        <w:rPr>
          <w:rFonts w:hint="eastAsia" w:ascii="宋体" w:hAnsi="宋体" w:cs="宋体"/>
          <w:color w:val="auto"/>
          <w:sz w:val="44"/>
          <w:szCs w:val="44"/>
          <w:highlight w:val="none"/>
        </w:rPr>
        <w:t>联合体竞标协议书</w:t>
      </w:r>
    </w:p>
    <w:p w14:paraId="688CB387">
      <w:pPr>
        <w:pStyle w:val="6"/>
        <w:overflowPunct w:val="0"/>
        <w:spacing w:line="360" w:lineRule="auto"/>
        <w:ind w:firstLine="0"/>
        <w:rPr>
          <w:rFonts w:ascii="宋体" w:hAnsi="宋体"/>
          <w:color w:val="auto"/>
          <w:sz w:val="24"/>
          <w:szCs w:val="24"/>
          <w:highlight w:val="none"/>
        </w:rPr>
      </w:pPr>
    </w:p>
    <w:p w14:paraId="006FAE37">
      <w:pPr>
        <w:pStyle w:val="6"/>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（所有成员单位名称）自愿组成</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（联合体名称）联合体，共同参加</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（项目名称）采购项目竞标。现就联合体竞标事宜订立如下协议。</w:t>
      </w:r>
    </w:p>
    <w:p w14:paraId="3B7EDE5B">
      <w:pPr>
        <w:pStyle w:val="6"/>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1.</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u w:val="single"/>
        </w:rPr>
        <w:tab/>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（某成员单位名称）为</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（联合体名称）牵头人。</w:t>
      </w:r>
    </w:p>
    <w:p w14:paraId="6C095C39">
      <w:pPr>
        <w:pStyle w:val="6"/>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2.联合体各成员授权牵头人代表联合体参加竞标活动，签署文件及对文件的盖章，提交和接收相关的资料、信息及指示，进行合同磋商活动，负责合同实施阶段的组织和协调工作，以及处理与本竞标项目有关的一切事宜。</w:t>
      </w:r>
    </w:p>
    <w:p w14:paraId="47F805BA">
      <w:pPr>
        <w:pStyle w:val="6"/>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3.联合体牵头人在本项目中签署和盖章的一切文件和处理的一切事宜，联合体各成员均予以承认。联合体各成员将严格按照磋商文件、响应文件和合同的要求全面履行义务，并向采购人承担连带责任。</w:t>
      </w:r>
    </w:p>
    <w:p w14:paraId="030B39F7">
      <w:pPr>
        <w:pStyle w:val="6"/>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4.联合体各成员单位内部的职责分工如下：</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w:t>
      </w:r>
    </w:p>
    <w:p w14:paraId="0C9F1AC9">
      <w:pPr>
        <w:pStyle w:val="6"/>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5.本</w:t>
      </w:r>
      <w:r>
        <w:rPr>
          <w:rFonts w:hint="eastAsia" w:ascii="宋体" w:hAnsi="宋体" w:cs="仿宋_GB2312"/>
          <w:color w:val="auto"/>
          <w:spacing w:val="-6"/>
          <w:sz w:val="24"/>
          <w:szCs w:val="24"/>
          <w:highlight w:val="none"/>
        </w:rPr>
        <w:t>协议书自所有成员单位法定代表人（单位负责人）或者其委托代理人签字或者盖单位章之日起生效，合同履行完毕后自动失效。</w:t>
      </w:r>
    </w:p>
    <w:p w14:paraId="462027ED">
      <w:pPr>
        <w:pStyle w:val="6"/>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6.本协议书一式</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u w:val="single"/>
        </w:rPr>
        <w:tab/>
      </w:r>
      <w:r>
        <w:rPr>
          <w:rFonts w:hint="eastAsia" w:ascii="宋体" w:hAnsi="宋体" w:cs="仿宋_GB2312"/>
          <w:color w:val="auto"/>
          <w:sz w:val="24"/>
          <w:szCs w:val="24"/>
          <w:highlight w:val="none"/>
        </w:rPr>
        <w:t>份，联合体成员和采购人各执一份。</w:t>
      </w:r>
    </w:p>
    <w:p w14:paraId="6929350A">
      <w:pPr>
        <w:pStyle w:val="6"/>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注：本协议书应附法定代表人身份证明书；有委托代理的，应附权委托书（格式自拟）。</w:t>
      </w:r>
    </w:p>
    <w:p w14:paraId="70E6C5B8">
      <w:pPr>
        <w:pStyle w:val="6"/>
        <w:overflowPunct w:val="0"/>
        <w:spacing w:line="360" w:lineRule="auto"/>
        <w:ind w:firstLineChars="175"/>
        <w:contextualSpacing/>
        <w:rPr>
          <w:rFonts w:ascii="宋体" w:hAnsi="宋体" w:cs="仿宋_GB2312"/>
          <w:color w:val="auto"/>
          <w:sz w:val="24"/>
          <w:szCs w:val="24"/>
          <w:highlight w:val="none"/>
        </w:rPr>
      </w:pPr>
    </w:p>
    <w:p w14:paraId="2836675D">
      <w:pPr>
        <w:pStyle w:val="6"/>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联合体牵头人名称（电子签章）：</w:t>
      </w:r>
    </w:p>
    <w:p w14:paraId="6D636637">
      <w:pPr>
        <w:pStyle w:val="6"/>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法定代表人或者其委托代理人（签字或者电子签名）：</w:t>
      </w:r>
    </w:p>
    <w:p w14:paraId="2E83854F">
      <w:pPr>
        <w:pStyle w:val="6"/>
        <w:overflowPunct w:val="0"/>
        <w:spacing w:line="360" w:lineRule="auto"/>
        <w:ind w:firstLine="0"/>
        <w:contextualSpacing/>
        <w:rPr>
          <w:rFonts w:ascii="宋体" w:hAnsi="宋体" w:cs="仿宋_GB2312"/>
          <w:color w:val="auto"/>
          <w:sz w:val="24"/>
          <w:szCs w:val="24"/>
          <w:highlight w:val="none"/>
        </w:rPr>
      </w:pPr>
    </w:p>
    <w:p w14:paraId="18C0024A">
      <w:pPr>
        <w:pStyle w:val="6"/>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联合体成员名称（盖公章或者电子签章）：</w:t>
      </w:r>
    </w:p>
    <w:p w14:paraId="7B31FA66">
      <w:pPr>
        <w:pStyle w:val="6"/>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法定代表人或者其委托代理人（签字或者电子签名）：</w:t>
      </w:r>
    </w:p>
    <w:p w14:paraId="52C23D26">
      <w:pPr>
        <w:pStyle w:val="6"/>
        <w:overflowPunct w:val="0"/>
        <w:spacing w:line="360" w:lineRule="auto"/>
        <w:ind w:firstLine="0"/>
        <w:contextualSpacing/>
        <w:rPr>
          <w:rFonts w:ascii="宋体" w:hAnsi="宋体" w:cs="仿宋_GB2312"/>
          <w:color w:val="auto"/>
          <w:sz w:val="24"/>
          <w:szCs w:val="24"/>
          <w:highlight w:val="none"/>
        </w:rPr>
      </w:pPr>
    </w:p>
    <w:p w14:paraId="46EC4A60">
      <w:pPr>
        <w:pStyle w:val="6"/>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联合体成员名称（盖公章或者电子签章）：</w:t>
      </w:r>
    </w:p>
    <w:p w14:paraId="420F4DF8">
      <w:pPr>
        <w:pStyle w:val="6"/>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法定代表人或者其委托代理人（签字或者电子签名）：</w:t>
      </w:r>
    </w:p>
    <w:p w14:paraId="320BA720">
      <w:pPr>
        <w:pStyle w:val="6"/>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w:t>
      </w:r>
    </w:p>
    <w:p w14:paraId="3AA16D80">
      <w:pPr>
        <w:spacing w:line="360" w:lineRule="auto"/>
        <w:ind w:right="480" w:firstLine="240" w:firstLineChars="100"/>
        <w:contextualSpacing/>
        <w:jc w:val="center"/>
        <w:rPr>
          <w:rFonts w:ascii="宋体" w:hAnsi="宋体" w:cs="仿宋_GB2312"/>
          <w:color w:val="auto"/>
          <w:sz w:val="24"/>
          <w:highlight w:val="none"/>
        </w:rPr>
      </w:pPr>
      <w:r>
        <w:rPr>
          <w:rFonts w:hint="eastAsia" w:ascii="宋体" w:hAnsi="宋体" w:cs="仿宋_GB2312"/>
          <w:color w:val="auto"/>
          <w:sz w:val="24"/>
          <w:highlight w:val="none"/>
        </w:rPr>
        <w:t xml:space="preserve"> </w:t>
      </w:r>
    </w:p>
    <w:p w14:paraId="4BD4238F">
      <w:pPr>
        <w:spacing w:line="360" w:lineRule="auto"/>
        <w:ind w:right="480" w:firstLine="240" w:firstLineChars="100"/>
        <w:contextualSpacing/>
        <w:jc w:val="center"/>
        <w:rPr>
          <w:rFonts w:ascii="宋体" w:hAnsi="宋体"/>
          <w:b/>
          <w:bCs/>
          <w:color w:val="auto"/>
          <w:sz w:val="32"/>
          <w:szCs w:val="32"/>
          <w:highlight w:val="none"/>
        </w:rPr>
      </w:pPr>
      <w:r>
        <w:rPr>
          <w:rFonts w:hint="eastAsia" w:ascii="宋体" w:hAnsi="宋体" w:cs="仿宋_GB2312"/>
          <w:color w:val="auto"/>
          <w:sz w:val="24"/>
          <w:highlight w:val="none"/>
        </w:rPr>
        <w:t xml:space="preserve">                                                年  </w:t>
      </w:r>
      <w:r>
        <w:rPr>
          <w:rFonts w:hint="eastAsia" w:ascii="宋体" w:hAnsi="宋体" w:cs="仿宋_GB2312"/>
          <w:color w:val="auto"/>
          <w:sz w:val="24"/>
          <w:highlight w:val="none"/>
        </w:rPr>
        <w:tab/>
      </w:r>
      <w:r>
        <w:rPr>
          <w:rFonts w:hint="eastAsia" w:ascii="宋体" w:hAnsi="宋体" w:cs="仿宋_GB2312"/>
          <w:color w:val="auto"/>
          <w:sz w:val="24"/>
          <w:highlight w:val="none"/>
        </w:rPr>
        <w:t xml:space="preserve">月  </w:t>
      </w:r>
      <w:r>
        <w:rPr>
          <w:rFonts w:hint="eastAsia" w:ascii="宋体" w:hAnsi="宋体" w:cs="仿宋_GB2312"/>
          <w:color w:val="auto"/>
          <w:sz w:val="24"/>
          <w:highlight w:val="none"/>
        </w:rPr>
        <w:tab/>
      </w:r>
      <w:r>
        <w:rPr>
          <w:rFonts w:hint="eastAsia" w:ascii="宋体" w:hAnsi="宋体" w:cs="仿宋_GB2312"/>
          <w:color w:val="auto"/>
          <w:sz w:val="24"/>
          <w:highlight w:val="none"/>
        </w:rPr>
        <w:t>日</w:t>
      </w:r>
    </w:p>
    <w:p w14:paraId="35C29157">
      <w:pPr>
        <w:spacing w:line="360" w:lineRule="auto"/>
        <w:jc w:val="center"/>
        <w:rPr>
          <w:rFonts w:ascii="宋体" w:hAnsi="宋体"/>
          <w:b/>
          <w:color w:val="auto"/>
          <w:sz w:val="24"/>
          <w:highlight w:val="none"/>
        </w:rPr>
      </w:pPr>
      <w:r>
        <w:rPr>
          <w:rFonts w:ascii="宋体" w:hAnsi="宋体"/>
          <w:b/>
          <w:bCs/>
          <w:color w:val="auto"/>
          <w:sz w:val="32"/>
          <w:szCs w:val="32"/>
          <w:highlight w:val="none"/>
        </w:rPr>
        <w:br w:type="page"/>
      </w:r>
    </w:p>
    <w:p w14:paraId="371E599F">
      <w:pPr>
        <w:snapToGrid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分包意向协议（如有）</w:t>
      </w:r>
    </w:p>
    <w:p w14:paraId="4FF9984D">
      <w:pPr>
        <w:spacing w:line="520" w:lineRule="exact"/>
        <w:rPr>
          <w:rFonts w:ascii="仿宋" w:hAnsi="仿宋" w:eastAsia="仿宋"/>
          <w:color w:val="auto"/>
          <w:sz w:val="28"/>
          <w:szCs w:val="28"/>
          <w:highlight w:val="none"/>
        </w:rPr>
      </w:pPr>
    </w:p>
    <w:p w14:paraId="20DA8474">
      <w:pPr>
        <w:spacing w:line="520" w:lineRule="exact"/>
        <w:rPr>
          <w:rFonts w:ascii="宋体" w:hAnsi="宋体" w:cs="宋体"/>
          <w:color w:val="auto"/>
          <w:szCs w:val="21"/>
          <w:highlight w:val="none"/>
        </w:rPr>
      </w:pPr>
      <w:r>
        <w:rPr>
          <w:rFonts w:hint="eastAsia" w:ascii="宋体" w:hAnsi="宋体" w:cs="宋体"/>
          <w:color w:val="auto"/>
          <w:szCs w:val="21"/>
          <w:highlight w:val="none"/>
        </w:rPr>
        <w:t>分包企业：____________________（竞标人）</w:t>
      </w:r>
    </w:p>
    <w:p w14:paraId="1328C970">
      <w:pPr>
        <w:spacing w:line="520" w:lineRule="exact"/>
        <w:rPr>
          <w:rFonts w:ascii="宋体" w:hAnsi="宋体" w:cs="宋体"/>
          <w:color w:val="auto"/>
          <w:szCs w:val="21"/>
          <w:highlight w:val="none"/>
        </w:rPr>
      </w:pPr>
      <w:r>
        <w:rPr>
          <w:rFonts w:hint="eastAsia" w:ascii="宋体" w:hAnsi="宋体" w:cs="宋体"/>
          <w:color w:val="auto"/>
          <w:szCs w:val="21"/>
          <w:highlight w:val="none"/>
        </w:rPr>
        <w:t>接收分包企业：________________</w:t>
      </w:r>
    </w:p>
    <w:p w14:paraId="0E8170C6">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因分包企业参加</w:t>
      </w:r>
      <w:r>
        <w:rPr>
          <w:rFonts w:hint="eastAsia" w:ascii="宋体" w:hAnsi="宋体" w:cs="宋体"/>
          <w:color w:val="auto"/>
          <w:szCs w:val="21"/>
          <w:highlight w:val="none"/>
          <w:u w:val="single"/>
        </w:rPr>
        <w:t xml:space="preserve">    （单位名称）    </w:t>
      </w:r>
      <w:r>
        <w:rPr>
          <w:rFonts w:hint="eastAsia" w:ascii="宋体" w:hAnsi="宋体" w:cs="宋体"/>
          <w:color w:val="auto"/>
          <w:szCs w:val="21"/>
          <w:highlight w:val="none"/>
        </w:rPr>
        <w:t>的</w:t>
      </w:r>
      <w:r>
        <w:rPr>
          <w:rFonts w:hint="eastAsia" w:ascii="宋体" w:hAnsi="宋体" w:cs="宋体"/>
          <w:color w:val="auto"/>
          <w:szCs w:val="21"/>
          <w:highlight w:val="none"/>
          <w:u w:val="single"/>
        </w:rPr>
        <w:t xml:space="preserve">   （项目名称）  </w:t>
      </w:r>
      <w:r>
        <w:rPr>
          <w:rFonts w:hint="eastAsia" w:ascii="宋体" w:hAnsi="宋体" w:cs="宋体"/>
          <w:color w:val="auto"/>
          <w:szCs w:val="21"/>
          <w:highlight w:val="none"/>
        </w:rPr>
        <w:t>采购活动，现分包企业、接收分包企业就如果分包企业获得</w:t>
      </w:r>
      <w:r>
        <w:rPr>
          <w:rFonts w:hint="eastAsia" w:ascii="宋体" w:hAnsi="宋体" w:cs="宋体"/>
          <w:color w:val="auto"/>
          <w:szCs w:val="21"/>
          <w:highlight w:val="none"/>
          <w:u w:val="single"/>
        </w:rPr>
        <w:t xml:space="preserve">    （项目名称）   </w:t>
      </w:r>
      <w:r>
        <w:rPr>
          <w:rFonts w:hint="eastAsia" w:ascii="宋体" w:hAnsi="宋体" w:cs="宋体"/>
          <w:color w:val="auto"/>
          <w:szCs w:val="21"/>
          <w:highlight w:val="none"/>
        </w:rPr>
        <w:t xml:space="preserve">合同后的分包事项达成以下分包意向协议： </w:t>
      </w:r>
    </w:p>
    <w:p w14:paraId="4DF3DF7E">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1、项目总金额的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分包给</w:t>
      </w:r>
      <w:r>
        <w:rPr>
          <w:rFonts w:hint="eastAsia" w:ascii="宋体" w:hAnsi="宋体" w:cs="宋体"/>
          <w:color w:val="auto"/>
          <w:szCs w:val="21"/>
          <w:highlight w:val="none"/>
          <w:u w:val="single"/>
        </w:rPr>
        <w:t xml:space="preserve">  （接收分包企业名称）  </w:t>
      </w:r>
      <w:r>
        <w:rPr>
          <w:rFonts w:hint="eastAsia" w:ascii="宋体" w:hAnsi="宋体" w:cs="宋体"/>
          <w:color w:val="auto"/>
          <w:szCs w:val="21"/>
          <w:highlight w:val="none"/>
        </w:rPr>
        <w:t>，该企业属于</w:t>
      </w:r>
      <w:r>
        <w:rPr>
          <w:rFonts w:hint="eastAsia" w:ascii="宋体" w:hAnsi="宋体" w:cs="宋体"/>
          <w:color w:val="auto"/>
          <w:szCs w:val="21"/>
          <w:highlight w:val="none"/>
          <w:u w:val="single"/>
        </w:rPr>
        <w:t xml:space="preserve">  （中型企业、小型企业、微型企业）  </w:t>
      </w:r>
      <w:r>
        <w:rPr>
          <w:rFonts w:hint="eastAsia" w:ascii="宋体" w:hAnsi="宋体" w:cs="宋体"/>
          <w:color w:val="auto"/>
          <w:szCs w:val="21"/>
          <w:highlight w:val="none"/>
        </w:rPr>
        <w:t>；</w:t>
      </w:r>
    </w:p>
    <w:p w14:paraId="666E0186">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2、项目总金额的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分包给</w:t>
      </w:r>
      <w:r>
        <w:rPr>
          <w:rFonts w:hint="eastAsia" w:ascii="宋体" w:hAnsi="宋体" w:cs="宋体"/>
          <w:color w:val="auto"/>
          <w:szCs w:val="21"/>
          <w:highlight w:val="none"/>
          <w:u w:val="single"/>
        </w:rPr>
        <w:t xml:space="preserve">  （接收分包企业名称）  </w:t>
      </w:r>
      <w:r>
        <w:rPr>
          <w:rFonts w:hint="eastAsia" w:ascii="宋体" w:hAnsi="宋体" w:cs="宋体"/>
          <w:color w:val="auto"/>
          <w:szCs w:val="21"/>
          <w:highlight w:val="none"/>
        </w:rPr>
        <w:t>，该企业属于</w:t>
      </w:r>
      <w:r>
        <w:rPr>
          <w:rFonts w:hint="eastAsia" w:ascii="宋体" w:hAnsi="宋体" w:cs="宋体"/>
          <w:color w:val="auto"/>
          <w:szCs w:val="21"/>
          <w:highlight w:val="none"/>
          <w:u w:val="single"/>
        </w:rPr>
        <w:t xml:space="preserve">  （中型企业、小型企业、微型企业）  </w:t>
      </w:r>
      <w:r>
        <w:rPr>
          <w:rFonts w:hint="eastAsia" w:ascii="宋体" w:hAnsi="宋体" w:cs="宋体"/>
          <w:color w:val="auto"/>
          <w:szCs w:val="21"/>
          <w:highlight w:val="none"/>
        </w:rPr>
        <w:t>；</w:t>
      </w:r>
    </w:p>
    <w:p w14:paraId="33A4669C">
      <w:pPr>
        <w:spacing w:line="520" w:lineRule="exact"/>
        <w:ind w:firstLine="630" w:firstLineChars="300"/>
        <w:rPr>
          <w:rFonts w:ascii="宋体" w:hAnsi="宋体" w:cs="宋体"/>
          <w:color w:val="auto"/>
          <w:szCs w:val="21"/>
          <w:highlight w:val="none"/>
        </w:rPr>
      </w:pPr>
      <w:r>
        <w:rPr>
          <w:rFonts w:hint="eastAsia" w:ascii="宋体" w:hAnsi="宋体" w:cs="宋体"/>
          <w:color w:val="auto"/>
          <w:szCs w:val="21"/>
          <w:highlight w:val="none"/>
        </w:rPr>
        <w:t xml:space="preserve">…… </w:t>
      </w:r>
    </w:p>
    <w:p w14:paraId="1FE569AE">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接受分包合同的中小企业和分包企业之间不存在直接控股、管理关系。</w:t>
      </w:r>
    </w:p>
    <w:p w14:paraId="1DD7D98C">
      <w:pPr>
        <w:spacing w:line="520" w:lineRule="exact"/>
        <w:rPr>
          <w:rFonts w:ascii="宋体" w:hAnsi="宋体" w:cs="宋体"/>
          <w:color w:val="auto"/>
          <w:szCs w:val="21"/>
          <w:highlight w:val="none"/>
        </w:rPr>
      </w:pPr>
    </w:p>
    <w:p w14:paraId="5035FA96">
      <w:pPr>
        <w:spacing w:line="520" w:lineRule="exact"/>
        <w:rPr>
          <w:rFonts w:ascii="宋体" w:hAnsi="宋体" w:cs="宋体"/>
          <w:color w:val="auto"/>
          <w:szCs w:val="21"/>
          <w:highlight w:val="none"/>
        </w:rPr>
      </w:pPr>
    </w:p>
    <w:p w14:paraId="611CB8D4">
      <w:pPr>
        <w:spacing w:line="520" w:lineRule="exact"/>
        <w:rPr>
          <w:rFonts w:ascii="宋体" w:hAnsi="宋体" w:cs="宋体"/>
          <w:color w:val="auto"/>
          <w:szCs w:val="21"/>
          <w:highlight w:val="none"/>
        </w:rPr>
      </w:pPr>
    </w:p>
    <w:p w14:paraId="5627C4F3">
      <w:pPr>
        <w:spacing w:line="520" w:lineRule="exact"/>
        <w:rPr>
          <w:rFonts w:ascii="宋体" w:hAnsi="宋体" w:cs="宋体"/>
          <w:color w:val="auto"/>
          <w:szCs w:val="21"/>
          <w:highlight w:val="none"/>
        </w:rPr>
      </w:pPr>
    </w:p>
    <w:p w14:paraId="4D1C59D2">
      <w:pPr>
        <w:spacing w:line="520" w:lineRule="exact"/>
        <w:rPr>
          <w:rFonts w:ascii="宋体" w:hAnsi="宋体" w:cs="宋体"/>
          <w:color w:val="auto"/>
          <w:szCs w:val="21"/>
          <w:highlight w:val="none"/>
        </w:rPr>
      </w:pPr>
      <w:r>
        <w:rPr>
          <w:rFonts w:hint="eastAsia" w:ascii="宋体" w:hAnsi="宋体" w:cs="宋体"/>
          <w:color w:val="auto"/>
          <w:szCs w:val="21"/>
          <w:highlight w:val="none"/>
        </w:rPr>
        <w:t xml:space="preserve">分包企业名称（盖章）：             接收分包企业名称（盖章）： </w:t>
      </w:r>
    </w:p>
    <w:p w14:paraId="5A3ECB3B">
      <w:pPr>
        <w:spacing w:line="520" w:lineRule="exact"/>
        <w:rPr>
          <w:rFonts w:ascii="宋体" w:hAnsi="宋体" w:cs="宋体"/>
          <w:color w:val="auto"/>
          <w:szCs w:val="21"/>
          <w:highlight w:val="none"/>
        </w:rPr>
      </w:pPr>
    </w:p>
    <w:p w14:paraId="7FDCFF77">
      <w:pPr>
        <w:spacing w:line="520" w:lineRule="exact"/>
        <w:rPr>
          <w:rFonts w:ascii="宋体" w:hAnsi="宋体" w:cs="宋体"/>
          <w:color w:val="auto"/>
          <w:szCs w:val="21"/>
          <w:highlight w:val="none"/>
        </w:rPr>
      </w:pPr>
      <w:r>
        <w:rPr>
          <w:rFonts w:hint="eastAsia" w:ascii="宋体" w:hAnsi="宋体" w:cs="宋体"/>
          <w:color w:val="auto"/>
          <w:szCs w:val="21"/>
          <w:highlight w:val="none"/>
        </w:rPr>
        <w:t xml:space="preserve">日期：                                 日期： </w:t>
      </w:r>
    </w:p>
    <w:p w14:paraId="2132A15A">
      <w:pPr>
        <w:spacing w:line="360" w:lineRule="auto"/>
        <w:ind w:right="420" w:firstLine="422" w:firstLineChars="200"/>
        <w:rPr>
          <w:rFonts w:ascii="宋体" w:hAnsi="宋体" w:cs="仿宋_GB2312"/>
          <w:b/>
          <w:bCs/>
          <w:color w:val="auto"/>
          <w:szCs w:val="21"/>
          <w:highlight w:val="none"/>
        </w:rPr>
      </w:pPr>
    </w:p>
    <w:p w14:paraId="719D084C">
      <w:pPr>
        <w:pStyle w:val="11"/>
        <w:rPr>
          <w:rFonts w:ascii="宋体" w:hAnsi="宋体" w:cs="仿宋_GB2312"/>
          <w:b/>
          <w:bCs/>
          <w:color w:val="auto"/>
          <w:szCs w:val="21"/>
          <w:highlight w:val="none"/>
        </w:rPr>
      </w:pPr>
    </w:p>
    <w:p w14:paraId="49EEEEC6">
      <w:pPr>
        <w:rPr>
          <w:rFonts w:ascii="宋体" w:hAnsi="宋体" w:cs="仿宋_GB2312"/>
          <w:b/>
          <w:bCs/>
          <w:color w:val="auto"/>
          <w:szCs w:val="21"/>
          <w:highlight w:val="none"/>
        </w:rPr>
      </w:pPr>
    </w:p>
    <w:p w14:paraId="13FA0AA1">
      <w:pPr>
        <w:pStyle w:val="11"/>
        <w:rPr>
          <w:rFonts w:ascii="宋体" w:hAnsi="宋体" w:cs="仿宋_GB2312"/>
          <w:b/>
          <w:bCs/>
          <w:color w:val="auto"/>
          <w:szCs w:val="21"/>
          <w:highlight w:val="none"/>
        </w:rPr>
      </w:pPr>
    </w:p>
    <w:p w14:paraId="76B7DBBE">
      <w:pPr>
        <w:rPr>
          <w:rFonts w:ascii="宋体" w:hAnsi="宋体" w:cs="仿宋_GB2312"/>
          <w:b/>
          <w:bCs/>
          <w:color w:val="auto"/>
          <w:szCs w:val="21"/>
          <w:highlight w:val="none"/>
        </w:rPr>
      </w:pPr>
    </w:p>
    <w:p w14:paraId="76B6A8CA">
      <w:pPr>
        <w:rPr>
          <w:rFonts w:ascii="宋体" w:hAnsi="宋体" w:cs="仿宋_GB2312"/>
          <w:b/>
          <w:bCs/>
          <w:color w:val="auto"/>
          <w:szCs w:val="21"/>
          <w:highlight w:val="none"/>
        </w:rPr>
      </w:pPr>
    </w:p>
    <w:p w14:paraId="33AED2CF">
      <w:pPr>
        <w:rPr>
          <w:rFonts w:ascii="宋体" w:hAnsi="宋体" w:cs="仿宋_GB2312"/>
          <w:b/>
          <w:bCs/>
          <w:color w:val="auto"/>
          <w:szCs w:val="21"/>
          <w:highlight w:val="none"/>
        </w:rPr>
      </w:pPr>
    </w:p>
    <w:p w14:paraId="7C06A2BC">
      <w:pPr>
        <w:pStyle w:val="11"/>
        <w:rPr>
          <w:rFonts w:ascii="宋体" w:hAnsi="宋体" w:cs="仿宋_GB2312"/>
          <w:b/>
          <w:bCs/>
          <w:color w:val="auto"/>
          <w:szCs w:val="21"/>
          <w:highlight w:val="none"/>
        </w:rPr>
      </w:pPr>
    </w:p>
    <w:p w14:paraId="14459308">
      <w:pPr>
        <w:pStyle w:val="12"/>
        <w:ind w:firstLine="680"/>
        <w:rPr>
          <w:color w:val="auto"/>
          <w:highlight w:val="none"/>
        </w:rPr>
      </w:pPr>
    </w:p>
    <w:p w14:paraId="3152AB1A">
      <w:pPr>
        <w:rPr>
          <w:color w:val="auto"/>
          <w:highlight w:val="none"/>
        </w:rPr>
      </w:pPr>
    </w:p>
    <w:p w14:paraId="75349D0E">
      <w:pPr>
        <w:pStyle w:val="11"/>
        <w:rPr>
          <w:rFonts w:ascii="宋体" w:hAnsi="宋体" w:cs="仿宋_GB2312"/>
          <w:b/>
          <w:bCs/>
          <w:color w:val="auto"/>
          <w:szCs w:val="21"/>
          <w:highlight w:val="none"/>
        </w:rPr>
      </w:pPr>
    </w:p>
    <w:p w14:paraId="7027EDDA">
      <w:pPr>
        <w:snapToGrid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分包承诺书（如有）</w:t>
      </w:r>
    </w:p>
    <w:p w14:paraId="5FF0D5EC">
      <w:pPr>
        <w:spacing w:line="520" w:lineRule="exact"/>
        <w:rPr>
          <w:rFonts w:ascii="仿宋" w:hAnsi="仿宋" w:eastAsia="仿宋"/>
          <w:color w:val="auto"/>
          <w:sz w:val="28"/>
          <w:szCs w:val="28"/>
          <w:highlight w:val="none"/>
        </w:rPr>
      </w:pPr>
    </w:p>
    <w:p w14:paraId="7E42AF4D">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 xml:space="preserve">     （采购人名称）</w:t>
      </w:r>
      <w:r>
        <w:rPr>
          <w:rFonts w:hint="eastAsia" w:ascii="宋体" w:hAnsi="宋体" w:cs="宋体"/>
          <w:color w:val="auto"/>
          <w:szCs w:val="21"/>
          <w:highlight w:val="none"/>
        </w:rPr>
        <w:t>：</w:t>
      </w:r>
    </w:p>
    <w:p w14:paraId="4FE972EC">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我公司承诺严格按照《政府采购促进中小企业发展管理办法》（财库[2020]46号）规定，并作出以下承诺：</w:t>
      </w:r>
    </w:p>
    <w:p w14:paraId="56BF922D">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sym w:font="Wingdings" w:char="00A8"/>
      </w:r>
      <w:r>
        <w:rPr>
          <w:rFonts w:hint="eastAsia" w:ascii="宋体" w:hAnsi="宋体" w:cs="宋体"/>
          <w:color w:val="auto"/>
          <w:szCs w:val="21"/>
          <w:highlight w:val="none"/>
        </w:rPr>
        <w:t>我公司为大型企业，承诺将不低于本采购合同金额的30%分包给一家或者多家小微企业，且与接受分包合同的小微企业之间不得存在直接控股、管理关系；</w:t>
      </w:r>
    </w:p>
    <w:p w14:paraId="4CF00207">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sym w:font="Wingdings" w:char="00A8"/>
      </w:r>
      <w:r>
        <w:rPr>
          <w:rFonts w:hint="eastAsia" w:ascii="宋体" w:hAnsi="宋体" w:cs="宋体"/>
          <w:color w:val="auto"/>
          <w:szCs w:val="21"/>
          <w:highlight w:val="none"/>
        </w:rPr>
        <w:t>我公司为中型企业，承诺将不低于本采购合同金额的30%分包给一家或者多家小微企业，且与接受分包合同的小微企业之间不得存在直接控股、管理关系；</w:t>
      </w:r>
    </w:p>
    <w:p w14:paraId="617954D7">
      <w:pPr>
        <w:spacing w:line="520" w:lineRule="exact"/>
        <w:ind w:firstLine="420" w:firstLineChars="200"/>
        <w:rPr>
          <w:rFonts w:ascii="宋体" w:hAnsi="宋体" w:cs="宋体"/>
          <w:color w:val="auto"/>
          <w:szCs w:val="21"/>
          <w:highlight w:val="none"/>
        </w:rPr>
      </w:pPr>
    </w:p>
    <w:p w14:paraId="2727E0FA">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特此承诺！</w:t>
      </w:r>
    </w:p>
    <w:p w14:paraId="0205A70A">
      <w:pPr>
        <w:spacing w:line="520" w:lineRule="exact"/>
        <w:rPr>
          <w:rFonts w:ascii="宋体" w:hAnsi="宋体" w:cs="宋体"/>
          <w:color w:val="auto"/>
          <w:szCs w:val="21"/>
          <w:highlight w:val="none"/>
        </w:rPr>
      </w:pPr>
    </w:p>
    <w:p w14:paraId="5D0B00F9">
      <w:pPr>
        <w:spacing w:line="520" w:lineRule="exact"/>
        <w:ind w:firstLine="420" w:firstLineChars="200"/>
        <w:jc w:val="center"/>
        <w:rPr>
          <w:rFonts w:ascii="宋体" w:hAnsi="宋体" w:cs="宋体"/>
          <w:color w:val="auto"/>
          <w:szCs w:val="21"/>
          <w:highlight w:val="none"/>
          <w:lang w:val="zh-CN"/>
        </w:rPr>
      </w:pPr>
      <w:r>
        <w:rPr>
          <w:rFonts w:hint="eastAsia" w:ascii="宋体" w:hAnsi="宋体" w:cs="宋体"/>
          <w:color w:val="auto"/>
          <w:szCs w:val="21"/>
          <w:highlight w:val="none"/>
          <w:lang w:val="zh-CN"/>
        </w:rPr>
        <w:t>供应商（电子签章）：</w:t>
      </w:r>
    </w:p>
    <w:p w14:paraId="1D479A1D">
      <w:pPr>
        <w:spacing w:line="520" w:lineRule="exact"/>
        <w:ind w:firstLine="420" w:firstLineChars="200"/>
        <w:jc w:val="center"/>
        <w:rPr>
          <w:rFonts w:ascii="宋体" w:hAnsi="宋体" w:cs="宋体"/>
          <w:color w:val="auto"/>
          <w:szCs w:val="21"/>
          <w:highlight w:val="none"/>
          <w:lang w:val="zh-CN"/>
        </w:rPr>
      </w:pPr>
      <w:r>
        <w:rPr>
          <w:rFonts w:hint="eastAsia" w:ascii="宋体" w:hAnsi="宋体" w:cs="宋体"/>
          <w:color w:val="auto"/>
          <w:szCs w:val="21"/>
          <w:highlight w:val="none"/>
        </w:rPr>
        <w:t xml:space="preserve">     </w:t>
      </w:r>
      <w:r>
        <w:rPr>
          <w:rFonts w:hint="eastAsia" w:ascii="宋体" w:hAnsi="宋体" w:cs="宋体"/>
          <w:color w:val="auto"/>
          <w:szCs w:val="21"/>
          <w:highlight w:val="none"/>
          <w:lang w:val="zh-CN"/>
        </w:rPr>
        <w:t>日  期：     年   月   日</w:t>
      </w:r>
    </w:p>
    <w:p w14:paraId="47D54E1F">
      <w:pPr>
        <w:spacing w:line="360" w:lineRule="auto"/>
        <w:ind w:right="420"/>
        <w:contextualSpacing/>
        <w:jc w:val="left"/>
        <w:rPr>
          <w:rFonts w:ascii="宋体" w:hAnsi="宋体"/>
          <w:b/>
          <w:bCs/>
          <w:color w:val="auto"/>
          <w:sz w:val="32"/>
          <w:szCs w:val="32"/>
          <w:highlight w:val="none"/>
        </w:rPr>
      </w:pPr>
    </w:p>
    <w:p w14:paraId="4730462E">
      <w:pPr>
        <w:tabs>
          <w:tab w:val="left" w:pos="1674"/>
        </w:tabs>
        <w:jc w:val="left"/>
        <w:rPr>
          <w:color w:val="auto"/>
          <w:highlight w:val="none"/>
        </w:rPr>
      </w:pPr>
    </w:p>
    <w:p w14:paraId="49700E0C">
      <w:pPr>
        <w:tabs>
          <w:tab w:val="left" w:pos="1674"/>
        </w:tabs>
        <w:jc w:val="left"/>
        <w:rPr>
          <w:color w:val="auto"/>
          <w:highlight w:val="none"/>
        </w:rPr>
      </w:pPr>
    </w:p>
    <w:p w14:paraId="2CA614EE">
      <w:pPr>
        <w:tabs>
          <w:tab w:val="left" w:pos="1674"/>
        </w:tabs>
        <w:jc w:val="left"/>
        <w:rPr>
          <w:color w:val="auto"/>
          <w:highlight w:val="none"/>
        </w:rPr>
      </w:pPr>
    </w:p>
    <w:p w14:paraId="7FDBFAAF">
      <w:pPr>
        <w:tabs>
          <w:tab w:val="left" w:pos="1674"/>
        </w:tabs>
        <w:jc w:val="left"/>
        <w:rPr>
          <w:color w:val="auto"/>
          <w:highlight w:val="none"/>
        </w:rPr>
      </w:pPr>
    </w:p>
    <w:p w14:paraId="7C9647C6">
      <w:pPr>
        <w:tabs>
          <w:tab w:val="left" w:pos="1674"/>
        </w:tabs>
        <w:jc w:val="left"/>
        <w:rPr>
          <w:color w:val="auto"/>
          <w:highlight w:val="none"/>
        </w:rPr>
      </w:pPr>
    </w:p>
    <w:p w14:paraId="58103A4F">
      <w:pPr>
        <w:tabs>
          <w:tab w:val="left" w:pos="1674"/>
        </w:tabs>
        <w:jc w:val="left"/>
        <w:rPr>
          <w:color w:val="auto"/>
          <w:highlight w:val="none"/>
        </w:rPr>
      </w:pPr>
    </w:p>
    <w:p w14:paraId="3D4F37A2">
      <w:pPr>
        <w:tabs>
          <w:tab w:val="left" w:pos="1674"/>
        </w:tabs>
        <w:jc w:val="left"/>
        <w:rPr>
          <w:color w:val="auto"/>
          <w:highlight w:val="none"/>
        </w:rPr>
      </w:pPr>
    </w:p>
    <w:p w14:paraId="6FC0A870">
      <w:pPr>
        <w:tabs>
          <w:tab w:val="left" w:pos="1674"/>
        </w:tabs>
        <w:jc w:val="left"/>
        <w:rPr>
          <w:color w:val="auto"/>
          <w:highlight w:val="none"/>
        </w:rPr>
      </w:pPr>
    </w:p>
    <w:p w14:paraId="06725BD0">
      <w:pPr>
        <w:tabs>
          <w:tab w:val="left" w:pos="1674"/>
        </w:tabs>
        <w:jc w:val="left"/>
        <w:rPr>
          <w:color w:val="auto"/>
          <w:highlight w:val="none"/>
        </w:rPr>
      </w:pPr>
    </w:p>
    <w:p w14:paraId="10C36BD0">
      <w:pPr>
        <w:tabs>
          <w:tab w:val="left" w:pos="1674"/>
        </w:tabs>
        <w:jc w:val="left"/>
        <w:rPr>
          <w:color w:val="auto"/>
          <w:highlight w:val="none"/>
        </w:rPr>
      </w:pPr>
    </w:p>
    <w:p w14:paraId="08DD9759">
      <w:pPr>
        <w:tabs>
          <w:tab w:val="left" w:pos="1674"/>
        </w:tabs>
        <w:jc w:val="left"/>
        <w:rPr>
          <w:color w:val="auto"/>
          <w:highlight w:val="none"/>
        </w:rPr>
      </w:pPr>
    </w:p>
    <w:p w14:paraId="13FD55CE">
      <w:pPr>
        <w:tabs>
          <w:tab w:val="left" w:pos="1674"/>
        </w:tabs>
        <w:jc w:val="left"/>
        <w:rPr>
          <w:color w:val="auto"/>
          <w:highlight w:val="none"/>
        </w:rPr>
      </w:pPr>
    </w:p>
    <w:p w14:paraId="004B6E94">
      <w:pPr>
        <w:tabs>
          <w:tab w:val="left" w:pos="1674"/>
        </w:tabs>
        <w:jc w:val="left"/>
        <w:rPr>
          <w:color w:val="auto"/>
          <w:highlight w:val="none"/>
        </w:rPr>
      </w:pPr>
    </w:p>
    <w:p w14:paraId="011DCE95">
      <w:pPr>
        <w:tabs>
          <w:tab w:val="left" w:pos="1674"/>
        </w:tabs>
        <w:jc w:val="left"/>
        <w:rPr>
          <w:color w:val="auto"/>
          <w:highlight w:val="none"/>
        </w:rPr>
      </w:pPr>
    </w:p>
    <w:p w14:paraId="050343AF">
      <w:pPr>
        <w:tabs>
          <w:tab w:val="left" w:pos="1674"/>
        </w:tabs>
        <w:jc w:val="left"/>
        <w:rPr>
          <w:color w:val="auto"/>
          <w:highlight w:val="none"/>
        </w:rPr>
      </w:pPr>
    </w:p>
    <w:p w14:paraId="07096460">
      <w:pPr>
        <w:tabs>
          <w:tab w:val="left" w:pos="1674"/>
        </w:tabs>
        <w:jc w:val="left"/>
        <w:rPr>
          <w:color w:val="auto"/>
          <w:highlight w:val="none"/>
        </w:rPr>
      </w:pPr>
    </w:p>
    <w:p w14:paraId="30462EC2">
      <w:pPr>
        <w:tabs>
          <w:tab w:val="left" w:pos="1674"/>
        </w:tabs>
        <w:jc w:val="left"/>
        <w:rPr>
          <w:color w:val="auto"/>
          <w:highlight w:val="none"/>
        </w:rPr>
      </w:pPr>
    </w:p>
    <w:p w14:paraId="33CEDF10">
      <w:pPr>
        <w:tabs>
          <w:tab w:val="left" w:pos="1674"/>
        </w:tabs>
        <w:jc w:val="left"/>
        <w:rPr>
          <w:color w:val="auto"/>
          <w:highlight w:val="none"/>
        </w:rPr>
      </w:pPr>
    </w:p>
    <w:p w14:paraId="4B06FA98">
      <w:pPr>
        <w:tabs>
          <w:tab w:val="left" w:pos="1674"/>
        </w:tabs>
        <w:jc w:val="left"/>
        <w:rPr>
          <w:color w:val="auto"/>
          <w:highlight w:val="none"/>
        </w:rPr>
      </w:pPr>
    </w:p>
    <w:p w14:paraId="6660C566">
      <w:pPr>
        <w:spacing w:line="360" w:lineRule="auto"/>
        <w:contextualSpacing/>
        <w:jc w:val="center"/>
        <w:rPr>
          <w:rFonts w:ascii="宋体" w:hAnsi="宋体" w:cs="宋体"/>
          <w:color w:val="auto"/>
          <w:sz w:val="44"/>
          <w:szCs w:val="44"/>
          <w:highlight w:val="none"/>
        </w:rPr>
      </w:pPr>
      <w:r>
        <w:rPr>
          <w:rFonts w:hint="eastAsia" w:ascii="宋体" w:hAnsi="宋体" w:cs="宋体"/>
          <w:color w:val="auto"/>
          <w:sz w:val="44"/>
          <w:szCs w:val="44"/>
          <w:highlight w:val="none"/>
        </w:rPr>
        <w:t>廉政承诺书</w:t>
      </w:r>
    </w:p>
    <w:p w14:paraId="1B1F5BF8">
      <w:pPr>
        <w:pStyle w:val="15"/>
        <w:tabs>
          <w:tab w:val="left" w:pos="939"/>
        </w:tabs>
        <w:spacing w:line="360" w:lineRule="auto"/>
        <w:ind w:left="0" w:leftChars="0" w:firstLine="480" w:firstLineChars="200"/>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 xml:space="preserve">（采购人名称） </w:t>
      </w:r>
      <w:r>
        <w:rPr>
          <w:rFonts w:hint="eastAsia" w:ascii="宋体" w:hAnsi="宋体" w:cs="宋体"/>
          <w:color w:val="auto"/>
          <w:sz w:val="24"/>
          <w:highlight w:val="none"/>
        </w:rPr>
        <w:t>：</w:t>
      </w:r>
    </w:p>
    <w:p w14:paraId="762D419C">
      <w:pPr>
        <w:pStyle w:val="6"/>
        <w:overflowPunct w:val="0"/>
        <w:spacing w:line="360" w:lineRule="auto"/>
        <w:ind w:firstLine="456" w:firstLineChars="200"/>
        <w:contextualSpacing/>
        <w:rPr>
          <w:rFonts w:ascii="宋体" w:hAnsi="宋体" w:cs="仿宋_GB2312"/>
          <w:color w:val="auto"/>
          <w:spacing w:val="-6"/>
          <w:sz w:val="24"/>
          <w:szCs w:val="24"/>
          <w:highlight w:val="none"/>
        </w:rPr>
      </w:pPr>
      <w:r>
        <w:rPr>
          <w:rFonts w:hint="eastAsia" w:ascii="宋体" w:hAnsi="宋体" w:cs="仿宋_GB2312"/>
          <w:color w:val="auto"/>
          <w:spacing w:val="-6"/>
          <w:sz w:val="24"/>
          <w:szCs w:val="24"/>
          <w:highlight w:val="none"/>
        </w:rPr>
        <w:t>我公司参加贵方组织的</w:t>
      </w:r>
      <w:r>
        <w:rPr>
          <w:rFonts w:hint="eastAsia" w:ascii="宋体" w:hAnsi="宋体" w:cs="仿宋_GB2312"/>
          <w:color w:val="auto"/>
          <w:spacing w:val="-6"/>
          <w:sz w:val="24"/>
          <w:szCs w:val="24"/>
          <w:highlight w:val="none"/>
          <w:u w:val="single"/>
        </w:rPr>
        <w:t xml:space="preserve"> (项目名称)         </w:t>
      </w:r>
      <w:r>
        <w:rPr>
          <w:rFonts w:hint="eastAsia" w:ascii="宋体" w:hAnsi="宋体" w:cs="仿宋_GB2312"/>
          <w:color w:val="auto"/>
          <w:spacing w:val="-6"/>
          <w:sz w:val="24"/>
          <w:szCs w:val="24"/>
          <w:highlight w:val="none"/>
        </w:rPr>
        <w:t>（项目编号：</w:t>
      </w:r>
      <w:r>
        <w:rPr>
          <w:rFonts w:hint="eastAsia" w:ascii="宋体" w:hAnsi="宋体" w:cs="仿宋_GB2312"/>
          <w:color w:val="auto"/>
          <w:spacing w:val="-6"/>
          <w:sz w:val="24"/>
          <w:szCs w:val="24"/>
          <w:highlight w:val="none"/>
          <w:u w:val="single"/>
        </w:rPr>
        <w:t xml:space="preserve">         </w:t>
      </w:r>
      <w:r>
        <w:rPr>
          <w:rFonts w:hint="eastAsia" w:ascii="宋体" w:hAnsi="宋体" w:cs="仿宋_GB2312"/>
          <w:color w:val="auto"/>
          <w:spacing w:val="-6"/>
          <w:sz w:val="24"/>
          <w:szCs w:val="24"/>
          <w:highlight w:val="none"/>
        </w:rPr>
        <w:t>）项目的投标，我公司将严格遵守国家有关廉政要求，并郑重承诺如下：</w:t>
      </w:r>
    </w:p>
    <w:p w14:paraId="3540BE4C">
      <w:pPr>
        <w:pStyle w:val="6"/>
        <w:overflowPunct w:val="0"/>
        <w:spacing w:line="360" w:lineRule="auto"/>
        <w:ind w:firstLine="456" w:firstLineChars="200"/>
        <w:contextualSpacing/>
        <w:rPr>
          <w:rFonts w:ascii="宋体" w:hAnsi="宋体" w:cs="仿宋_GB2312"/>
          <w:color w:val="auto"/>
          <w:spacing w:val="-6"/>
          <w:sz w:val="24"/>
          <w:szCs w:val="24"/>
          <w:highlight w:val="none"/>
        </w:rPr>
      </w:pPr>
      <w:r>
        <w:rPr>
          <w:rFonts w:hint="eastAsia" w:ascii="宋体" w:hAnsi="宋体" w:cs="仿宋_GB2312"/>
          <w:color w:val="auto"/>
          <w:spacing w:val="-6"/>
          <w:sz w:val="24"/>
          <w:szCs w:val="24"/>
          <w:highlight w:val="none"/>
        </w:rPr>
        <w:t>一、不向采购有关的工作人员赠送礼金礼物、有价证券、回扣以及中介费、咨询费等好处费；</w:t>
      </w:r>
    </w:p>
    <w:p w14:paraId="67325272">
      <w:pPr>
        <w:pStyle w:val="6"/>
        <w:overflowPunct w:val="0"/>
        <w:spacing w:line="360" w:lineRule="auto"/>
        <w:ind w:firstLine="456" w:firstLineChars="200"/>
        <w:contextualSpacing/>
        <w:rPr>
          <w:rFonts w:ascii="宋体" w:hAnsi="宋体" w:cs="仿宋_GB2312"/>
          <w:color w:val="auto"/>
          <w:spacing w:val="-6"/>
          <w:sz w:val="24"/>
          <w:szCs w:val="24"/>
          <w:highlight w:val="none"/>
        </w:rPr>
      </w:pPr>
      <w:r>
        <w:rPr>
          <w:rFonts w:hint="eastAsia" w:ascii="宋体" w:hAnsi="宋体" w:cs="仿宋_GB2312"/>
          <w:color w:val="auto"/>
          <w:spacing w:val="-6"/>
          <w:sz w:val="24"/>
          <w:szCs w:val="24"/>
          <w:highlight w:val="none"/>
        </w:rPr>
        <w:t>二、不为采购相关工作人员报销应由相关单位或个人支付的费用;</w:t>
      </w:r>
    </w:p>
    <w:p w14:paraId="2624677C">
      <w:pPr>
        <w:pStyle w:val="6"/>
        <w:overflowPunct w:val="0"/>
        <w:spacing w:line="360" w:lineRule="auto"/>
        <w:ind w:firstLine="456" w:firstLineChars="200"/>
        <w:contextualSpacing/>
        <w:rPr>
          <w:rFonts w:ascii="宋体" w:hAnsi="宋体" w:cs="仿宋_GB2312"/>
          <w:color w:val="auto"/>
          <w:spacing w:val="-6"/>
          <w:sz w:val="24"/>
          <w:szCs w:val="24"/>
          <w:highlight w:val="none"/>
        </w:rPr>
      </w:pPr>
      <w:r>
        <w:rPr>
          <w:rFonts w:hint="eastAsia" w:ascii="宋体" w:hAnsi="宋体" w:cs="仿宋_GB2312"/>
          <w:color w:val="auto"/>
          <w:spacing w:val="-6"/>
          <w:sz w:val="24"/>
          <w:szCs w:val="24"/>
          <w:highlight w:val="none"/>
        </w:rPr>
        <w:t>三、不为采购相关人员个人装修住户、婚丧嫁娶、配偶子女工作安排以及出国(境)旅游提供方便或者提供其它好处；</w:t>
      </w:r>
    </w:p>
    <w:p w14:paraId="4A4B69F1">
      <w:pPr>
        <w:pStyle w:val="6"/>
        <w:overflowPunct w:val="0"/>
        <w:spacing w:line="360" w:lineRule="auto"/>
        <w:ind w:firstLine="456" w:firstLineChars="200"/>
        <w:contextualSpacing/>
        <w:rPr>
          <w:rFonts w:ascii="宋体" w:hAnsi="宋体" w:cs="仿宋_GB2312"/>
          <w:color w:val="auto"/>
          <w:spacing w:val="-6"/>
          <w:sz w:val="24"/>
          <w:szCs w:val="24"/>
          <w:highlight w:val="none"/>
        </w:rPr>
      </w:pPr>
      <w:r>
        <w:rPr>
          <w:rFonts w:hint="eastAsia" w:ascii="宋体" w:hAnsi="宋体" w:cs="仿宋_GB2312"/>
          <w:color w:val="auto"/>
          <w:spacing w:val="-6"/>
          <w:sz w:val="24"/>
          <w:szCs w:val="24"/>
          <w:highlight w:val="none"/>
        </w:rPr>
        <w:t>四、不向采购相关工作人员提供有可能影响公正进行本项目磋商相关工作的宴请和健身娱乐等活动；</w:t>
      </w:r>
    </w:p>
    <w:p w14:paraId="3EF9162D">
      <w:pPr>
        <w:pStyle w:val="6"/>
        <w:overflowPunct w:val="0"/>
        <w:spacing w:line="360" w:lineRule="auto"/>
        <w:ind w:firstLine="456" w:firstLineChars="200"/>
        <w:contextualSpacing/>
        <w:rPr>
          <w:rFonts w:ascii="宋体" w:hAnsi="宋体" w:cs="仿宋_GB2312"/>
          <w:color w:val="auto"/>
          <w:spacing w:val="-6"/>
          <w:sz w:val="24"/>
          <w:szCs w:val="24"/>
          <w:highlight w:val="none"/>
        </w:rPr>
      </w:pPr>
      <w:r>
        <w:rPr>
          <w:rFonts w:hint="eastAsia" w:ascii="宋体" w:hAnsi="宋体" w:cs="仿宋_GB2312"/>
          <w:color w:val="auto"/>
          <w:spacing w:val="-6"/>
          <w:sz w:val="24"/>
          <w:szCs w:val="24"/>
          <w:highlight w:val="none"/>
        </w:rPr>
        <w:t>五、不接受采购人员介绍的与采购项目有关的设备采购、工程分包、劳务等经济活动，不接受采购人推荐分包单位的要求购买规定以外的材料、设备。</w:t>
      </w:r>
    </w:p>
    <w:p w14:paraId="797CAE86">
      <w:pPr>
        <w:pStyle w:val="6"/>
        <w:overflowPunct w:val="0"/>
        <w:spacing w:line="360" w:lineRule="auto"/>
        <w:ind w:firstLine="456" w:firstLineChars="200"/>
        <w:contextualSpacing/>
        <w:rPr>
          <w:rFonts w:ascii="宋体" w:hAnsi="宋体" w:cs="仿宋_GB2312"/>
          <w:color w:val="auto"/>
          <w:spacing w:val="-6"/>
          <w:sz w:val="24"/>
          <w:szCs w:val="24"/>
          <w:highlight w:val="none"/>
        </w:rPr>
      </w:pPr>
      <w:r>
        <w:rPr>
          <w:rFonts w:hint="eastAsia" w:ascii="宋体" w:hAnsi="宋体" w:cs="仿宋_GB2312"/>
          <w:color w:val="auto"/>
          <w:spacing w:val="-6"/>
          <w:sz w:val="24"/>
          <w:szCs w:val="24"/>
          <w:highlight w:val="none"/>
        </w:rPr>
        <w:t>如违反上述承诺，贵单位有权取消我单位参与磋商资格，由此引起的相应损失由我公司承担。</w:t>
      </w:r>
    </w:p>
    <w:p w14:paraId="157402E7">
      <w:pPr>
        <w:pStyle w:val="6"/>
        <w:overflowPunct w:val="0"/>
        <w:spacing w:line="360" w:lineRule="auto"/>
        <w:ind w:firstLine="456" w:firstLineChars="200"/>
        <w:contextualSpacing/>
        <w:rPr>
          <w:rFonts w:ascii="宋体" w:hAnsi="宋体" w:cs="仿宋_GB2312"/>
          <w:color w:val="auto"/>
          <w:spacing w:val="-6"/>
          <w:sz w:val="24"/>
          <w:szCs w:val="24"/>
          <w:highlight w:val="none"/>
        </w:rPr>
      </w:pPr>
    </w:p>
    <w:p w14:paraId="286D702C">
      <w:pPr>
        <w:pStyle w:val="15"/>
        <w:tabs>
          <w:tab w:val="left" w:pos="939"/>
        </w:tabs>
        <w:spacing w:line="360" w:lineRule="auto"/>
        <w:ind w:left="0" w:leftChars="0" w:firstLine="480" w:firstLineChars="200"/>
        <w:rPr>
          <w:rFonts w:ascii="宋体" w:hAnsi="宋体" w:cs="宋体"/>
          <w:color w:val="auto"/>
          <w:sz w:val="24"/>
          <w:highlight w:val="none"/>
        </w:rPr>
      </w:pPr>
    </w:p>
    <w:p w14:paraId="341EEF9E">
      <w:pPr>
        <w:spacing w:line="360" w:lineRule="auto"/>
        <w:ind w:firstLine="1995" w:firstLineChars="950"/>
        <w:contextualSpacing/>
        <w:rPr>
          <w:color w:val="auto"/>
          <w:highlight w:val="none"/>
        </w:rPr>
      </w:pPr>
      <w:r>
        <w:rPr>
          <w:rFonts w:hint="eastAsia"/>
          <w:color w:val="auto"/>
          <w:highlight w:val="none"/>
        </w:rPr>
        <w:t xml:space="preserve">                                    </w:t>
      </w:r>
    </w:p>
    <w:p w14:paraId="6455CFFC">
      <w:pPr>
        <w:spacing w:line="360" w:lineRule="auto"/>
        <w:ind w:firstLine="4320" w:firstLineChars="1800"/>
        <w:contextualSpacing/>
        <w:rPr>
          <w:rFonts w:ascii="宋体" w:hAnsi="宋体" w:cs="宋体"/>
          <w:color w:val="auto"/>
          <w:szCs w:val="21"/>
          <w:highlight w:val="none"/>
          <w:u w:val="single"/>
        </w:rPr>
      </w:pPr>
      <w:r>
        <w:rPr>
          <w:rFonts w:hint="eastAsia" w:ascii="宋体" w:hAnsi="宋体"/>
          <w:color w:val="auto"/>
          <w:sz w:val="24"/>
          <w:highlight w:val="none"/>
        </w:rPr>
        <w:t>供应商（电子签章）：</w:t>
      </w:r>
      <w:r>
        <w:rPr>
          <w:rFonts w:hint="eastAsia"/>
          <w:color w:val="auto"/>
          <w:highlight w:val="none"/>
          <w:u w:val="single"/>
        </w:rPr>
        <w:t xml:space="preserve">                               </w:t>
      </w:r>
      <w:r>
        <w:rPr>
          <w:rFonts w:hint="eastAsia"/>
          <w:color w:val="auto"/>
          <w:highlight w:val="none"/>
        </w:rPr>
        <w:t xml:space="preserve">       </w:t>
      </w:r>
      <w:r>
        <w:rPr>
          <w:rFonts w:hint="eastAsia" w:ascii="宋体" w:hAnsi="宋体" w:cs="宋体"/>
          <w:color w:val="auto"/>
          <w:szCs w:val="21"/>
          <w:highlight w:val="none"/>
        </w:rPr>
        <w:t xml:space="preserve">    </w:t>
      </w:r>
    </w:p>
    <w:p w14:paraId="59DCAA49">
      <w:pPr>
        <w:pStyle w:val="15"/>
        <w:tabs>
          <w:tab w:val="left" w:pos="939"/>
        </w:tabs>
        <w:spacing w:line="360" w:lineRule="auto"/>
        <w:ind w:left="0" w:leftChars="0" w:firstLine="420" w:firstLineChars="200"/>
        <w:rPr>
          <w:rFonts w:ascii="宋体" w:hAnsi="宋体"/>
          <w:color w:val="auto"/>
          <w:sz w:val="24"/>
          <w:highlight w:val="none"/>
        </w:rPr>
      </w:pPr>
      <w:r>
        <w:rPr>
          <w:rFonts w:hint="eastAsia" w:ascii="宋体" w:hAnsi="宋体" w:cs="宋体"/>
          <w:color w:val="auto"/>
          <w:szCs w:val="21"/>
          <w:highlight w:val="none"/>
        </w:rPr>
        <w:t xml:space="preserve">                                                   </w:t>
      </w:r>
      <w:r>
        <w:rPr>
          <w:rFonts w:hint="eastAsia" w:ascii="宋体" w:hAnsi="宋体"/>
          <w:color w:val="auto"/>
          <w:sz w:val="24"/>
          <w:highlight w:val="none"/>
        </w:rPr>
        <w:t xml:space="preserve">      年    月    日</w:t>
      </w:r>
    </w:p>
    <w:p w14:paraId="7F96669F">
      <w:pPr>
        <w:tabs>
          <w:tab w:val="left" w:pos="1674"/>
        </w:tabs>
        <w:jc w:val="left"/>
        <w:rPr>
          <w:color w:val="auto"/>
          <w:highlight w:val="none"/>
        </w:rPr>
      </w:pPr>
    </w:p>
    <w:p w14:paraId="2B8ABD97">
      <w:pPr>
        <w:tabs>
          <w:tab w:val="left" w:pos="1674"/>
        </w:tabs>
        <w:jc w:val="left"/>
        <w:rPr>
          <w:color w:val="auto"/>
          <w:highlight w:val="none"/>
        </w:rPr>
      </w:pPr>
    </w:p>
    <w:p w14:paraId="7F74F88A">
      <w:pPr>
        <w:tabs>
          <w:tab w:val="left" w:pos="1674"/>
        </w:tabs>
        <w:jc w:val="left"/>
        <w:rPr>
          <w:color w:val="auto"/>
          <w:highlight w:val="none"/>
        </w:rPr>
      </w:pPr>
    </w:p>
    <w:p w14:paraId="677DF1C3">
      <w:pPr>
        <w:tabs>
          <w:tab w:val="left" w:pos="1674"/>
        </w:tabs>
        <w:jc w:val="left"/>
        <w:rPr>
          <w:color w:val="auto"/>
          <w:highlight w:val="none"/>
        </w:rPr>
      </w:pPr>
    </w:p>
    <w:p w14:paraId="760ED171">
      <w:pPr>
        <w:tabs>
          <w:tab w:val="left" w:pos="1674"/>
        </w:tabs>
        <w:jc w:val="left"/>
        <w:rPr>
          <w:color w:val="auto"/>
          <w:highlight w:val="none"/>
        </w:rPr>
      </w:pPr>
    </w:p>
    <w:p w14:paraId="1C5B0758">
      <w:pPr>
        <w:tabs>
          <w:tab w:val="left" w:pos="1674"/>
        </w:tabs>
        <w:jc w:val="left"/>
        <w:rPr>
          <w:color w:val="auto"/>
          <w:highlight w:val="none"/>
        </w:rPr>
      </w:pPr>
    </w:p>
    <w:p w14:paraId="18DBE0C8">
      <w:pPr>
        <w:tabs>
          <w:tab w:val="left" w:pos="1674"/>
        </w:tabs>
        <w:jc w:val="left"/>
        <w:rPr>
          <w:color w:val="auto"/>
          <w:highlight w:val="none"/>
        </w:rPr>
      </w:pPr>
    </w:p>
    <w:p w14:paraId="2E6DEBD4">
      <w:pPr>
        <w:tabs>
          <w:tab w:val="left" w:pos="1674"/>
        </w:tabs>
        <w:jc w:val="left"/>
        <w:rPr>
          <w:color w:val="auto"/>
          <w:highlight w:val="none"/>
        </w:rPr>
      </w:pPr>
    </w:p>
    <w:p w14:paraId="339F7534">
      <w:pPr>
        <w:tabs>
          <w:tab w:val="left" w:pos="1674"/>
        </w:tabs>
        <w:jc w:val="left"/>
        <w:rPr>
          <w:color w:val="auto"/>
          <w:highlight w:val="none"/>
        </w:rPr>
      </w:pPr>
    </w:p>
    <w:p w14:paraId="20B9819F">
      <w:pPr>
        <w:tabs>
          <w:tab w:val="left" w:pos="1674"/>
        </w:tabs>
        <w:jc w:val="left"/>
        <w:rPr>
          <w:color w:val="auto"/>
          <w:highlight w:val="none"/>
        </w:rPr>
      </w:pPr>
    </w:p>
    <w:p w14:paraId="0E0FBFE5">
      <w:pPr>
        <w:tabs>
          <w:tab w:val="left" w:pos="1674"/>
        </w:tabs>
        <w:jc w:val="left"/>
        <w:rPr>
          <w:color w:val="auto"/>
          <w:highlight w:val="none"/>
        </w:rPr>
      </w:pPr>
    </w:p>
    <w:p w14:paraId="09405EBA">
      <w:pPr>
        <w:tabs>
          <w:tab w:val="left" w:pos="1674"/>
        </w:tabs>
        <w:jc w:val="left"/>
        <w:rPr>
          <w:color w:val="auto"/>
          <w:highlight w:val="none"/>
        </w:rPr>
      </w:pPr>
    </w:p>
    <w:p w14:paraId="428E6EDC">
      <w:pPr>
        <w:tabs>
          <w:tab w:val="left" w:pos="1674"/>
        </w:tabs>
        <w:jc w:val="left"/>
        <w:rPr>
          <w:color w:val="auto"/>
          <w:highlight w:val="none"/>
        </w:rPr>
      </w:pPr>
    </w:p>
    <w:p w14:paraId="42456697">
      <w:pPr>
        <w:tabs>
          <w:tab w:val="left" w:pos="1674"/>
        </w:tabs>
        <w:jc w:val="left"/>
        <w:rPr>
          <w:color w:val="auto"/>
          <w:highlight w:val="none"/>
        </w:rPr>
      </w:pPr>
    </w:p>
    <w:p w14:paraId="243F40E6">
      <w:pPr>
        <w:tabs>
          <w:tab w:val="left" w:pos="1674"/>
        </w:tabs>
        <w:jc w:val="left"/>
        <w:rPr>
          <w:color w:val="auto"/>
          <w:highlight w:val="none"/>
        </w:rPr>
      </w:pPr>
    </w:p>
    <w:p w14:paraId="62F5B241">
      <w:pPr>
        <w:tabs>
          <w:tab w:val="left" w:pos="1674"/>
        </w:tabs>
        <w:jc w:val="left"/>
        <w:rPr>
          <w:color w:val="auto"/>
          <w:highlight w:val="none"/>
        </w:rPr>
      </w:pPr>
    </w:p>
    <w:p w14:paraId="51A30A58">
      <w:pPr>
        <w:spacing w:line="360" w:lineRule="auto"/>
        <w:ind w:right="420"/>
        <w:contextualSpacing/>
        <w:jc w:val="left"/>
        <w:rPr>
          <w:rFonts w:ascii="宋体" w:hAnsi="宋体"/>
          <w:b/>
          <w:color w:val="auto"/>
          <w:sz w:val="32"/>
          <w:szCs w:val="32"/>
          <w:highlight w:val="none"/>
        </w:rPr>
      </w:pPr>
      <w:r>
        <w:rPr>
          <w:rFonts w:hint="eastAsia" w:ascii="宋体" w:hAnsi="宋体"/>
          <w:b/>
          <w:bCs/>
          <w:color w:val="auto"/>
          <w:sz w:val="32"/>
          <w:szCs w:val="32"/>
          <w:highlight w:val="none"/>
        </w:rPr>
        <w:t>二、</w:t>
      </w:r>
      <w:r>
        <w:rPr>
          <w:rFonts w:hint="eastAsia" w:ascii="宋体" w:hAnsi="宋体"/>
          <w:b/>
          <w:color w:val="auto"/>
          <w:sz w:val="32"/>
          <w:szCs w:val="32"/>
          <w:highlight w:val="none"/>
        </w:rPr>
        <w:t xml:space="preserve">报价文件格式 </w:t>
      </w:r>
    </w:p>
    <w:p w14:paraId="264C58C7">
      <w:pPr>
        <w:snapToGrid w:val="0"/>
        <w:spacing w:before="156"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1.报价文件封面格式</w:t>
      </w:r>
    </w:p>
    <w:p w14:paraId="7168B32D">
      <w:pPr>
        <w:snapToGrid w:val="0"/>
        <w:spacing w:before="156" w:beforeLines="50" w:after="50"/>
        <w:rPr>
          <w:rFonts w:ascii="宋体" w:hAnsi="宋体"/>
          <w:bCs/>
          <w:color w:val="auto"/>
          <w:sz w:val="32"/>
          <w:szCs w:val="20"/>
          <w:highlight w:val="none"/>
        </w:rPr>
      </w:pPr>
      <w:r>
        <w:rPr>
          <w:rFonts w:hint="eastAsia" w:ascii="宋体" w:hAnsi="宋体"/>
          <w:color w:val="auto"/>
          <w:sz w:val="24"/>
          <w:highlight w:val="none"/>
        </w:rPr>
        <w:t xml:space="preserve">                                                    </w:t>
      </w:r>
    </w:p>
    <w:p w14:paraId="0AF7FF3D">
      <w:pPr>
        <w:snapToGrid w:val="0"/>
        <w:spacing w:before="156" w:beforeLines="50" w:after="50"/>
        <w:jc w:val="center"/>
        <w:rPr>
          <w:rFonts w:ascii="宋体" w:hAnsi="宋体"/>
          <w:color w:val="auto"/>
          <w:sz w:val="24"/>
          <w:szCs w:val="20"/>
          <w:highlight w:val="none"/>
        </w:rPr>
      </w:pPr>
      <w:r>
        <w:rPr>
          <w:rFonts w:hint="eastAsia" w:ascii="宋体" w:hAnsi="宋体"/>
          <w:color w:val="auto"/>
          <w:sz w:val="44"/>
          <w:szCs w:val="44"/>
          <w:highlight w:val="none"/>
        </w:rPr>
        <w:t>电 子 响 应 文 件</w:t>
      </w:r>
    </w:p>
    <w:p w14:paraId="064B8770">
      <w:pPr>
        <w:snapToGrid w:val="0"/>
        <w:spacing w:before="156" w:beforeLines="50" w:after="50"/>
        <w:rPr>
          <w:rFonts w:ascii="宋体" w:hAnsi="宋体"/>
          <w:color w:val="auto"/>
          <w:sz w:val="24"/>
          <w:szCs w:val="20"/>
          <w:highlight w:val="none"/>
        </w:rPr>
      </w:pPr>
    </w:p>
    <w:p w14:paraId="428D58A2">
      <w:pPr>
        <w:snapToGrid w:val="0"/>
        <w:spacing w:before="156" w:beforeLines="50" w:after="50"/>
        <w:rPr>
          <w:rFonts w:ascii="宋体" w:hAnsi="宋体"/>
          <w:color w:val="auto"/>
          <w:sz w:val="24"/>
          <w:szCs w:val="20"/>
          <w:highlight w:val="none"/>
        </w:rPr>
      </w:pPr>
    </w:p>
    <w:p w14:paraId="538349BE">
      <w:pPr>
        <w:snapToGrid w:val="0"/>
        <w:spacing w:before="156" w:beforeLines="50" w:after="50"/>
        <w:jc w:val="center"/>
        <w:rPr>
          <w:rFonts w:ascii="宋体" w:hAnsi="宋体" w:cs="宋体"/>
          <w:bCs/>
          <w:color w:val="auto"/>
          <w:sz w:val="44"/>
          <w:szCs w:val="44"/>
          <w:highlight w:val="none"/>
        </w:rPr>
      </w:pPr>
      <w:r>
        <w:rPr>
          <w:rFonts w:hint="eastAsia" w:ascii="宋体" w:hAnsi="宋体" w:cs="宋体"/>
          <w:bCs/>
          <w:color w:val="auto"/>
          <w:sz w:val="44"/>
          <w:szCs w:val="44"/>
          <w:highlight w:val="none"/>
        </w:rPr>
        <w:t>报  价  文  件</w:t>
      </w:r>
    </w:p>
    <w:p w14:paraId="0A83BDBA">
      <w:pPr>
        <w:snapToGrid w:val="0"/>
        <w:spacing w:before="156" w:beforeLines="50" w:after="50"/>
        <w:rPr>
          <w:rFonts w:ascii="宋体" w:hAnsi="宋体"/>
          <w:bCs/>
          <w:color w:val="auto"/>
          <w:sz w:val="24"/>
          <w:szCs w:val="20"/>
          <w:highlight w:val="none"/>
        </w:rPr>
      </w:pPr>
    </w:p>
    <w:p w14:paraId="73D170BE">
      <w:pPr>
        <w:snapToGrid w:val="0"/>
        <w:spacing w:before="156" w:beforeLines="50" w:after="50"/>
        <w:rPr>
          <w:rFonts w:ascii="宋体" w:hAnsi="宋体"/>
          <w:bCs/>
          <w:color w:val="auto"/>
          <w:sz w:val="24"/>
          <w:szCs w:val="20"/>
          <w:highlight w:val="none"/>
        </w:rPr>
      </w:pPr>
    </w:p>
    <w:p w14:paraId="710013BB">
      <w:pPr>
        <w:snapToGrid w:val="0"/>
        <w:spacing w:before="156" w:beforeLines="50" w:after="50"/>
        <w:rPr>
          <w:rFonts w:ascii="宋体" w:hAnsi="宋体"/>
          <w:bCs/>
          <w:color w:val="auto"/>
          <w:sz w:val="24"/>
          <w:szCs w:val="20"/>
          <w:highlight w:val="none"/>
        </w:rPr>
      </w:pPr>
    </w:p>
    <w:p w14:paraId="310CE536">
      <w:pPr>
        <w:snapToGrid w:val="0"/>
        <w:spacing w:before="156" w:beforeLines="50" w:after="50"/>
        <w:rPr>
          <w:rFonts w:ascii="宋体" w:hAnsi="宋体"/>
          <w:bCs/>
          <w:color w:val="auto"/>
          <w:sz w:val="24"/>
          <w:szCs w:val="20"/>
          <w:highlight w:val="none"/>
        </w:rPr>
      </w:pPr>
    </w:p>
    <w:p w14:paraId="4786B864">
      <w:pPr>
        <w:snapToGrid w:val="0"/>
        <w:spacing w:before="156" w:beforeLines="50" w:after="50"/>
        <w:rPr>
          <w:rFonts w:ascii="宋体" w:hAnsi="宋体"/>
          <w:bCs/>
          <w:color w:val="auto"/>
          <w:sz w:val="24"/>
          <w:szCs w:val="20"/>
          <w:highlight w:val="none"/>
        </w:rPr>
      </w:pPr>
    </w:p>
    <w:p w14:paraId="1D981454">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3C07364F">
      <w:pPr>
        <w:snapToGrid w:val="0"/>
        <w:spacing w:before="156" w:beforeLines="50" w:after="50"/>
        <w:ind w:firstLine="720" w:firstLineChars="225"/>
        <w:rPr>
          <w:rFonts w:ascii="宋体" w:hAnsi="宋体" w:cs="仿宋_GB2312"/>
          <w:bCs/>
          <w:color w:val="auto"/>
          <w:sz w:val="32"/>
          <w:szCs w:val="32"/>
          <w:highlight w:val="none"/>
        </w:rPr>
      </w:pPr>
    </w:p>
    <w:p w14:paraId="01CBF35E">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60547D1C">
      <w:pPr>
        <w:snapToGrid w:val="0"/>
        <w:spacing w:before="156"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25E01EE8">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081F42BD">
      <w:pPr>
        <w:snapToGrid w:val="0"/>
        <w:spacing w:before="156" w:beforeLines="50" w:after="50"/>
        <w:ind w:firstLine="720" w:firstLineChars="225"/>
        <w:rPr>
          <w:rFonts w:ascii="宋体" w:hAnsi="宋体" w:cs="仿宋_GB2312"/>
          <w:bCs/>
          <w:color w:val="auto"/>
          <w:sz w:val="32"/>
          <w:szCs w:val="32"/>
          <w:highlight w:val="none"/>
        </w:rPr>
      </w:pPr>
    </w:p>
    <w:p w14:paraId="6FA6038A">
      <w:pPr>
        <w:pStyle w:val="6"/>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75B49424">
      <w:pPr>
        <w:pStyle w:val="6"/>
        <w:snapToGrid w:val="0"/>
        <w:spacing w:before="50" w:after="50"/>
        <w:ind w:firstLine="640" w:firstLineChars="200"/>
        <w:rPr>
          <w:rFonts w:ascii="宋体" w:hAnsi="宋体" w:cs="仿宋_GB2312"/>
          <w:bCs/>
          <w:color w:val="auto"/>
          <w:sz w:val="32"/>
          <w:szCs w:val="32"/>
          <w:highlight w:val="none"/>
        </w:rPr>
      </w:pPr>
    </w:p>
    <w:p w14:paraId="09ED4D3A">
      <w:pPr>
        <w:pStyle w:val="6"/>
        <w:snapToGrid w:val="0"/>
        <w:spacing w:before="50" w:after="50"/>
        <w:ind w:firstLine="720" w:firstLineChars="225"/>
        <w:rPr>
          <w:rFonts w:ascii="宋体" w:hAnsi="宋体" w:cs="仿宋_GB2312"/>
          <w:bCs/>
          <w:color w:val="auto"/>
          <w:sz w:val="32"/>
          <w:szCs w:val="32"/>
          <w:highlight w:val="none"/>
        </w:rPr>
      </w:pPr>
    </w:p>
    <w:p w14:paraId="475A96E2">
      <w:pPr>
        <w:pStyle w:val="6"/>
        <w:snapToGrid w:val="0"/>
        <w:spacing w:before="50" w:after="50"/>
        <w:ind w:firstLine="0"/>
        <w:rPr>
          <w:rFonts w:ascii="宋体" w:hAnsi="宋体" w:cs="仿宋_GB2312"/>
          <w:bCs/>
          <w:color w:val="auto"/>
          <w:sz w:val="32"/>
          <w:szCs w:val="32"/>
          <w:highlight w:val="none"/>
        </w:rPr>
      </w:pPr>
    </w:p>
    <w:p w14:paraId="33BCB41F">
      <w:pPr>
        <w:pStyle w:val="6"/>
        <w:snapToGrid w:val="0"/>
        <w:spacing w:before="50" w:after="50"/>
        <w:ind w:firstLine="1280" w:firstLineChars="400"/>
        <w:rPr>
          <w:rFonts w:ascii="宋体" w:hAnsi="宋体" w:cs="仿宋_GB2312"/>
          <w:bCs/>
          <w:color w:val="auto"/>
          <w:sz w:val="32"/>
          <w:szCs w:val="32"/>
          <w:highlight w:val="none"/>
        </w:rPr>
      </w:pPr>
    </w:p>
    <w:p w14:paraId="7D0161BF">
      <w:pPr>
        <w:snapToGrid w:val="0"/>
        <w:spacing w:before="156"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74E5FBDC">
      <w:pPr>
        <w:snapToGrid w:val="0"/>
        <w:spacing w:before="156" w:beforeLines="50" w:after="50" w:line="360" w:lineRule="auto"/>
        <w:ind w:left="142"/>
        <w:jc w:val="left"/>
        <w:rPr>
          <w:rFonts w:ascii="宋体" w:hAnsi="宋体"/>
          <w:b/>
          <w:bCs/>
          <w:color w:val="auto"/>
          <w:sz w:val="24"/>
          <w:highlight w:val="none"/>
        </w:rPr>
      </w:pPr>
      <w:r>
        <w:rPr>
          <w:rFonts w:hint="eastAsia" w:ascii="宋体" w:hAnsi="宋体"/>
          <w:color w:val="auto"/>
          <w:szCs w:val="21"/>
          <w:highlight w:val="none"/>
        </w:rPr>
        <w:br w:type="page"/>
      </w:r>
      <w:r>
        <w:rPr>
          <w:rFonts w:hint="eastAsia" w:ascii="宋体" w:hAnsi="宋体"/>
          <w:b/>
          <w:bCs/>
          <w:color w:val="auto"/>
          <w:sz w:val="32"/>
          <w:szCs w:val="32"/>
          <w:highlight w:val="none"/>
        </w:rPr>
        <w:t>2.报价文件目录</w:t>
      </w:r>
    </w:p>
    <w:p w14:paraId="54FB46D4">
      <w:pPr>
        <w:adjustRightInd w:val="0"/>
        <w:snapToGrid w:val="0"/>
        <w:spacing w:line="360" w:lineRule="auto"/>
        <w:jc w:val="left"/>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5531879C">
      <w:pPr>
        <w:adjustRightInd w:val="0"/>
        <w:snapToGrid w:val="0"/>
        <w:spacing w:line="360" w:lineRule="auto"/>
        <w:rPr>
          <w:rFonts w:ascii="宋体" w:hAnsi="宋体"/>
          <w:b/>
          <w:color w:val="auto"/>
          <w:sz w:val="32"/>
          <w:szCs w:val="32"/>
          <w:highlight w:val="none"/>
        </w:rPr>
      </w:pPr>
    </w:p>
    <w:p w14:paraId="185A1391">
      <w:pPr>
        <w:adjustRightInd w:val="0"/>
        <w:snapToGrid w:val="0"/>
        <w:spacing w:line="360" w:lineRule="auto"/>
        <w:rPr>
          <w:rFonts w:ascii="宋体" w:hAnsi="宋体"/>
          <w:b/>
          <w:color w:val="auto"/>
          <w:sz w:val="32"/>
          <w:szCs w:val="32"/>
          <w:highlight w:val="none"/>
        </w:rPr>
      </w:pPr>
    </w:p>
    <w:p w14:paraId="64E1369E">
      <w:pPr>
        <w:adjustRightInd w:val="0"/>
        <w:snapToGrid w:val="0"/>
        <w:spacing w:line="360" w:lineRule="auto"/>
        <w:rPr>
          <w:rFonts w:ascii="宋体" w:hAnsi="宋体"/>
          <w:b/>
          <w:color w:val="auto"/>
          <w:sz w:val="32"/>
          <w:szCs w:val="32"/>
          <w:highlight w:val="none"/>
        </w:rPr>
      </w:pPr>
    </w:p>
    <w:p w14:paraId="687058CF">
      <w:pPr>
        <w:adjustRightInd w:val="0"/>
        <w:snapToGrid w:val="0"/>
        <w:spacing w:line="360" w:lineRule="auto"/>
        <w:rPr>
          <w:rFonts w:ascii="宋体" w:hAnsi="宋体"/>
          <w:b/>
          <w:color w:val="auto"/>
          <w:sz w:val="32"/>
          <w:szCs w:val="32"/>
          <w:highlight w:val="none"/>
        </w:rPr>
      </w:pPr>
    </w:p>
    <w:p w14:paraId="7D1BB4D8">
      <w:pPr>
        <w:adjustRightInd w:val="0"/>
        <w:snapToGrid w:val="0"/>
        <w:spacing w:line="360" w:lineRule="auto"/>
        <w:rPr>
          <w:rFonts w:ascii="宋体" w:hAnsi="宋体"/>
          <w:b/>
          <w:color w:val="auto"/>
          <w:sz w:val="32"/>
          <w:szCs w:val="32"/>
          <w:highlight w:val="none"/>
        </w:rPr>
      </w:pPr>
    </w:p>
    <w:p w14:paraId="4CE4C24D">
      <w:pPr>
        <w:adjustRightInd w:val="0"/>
        <w:snapToGrid w:val="0"/>
        <w:spacing w:line="360" w:lineRule="auto"/>
        <w:rPr>
          <w:rFonts w:ascii="宋体" w:hAnsi="宋体"/>
          <w:b/>
          <w:color w:val="auto"/>
          <w:sz w:val="32"/>
          <w:szCs w:val="32"/>
          <w:highlight w:val="none"/>
        </w:rPr>
      </w:pPr>
    </w:p>
    <w:p w14:paraId="7F47FB2B">
      <w:pPr>
        <w:adjustRightInd w:val="0"/>
        <w:snapToGrid w:val="0"/>
        <w:spacing w:line="360" w:lineRule="auto"/>
        <w:rPr>
          <w:rFonts w:ascii="宋体" w:hAnsi="宋体"/>
          <w:b/>
          <w:color w:val="auto"/>
          <w:sz w:val="32"/>
          <w:szCs w:val="32"/>
          <w:highlight w:val="none"/>
        </w:rPr>
      </w:pPr>
    </w:p>
    <w:p w14:paraId="313D958A">
      <w:pPr>
        <w:adjustRightInd w:val="0"/>
        <w:snapToGrid w:val="0"/>
        <w:spacing w:line="360" w:lineRule="auto"/>
        <w:rPr>
          <w:rFonts w:ascii="宋体" w:hAnsi="宋体"/>
          <w:b/>
          <w:color w:val="auto"/>
          <w:sz w:val="32"/>
          <w:szCs w:val="32"/>
          <w:highlight w:val="none"/>
        </w:rPr>
      </w:pPr>
    </w:p>
    <w:p w14:paraId="4717519B">
      <w:pPr>
        <w:adjustRightInd w:val="0"/>
        <w:snapToGrid w:val="0"/>
        <w:spacing w:line="360" w:lineRule="auto"/>
        <w:rPr>
          <w:rFonts w:ascii="宋体" w:hAnsi="宋体"/>
          <w:b/>
          <w:color w:val="auto"/>
          <w:sz w:val="32"/>
          <w:szCs w:val="32"/>
          <w:highlight w:val="none"/>
        </w:rPr>
      </w:pPr>
    </w:p>
    <w:p w14:paraId="380B5C20">
      <w:pPr>
        <w:adjustRightInd w:val="0"/>
        <w:snapToGrid w:val="0"/>
        <w:spacing w:line="360" w:lineRule="auto"/>
        <w:rPr>
          <w:rFonts w:ascii="宋体" w:hAnsi="宋体"/>
          <w:b/>
          <w:color w:val="auto"/>
          <w:sz w:val="32"/>
          <w:szCs w:val="32"/>
          <w:highlight w:val="none"/>
        </w:rPr>
      </w:pPr>
    </w:p>
    <w:p w14:paraId="7707FEDD">
      <w:pPr>
        <w:adjustRightInd w:val="0"/>
        <w:snapToGrid w:val="0"/>
        <w:spacing w:line="360" w:lineRule="auto"/>
        <w:rPr>
          <w:rFonts w:ascii="宋体" w:hAnsi="宋体"/>
          <w:b/>
          <w:color w:val="auto"/>
          <w:sz w:val="32"/>
          <w:szCs w:val="32"/>
          <w:highlight w:val="none"/>
        </w:rPr>
      </w:pPr>
    </w:p>
    <w:p w14:paraId="6B7E30A8">
      <w:pPr>
        <w:adjustRightInd w:val="0"/>
        <w:snapToGrid w:val="0"/>
        <w:spacing w:line="360" w:lineRule="auto"/>
        <w:rPr>
          <w:rFonts w:ascii="宋体" w:hAnsi="宋体"/>
          <w:b/>
          <w:color w:val="auto"/>
          <w:sz w:val="32"/>
          <w:szCs w:val="32"/>
          <w:highlight w:val="none"/>
        </w:rPr>
      </w:pPr>
    </w:p>
    <w:p w14:paraId="5922B189">
      <w:pPr>
        <w:adjustRightInd w:val="0"/>
        <w:snapToGrid w:val="0"/>
        <w:spacing w:line="360" w:lineRule="auto"/>
        <w:rPr>
          <w:rFonts w:ascii="宋体" w:hAnsi="宋体"/>
          <w:b/>
          <w:color w:val="auto"/>
          <w:sz w:val="32"/>
          <w:szCs w:val="32"/>
          <w:highlight w:val="none"/>
        </w:rPr>
      </w:pPr>
    </w:p>
    <w:p w14:paraId="40875988">
      <w:pPr>
        <w:adjustRightInd w:val="0"/>
        <w:snapToGrid w:val="0"/>
        <w:spacing w:line="360" w:lineRule="auto"/>
        <w:rPr>
          <w:rFonts w:ascii="宋体" w:hAnsi="宋体"/>
          <w:b/>
          <w:color w:val="auto"/>
          <w:sz w:val="32"/>
          <w:szCs w:val="32"/>
          <w:highlight w:val="none"/>
        </w:rPr>
      </w:pPr>
    </w:p>
    <w:p w14:paraId="598AB11F">
      <w:pPr>
        <w:adjustRightInd w:val="0"/>
        <w:snapToGrid w:val="0"/>
        <w:spacing w:line="360" w:lineRule="auto"/>
        <w:rPr>
          <w:rFonts w:ascii="宋体" w:hAnsi="宋体"/>
          <w:b/>
          <w:color w:val="auto"/>
          <w:sz w:val="32"/>
          <w:szCs w:val="32"/>
          <w:highlight w:val="none"/>
        </w:rPr>
      </w:pPr>
    </w:p>
    <w:p w14:paraId="41A827C9">
      <w:pPr>
        <w:adjustRightInd w:val="0"/>
        <w:snapToGrid w:val="0"/>
        <w:spacing w:line="360" w:lineRule="auto"/>
        <w:rPr>
          <w:rFonts w:ascii="宋体" w:hAnsi="宋体"/>
          <w:b/>
          <w:color w:val="auto"/>
          <w:sz w:val="32"/>
          <w:szCs w:val="32"/>
          <w:highlight w:val="none"/>
        </w:rPr>
      </w:pPr>
    </w:p>
    <w:p w14:paraId="7CB225C9">
      <w:pPr>
        <w:adjustRightInd w:val="0"/>
        <w:snapToGrid w:val="0"/>
        <w:spacing w:line="360" w:lineRule="auto"/>
        <w:rPr>
          <w:rFonts w:ascii="宋体" w:hAnsi="宋体"/>
          <w:b/>
          <w:color w:val="auto"/>
          <w:sz w:val="32"/>
          <w:szCs w:val="32"/>
          <w:highlight w:val="none"/>
        </w:rPr>
      </w:pPr>
    </w:p>
    <w:p w14:paraId="273C0342">
      <w:pPr>
        <w:adjustRightInd w:val="0"/>
        <w:snapToGrid w:val="0"/>
        <w:spacing w:line="360" w:lineRule="auto"/>
        <w:rPr>
          <w:rFonts w:ascii="宋体" w:hAnsi="宋体"/>
          <w:b/>
          <w:color w:val="auto"/>
          <w:sz w:val="32"/>
          <w:szCs w:val="32"/>
          <w:highlight w:val="none"/>
        </w:rPr>
      </w:pPr>
    </w:p>
    <w:p w14:paraId="52F8AE0B">
      <w:pPr>
        <w:adjustRightInd w:val="0"/>
        <w:snapToGrid w:val="0"/>
        <w:spacing w:line="360" w:lineRule="auto"/>
        <w:rPr>
          <w:rFonts w:ascii="宋体" w:hAnsi="宋体"/>
          <w:b/>
          <w:color w:val="auto"/>
          <w:sz w:val="32"/>
          <w:szCs w:val="32"/>
          <w:highlight w:val="none"/>
        </w:rPr>
      </w:pPr>
    </w:p>
    <w:p w14:paraId="4E94E14D">
      <w:pPr>
        <w:adjustRightInd w:val="0"/>
        <w:snapToGrid w:val="0"/>
        <w:spacing w:line="360" w:lineRule="auto"/>
        <w:rPr>
          <w:rFonts w:ascii="宋体" w:hAnsi="宋体"/>
          <w:b/>
          <w:color w:val="auto"/>
          <w:sz w:val="32"/>
          <w:szCs w:val="32"/>
          <w:highlight w:val="none"/>
        </w:rPr>
      </w:pPr>
      <w:r>
        <w:rPr>
          <w:rFonts w:hint="eastAsia" w:ascii="宋体" w:hAnsi="宋体"/>
          <w:b/>
          <w:color w:val="auto"/>
          <w:sz w:val="32"/>
          <w:szCs w:val="32"/>
          <w:highlight w:val="none"/>
        </w:rPr>
        <w:t>响应函</w:t>
      </w:r>
    </w:p>
    <w:p w14:paraId="5058CB56">
      <w:pPr>
        <w:spacing w:line="500" w:lineRule="exact"/>
        <w:jc w:val="center"/>
        <w:rPr>
          <w:b/>
          <w:bCs/>
          <w:color w:val="auto"/>
          <w:kern w:val="0"/>
          <w:sz w:val="30"/>
          <w:szCs w:val="30"/>
          <w:highlight w:val="none"/>
        </w:rPr>
      </w:pPr>
      <w:r>
        <w:rPr>
          <w:b/>
          <w:bCs/>
          <w:color w:val="auto"/>
          <w:kern w:val="0"/>
          <w:sz w:val="30"/>
          <w:szCs w:val="30"/>
          <w:highlight w:val="none"/>
        </w:rPr>
        <w:t>响应函</w:t>
      </w:r>
    </w:p>
    <w:p w14:paraId="3E521F0C">
      <w:pPr>
        <w:spacing w:line="500" w:lineRule="exact"/>
        <w:rPr>
          <w:color w:val="auto"/>
          <w:kern w:val="0"/>
          <w:sz w:val="32"/>
          <w:szCs w:val="21"/>
          <w:highlight w:val="none"/>
        </w:rPr>
      </w:pPr>
    </w:p>
    <w:p w14:paraId="11AD8292">
      <w:pPr>
        <w:adjustRightInd w:val="0"/>
        <w:snapToGrid w:val="0"/>
        <w:spacing w:line="360" w:lineRule="auto"/>
        <w:rPr>
          <w:color w:val="auto"/>
          <w:kern w:val="0"/>
          <w:szCs w:val="21"/>
          <w:highlight w:val="none"/>
        </w:rPr>
      </w:pPr>
      <w:r>
        <w:rPr>
          <w:color w:val="auto"/>
          <w:kern w:val="0"/>
          <w:szCs w:val="21"/>
          <w:highlight w:val="none"/>
        </w:rPr>
        <w:t>致：</w:t>
      </w:r>
      <w:r>
        <w:rPr>
          <w:color w:val="auto"/>
          <w:kern w:val="0"/>
          <w:szCs w:val="21"/>
          <w:highlight w:val="none"/>
          <w:u w:val="single"/>
        </w:rPr>
        <w:t xml:space="preserve">                      </w:t>
      </w:r>
      <w:r>
        <w:rPr>
          <w:color w:val="auto"/>
          <w:kern w:val="0"/>
          <w:szCs w:val="21"/>
          <w:highlight w:val="none"/>
        </w:rPr>
        <w:t>（采购代理机构名称）</w:t>
      </w:r>
    </w:p>
    <w:p w14:paraId="24015D5D">
      <w:pPr>
        <w:adjustRightInd w:val="0"/>
        <w:snapToGrid w:val="0"/>
        <w:spacing w:line="360" w:lineRule="auto"/>
        <w:ind w:firstLine="420" w:firstLineChars="200"/>
        <w:rPr>
          <w:color w:val="auto"/>
          <w:kern w:val="0"/>
          <w:szCs w:val="21"/>
          <w:highlight w:val="none"/>
        </w:rPr>
      </w:pPr>
    </w:p>
    <w:p w14:paraId="66E61A6C">
      <w:pPr>
        <w:adjustRightInd w:val="0"/>
        <w:snapToGrid w:val="0"/>
        <w:spacing w:line="360" w:lineRule="auto"/>
        <w:ind w:firstLine="420" w:firstLineChars="200"/>
        <w:rPr>
          <w:color w:val="auto"/>
          <w:kern w:val="0"/>
          <w:szCs w:val="21"/>
          <w:highlight w:val="none"/>
        </w:rPr>
      </w:pPr>
      <w:r>
        <w:rPr>
          <w:rFonts w:ascii="宋体" w:hAnsi="宋体"/>
          <w:color w:val="auto"/>
          <w:kern w:val="0"/>
          <w:szCs w:val="21"/>
          <w:highlight w:val="none"/>
        </w:rPr>
        <w:t>我方已仔细阅读了贵方组织的</w:t>
      </w:r>
      <w:r>
        <w:rPr>
          <w:rFonts w:ascii="宋体" w:hAnsi="宋体"/>
          <w:color w:val="auto"/>
          <w:kern w:val="0"/>
          <w:szCs w:val="21"/>
          <w:highlight w:val="none"/>
          <w:u w:val="single"/>
        </w:rPr>
        <w:t xml:space="preserve">                </w:t>
      </w:r>
      <w:r>
        <w:rPr>
          <w:rFonts w:ascii="宋体" w:hAnsi="宋体"/>
          <w:color w:val="auto"/>
          <w:kern w:val="0"/>
          <w:szCs w:val="21"/>
          <w:highlight w:val="none"/>
        </w:rPr>
        <w:t>项目（项目编号：</w:t>
      </w:r>
      <w:r>
        <w:rPr>
          <w:rFonts w:ascii="宋体" w:hAnsi="宋体"/>
          <w:color w:val="auto"/>
          <w:kern w:val="0"/>
          <w:szCs w:val="21"/>
          <w:highlight w:val="none"/>
          <w:u w:val="single"/>
        </w:rPr>
        <w:t xml:space="preserve">             </w:t>
      </w:r>
      <w:r>
        <w:rPr>
          <w:rFonts w:ascii="宋体" w:hAnsi="宋体"/>
          <w:color w:val="auto"/>
          <w:kern w:val="0"/>
          <w:szCs w:val="21"/>
          <w:highlight w:val="none"/>
        </w:rPr>
        <w:t xml:space="preserve">）的竞争性磋商采购文件的全部内容，现正式递交下述文件参加贵方组织的本次政府采购活动： </w:t>
      </w:r>
    </w:p>
    <w:p w14:paraId="64C102DE">
      <w:pPr>
        <w:adjustRightInd w:val="0"/>
        <w:snapToGrid w:val="0"/>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资格证明</w:t>
      </w:r>
      <w:r>
        <w:rPr>
          <w:rFonts w:ascii="宋体" w:hAnsi="宋体"/>
          <w:color w:val="auto"/>
          <w:kern w:val="0"/>
          <w:szCs w:val="21"/>
          <w:highlight w:val="none"/>
        </w:rPr>
        <w:t>文件电子版</w:t>
      </w:r>
      <w:r>
        <w:rPr>
          <w:rFonts w:ascii="宋体" w:hAnsi="宋体"/>
          <w:color w:val="auto"/>
          <w:kern w:val="0"/>
          <w:szCs w:val="21"/>
          <w:highlight w:val="none"/>
          <w:u w:val="single"/>
        </w:rPr>
        <w:t xml:space="preserve">   </w:t>
      </w:r>
      <w:r>
        <w:rPr>
          <w:rFonts w:ascii="宋体" w:hAnsi="宋体"/>
          <w:color w:val="auto"/>
          <w:kern w:val="0"/>
          <w:szCs w:val="21"/>
          <w:highlight w:val="none"/>
        </w:rPr>
        <w:t>份（包含按“第</w:t>
      </w:r>
      <w:r>
        <w:rPr>
          <w:rFonts w:hint="eastAsia" w:ascii="宋体" w:hAnsi="宋体"/>
          <w:color w:val="auto"/>
          <w:kern w:val="0"/>
          <w:szCs w:val="21"/>
          <w:highlight w:val="none"/>
        </w:rPr>
        <w:t>二</w:t>
      </w:r>
      <w:r>
        <w:rPr>
          <w:rFonts w:ascii="宋体" w:hAnsi="宋体"/>
          <w:color w:val="auto"/>
          <w:kern w:val="0"/>
          <w:szCs w:val="21"/>
          <w:highlight w:val="none"/>
        </w:rPr>
        <w:t>章 供应商须知”提交的全部文件）；</w:t>
      </w:r>
    </w:p>
    <w:p w14:paraId="531E8766">
      <w:pPr>
        <w:adjustRightInd w:val="0"/>
        <w:snapToGrid w:val="0"/>
        <w:spacing w:line="360" w:lineRule="auto"/>
        <w:ind w:firstLine="420" w:firstLineChars="200"/>
        <w:rPr>
          <w:color w:val="auto"/>
          <w:kern w:val="0"/>
          <w:szCs w:val="21"/>
          <w:highlight w:val="none"/>
        </w:rPr>
      </w:pPr>
      <w:r>
        <w:rPr>
          <w:rFonts w:ascii="宋体" w:hAnsi="宋体"/>
          <w:color w:val="auto"/>
          <w:kern w:val="0"/>
          <w:szCs w:val="21"/>
          <w:highlight w:val="none"/>
        </w:rPr>
        <w:t>商务文件电子版</w:t>
      </w:r>
      <w:r>
        <w:rPr>
          <w:rFonts w:ascii="宋体" w:hAnsi="宋体"/>
          <w:color w:val="auto"/>
          <w:kern w:val="0"/>
          <w:szCs w:val="21"/>
          <w:highlight w:val="none"/>
          <w:u w:val="single"/>
        </w:rPr>
        <w:t xml:space="preserve">   </w:t>
      </w:r>
      <w:r>
        <w:rPr>
          <w:rFonts w:ascii="宋体" w:hAnsi="宋体"/>
          <w:color w:val="auto"/>
          <w:kern w:val="0"/>
          <w:szCs w:val="21"/>
          <w:highlight w:val="none"/>
        </w:rPr>
        <w:t>份（包含按“第</w:t>
      </w:r>
      <w:r>
        <w:rPr>
          <w:rFonts w:hint="eastAsia" w:ascii="宋体" w:hAnsi="宋体"/>
          <w:color w:val="auto"/>
          <w:kern w:val="0"/>
          <w:szCs w:val="21"/>
          <w:highlight w:val="none"/>
        </w:rPr>
        <w:t>二</w:t>
      </w:r>
      <w:r>
        <w:rPr>
          <w:rFonts w:ascii="宋体" w:hAnsi="宋体"/>
          <w:color w:val="auto"/>
          <w:kern w:val="0"/>
          <w:szCs w:val="21"/>
          <w:highlight w:val="none"/>
        </w:rPr>
        <w:t>章 供应商须知”提交的全部文件）；</w:t>
      </w:r>
    </w:p>
    <w:p w14:paraId="58A07C3F">
      <w:pPr>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技术文件电子版</w:t>
      </w:r>
      <w:r>
        <w:rPr>
          <w:rFonts w:ascii="宋体" w:hAnsi="宋体"/>
          <w:color w:val="auto"/>
          <w:kern w:val="0"/>
          <w:szCs w:val="21"/>
          <w:highlight w:val="none"/>
          <w:u w:val="single"/>
        </w:rPr>
        <w:t xml:space="preserve">   </w:t>
      </w:r>
      <w:r>
        <w:rPr>
          <w:rFonts w:ascii="宋体" w:hAnsi="宋体"/>
          <w:color w:val="auto"/>
          <w:kern w:val="0"/>
          <w:szCs w:val="21"/>
          <w:highlight w:val="none"/>
        </w:rPr>
        <w:t>份（包含按“第</w:t>
      </w:r>
      <w:r>
        <w:rPr>
          <w:rFonts w:hint="eastAsia" w:ascii="宋体" w:hAnsi="宋体"/>
          <w:color w:val="auto"/>
          <w:kern w:val="0"/>
          <w:szCs w:val="21"/>
          <w:highlight w:val="none"/>
        </w:rPr>
        <w:t>二</w:t>
      </w:r>
      <w:r>
        <w:rPr>
          <w:rFonts w:ascii="宋体" w:hAnsi="宋体"/>
          <w:color w:val="auto"/>
          <w:kern w:val="0"/>
          <w:szCs w:val="21"/>
          <w:highlight w:val="none"/>
        </w:rPr>
        <w:t>章 供应商须知”提交的全部文件）；</w:t>
      </w:r>
    </w:p>
    <w:p w14:paraId="4251BE43">
      <w:pPr>
        <w:adjustRightInd w:val="0"/>
        <w:snapToGrid w:val="0"/>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首次报价文件电子版</w:t>
      </w:r>
      <w:r>
        <w:rPr>
          <w:rFonts w:ascii="宋体" w:hAnsi="宋体"/>
          <w:color w:val="auto"/>
          <w:kern w:val="0"/>
          <w:szCs w:val="21"/>
          <w:highlight w:val="none"/>
          <w:u w:val="single"/>
        </w:rPr>
        <w:t xml:space="preserve">   </w:t>
      </w:r>
      <w:r>
        <w:rPr>
          <w:rFonts w:ascii="宋体" w:hAnsi="宋体"/>
          <w:color w:val="auto"/>
          <w:kern w:val="0"/>
          <w:szCs w:val="21"/>
          <w:highlight w:val="none"/>
        </w:rPr>
        <w:t>份（包含按“第</w:t>
      </w:r>
      <w:r>
        <w:rPr>
          <w:rFonts w:hint="eastAsia" w:ascii="宋体" w:hAnsi="宋体"/>
          <w:color w:val="auto"/>
          <w:kern w:val="0"/>
          <w:szCs w:val="21"/>
          <w:highlight w:val="none"/>
        </w:rPr>
        <w:t>二</w:t>
      </w:r>
      <w:r>
        <w:rPr>
          <w:rFonts w:ascii="宋体" w:hAnsi="宋体"/>
          <w:color w:val="auto"/>
          <w:kern w:val="0"/>
          <w:szCs w:val="21"/>
          <w:highlight w:val="none"/>
        </w:rPr>
        <w:t>章 供应商须知”提交的全部文件）；</w:t>
      </w:r>
    </w:p>
    <w:p w14:paraId="6D4CC9E1">
      <w:pPr>
        <w:adjustRightInd w:val="0"/>
        <w:snapToGrid w:val="0"/>
        <w:spacing w:line="360" w:lineRule="auto"/>
        <w:ind w:firstLine="420" w:firstLineChars="200"/>
        <w:rPr>
          <w:color w:val="auto"/>
          <w:kern w:val="0"/>
          <w:szCs w:val="21"/>
          <w:highlight w:val="none"/>
        </w:rPr>
      </w:pPr>
      <w:r>
        <w:rPr>
          <w:rFonts w:ascii="宋体" w:hAnsi="宋体"/>
          <w:color w:val="auto"/>
          <w:kern w:val="0"/>
          <w:szCs w:val="21"/>
          <w:highlight w:val="none"/>
        </w:rPr>
        <w:t>据此函，签字人兹宣布：</w:t>
      </w:r>
    </w:p>
    <w:p w14:paraId="0EC24636">
      <w:pPr>
        <w:adjustRightInd w:val="0"/>
        <w:snapToGrid w:val="0"/>
        <w:spacing w:line="360" w:lineRule="auto"/>
        <w:ind w:firstLine="482"/>
        <w:rPr>
          <w:color w:val="auto"/>
          <w:kern w:val="0"/>
          <w:szCs w:val="21"/>
          <w:highlight w:val="none"/>
        </w:rPr>
      </w:pPr>
      <w:r>
        <w:rPr>
          <w:rFonts w:ascii="宋体" w:hAnsi="宋体"/>
          <w:color w:val="auto"/>
          <w:kern w:val="0"/>
          <w:szCs w:val="21"/>
          <w:highlight w:val="none"/>
        </w:rPr>
        <w:t>1、我方愿意以（大写）人民币</w:t>
      </w:r>
      <w:r>
        <w:rPr>
          <w:rFonts w:ascii="宋体" w:hAnsi="宋体"/>
          <w:color w:val="auto"/>
          <w:kern w:val="0"/>
          <w:szCs w:val="21"/>
          <w:highlight w:val="none"/>
          <w:u w:val="single"/>
        </w:rPr>
        <w:t xml:space="preserve">              </w:t>
      </w:r>
      <w:r>
        <w:rPr>
          <w:rFonts w:ascii="宋体" w:hAnsi="宋体"/>
          <w:color w:val="auto"/>
          <w:kern w:val="0"/>
          <w:szCs w:val="21"/>
          <w:highlight w:val="none"/>
        </w:rPr>
        <w:t>（</w:t>
      </w:r>
      <w:r>
        <w:rPr>
          <w:rFonts w:hint="eastAsia" w:ascii="宋体" w:hAnsi="宋体"/>
          <w:color w:val="auto"/>
          <w:kern w:val="0"/>
          <w:szCs w:val="21"/>
          <w:highlight w:val="none"/>
        </w:rPr>
        <w:t>¥</w:t>
      </w:r>
      <w:r>
        <w:rPr>
          <w:rFonts w:ascii="宋体" w:hAnsi="宋体"/>
          <w:color w:val="auto"/>
          <w:kern w:val="0"/>
          <w:szCs w:val="21"/>
          <w:highlight w:val="none"/>
          <w:u w:val="single"/>
        </w:rPr>
        <w:t xml:space="preserve">          </w:t>
      </w:r>
      <w:r>
        <w:rPr>
          <w:rFonts w:ascii="宋体" w:hAnsi="宋体"/>
          <w:color w:val="auto"/>
          <w:kern w:val="0"/>
          <w:szCs w:val="21"/>
          <w:highlight w:val="none"/>
        </w:rPr>
        <w:t>元</w:t>
      </w:r>
      <w:r>
        <w:rPr>
          <w:rFonts w:hint="eastAsia" w:ascii="宋体" w:hAnsi="宋体"/>
          <w:color w:val="auto"/>
          <w:kern w:val="0"/>
          <w:szCs w:val="21"/>
          <w:highlight w:val="none"/>
        </w:rPr>
        <w:t>）</w:t>
      </w:r>
      <w:r>
        <w:rPr>
          <w:rFonts w:ascii="宋体" w:hAnsi="宋体"/>
          <w:color w:val="auto"/>
          <w:kern w:val="0"/>
          <w:szCs w:val="21"/>
          <w:highlight w:val="none"/>
        </w:rPr>
        <w:t>的竞标总报价，</w:t>
      </w:r>
      <w:r>
        <w:rPr>
          <w:rFonts w:hint="eastAsia" w:ascii="宋体" w:hAnsi="宋体"/>
          <w:color w:val="auto"/>
          <w:kern w:val="0"/>
          <w:szCs w:val="21"/>
          <w:highlight w:val="none"/>
        </w:rPr>
        <w:t>合同履行期限</w:t>
      </w:r>
      <w:r>
        <w:rPr>
          <w:rFonts w:ascii="宋体" w:hAnsi="宋体"/>
          <w:color w:val="auto"/>
          <w:kern w:val="0"/>
          <w:szCs w:val="21"/>
          <w:highlight w:val="none"/>
        </w:rPr>
        <w:t>（无分标时填写）：</w:t>
      </w:r>
      <w:r>
        <w:rPr>
          <w:rFonts w:ascii="宋体" w:hAnsi="宋体"/>
          <w:color w:val="auto"/>
          <w:kern w:val="0"/>
          <w:szCs w:val="21"/>
          <w:highlight w:val="none"/>
          <w:u w:val="single"/>
        </w:rPr>
        <w:t xml:space="preserve">            </w:t>
      </w:r>
      <w:r>
        <w:rPr>
          <w:rFonts w:ascii="宋体" w:hAnsi="宋体"/>
          <w:color w:val="auto"/>
          <w:kern w:val="0"/>
          <w:szCs w:val="21"/>
          <w:highlight w:val="none"/>
        </w:rPr>
        <w:t>，提供本项目竞争性磋商采购文件第</w:t>
      </w:r>
      <w:r>
        <w:rPr>
          <w:rFonts w:hint="eastAsia" w:ascii="宋体" w:hAnsi="宋体"/>
          <w:color w:val="auto"/>
          <w:kern w:val="0"/>
          <w:szCs w:val="21"/>
          <w:highlight w:val="none"/>
        </w:rPr>
        <w:t>三</w:t>
      </w:r>
      <w:r>
        <w:rPr>
          <w:rFonts w:ascii="宋体" w:hAnsi="宋体"/>
          <w:color w:val="auto"/>
          <w:kern w:val="0"/>
          <w:szCs w:val="21"/>
          <w:highlight w:val="none"/>
        </w:rPr>
        <w:t>章“</w:t>
      </w:r>
      <w:r>
        <w:rPr>
          <w:rFonts w:hint="eastAsia" w:ascii="宋体" w:hAnsi="宋体"/>
          <w:color w:val="auto"/>
          <w:kern w:val="0"/>
          <w:szCs w:val="21"/>
          <w:highlight w:val="none"/>
        </w:rPr>
        <w:t>采购需求</w:t>
      </w:r>
      <w:r>
        <w:rPr>
          <w:rFonts w:ascii="宋体" w:hAnsi="宋体"/>
          <w:color w:val="auto"/>
          <w:kern w:val="0"/>
          <w:szCs w:val="21"/>
          <w:highlight w:val="none"/>
        </w:rPr>
        <w:t>”中相应的采购内容。</w:t>
      </w:r>
    </w:p>
    <w:p w14:paraId="3B20E159">
      <w:pPr>
        <w:adjustRightInd w:val="0"/>
        <w:snapToGrid w:val="0"/>
        <w:spacing w:line="360" w:lineRule="auto"/>
        <w:ind w:firstLine="482"/>
        <w:rPr>
          <w:color w:val="auto"/>
          <w:kern w:val="0"/>
          <w:szCs w:val="21"/>
          <w:highlight w:val="none"/>
        </w:rPr>
      </w:pPr>
      <w:r>
        <w:rPr>
          <w:rFonts w:ascii="宋体" w:hAnsi="宋体"/>
          <w:color w:val="auto"/>
          <w:kern w:val="0"/>
          <w:szCs w:val="21"/>
          <w:highlight w:val="none"/>
        </w:rPr>
        <w:t>其中（有分标时填写）：</w:t>
      </w:r>
    </w:p>
    <w:p w14:paraId="2A0176BD">
      <w:pPr>
        <w:adjustRightInd w:val="0"/>
        <w:snapToGrid w:val="0"/>
        <w:spacing w:line="360" w:lineRule="auto"/>
        <w:ind w:firstLine="482"/>
        <w:rPr>
          <w:rFonts w:ascii="宋体" w:hAnsi="宋体"/>
          <w:color w:val="auto"/>
          <w:kern w:val="0"/>
          <w:szCs w:val="21"/>
          <w:highlight w:val="none"/>
        </w:rPr>
      </w:pPr>
      <w:r>
        <w:rPr>
          <w:rFonts w:ascii="宋体" w:hAnsi="宋体"/>
          <w:color w:val="auto"/>
          <w:kern w:val="0"/>
          <w:szCs w:val="21"/>
          <w:highlight w:val="none"/>
        </w:rPr>
        <w:t>分标</w:t>
      </w:r>
      <w:r>
        <w:rPr>
          <w:rFonts w:ascii="宋体" w:hAnsi="宋体"/>
          <w:color w:val="auto"/>
          <w:kern w:val="0"/>
          <w:szCs w:val="21"/>
          <w:highlight w:val="none"/>
          <w:u w:val="single"/>
        </w:rPr>
        <w:t xml:space="preserve">    </w:t>
      </w:r>
      <w:r>
        <w:rPr>
          <w:rFonts w:ascii="宋体" w:hAnsi="宋体"/>
          <w:color w:val="auto"/>
          <w:kern w:val="0"/>
          <w:szCs w:val="21"/>
          <w:highlight w:val="none"/>
        </w:rPr>
        <w:t>报价为（大写）人民币</w:t>
      </w:r>
      <w:r>
        <w:rPr>
          <w:rFonts w:ascii="宋体" w:hAnsi="宋体"/>
          <w:color w:val="auto"/>
          <w:kern w:val="0"/>
          <w:szCs w:val="21"/>
          <w:highlight w:val="none"/>
          <w:u w:val="single"/>
        </w:rPr>
        <w:t xml:space="preserve">               </w:t>
      </w:r>
      <w:r>
        <w:rPr>
          <w:rFonts w:ascii="宋体" w:hAnsi="宋体"/>
          <w:color w:val="auto"/>
          <w:kern w:val="0"/>
          <w:szCs w:val="21"/>
          <w:highlight w:val="none"/>
        </w:rPr>
        <w:t xml:space="preserve"> </w:t>
      </w:r>
      <w:r>
        <w:rPr>
          <w:rFonts w:hint="eastAsia" w:ascii="宋体" w:hAnsi="宋体"/>
          <w:color w:val="auto"/>
          <w:kern w:val="0"/>
          <w:szCs w:val="21"/>
          <w:highlight w:val="none"/>
        </w:rPr>
        <w:t>（¥</w:t>
      </w:r>
      <w:r>
        <w:rPr>
          <w:rFonts w:ascii="宋体" w:hAnsi="宋体"/>
          <w:color w:val="auto"/>
          <w:kern w:val="0"/>
          <w:szCs w:val="21"/>
          <w:highlight w:val="none"/>
          <w:u w:val="single"/>
        </w:rPr>
        <w:t xml:space="preserve">           </w:t>
      </w:r>
      <w:r>
        <w:rPr>
          <w:rFonts w:ascii="宋体" w:hAnsi="宋体"/>
          <w:color w:val="auto"/>
          <w:kern w:val="0"/>
          <w:szCs w:val="21"/>
          <w:highlight w:val="none"/>
        </w:rPr>
        <w:t>元</w:t>
      </w:r>
      <w:r>
        <w:rPr>
          <w:rFonts w:hint="eastAsia" w:ascii="宋体" w:hAnsi="宋体"/>
          <w:color w:val="auto"/>
          <w:kern w:val="0"/>
          <w:szCs w:val="21"/>
          <w:highlight w:val="none"/>
        </w:rPr>
        <w:t>）</w:t>
      </w:r>
      <w:r>
        <w:rPr>
          <w:rFonts w:ascii="宋体" w:hAnsi="宋体"/>
          <w:color w:val="auto"/>
          <w:kern w:val="0"/>
          <w:szCs w:val="21"/>
          <w:highlight w:val="none"/>
        </w:rPr>
        <w:t>，</w:t>
      </w:r>
      <w:r>
        <w:rPr>
          <w:rFonts w:hint="eastAsia" w:ascii="宋体" w:hAnsi="宋体"/>
          <w:color w:val="auto"/>
          <w:kern w:val="0"/>
          <w:szCs w:val="21"/>
          <w:highlight w:val="none"/>
        </w:rPr>
        <w:t>合同履行期限</w:t>
      </w:r>
      <w:r>
        <w:rPr>
          <w:rFonts w:ascii="宋体" w:hAnsi="宋体"/>
          <w:color w:val="auto"/>
          <w:kern w:val="0"/>
          <w:szCs w:val="21"/>
          <w:highlight w:val="none"/>
        </w:rPr>
        <w:t>：</w:t>
      </w:r>
      <w:r>
        <w:rPr>
          <w:rFonts w:ascii="宋体" w:hAnsi="宋体"/>
          <w:color w:val="auto"/>
          <w:kern w:val="0"/>
          <w:szCs w:val="21"/>
          <w:highlight w:val="none"/>
          <w:u w:val="single"/>
        </w:rPr>
        <w:t xml:space="preserve">          </w:t>
      </w:r>
      <w:r>
        <w:rPr>
          <w:rFonts w:ascii="宋体" w:hAnsi="宋体"/>
          <w:color w:val="auto"/>
          <w:kern w:val="0"/>
          <w:szCs w:val="21"/>
          <w:highlight w:val="none"/>
        </w:rPr>
        <w:t>；</w:t>
      </w:r>
    </w:p>
    <w:p w14:paraId="071A8B4D">
      <w:pPr>
        <w:adjustRightInd w:val="0"/>
        <w:snapToGrid w:val="0"/>
        <w:spacing w:line="360" w:lineRule="auto"/>
        <w:ind w:firstLine="482"/>
        <w:rPr>
          <w:rFonts w:ascii="宋体" w:hAnsi="宋体"/>
          <w:color w:val="auto"/>
          <w:kern w:val="0"/>
          <w:szCs w:val="21"/>
          <w:highlight w:val="none"/>
        </w:rPr>
      </w:pPr>
      <w:r>
        <w:rPr>
          <w:rFonts w:hint="eastAsia" w:ascii="宋体" w:hAnsi="宋体"/>
          <w:color w:val="auto"/>
          <w:kern w:val="0"/>
          <w:szCs w:val="21"/>
          <w:highlight w:val="none"/>
        </w:rPr>
        <w:t>......</w:t>
      </w:r>
    </w:p>
    <w:p w14:paraId="4CCB07B6">
      <w:pPr>
        <w:adjustRightInd w:val="0"/>
        <w:snapToGrid w:val="0"/>
        <w:spacing w:line="360" w:lineRule="auto"/>
        <w:ind w:firstLine="482"/>
        <w:rPr>
          <w:rFonts w:ascii="宋体" w:hAnsi="宋体" w:cs="宋体"/>
          <w:b/>
          <w:bCs/>
          <w:color w:val="auto"/>
          <w:kern w:val="0"/>
          <w:szCs w:val="21"/>
          <w:highlight w:val="none"/>
        </w:rPr>
      </w:pPr>
      <w:r>
        <w:rPr>
          <w:rFonts w:ascii="宋体" w:hAnsi="宋体"/>
          <w:color w:val="auto"/>
          <w:kern w:val="0"/>
          <w:szCs w:val="21"/>
          <w:highlight w:val="none"/>
        </w:rPr>
        <w:t>2、我方同意自本项目竞争性磋商采购文件采购公告规定的递交响应文件截止时间起遵循本响应函，并承诺在“第三章 供应商须知”规定的响应有效期内不修改、撤销响应文件。</w:t>
      </w:r>
    </w:p>
    <w:p w14:paraId="22E4AEEA">
      <w:pPr>
        <w:adjustRightInd w:val="0"/>
        <w:snapToGrid w:val="0"/>
        <w:spacing w:line="360" w:lineRule="auto"/>
        <w:ind w:firstLine="482"/>
        <w:rPr>
          <w:rFonts w:ascii="宋体" w:hAnsi="宋体" w:cs="宋体"/>
          <w:b/>
          <w:bCs/>
          <w:color w:val="auto"/>
          <w:kern w:val="0"/>
          <w:szCs w:val="21"/>
          <w:highlight w:val="none"/>
        </w:rPr>
      </w:pPr>
      <w:r>
        <w:rPr>
          <w:rFonts w:ascii="宋体" w:hAnsi="宋体"/>
          <w:color w:val="auto"/>
          <w:kern w:val="0"/>
          <w:szCs w:val="21"/>
          <w:highlight w:val="none"/>
        </w:rPr>
        <w:t>3、我方在此声明，所递交的响应文件及有关资料内容完整、真实和准确。</w:t>
      </w:r>
    </w:p>
    <w:p w14:paraId="0F4D79B7">
      <w:pPr>
        <w:adjustRightInd w:val="0"/>
        <w:snapToGrid w:val="0"/>
        <w:spacing w:line="360" w:lineRule="auto"/>
        <w:ind w:firstLine="482"/>
        <w:rPr>
          <w:rFonts w:ascii="宋体" w:hAnsi="宋体" w:cs="宋体"/>
          <w:b/>
          <w:bCs/>
          <w:color w:val="auto"/>
          <w:kern w:val="0"/>
          <w:szCs w:val="21"/>
          <w:highlight w:val="none"/>
        </w:rPr>
      </w:pPr>
      <w:r>
        <w:rPr>
          <w:rFonts w:ascii="宋体" w:hAnsi="宋体"/>
          <w:color w:val="auto"/>
          <w:kern w:val="0"/>
          <w:szCs w:val="21"/>
          <w:highlight w:val="none"/>
        </w:rPr>
        <w:t>4、如本项目采购内容涉及须符合国家强制规定的，我方承诺我方本次竞标均符合国家有关强制规定。</w:t>
      </w:r>
    </w:p>
    <w:p w14:paraId="1A4EAC18">
      <w:pPr>
        <w:adjustRightInd w:val="0"/>
        <w:snapToGrid w:val="0"/>
        <w:spacing w:line="360" w:lineRule="auto"/>
        <w:ind w:firstLine="482"/>
        <w:rPr>
          <w:rFonts w:ascii="宋体" w:hAnsi="宋体" w:cs="宋体"/>
          <w:b/>
          <w:bCs/>
          <w:color w:val="auto"/>
          <w:kern w:val="0"/>
          <w:szCs w:val="21"/>
          <w:highlight w:val="none"/>
        </w:rPr>
      </w:pPr>
      <w:r>
        <w:rPr>
          <w:rFonts w:ascii="宋体" w:hAnsi="宋体"/>
          <w:color w:val="auto"/>
          <w:kern w:val="0"/>
          <w:szCs w:val="21"/>
          <w:highlight w:val="none"/>
        </w:rPr>
        <w:t>5、我方承诺未被列入失信被执行人、重大税收违法案件当事人名单、政府采购严重违法失信行为记录名单，并已经具备《中华人民共和国政府采购法》中规定的参加政府采购活动的供应商应当具备的条件：</w:t>
      </w:r>
    </w:p>
    <w:p w14:paraId="0C5D6C85">
      <w:pPr>
        <w:numPr>
          <w:ilvl w:val="0"/>
          <w:numId w:val="2"/>
        </w:numPr>
        <w:tabs>
          <w:tab w:val="left" w:pos="945"/>
        </w:tabs>
        <w:adjustRightInd w:val="0"/>
        <w:snapToGrid w:val="0"/>
        <w:spacing w:line="360" w:lineRule="auto"/>
        <w:rPr>
          <w:rFonts w:ascii="宋体" w:hAnsi="宋体" w:cs="宋体"/>
          <w:b/>
          <w:bCs/>
          <w:color w:val="auto"/>
          <w:kern w:val="0"/>
          <w:szCs w:val="21"/>
          <w:highlight w:val="none"/>
        </w:rPr>
      </w:pPr>
      <w:r>
        <w:rPr>
          <w:rFonts w:ascii="宋体" w:hAnsi="宋体"/>
          <w:color w:val="auto"/>
          <w:kern w:val="0"/>
          <w:szCs w:val="21"/>
          <w:highlight w:val="none"/>
        </w:rPr>
        <w:t>具有独立承担民事责任的能力；</w:t>
      </w:r>
    </w:p>
    <w:p w14:paraId="1A89CCE0">
      <w:pPr>
        <w:numPr>
          <w:ilvl w:val="0"/>
          <w:numId w:val="3"/>
        </w:numPr>
        <w:tabs>
          <w:tab w:val="left" w:pos="945"/>
          <w:tab w:val="left" w:pos="1140"/>
        </w:tabs>
        <w:adjustRightInd w:val="0"/>
        <w:snapToGrid w:val="0"/>
        <w:spacing w:line="360" w:lineRule="auto"/>
        <w:rPr>
          <w:rFonts w:ascii="宋体" w:hAnsi="宋体" w:cs="宋体"/>
          <w:b/>
          <w:bCs/>
          <w:color w:val="auto"/>
          <w:kern w:val="0"/>
          <w:szCs w:val="21"/>
          <w:highlight w:val="none"/>
        </w:rPr>
      </w:pPr>
      <w:r>
        <w:rPr>
          <w:rFonts w:ascii="宋体" w:hAnsi="宋体"/>
          <w:color w:val="auto"/>
          <w:kern w:val="0"/>
          <w:szCs w:val="21"/>
          <w:highlight w:val="none"/>
        </w:rPr>
        <w:t>具有良好的商业信誉和健全的财务会计制度；</w:t>
      </w:r>
    </w:p>
    <w:p w14:paraId="59A0741F">
      <w:pPr>
        <w:numPr>
          <w:ilvl w:val="0"/>
          <w:numId w:val="3"/>
        </w:numPr>
        <w:tabs>
          <w:tab w:val="left" w:pos="945"/>
          <w:tab w:val="left" w:pos="1140"/>
        </w:tabs>
        <w:adjustRightInd w:val="0"/>
        <w:snapToGrid w:val="0"/>
        <w:spacing w:line="360" w:lineRule="auto"/>
        <w:rPr>
          <w:rFonts w:ascii="宋体" w:hAnsi="宋体" w:cs="宋体"/>
          <w:b/>
          <w:bCs/>
          <w:color w:val="auto"/>
          <w:kern w:val="0"/>
          <w:szCs w:val="21"/>
          <w:highlight w:val="none"/>
        </w:rPr>
      </w:pPr>
      <w:r>
        <w:rPr>
          <w:rFonts w:ascii="宋体" w:hAnsi="宋体"/>
          <w:color w:val="auto"/>
          <w:kern w:val="0"/>
          <w:szCs w:val="21"/>
          <w:highlight w:val="none"/>
        </w:rPr>
        <w:t>具有履行合同所必需的设备和专业技术能力；</w:t>
      </w:r>
    </w:p>
    <w:p w14:paraId="59F0B2AF">
      <w:pPr>
        <w:numPr>
          <w:ilvl w:val="0"/>
          <w:numId w:val="3"/>
        </w:numPr>
        <w:tabs>
          <w:tab w:val="left" w:pos="945"/>
          <w:tab w:val="left" w:pos="1140"/>
        </w:tabs>
        <w:adjustRightInd w:val="0"/>
        <w:snapToGrid w:val="0"/>
        <w:spacing w:line="360" w:lineRule="auto"/>
        <w:rPr>
          <w:rFonts w:ascii="宋体" w:hAnsi="宋体" w:cs="宋体"/>
          <w:b/>
          <w:bCs/>
          <w:color w:val="auto"/>
          <w:kern w:val="0"/>
          <w:szCs w:val="21"/>
          <w:highlight w:val="none"/>
        </w:rPr>
      </w:pPr>
      <w:r>
        <w:rPr>
          <w:rFonts w:ascii="宋体" w:hAnsi="宋体"/>
          <w:color w:val="auto"/>
          <w:kern w:val="0"/>
          <w:szCs w:val="21"/>
          <w:highlight w:val="none"/>
        </w:rPr>
        <w:t>有依法缴纳税收和社会保障资金的良好记录；</w:t>
      </w:r>
    </w:p>
    <w:p w14:paraId="6562C194">
      <w:pPr>
        <w:numPr>
          <w:ilvl w:val="0"/>
          <w:numId w:val="3"/>
        </w:numPr>
        <w:tabs>
          <w:tab w:val="left" w:pos="945"/>
          <w:tab w:val="left" w:pos="1140"/>
        </w:tabs>
        <w:adjustRightInd w:val="0"/>
        <w:snapToGrid w:val="0"/>
        <w:spacing w:line="360" w:lineRule="auto"/>
        <w:rPr>
          <w:rFonts w:ascii="宋体" w:hAnsi="宋体" w:cs="宋体"/>
          <w:b/>
          <w:bCs/>
          <w:color w:val="auto"/>
          <w:kern w:val="0"/>
          <w:szCs w:val="21"/>
          <w:highlight w:val="none"/>
        </w:rPr>
      </w:pPr>
      <w:r>
        <w:rPr>
          <w:rFonts w:ascii="宋体" w:hAnsi="宋体"/>
          <w:color w:val="auto"/>
          <w:kern w:val="0"/>
          <w:szCs w:val="21"/>
          <w:highlight w:val="none"/>
        </w:rPr>
        <w:t>参加政府采购活动前三年内，在经营活动中没有重大违法记录；</w:t>
      </w:r>
    </w:p>
    <w:p w14:paraId="151359DC">
      <w:pPr>
        <w:numPr>
          <w:ilvl w:val="0"/>
          <w:numId w:val="3"/>
        </w:numPr>
        <w:tabs>
          <w:tab w:val="left" w:pos="945"/>
          <w:tab w:val="left" w:pos="1140"/>
        </w:tabs>
        <w:adjustRightInd w:val="0"/>
        <w:snapToGrid w:val="0"/>
        <w:spacing w:line="360" w:lineRule="auto"/>
        <w:rPr>
          <w:rFonts w:ascii="宋体" w:hAnsi="宋体" w:cs="宋体"/>
          <w:b/>
          <w:bCs/>
          <w:color w:val="auto"/>
          <w:kern w:val="0"/>
          <w:szCs w:val="21"/>
          <w:highlight w:val="none"/>
        </w:rPr>
      </w:pPr>
      <w:r>
        <w:rPr>
          <w:rFonts w:ascii="宋体" w:hAnsi="宋体"/>
          <w:color w:val="auto"/>
          <w:kern w:val="0"/>
          <w:szCs w:val="21"/>
          <w:highlight w:val="none"/>
        </w:rPr>
        <w:t>法律、行政法规规定的其他条件。</w:t>
      </w:r>
    </w:p>
    <w:p w14:paraId="5077E298">
      <w:pPr>
        <w:adjustRightInd w:val="0"/>
        <w:snapToGrid w:val="0"/>
        <w:spacing w:line="360" w:lineRule="auto"/>
        <w:ind w:firstLine="482"/>
        <w:rPr>
          <w:rFonts w:ascii="宋体" w:hAnsi="宋体" w:cs="宋体"/>
          <w:b/>
          <w:bCs/>
          <w:color w:val="auto"/>
          <w:kern w:val="0"/>
          <w:szCs w:val="21"/>
          <w:highlight w:val="none"/>
        </w:rPr>
      </w:pPr>
      <w:r>
        <w:rPr>
          <w:rFonts w:ascii="宋体" w:hAnsi="宋体"/>
          <w:color w:val="auto"/>
          <w:kern w:val="0"/>
          <w:szCs w:val="21"/>
          <w:highlight w:val="none"/>
        </w:rPr>
        <w:t>6、如我方成交，我方承诺在收到成交通知书后，在成交通知书规定的期限内，根据竞争性磋商采购文件、我方的响应文件及有关澄清承诺书的要求按第六章“合同文本”与采购人订立书面合同，并按照合同约定承担完成合同的责任和义务。</w:t>
      </w:r>
    </w:p>
    <w:p w14:paraId="7D80489E">
      <w:pPr>
        <w:adjustRightInd w:val="0"/>
        <w:snapToGrid w:val="0"/>
        <w:spacing w:line="360" w:lineRule="auto"/>
        <w:ind w:firstLine="482"/>
        <w:rPr>
          <w:rFonts w:ascii="宋体" w:hAnsi="宋体" w:cs="宋体"/>
          <w:b/>
          <w:bCs/>
          <w:color w:val="auto"/>
          <w:kern w:val="0"/>
          <w:szCs w:val="21"/>
          <w:highlight w:val="none"/>
        </w:rPr>
      </w:pPr>
      <w:r>
        <w:rPr>
          <w:rFonts w:ascii="宋体" w:hAnsi="宋体"/>
          <w:color w:val="auto"/>
          <w:kern w:val="0"/>
          <w:szCs w:val="21"/>
          <w:highlight w:val="none"/>
        </w:rPr>
        <w:t>7、我方已详细审核竞争性磋商采购文件，我方知道必须放弃提出含糊不清或误解问题的权利。</w:t>
      </w:r>
    </w:p>
    <w:p w14:paraId="067DD20A">
      <w:pPr>
        <w:adjustRightInd w:val="0"/>
        <w:snapToGrid w:val="0"/>
        <w:spacing w:line="360" w:lineRule="auto"/>
        <w:ind w:firstLine="482"/>
        <w:rPr>
          <w:rFonts w:ascii="宋体" w:hAnsi="宋体" w:cs="宋体"/>
          <w:b/>
          <w:bCs/>
          <w:color w:val="auto"/>
          <w:kern w:val="0"/>
          <w:szCs w:val="21"/>
          <w:highlight w:val="none"/>
        </w:rPr>
      </w:pPr>
      <w:r>
        <w:rPr>
          <w:rFonts w:ascii="宋体" w:hAnsi="宋体"/>
          <w:color w:val="auto"/>
          <w:kern w:val="0"/>
          <w:szCs w:val="21"/>
          <w:highlight w:val="none"/>
        </w:rPr>
        <w:t>8、我方承诺满足竞争性磋商采购文件第六章“合同文本”的条款，承担完成合同的责任和义务。</w:t>
      </w:r>
    </w:p>
    <w:p w14:paraId="5069095E">
      <w:pPr>
        <w:adjustRightInd w:val="0"/>
        <w:snapToGrid w:val="0"/>
        <w:spacing w:line="360" w:lineRule="auto"/>
        <w:ind w:firstLine="482"/>
        <w:rPr>
          <w:rFonts w:ascii="宋体" w:hAnsi="宋体" w:cs="宋体"/>
          <w:b/>
          <w:bCs/>
          <w:color w:val="auto"/>
          <w:kern w:val="0"/>
          <w:szCs w:val="21"/>
          <w:highlight w:val="none"/>
        </w:rPr>
      </w:pPr>
      <w:r>
        <w:rPr>
          <w:rFonts w:ascii="宋体" w:hAnsi="宋体"/>
          <w:color w:val="auto"/>
          <w:kern w:val="0"/>
          <w:szCs w:val="21"/>
          <w:highlight w:val="none"/>
        </w:rPr>
        <w:t>9、我方同意应贵方要求提供与本竞标有关的任何数据或资料。若贵方需要，我方愿意提供我方作出的一切承诺的证明材料。</w:t>
      </w:r>
    </w:p>
    <w:p w14:paraId="579A39AA">
      <w:pPr>
        <w:adjustRightInd w:val="0"/>
        <w:snapToGrid w:val="0"/>
        <w:spacing w:line="360" w:lineRule="auto"/>
        <w:ind w:firstLine="482"/>
        <w:rPr>
          <w:rFonts w:ascii="宋体" w:hAnsi="宋体" w:cs="宋体"/>
          <w:b/>
          <w:bCs/>
          <w:color w:val="auto"/>
          <w:kern w:val="0"/>
          <w:szCs w:val="21"/>
          <w:highlight w:val="none"/>
        </w:rPr>
      </w:pPr>
      <w:r>
        <w:rPr>
          <w:rFonts w:ascii="宋体" w:hAnsi="宋体"/>
          <w:color w:val="auto"/>
          <w:kern w:val="0"/>
          <w:szCs w:val="21"/>
          <w:highlight w:val="none"/>
        </w:rPr>
        <w:t>10、我方完全理解贵方不一定接受响应报价最低的竞标人为成交供应商的行为。</w:t>
      </w:r>
    </w:p>
    <w:p w14:paraId="0823765A">
      <w:pPr>
        <w:adjustRightInd w:val="0"/>
        <w:snapToGrid w:val="0"/>
        <w:spacing w:line="360" w:lineRule="auto"/>
        <w:ind w:firstLine="482"/>
        <w:rPr>
          <w:rFonts w:ascii="宋体" w:hAnsi="宋体" w:cs="宋体"/>
          <w:b/>
          <w:bCs/>
          <w:color w:val="auto"/>
          <w:kern w:val="0"/>
          <w:szCs w:val="21"/>
          <w:highlight w:val="none"/>
        </w:rPr>
      </w:pPr>
      <w:r>
        <w:rPr>
          <w:rFonts w:ascii="宋体" w:hAnsi="宋体"/>
          <w:color w:val="auto"/>
          <w:kern w:val="0"/>
          <w:szCs w:val="21"/>
          <w:highlight w:val="none"/>
        </w:rPr>
        <w:t>11、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86C4DBA">
      <w:pPr>
        <w:numPr>
          <w:ilvl w:val="0"/>
          <w:numId w:val="4"/>
        </w:numPr>
        <w:tabs>
          <w:tab w:val="left" w:pos="945"/>
        </w:tabs>
        <w:adjustRightInd w:val="0"/>
        <w:snapToGrid w:val="0"/>
        <w:spacing w:line="360" w:lineRule="auto"/>
        <w:rPr>
          <w:rFonts w:ascii="宋体" w:hAnsi="宋体" w:cs="宋体"/>
          <w:b/>
          <w:bCs/>
          <w:color w:val="auto"/>
          <w:kern w:val="0"/>
          <w:szCs w:val="21"/>
          <w:highlight w:val="none"/>
        </w:rPr>
      </w:pPr>
      <w:r>
        <w:rPr>
          <w:rFonts w:ascii="宋体" w:hAnsi="宋体"/>
          <w:color w:val="auto"/>
          <w:kern w:val="0"/>
          <w:szCs w:val="21"/>
          <w:highlight w:val="none"/>
        </w:rPr>
        <w:t>提供虚假材料谋取中标、成交的；</w:t>
      </w:r>
    </w:p>
    <w:p w14:paraId="05C40F2D">
      <w:pPr>
        <w:numPr>
          <w:ilvl w:val="0"/>
          <w:numId w:val="5"/>
        </w:numPr>
        <w:tabs>
          <w:tab w:val="left" w:pos="945"/>
          <w:tab w:val="left" w:pos="1140"/>
        </w:tabs>
        <w:adjustRightInd w:val="0"/>
        <w:snapToGrid w:val="0"/>
        <w:spacing w:line="360" w:lineRule="auto"/>
        <w:rPr>
          <w:rFonts w:ascii="宋体" w:hAnsi="宋体" w:cs="宋体"/>
          <w:b/>
          <w:bCs/>
          <w:color w:val="auto"/>
          <w:kern w:val="0"/>
          <w:szCs w:val="21"/>
          <w:highlight w:val="none"/>
        </w:rPr>
      </w:pPr>
      <w:r>
        <w:rPr>
          <w:rFonts w:ascii="宋体" w:hAnsi="宋体"/>
          <w:color w:val="auto"/>
          <w:kern w:val="0"/>
          <w:szCs w:val="21"/>
          <w:highlight w:val="none"/>
        </w:rPr>
        <w:t>采取不正当手段诋毁、排挤其他供应商的；</w:t>
      </w:r>
    </w:p>
    <w:p w14:paraId="721A0231">
      <w:pPr>
        <w:numPr>
          <w:ilvl w:val="0"/>
          <w:numId w:val="5"/>
        </w:numPr>
        <w:tabs>
          <w:tab w:val="left" w:pos="945"/>
          <w:tab w:val="left" w:pos="1140"/>
        </w:tabs>
        <w:adjustRightInd w:val="0"/>
        <w:snapToGrid w:val="0"/>
        <w:spacing w:line="360" w:lineRule="auto"/>
        <w:rPr>
          <w:rFonts w:ascii="宋体" w:hAnsi="宋体" w:cs="宋体"/>
          <w:b/>
          <w:bCs/>
          <w:color w:val="auto"/>
          <w:kern w:val="0"/>
          <w:szCs w:val="21"/>
          <w:highlight w:val="none"/>
        </w:rPr>
      </w:pPr>
      <w:r>
        <w:rPr>
          <w:rFonts w:ascii="宋体" w:hAnsi="宋体"/>
          <w:color w:val="auto"/>
          <w:kern w:val="0"/>
          <w:szCs w:val="21"/>
          <w:highlight w:val="none"/>
        </w:rPr>
        <w:t>与采购人、其他供应商或者采购代理机构恶意串通的；</w:t>
      </w:r>
    </w:p>
    <w:p w14:paraId="324D3422">
      <w:pPr>
        <w:numPr>
          <w:ilvl w:val="0"/>
          <w:numId w:val="5"/>
        </w:numPr>
        <w:tabs>
          <w:tab w:val="left" w:pos="945"/>
          <w:tab w:val="left" w:pos="1140"/>
        </w:tabs>
        <w:adjustRightInd w:val="0"/>
        <w:snapToGrid w:val="0"/>
        <w:spacing w:line="360" w:lineRule="auto"/>
        <w:rPr>
          <w:rFonts w:ascii="宋体" w:hAnsi="宋体" w:cs="宋体"/>
          <w:b/>
          <w:bCs/>
          <w:color w:val="auto"/>
          <w:kern w:val="0"/>
          <w:szCs w:val="21"/>
          <w:highlight w:val="none"/>
        </w:rPr>
      </w:pPr>
      <w:r>
        <w:rPr>
          <w:rFonts w:ascii="宋体" w:hAnsi="宋体"/>
          <w:color w:val="auto"/>
          <w:kern w:val="0"/>
          <w:szCs w:val="21"/>
          <w:highlight w:val="none"/>
        </w:rPr>
        <w:t>向采购人、采购代理机构行贿或者提供其他不正当利益的；</w:t>
      </w:r>
    </w:p>
    <w:p w14:paraId="055304F0">
      <w:pPr>
        <w:numPr>
          <w:ilvl w:val="0"/>
          <w:numId w:val="5"/>
        </w:numPr>
        <w:tabs>
          <w:tab w:val="left" w:pos="945"/>
          <w:tab w:val="left" w:pos="1140"/>
        </w:tabs>
        <w:adjustRightInd w:val="0"/>
        <w:snapToGrid w:val="0"/>
        <w:spacing w:line="360" w:lineRule="auto"/>
        <w:rPr>
          <w:rFonts w:ascii="宋体" w:hAnsi="宋体" w:cs="宋体"/>
          <w:b/>
          <w:bCs/>
          <w:color w:val="auto"/>
          <w:kern w:val="0"/>
          <w:szCs w:val="21"/>
          <w:highlight w:val="none"/>
        </w:rPr>
      </w:pPr>
      <w:r>
        <w:rPr>
          <w:rFonts w:ascii="宋体" w:hAnsi="宋体"/>
          <w:color w:val="auto"/>
          <w:kern w:val="0"/>
          <w:szCs w:val="21"/>
          <w:highlight w:val="none"/>
        </w:rPr>
        <w:t>在采购过程中与采购人进行协商谈判的；</w:t>
      </w:r>
    </w:p>
    <w:p w14:paraId="350E21A6">
      <w:pPr>
        <w:numPr>
          <w:ilvl w:val="0"/>
          <w:numId w:val="5"/>
        </w:numPr>
        <w:tabs>
          <w:tab w:val="left" w:pos="945"/>
          <w:tab w:val="left" w:pos="1140"/>
        </w:tabs>
        <w:adjustRightInd w:val="0"/>
        <w:snapToGrid w:val="0"/>
        <w:spacing w:line="360" w:lineRule="auto"/>
        <w:rPr>
          <w:rFonts w:ascii="宋体" w:hAnsi="宋体" w:cs="宋体"/>
          <w:b/>
          <w:bCs/>
          <w:color w:val="auto"/>
          <w:kern w:val="0"/>
          <w:szCs w:val="21"/>
          <w:highlight w:val="none"/>
        </w:rPr>
      </w:pPr>
      <w:r>
        <w:rPr>
          <w:rFonts w:ascii="宋体" w:hAnsi="宋体"/>
          <w:color w:val="auto"/>
          <w:kern w:val="0"/>
          <w:szCs w:val="21"/>
          <w:highlight w:val="none"/>
        </w:rPr>
        <w:t>拒绝有关部门监督检查或提供虚假情况的。</w:t>
      </w:r>
    </w:p>
    <w:p w14:paraId="35D96B22">
      <w:pPr>
        <w:adjustRightInd w:val="0"/>
        <w:snapToGrid w:val="0"/>
        <w:spacing w:line="360" w:lineRule="auto"/>
        <w:ind w:firstLine="420"/>
        <w:rPr>
          <w:rFonts w:ascii="宋体" w:hAnsi="宋体" w:cs="宋体"/>
          <w:b/>
          <w:bCs/>
          <w:color w:val="auto"/>
          <w:kern w:val="0"/>
          <w:szCs w:val="21"/>
          <w:highlight w:val="none"/>
        </w:rPr>
      </w:pPr>
      <w:r>
        <w:rPr>
          <w:rFonts w:ascii="宋体" w:hAnsi="宋体" w:cs="宋体"/>
          <w:color w:val="auto"/>
          <w:kern w:val="0"/>
          <w:szCs w:val="21"/>
          <w:highlight w:val="none"/>
        </w:rPr>
        <w:t>12.与本磋商有关的一切正式往来信函请寄</w:t>
      </w:r>
      <w:r>
        <w:rPr>
          <w:rFonts w:ascii="宋体" w:hAnsi="宋体"/>
          <w:color w:val="auto"/>
          <w:kern w:val="0"/>
          <w:szCs w:val="21"/>
          <w:highlight w:val="none"/>
        </w:rPr>
        <w:t>：</w:t>
      </w:r>
    </w:p>
    <w:p w14:paraId="1EDB7A74">
      <w:pPr>
        <w:adjustRightInd w:val="0"/>
        <w:snapToGrid w:val="0"/>
        <w:spacing w:line="360" w:lineRule="auto"/>
        <w:ind w:firstLine="420"/>
        <w:rPr>
          <w:rFonts w:ascii="宋体" w:hAnsi="宋体" w:cs="宋体"/>
          <w:b/>
          <w:bCs/>
          <w:color w:val="auto"/>
          <w:kern w:val="0"/>
          <w:szCs w:val="21"/>
          <w:highlight w:val="none"/>
        </w:rPr>
      </w:pPr>
      <w:r>
        <w:rPr>
          <w:rFonts w:ascii="宋体" w:hAnsi="宋体"/>
          <w:color w:val="auto"/>
          <w:kern w:val="0"/>
          <w:szCs w:val="21"/>
          <w:highlight w:val="none"/>
        </w:rPr>
        <w:t>地址：</w:t>
      </w:r>
      <w:r>
        <w:rPr>
          <w:rFonts w:ascii="宋体" w:hAnsi="宋体"/>
          <w:color w:val="auto"/>
          <w:kern w:val="0"/>
          <w:szCs w:val="21"/>
          <w:highlight w:val="none"/>
          <w:u w:val="single"/>
        </w:rPr>
        <w:t xml:space="preserve">                                                        </w:t>
      </w:r>
      <w:r>
        <w:rPr>
          <w:rFonts w:ascii="宋体" w:hAnsi="宋体"/>
          <w:color w:val="auto"/>
          <w:kern w:val="0"/>
          <w:szCs w:val="21"/>
          <w:highlight w:val="none"/>
        </w:rPr>
        <w:t xml:space="preserve"> </w:t>
      </w:r>
    </w:p>
    <w:p w14:paraId="44D7B956">
      <w:pPr>
        <w:adjustRightInd w:val="0"/>
        <w:snapToGrid w:val="0"/>
        <w:spacing w:line="360" w:lineRule="auto"/>
        <w:ind w:firstLine="420"/>
        <w:rPr>
          <w:rFonts w:ascii="宋体" w:hAnsi="宋体"/>
          <w:color w:val="auto"/>
          <w:kern w:val="0"/>
          <w:szCs w:val="21"/>
          <w:highlight w:val="none"/>
          <w:u w:val="single"/>
        </w:rPr>
      </w:pPr>
      <w:r>
        <w:rPr>
          <w:rFonts w:ascii="宋体" w:hAnsi="宋体"/>
          <w:color w:val="auto"/>
          <w:kern w:val="0"/>
          <w:szCs w:val="21"/>
          <w:highlight w:val="none"/>
        </w:rPr>
        <w:t>电话：</w:t>
      </w:r>
      <w:r>
        <w:rPr>
          <w:rFonts w:ascii="宋体" w:hAnsi="宋体"/>
          <w:color w:val="auto"/>
          <w:kern w:val="0"/>
          <w:szCs w:val="21"/>
          <w:highlight w:val="none"/>
          <w:u w:val="single"/>
        </w:rPr>
        <w:t xml:space="preserve">                                      　　　　　　　　　</w:t>
      </w:r>
    </w:p>
    <w:p w14:paraId="6B3EC96B">
      <w:pPr>
        <w:adjustRightInd w:val="0"/>
        <w:snapToGrid w:val="0"/>
        <w:spacing w:line="360" w:lineRule="auto"/>
        <w:ind w:firstLine="420"/>
        <w:rPr>
          <w:rFonts w:ascii="宋体" w:hAnsi="宋体" w:cs="宋体"/>
          <w:b/>
          <w:bCs/>
          <w:color w:val="auto"/>
          <w:kern w:val="0"/>
          <w:szCs w:val="21"/>
          <w:highlight w:val="none"/>
        </w:rPr>
      </w:pPr>
      <w:r>
        <w:rPr>
          <w:rFonts w:ascii="宋体" w:hAnsi="宋体"/>
          <w:color w:val="auto"/>
          <w:kern w:val="0"/>
          <w:szCs w:val="21"/>
          <w:highlight w:val="none"/>
        </w:rPr>
        <w:t>传真：</w:t>
      </w:r>
      <w:r>
        <w:rPr>
          <w:rFonts w:ascii="宋体" w:hAnsi="宋体"/>
          <w:color w:val="auto"/>
          <w:kern w:val="0"/>
          <w:szCs w:val="21"/>
          <w:highlight w:val="none"/>
          <w:u w:val="single"/>
        </w:rPr>
        <w:t>　　　　　　　　　　　　　　　　　　　　　　　　　　　　</w:t>
      </w:r>
    </w:p>
    <w:p w14:paraId="2A48A8DE">
      <w:pPr>
        <w:adjustRightInd w:val="0"/>
        <w:snapToGrid w:val="0"/>
        <w:spacing w:line="360" w:lineRule="auto"/>
        <w:ind w:firstLine="420"/>
        <w:rPr>
          <w:rFonts w:ascii="宋体" w:hAnsi="宋体"/>
          <w:color w:val="auto"/>
          <w:kern w:val="0"/>
          <w:szCs w:val="21"/>
          <w:highlight w:val="none"/>
          <w:u w:val="single"/>
        </w:rPr>
      </w:pPr>
      <w:r>
        <w:rPr>
          <w:rFonts w:ascii="宋体" w:hAnsi="宋体"/>
          <w:color w:val="auto"/>
          <w:kern w:val="0"/>
          <w:szCs w:val="21"/>
          <w:highlight w:val="none"/>
        </w:rPr>
        <w:t>邮政编码：</w:t>
      </w:r>
      <w:r>
        <w:rPr>
          <w:rFonts w:ascii="宋体" w:hAnsi="宋体"/>
          <w:color w:val="auto"/>
          <w:kern w:val="0"/>
          <w:szCs w:val="21"/>
          <w:highlight w:val="none"/>
          <w:u w:val="single"/>
        </w:rPr>
        <w:t xml:space="preserve">                                                    </w:t>
      </w:r>
    </w:p>
    <w:p w14:paraId="77652358">
      <w:pPr>
        <w:adjustRightInd w:val="0"/>
        <w:snapToGrid w:val="0"/>
        <w:spacing w:line="360" w:lineRule="auto"/>
        <w:ind w:firstLine="420"/>
        <w:rPr>
          <w:rFonts w:ascii="宋体" w:hAnsi="宋体"/>
          <w:color w:val="auto"/>
          <w:kern w:val="0"/>
          <w:szCs w:val="21"/>
          <w:highlight w:val="none"/>
          <w:u w:val="single"/>
        </w:rPr>
      </w:pPr>
      <w:r>
        <w:rPr>
          <w:rFonts w:ascii="宋体" w:hAnsi="宋体"/>
          <w:color w:val="auto"/>
          <w:kern w:val="0"/>
          <w:szCs w:val="21"/>
          <w:highlight w:val="none"/>
        </w:rPr>
        <w:t>开户名称：</w:t>
      </w:r>
      <w:r>
        <w:rPr>
          <w:rFonts w:ascii="宋体" w:hAnsi="宋体"/>
          <w:color w:val="auto"/>
          <w:kern w:val="0"/>
          <w:szCs w:val="21"/>
          <w:highlight w:val="none"/>
          <w:u w:val="single"/>
        </w:rPr>
        <w:t xml:space="preserve">                                                    </w:t>
      </w:r>
    </w:p>
    <w:p w14:paraId="5F2FFFD8">
      <w:pPr>
        <w:adjustRightInd w:val="0"/>
        <w:snapToGrid w:val="0"/>
        <w:spacing w:line="360" w:lineRule="auto"/>
        <w:ind w:firstLine="420"/>
        <w:rPr>
          <w:rFonts w:ascii="宋体" w:hAnsi="宋体"/>
          <w:color w:val="auto"/>
          <w:kern w:val="0"/>
          <w:szCs w:val="21"/>
          <w:highlight w:val="none"/>
          <w:u w:val="single"/>
        </w:rPr>
      </w:pPr>
      <w:r>
        <w:rPr>
          <w:rFonts w:ascii="宋体" w:hAnsi="宋体"/>
          <w:color w:val="auto"/>
          <w:kern w:val="0"/>
          <w:szCs w:val="21"/>
          <w:highlight w:val="none"/>
        </w:rPr>
        <w:t>开户银行：</w:t>
      </w:r>
      <w:r>
        <w:rPr>
          <w:rFonts w:ascii="宋体" w:hAnsi="宋体"/>
          <w:color w:val="auto"/>
          <w:kern w:val="0"/>
          <w:szCs w:val="21"/>
          <w:highlight w:val="none"/>
          <w:u w:val="single"/>
        </w:rPr>
        <w:t xml:space="preserve">                                                    </w:t>
      </w:r>
    </w:p>
    <w:p w14:paraId="7F1192B2">
      <w:pPr>
        <w:adjustRightInd w:val="0"/>
        <w:snapToGrid w:val="0"/>
        <w:spacing w:line="360" w:lineRule="auto"/>
        <w:ind w:firstLine="420"/>
        <w:rPr>
          <w:rFonts w:ascii="宋体" w:hAnsi="宋体"/>
          <w:color w:val="auto"/>
          <w:kern w:val="0"/>
          <w:szCs w:val="21"/>
          <w:highlight w:val="none"/>
          <w:u w:val="single"/>
        </w:rPr>
      </w:pPr>
      <w:r>
        <w:rPr>
          <w:rFonts w:ascii="宋体" w:hAnsi="宋体"/>
          <w:color w:val="auto"/>
          <w:kern w:val="0"/>
          <w:szCs w:val="21"/>
          <w:highlight w:val="none"/>
        </w:rPr>
        <w:t>银行账号：</w:t>
      </w:r>
      <w:r>
        <w:rPr>
          <w:rFonts w:ascii="宋体" w:hAnsi="宋体"/>
          <w:color w:val="auto"/>
          <w:kern w:val="0"/>
          <w:szCs w:val="21"/>
          <w:highlight w:val="none"/>
          <w:u w:val="single"/>
        </w:rPr>
        <w:t xml:space="preserve">                                                    </w:t>
      </w:r>
    </w:p>
    <w:p w14:paraId="3B5A349F">
      <w:pPr>
        <w:tabs>
          <w:tab w:val="left" w:pos="939"/>
        </w:tabs>
        <w:adjustRightInd w:val="0"/>
        <w:snapToGrid w:val="0"/>
        <w:spacing w:line="360" w:lineRule="auto"/>
        <w:ind w:left="141" w:leftChars="67" w:firstLine="315" w:firstLineChars="150"/>
        <w:contextualSpacing/>
        <w:rPr>
          <w:rFonts w:ascii="宋体" w:hAnsi="宋体" w:cs="宋体"/>
          <w:color w:val="auto"/>
          <w:szCs w:val="21"/>
          <w:highlight w:val="none"/>
        </w:rPr>
      </w:pPr>
      <w:r>
        <w:rPr>
          <w:rFonts w:ascii="宋体" w:hAnsi="宋体" w:cs="宋体"/>
          <w:color w:val="auto"/>
          <w:szCs w:val="21"/>
          <w:highlight w:val="none"/>
        </w:rPr>
        <w:t>特此承诺。</w:t>
      </w:r>
    </w:p>
    <w:p w14:paraId="26C21804">
      <w:pPr>
        <w:autoSpaceDE w:val="0"/>
        <w:autoSpaceDN w:val="0"/>
        <w:adjustRightInd w:val="0"/>
        <w:snapToGrid w:val="0"/>
        <w:spacing w:line="360" w:lineRule="auto"/>
        <w:ind w:firstLine="6000" w:firstLineChars="2500"/>
        <w:rPr>
          <w:rFonts w:ascii="仿宋_GB2312" w:hAnsi="仿宋_GB2312" w:eastAsia="仿宋_GB2312" w:cs="仿宋_GB2312"/>
          <w:color w:val="auto"/>
          <w:kern w:val="0"/>
          <w:sz w:val="24"/>
          <w:highlight w:val="none"/>
        </w:rPr>
      </w:pPr>
      <w:r>
        <w:rPr>
          <w:rFonts w:ascii="仿宋_GB2312" w:hAnsi="仿宋_GB2312" w:eastAsia="仿宋_GB2312" w:cs="仿宋_GB2312"/>
          <w:color w:val="auto"/>
          <w:kern w:val="0"/>
          <w:sz w:val="24"/>
          <w:highlight w:val="none"/>
        </w:rPr>
        <w:t>供应商名称（电子签章）：</w:t>
      </w:r>
    </w:p>
    <w:p w14:paraId="58D2AA0E">
      <w:pPr>
        <w:adjustRightInd w:val="0"/>
        <w:snapToGrid w:val="0"/>
        <w:spacing w:line="360" w:lineRule="auto"/>
        <w:ind w:firstLine="6000" w:firstLineChars="2500"/>
        <w:jc w:val="left"/>
        <w:rPr>
          <w:rFonts w:ascii="宋体" w:hAnsi="宋体"/>
          <w:b/>
          <w:color w:val="auto"/>
          <w:sz w:val="32"/>
          <w:szCs w:val="32"/>
          <w:highlight w:val="none"/>
        </w:rPr>
      </w:pPr>
      <w:r>
        <w:rPr>
          <w:rFonts w:ascii="仿宋_GB2312" w:hAnsi="仿宋_GB2312" w:eastAsia="仿宋_GB2312" w:cs="仿宋_GB2312"/>
          <w:color w:val="auto"/>
          <w:kern w:val="0"/>
          <w:sz w:val="24"/>
          <w:highlight w:val="none"/>
          <w:lang w:val="zh-CN"/>
        </w:rPr>
        <w:t>日期：  年  月   日</w:t>
      </w:r>
    </w:p>
    <w:p w14:paraId="07867729">
      <w:pPr>
        <w:adjustRightInd w:val="0"/>
        <w:snapToGrid w:val="0"/>
        <w:spacing w:line="360" w:lineRule="auto"/>
        <w:jc w:val="left"/>
        <w:rPr>
          <w:rFonts w:ascii="宋体" w:hAnsi="宋体"/>
          <w:b/>
          <w:color w:val="auto"/>
          <w:sz w:val="32"/>
          <w:szCs w:val="32"/>
          <w:highlight w:val="none"/>
        </w:rPr>
      </w:pPr>
      <w:r>
        <w:rPr>
          <w:rFonts w:ascii="宋体" w:hAnsi="宋体"/>
          <w:b/>
          <w:bCs/>
          <w:color w:val="auto"/>
          <w:sz w:val="32"/>
          <w:szCs w:val="32"/>
          <w:highlight w:val="none"/>
        </w:rPr>
        <w:br w:type="page"/>
      </w:r>
      <w:r>
        <w:rPr>
          <w:rFonts w:hint="eastAsia" w:ascii="宋体" w:hAnsi="宋体"/>
          <w:b/>
          <w:color w:val="auto"/>
          <w:sz w:val="32"/>
          <w:szCs w:val="32"/>
          <w:highlight w:val="none"/>
        </w:rPr>
        <w:t>竞标报价表</w:t>
      </w:r>
    </w:p>
    <w:p w14:paraId="74BCE0C1">
      <w:pPr>
        <w:adjustRightInd w:val="0"/>
        <w:snapToGrid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竞标报价表</w:t>
      </w:r>
    </w:p>
    <w:p w14:paraId="5E55D534">
      <w:pPr>
        <w:snapToGrid w:val="0"/>
        <w:spacing w:before="50" w:after="50" w:line="360" w:lineRule="auto"/>
        <w:rPr>
          <w:rFonts w:ascii="宋体" w:hAnsi="宋体" w:cs="仿宋_GB2312"/>
          <w:color w:val="auto"/>
          <w:szCs w:val="21"/>
          <w:highlight w:val="none"/>
        </w:rPr>
      </w:pPr>
      <w:r>
        <w:rPr>
          <w:rFonts w:hint="eastAsia" w:ascii="宋体" w:hAnsi="宋体" w:cs="仿宋_GB2312"/>
          <w:color w:val="auto"/>
          <w:szCs w:val="21"/>
          <w:highlight w:val="none"/>
        </w:rPr>
        <w:t>项目名称：</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项目编号：</w:t>
      </w:r>
      <w:r>
        <w:rPr>
          <w:rFonts w:hint="eastAsia" w:ascii="宋体" w:hAnsi="宋体" w:cs="仿宋_GB2312"/>
          <w:color w:val="auto"/>
          <w:szCs w:val="21"/>
          <w:highlight w:val="none"/>
          <w:u w:val="single"/>
        </w:rPr>
        <w:t xml:space="preserve">                   </w:t>
      </w:r>
    </w:p>
    <w:p w14:paraId="1B3774CB">
      <w:pPr>
        <w:snapToGrid w:val="0"/>
        <w:spacing w:before="50" w:after="50" w:line="360" w:lineRule="auto"/>
        <w:rPr>
          <w:rFonts w:ascii="宋体" w:hAnsi="宋体" w:cs="仿宋_GB2312"/>
          <w:color w:val="auto"/>
          <w:szCs w:val="21"/>
          <w:highlight w:val="none"/>
        </w:rPr>
      </w:pPr>
      <w:r>
        <w:rPr>
          <w:rFonts w:hint="eastAsia" w:ascii="宋体" w:hAnsi="宋体" w:cs="仿宋_GB2312"/>
          <w:color w:val="auto"/>
          <w:szCs w:val="21"/>
          <w:highlight w:val="none"/>
        </w:rPr>
        <w:t>分标（如有）：</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 xml:space="preserve">                                       </w:t>
      </w:r>
      <w:r>
        <w:rPr>
          <w:rFonts w:ascii="宋体" w:hAnsi="宋体" w:cs="仿宋_GB2312"/>
          <w:color w:val="auto"/>
          <w:szCs w:val="21"/>
          <w:highlight w:val="none"/>
        </w:rPr>
        <w:t xml:space="preserve">                </w:t>
      </w:r>
      <w:r>
        <w:rPr>
          <w:rFonts w:hint="eastAsia" w:ascii="宋体" w:hAnsi="宋体" w:cs="仿宋_GB2312"/>
          <w:color w:val="auto"/>
          <w:szCs w:val="21"/>
          <w:highlight w:val="none"/>
        </w:rPr>
        <w:t xml:space="preserve"> </w:t>
      </w:r>
      <w:r>
        <w:rPr>
          <w:rFonts w:ascii="宋体" w:hAnsi="宋体" w:cs="仿宋_GB2312"/>
          <w:color w:val="auto"/>
          <w:szCs w:val="21"/>
          <w:highlight w:val="none"/>
        </w:rPr>
        <w:t xml:space="preserve">       </w:t>
      </w:r>
    </w:p>
    <w:tbl>
      <w:tblPr>
        <w:tblStyle w:val="27"/>
        <w:tblW w:w="4993"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73"/>
        <w:gridCol w:w="4219"/>
        <w:gridCol w:w="1663"/>
        <w:gridCol w:w="1679"/>
        <w:gridCol w:w="1381"/>
      </w:tblGrid>
      <w:tr w14:paraId="2E6695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71" w:hRule="atLeast"/>
          <w:jc w:val="center"/>
        </w:trPr>
        <w:tc>
          <w:tcPr>
            <w:tcW w:w="350" w:type="pct"/>
            <w:tcBorders>
              <w:top w:val="single" w:color="auto" w:sz="4" w:space="0"/>
              <w:left w:val="single" w:color="auto" w:sz="4" w:space="0"/>
              <w:bottom w:val="single" w:color="auto" w:sz="4" w:space="0"/>
              <w:right w:val="single" w:color="auto" w:sz="4" w:space="0"/>
            </w:tcBorders>
            <w:vAlign w:val="center"/>
          </w:tcPr>
          <w:p w14:paraId="7176B06B">
            <w:pPr>
              <w:jc w:val="center"/>
              <w:rPr>
                <w:rFonts w:ascii="宋体" w:hAnsi="宋体" w:cs="仿宋_GB2312"/>
                <w:b/>
                <w:bCs/>
                <w:color w:val="auto"/>
                <w:szCs w:val="21"/>
                <w:highlight w:val="none"/>
              </w:rPr>
            </w:pPr>
            <w:r>
              <w:rPr>
                <w:rFonts w:hint="eastAsia" w:ascii="宋体" w:hAnsi="宋体" w:cs="仿宋_GB2312"/>
                <w:b/>
                <w:bCs/>
                <w:color w:val="auto"/>
                <w:szCs w:val="21"/>
                <w:highlight w:val="none"/>
              </w:rPr>
              <w:t>项号</w:t>
            </w:r>
          </w:p>
        </w:tc>
        <w:tc>
          <w:tcPr>
            <w:tcW w:w="2194" w:type="pct"/>
            <w:tcBorders>
              <w:top w:val="single" w:color="auto" w:sz="4" w:space="0"/>
              <w:left w:val="single" w:color="auto" w:sz="4" w:space="0"/>
              <w:bottom w:val="single" w:color="auto" w:sz="4" w:space="0"/>
              <w:right w:val="single" w:color="auto" w:sz="4" w:space="0"/>
            </w:tcBorders>
            <w:vAlign w:val="center"/>
          </w:tcPr>
          <w:p w14:paraId="6717D01A">
            <w:pPr>
              <w:jc w:val="center"/>
              <w:rPr>
                <w:rFonts w:ascii="宋体" w:hAnsi="宋体" w:cs="仿宋_GB2312"/>
                <w:b/>
                <w:bCs/>
                <w:color w:val="auto"/>
                <w:szCs w:val="21"/>
                <w:highlight w:val="none"/>
              </w:rPr>
            </w:pPr>
            <w:r>
              <w:rPr>
                <w:rFonts w:hint="eastAsia" w:ascii="宋体" w:hAnsi="宋体" w:cs="仿宋_GB2312"/>
                <w:b/>
                <w:bCs/>
                <w:color w:val="auto"/>
                <w:szCs w:val="21"/>
                <w:highlight w:val="none"/>
              </w:rPr>
              <w:t>服务名称</w:t>
            </w:r>
          </w:p>
        </w:tc>
        <w:tc>
          <w:tcPr>
            <w:tcW w:w="865" w:type="pct"/>
            <w:tcBorders>
              <w:top w:val="single" w:color="auto" w:sz="4" w:space="0"/>
              <w:left w:val="single" w:color="auto" w:sz="4" w:space="0"/>
              <w:bottom w:val="single" w:color="auto" w:sz="4" w:space="0"/>
              <w:right w:val="single" w:color="auto" w:sz="4" w:space="0"/>
            </w:tcBorders>
            <w:vAlign w:val="center"/>
          </w:tcPr>
          <w:p w14:paraId="0F5572F3">
            <w:pPr>
              <w:jc w:val="center"/>
              <w:rPr>
                <w:rFonts w:ascii="宋体" w:hAnsi="宋体" w:cs="仿宋_GB2312"/>
                <w:b/>
                <w:bCs/>
                <w:color w:val="auto"/>
                <w:szCs w:val="21"/>
                <w:highlight w:val="none"/>
              </w:rPr>
            </w:pPr>
            <w:r>
              <w:rPr>
                <w:rFonts w:hint="eastAsia" w:ascii="宋体" w:hAnsi="宋体" w:cs="仿宋_GB2312"/>
                <w:b/>
                <w:bCs/>
                <w:color w:val="auto"/>
                <w:szCs w:val="21"/>
                <w:highlight w:val="none"/>
              </w:rPr>
              <w:t>数量及单位</w:t>
            </w:r>
          </w:p>
        </w:tc>
        <w:tc>
          <w:tcPr>
            <w:tcW w:w="873" w:type="pct"/>
            <w:tcBorders>
              <w:top w:val="single" w:color="auto" w:sz="4" w:space="0"/>
              <w:left w:val="single" w:color="auto" w:sz="4" w:space="0"/>
              <w:bottom w:val="single" w:color="auto" w:sz="4" w:space="0"/>
              <w:right w:val="single" w:color="auto" w:sz="4" w:space="0"/>
            </w:tcBorders>
            <w:vAlign w:val="center"/>
          </w:tcPr>
          <w:p w14:paraId="30A58850">
            <w:pPr>
              <w:jc w:val="center"/>
              <w:rPr>
                <w:rFonts w:ascii="宋体" w:hAnsi="宋体" w:cs="仿宋_GB2312"/>
                <w:b/>
                <w:bCs/>
                <w:color w:val="auto"/>
                <w:szCs w:val="21"/>
                <w:highlight w:val="none"/>
              </w:rPr>
            </w:pPr>
            <w:r>
              <w:rPr>
                <w:rFonts w:hint="eastAsia" w:ascii="宋体" w:hAnsi="宋体" w:cs="仿宋_GB2312"/>
                <w:b/>
                <w:bCs/>
                <w:color w:val="auto"/>
                <w:szCs w:val="21"/>
                <w:highlight w:val="none"/>
              </w:rPr>
              <w:t>磋商报价（元）</w:t>
            </w:r>
          </w:p>
        </w:tc>
        <w:tc>
          <w:tcPr>
            <w:tcW w:w="715" w:type="pct"/>
            <w:tcBorders>
              <w:top w:val="single" w:color="auto" w:sz="4" w:space="0"/>
              <w:left w:val="single" w:color="auto" w:sz="4" w:space="0"/>
              <w:bottom w:val="single" w:color="auto" w:sz="4" w:space="0"/>
              <w:right w:val="single" w:color="auto" w:sz="4" w:space="0"/>
            </w:tcBorders>
            <w:vAlign w:val="center"/>
          </w:tcPr>
          <w:p w14:paraId="7AA3521E">
            <w:pPr>
              <w:jc w:val="center"/>
              <w:rPr>
                <w:rFonts w:ascii="宋体" w:hAnsi="宋体" w:cs="仿宋_GB2312"/>
                <w:b/>
                <w:bCs/>
                <w:color w:val="auto"/>
                <w:szCs w:val="21"/>
                <w:highlight w:val="none"/>
              </w:rPr>
            </w:pPr>
            <w:r>
              <w:rPr>
                <w:rFonts w:hint="eastAsia" w:ascii="宋体" w:hAnsi="宋体" w:cs="仿宋_GB2312"/>
                <w:b/>
                <w:bCs/>
                <w:color w:val="auto"/>
                <w:szCs w:val="21"/>
                <w:highlight w:val="none"/>
              </w:rPr>
              <w:t>备注</w:t>
            </w:r>
          </w:p>
        </w:tc>
      </w:tr>
      <w:tr w14:paraId="07517C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28" w:hRule="atLeast"/>
          <w:jc w:val="center"/>
        </w:trPr>
        <w:tc>
          <w:tcPr>
            <w:tcW w:w="350" w:type="pct"/>
            <w:tcBorders>
              <w:top w:val="single" w:color="auto" w:sz="4" w:space="0"/>
              <w:left w:val="single" w:color="auto" w:sz="4" w:space="0"/>
              <w:bottom w:val="single" w:color="auto" w:sz="4" w:space="0"/>
              <w:right w:val="single" w:color="auto" w:sz="4" w:space="0"/>
            </w:tcBorders>
            <w:vAlign w:val="center"/>
          </w:tcPr>
          <w:p w14:paraId="0CBD8D8C">
            <w:pPr>
              <w:jc w:val="center"/>
              <w:rPr>
                <w:rFonts w:ascii="宋体" w:hAnsi="宋体" w:cs="仿宋_GB2312"/>
                <w:color w:val="auto"/>
                <w:szCs w:val="21"/>
                <w:highlight w:val="none"/>
              </w:rPr>
            </w:pPr>
            <w:r>
              <w:rPr>
                <w:rFonts w:hint="eastAsia" w:ascii="宋体" w:hAnsi="宋体" w:cs="仿宋_GB2312"/>
                <w:color w:val="auto"/>
                <w:szCs w:val="21"/>
                <w:highlight w:val="none"/>
              </w:rPr>
              <w:t>1</w:t>
            </w:r>
          </w:p>
        </w:tc>
        <w:tc>
          <w:tcPr>
            <w:tcW w:w="2194" w:type="pct"/>
            <w:tcBorders>
              <w:top w:val="single" w:color="auto" w:sz="4" w:space="0"/>
              <w:left w:val="single" w:color="auto" w:sz="4" w:space="0"/>
              <w:bottom w:val="single" w:color="auto" w:sz="4" w:space="0"/>
              <w:right w:val="single" w:color="auto" w:sz="4" w:space="0"/>
            </w:tcBorders>
            <w:vAlign w:val="center"/>
          </w:tcPr>
          <w:p w14:paraId="7324445D">
            <w:pPr>
              <w:pStyle w:val="9"/>
              <w:spacing w:line="360" w:lineRule="auto"/>
              <w:jc w:val="center"/>
              <w:rPr>
                <w:rFonts w:ascii="宋体" w:hAnsi="宋体" w:cs="仿宋_GB2312"/>
                <w:color w:val="auto"/>
                <w:szCs w:val="21"/>
                <w:highlight w:val="none"/>
              </w:rPr>
            </w:pPr>
          </w:p>
        </w:tc>
        <w:tc>
          <w:tcPr>
            <w:tcW w:w="865" w:type="pct"/>
            <w:tcBorders>
              <w:top w:val="single" w:color="auto" w:sz="4" w:space="0"/>
              <w:left w:val="single" w:color="auto" w:sz="4" w:space="0"/>
              <w:bottom w:val="single" w:color="auto" w:sz="4" w:space="0"/>
              <w:right w:val="single" w:color="auto" w:sz="4" w:space="0"/>
            </w:tcBorders>
            <w:vAlign w:val="center"/>
          </w:tcPr>
          <w:p w14:paraId="4CFDEDD2">
            <w:pPr>
              <w:pStyle w:val="9"/>
              <w:spacing w:line="360" w:lineRule="auto"/>
              <w:jc w:val="center"/>
              <w:rPr>
                <w:rFonts w:ascii="宋体" w:hAnsi="宋体" w:cs="仿宋_GB2312"/>
                <w:color w:val="auto"/>
                <w:szCs w:val="21"/>
                <w:highlight w:val="none"/>
              </w:rPr>
            </w:pPr>
          </w:p>
        </w:tc>
        <w:tc>
          <w:tcPr>
            <w:tcW w:w="873" w:type="pct"/>
            <w:tcBorders>
              <w:top w:val="single" w:color="auto" w:sz="4" w:space="0"/>
              <w:left w:val="single" w:color="auto" w:sz="4" w:space="0"/>
              <w:bottom w:val="single" w:color="auto" w:sz="4" w:space="0"/>
              <w:right w:val="single" w:color="auto" w:sz="4" w:space="0"/>
            </w:tcBorders>
            <w:vAlign w:val="center"/>
          </w:tcPr>
          <w:p w14:paraId="53DCDF06">
            <w:pPr>
              <w:jc w:val="center"/>
              <w:rPr>
                <w:rFonts w:ascii="宋体" w:hAnsi="宋体" w:cs="仿宋_GB2312"/>
                <w:color w:val="auto"/>
                <w:szCs w:val="21"/>
                <w:highlight w:val="none"/>
              </w:rPr>
            </w:pPr>
          </w:p>
        </w:tc>
        <w:tc>
          <w:tcPr>
            <w:tcW w:w="715" w:type="pct"/>
            <w:tcBorders>
              <w:top w:val="single" w:color="auto" w:sz="4" w:space="0"/>
              <w:left w:val="single" w:color="auto" w:sz="4" w:space="0"/>
              <w:bottom w:val="single" w:color="auto" w:sz="4" w:space="0"/>
              <w:right w:val="single" w:color="auto" w:sz="4" w:space="0"/>
            </w:tcBorders>
            <w:vAlign w:val="center"/>
          </w:tcPr>
          <w:p w14:paraId="517CCEFD">
            <w:pPr>
              <w:jc w:val="center"/>
              <w:rPr>
                <w:rFonts w:ascii="宋体" w:hAnsi="宋体" w:cs="仿宋_GB2312"/>
                <w:color w:val="auto"/>
                <w:szCs w:val="21"/>
                <w:highlight w:val="none"/>
              </w:rPr>
            </w:pPr>
          </w:p>
        </w:tc>
      </w:tr>
      <w:tr w14:paraId="0DE7B7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8"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2C0AFBD6">
            <w:pPr>
              <w:jc w:val="left"/>
              <w:rPr>
                <w:rFonts w:ascii="宋体" w:hAnsi="宋体" w:cs="仿宋_GB2312"/>
                <w:color w:val="auto"/>
                <w:szCs w:val="21"/>
                <w:highlight w:val="none"/>
              </w:rPr>
            </w:pPr>
            <w:r>
              <w:rPr>
                <w:rFonts w:hint="eastAsia" w:ascii="宋体" w:hAnsi="宋体" w:cs="仿宋_GB2312"/>
                <w:color w:val="auto"/>
                <w:szCs w:val="21"/>
                <w:highlight w:val="none"/>
              </w:rPr>
              <w:t>（大写）：人民币         元整（小写 ¥          ）</w:t>
            </w:r>
          </w:p>
        </w:tc>
      </w:tr>
      <w:tr w14:paraId="32FD89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8"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0E36AF30">
            <w:pPr>
              <w:jc w:val="left"/>
              <w:rPr>
                <w:rFonts w:ascii="宋体" w:hAnsi="宋体" w:cs="仿宋_GB2312"/>
                <w:color w:val="auto"/>
                <w:szCs w:val="21"/>
                <w:highlight w:val="none"/>
              </w:rPr>
            </w:pPr>
            <w:r>
              <w:rPr>
                <w:rFonts w:hint="eastAsia" w:ascii="宋体" w:hAnsi="宋体" w:cs="仿宋_GB2312"/>
                <w:color w:val="auto"/>
                <w:szCs w:val="21"/>
                <w:highlight w:val="none"/>
              </w:rPr>
              <w:t>合同履约期限：</w:t>
            </w:r>
          </w:p>
        </w:tc>
      </w:tr>
    </w:tbl>
    <w:p w14:paraId="6A1AEC76">
      <w:pPr>
        <w:spacing w:line="360" w:lineRule="auto"/>
        <w:contextualSpacing/>
        <w:jc w:val="left"/>
        <w:rPr>
          <w:rFonts w:ascii="宋体" w:hAnsi="宋体" w:cs="仿宋_GB2312"/>
          <w:color w:val="auto"/>
          <w:sz w:val="24"/>
          <w:highlight w:val="none"/>
        </w:rPr>
      </w:pPr>
      <w:r>
        <w:rPr>
          <w:rFonts w:hint="eastAsia" w:ascii="宋体" w:hAnsi="宋体" w:cs="仿宋_GB2312"/>
          <w:color w:val="auto"/>
          <w:sz w:val="24"/>
          <w:highlight w:val="none"/>
        </w:rPr>
        <w:t xml:space="preserve">注: </w:t>
      </w:r>
    </w:p>
    <w:p w14:paraId="62622FCD">
      <w:pPr>
        <w:spacing w:line="360" w:lineRule="auto"/>
        <w:ind w:firstLine="480" w:firstLineChars="200"/>
        <w:contextualSpacing/>
        <w:jc w:val="left"/>
        <w:rPr>
          <w:rFonts w:ascii="宋体" w:hAnsi="宋体" w:cs="仿宋_GB2312"/>
          <w:color w:val="auto"/>
          <w:sz w:val="24"/>
          <w:highlight w:val="none"/>
        </w:rPr>
      </w:pPr>
      <w:r>
        <w:rPr>
          <w:rFonts w:hint="eastAsia" w:ascii="宋体" w:hAnsi="宋体" w:cs="仿宋_GB2312"/>
          <w:color w:val="auto"/>
          <w:sz w:val="24"/>
          <w:highlight w:val="none"/>
        </w:rPr>
        <w:t>1.供应商的报价表必须加盖供应商电子签章并由</w:t>
      </w:r>
      <w:bookmarkStart w:id="124" w:name="OLE_LINK5"/>
      <w:r>
        <w:rPr>
          <w:rFonts w:hint="eastAsia" w:ascii="宋体" w:hAnsi="宋体" w:cs="仿宋_GB2312"/>
          <w:color w:val="auto"/>
          <w:sz w:val="24"/>
          <w:highlight w:val="none"/>
        </w:rPr>
        <w:t>法定代表人或者委托代理人签字</w:t>
      </w:r>
      <w:bookmarkStart w:id="125" w:name="OLE_LINK6"/>
      <w:r>
        <w:rPr>
          <w:rFonts w:hint="eastAsia" w:ascii="宋体" w:hAnsi="宋体" w:cs="仿宋_GB2312"/>
          <w:color w:val="auto"/>
          <w:sz w:val="24"/>
          <w:highlight w:val="none"/>
        </w:rPr>
        <w:t>或者盖章</w:t>
      </w:r>
      <w:bookmarkEnd w:id="125"/>
      <w:r>
        <w:rPr>
          <w:rFonts w:hint="eastAsia" w:ascii="宋体" w:hAnsi="宋体" w:cs="仿宋_GB2312"/>
          <w:color w:val="auto"/>
          <w:sz w:val="24"/>
          <w:highlight w:val="none"/>
        </w:rPr>
        <w:t>或者电子签名</w:t>
      </w:r>
      <w:bookmarkEnd w:id="124"/>
      <w:r>
        <w:rPr>
          <w:rFonts w:hint="eastAsia" w:ascii="宋体" w:hAnsi="宋体" w:cs="仿宋_GB2312"/>
          <w:color w:val="auto"/>
          <w:sz w:val="24"/>
          <w:highlight w:val="none"/>
        </w:rPr>
        <w:t>，</w:t>
      </w:r>
      <w:r>
        <w:rPr>
          <w:rFonts w:hint="eastAsia" w:ascii="宋体" w:hAnsi="宋体" w:cs="仿宋_GB2312"/>
          <w:b/>
          <w:color w:val="auto"/>
          <w:sz w:val="24"/>
          <w:highlight w:val="none"/>
        </w:rPr>
        <w:t>否则其响应文件按无效处理</w:t>
      </w:r>
      <w:r>
        <w:rPr>
          <w:rFonts w:hint="eastAsia" w:ascii="宋体" w:hAnsi="宋体" w:cs="仿宋_GB2312"/>
          <w:color w:val="auto"/>
          <w:sz w:val="24"/>
          <w:highlight w:val="none"/>
        </w:rPr>
        <w:t>。</w:t>
      </w:r>
    </w:p>
    <w:p w14:paraId="6048D241">
      <w:pPr>
        <w:spacing w:line="360" w:lineRule="auto"/>
        <w:ind w:firstLine="480" w:firstLineChars="200"/>
        <w:contextualSpacing/>
        <w:jc w:val="left"/>
        <w:rPr>
          <w:rFonts w:ascii="宋体" w:hAnsi="宋体" w:cs="仿宋_GB2312"/>
          <w:b/>
          <w:color w:val="auto"/>
          <w:sz w:val="24"/>
          <w:highlight w:val="none"/>
        </w:rPr>
      </w:pPr>
      <w:r>
        <w:rPr>
          <w:rFonts w:hint="eastAsia" w:ascii="宋体" w:hAnsi="宋体" w:cs="仿宋_GB2312"/>
          <w:bCs/>
          <w:color w:val="auto"/>
          <w:sz w:val="24"/>
          <w:highlight w:val="none"/>
        </w:rPr>
        <w:t>2.</w:t>
      </w:r>
      <w:r>
        <w:rPr>
          <w:rFonts w:hint="eastAsia" w:ascii="宋体" w:hAnsi="宋体" w:cs="仿宋_GB2312"/>
          <w:color w:val="auto"/>
          <w:sz w:val="24"/>
          <w:highlight w:val="none"/>
        </w:rPr>
        <w:t>报价一经涂改，应在涂改处加盖供应商公章或者加盖电子签章或者由法定代表人或者授权委托人签字</w:t>
      </w:r>
      <w:r>
        <w:rPr>
          <w:rFonts w:hint="eastAsia" w:ascii="宋体" w:hAnsi="宋体"/>
          <w:color w:val="auto"/>
          <w:sz w:val="24"/>
          <w:highlight w:val="none"/>
        </w:rPr>
        <w:t>（</w:t>
      </w:r>
      <w:r>
        <w:rPr>
          <w:rFonts w:hint="eastAsia" w:ascii="宋体" w:hAnsi="宋体" w:cs="仿宋_GB2312"/>
          <w:color w:val="auto"/>
          <w:sz w:val="24"/>
          <w:highlight w:val="none"/>
        </w:rPr>
        <w:t>或者盖章</w:t>
      </w:r>
      <w:r>
        <w:rPr>
          <w:rFonts w:hint="eastAsia" w:ascii="宋体" w:hAnsi="宋体"/>
          <w:color w:val="auto"/>
          <w:sz w:val="24"/>
          <w:highlight w:val="none"/>
        </w:rPr>
        <w:t>或者电子签名）</w:t>
      </w:r>
      <w:r>
        <w:rPr>
          <w:rFonts w:hint="eastAsia" w:ascii="宋体" w:hAnsi="宋体" w:cs="仿宋_GB2312"/>
          <w:b/>
          <w:color w:val="auto"/>
          <w:sz w:val="24"/>
          <w:highlight w:val="none"/>
        </w:rPr>
        <w:t>，否则其响应文件按无效处理。</w:t>
      </w:r>
    </w:p>
    <w:p w14:paraId="2656BF48">
      <w:pPr>
        <w:spacing w:line="360" w:lineRule="auto"/>
        <w:ind w:firstLine="480" w:firstLineChars="200"/>
        <w:contextualSpacing/>
        <w:jc w:val="left"/>
        <w:rPr>
          <w:rFonts w:ascii="宋体" w:hAnsi="宋体" w:cs="仿宋_GB2312"/>
          <w:b/>
          <w:color w:val="auto"/>
          <w:sz w:val="24"/>
          <w:highlight w:val="none"/>
        </w:rPr>
      </w:pPr>
      <w:r>
        <w:rPr>
          <w:rFonts w:ascii="宋体" w:hAnsi="宋体" w:cs="仿宋_GB2312"/>
          <w:color w:val="auto"/>
          <w:sz w:val="24"/>
          <w:highlight w:val="none"/>
        </w:rPr>
        <w:t>3</w:t>
      </w:r>
      <w:r>
        <w:rPr>
          <w:rFonts w:hint="eastAsia" w:ascii="宋体" w:hAnsi="宋体" w:cs="仿宋_GB2312"/>
          <w:color w:val="auto"/>
          <w:sz w:val="24"/>
          <w:highlight w:val="none"/>
        </w:rPr>
        <w:t>.如为联合体竞标，“供应商名称”处必须列明联合体各方名称，标注联合体牵头人名称，</w:t>
      </w:r>
      <w:r>
        <w:rPr>
          <w:rFonts w:hint="eastAsia" w:ascii="宋体" w:hAnsi="宋体" w:cs="仿宋_GB2312"/>
          <w:b/>
          <w:color w:val="auto"/>
          <w:sz w:val="24"/>
          <w:highlight w:val="none"/>
        </w:rPr>
        <w:t>否则其响应文件按无效响应处理。</w:t>
      </w:r>
    </w:p>
    <w:p w14:paraId="269469B8">
      <w:pPr>
        <w:spacing w:line="360" w:lineRule="auto"/>
        <w:ind w:firstLine="480" w:firstLineChars="200"/>
        <w:contextualSpacing/>
        <w:jc w:val="left"/>
        <w:rPr>
          <w:rFonts w:ascii="宋体" w:hAnsi="宋体" w:cs="仿宋_GB2312"/>
          <w:color w:val="auto"/>
          <w:sz w:val="24"/>
          <w:highlight w:val="none"/>
        </w:rPr>
      </w:pPr>
      <w:r>
        <w:rPr>
          <w:rFonts w:ascii="宋体" w:hAnsi="宋体" w:cs="仿宋_GB2312"/>
          <w:color w:val="auto"/>
          <w:sz w:val="24"/>
          <w:highlight w:val="none"/>
        </w:rPr>
        <w:t>4</w:t>
      </w:r>
      <w:r>
        <w:rPr>
          <w:rFonts w:hint="eastAsia" w:ascii="宋体" w:hAnsi="宋体" w:cs="仿宋_GB2312"/>
          <w:color w:val="auto"/>
          <w:sz w:val="24"/>
          <w:highlight w:val="none"/>
        </w:rPr>
        <w:t>.如为联合体竞标，</w:t>
      </w:r>
      <w:r>
        <w:rPr>
          <w:rFonts w:hint="eastAsia" w:ascii="宋体" w:hAnsi="宋体"/>
          <w:color w:val="auto"/>
          <w:spacing w:val="-6"/>
          <w:sz w:val="24"/>
          <w:highlight w:val="none"/>
        </w:rPr>
        <w:t>盖章处须加盖联合体牵头人电子签章</w:t>
      </w:r>
      <w:r>
        <w:rPr>
          <w:rFonts w:hint="eastAsia" w:ascii="宋体" w:hAnsi="宋体" w:cs="仿宋_GB2312"/>
          <w:color w:val="auto"/>
          <w:sz w:val="24"/>
          <w:highlight w:val="none"/>
        </w:rPr>
        <w:t>，</w:t>
      </w:r>
      <w:r>
        <w:rPr>
          <w:rFonts w:hint="eastAsia" w:ascii="宋体" w:hAnsi="宋体" w:cs="仿宋_GB2312"/>
          <w:b/>
          <w:color w:val="auto"/>
          <w:sz w:val="24"/>
          <w:highlight w:val="none"/>
        </w:rPr>
        <w:t>否则其响应文件按无效处理。</w:t>
      </w:r>
    </w:p>
    <w:p w14:paraId="5550C2AB">
      <w:pPr>
        <w:spacing w:line="360" w:lineRule="auto"/>
        <w:ind w:firstLine="480" w:firstLineChars="200"/>
        <w:contextualSpacing/>
        <w:rPr>
          <w:rFonts w:ascii="宋体" w:hAnsi="宋体" w:cs="仿宋_GB2312"/>
          <w:color w:val="auto"/>
          <w:sz w:val="24"/>
          <w:highlight w:val="none"/>
        </w:rPr>
      </w:pPr>
      <w:r>
        <w:rPr>
          <w:rFonts w:ascii="宋体" w:hAnsi="宋体" w:cs="仿宋_GB2312"/>
          <w:color w:val="auto"/>
          <w:sz w:val="24"/>
          <w:highlight w:val="none"/>
        </w:rPr>
        <w:t>5</w:t>
      </w:r>
      <w:r>
        <w:rPr>
          <w:rFonts w:hint="eastAsia" w:ascii="宋体" w:hAnsi="宋体" w:cs="仿宋_GB2312"/>
          <w:color w:val="auto"/>
          <w:sz w:val="24"/>
          <w:highlight w:val="none"/>
        </w:rPr>
        <w:t>.</w:t>
      </w:r>
      <w:r>
        <w:rPr>
          <w:rFonts w:hint="eastAsia" w:ascii="宋体" w:hAnsi="宋体" w:cs="仿宋_GB2312"/>
          <w:color w:val="auto"/>
          <w:spacing w:val="-6"/>
          <w:sz w:val="24"/>
          <w:highlight w:val="none"/>
        </w:rPr>
        <w:t>如有多分标，分别列明各分标的报价表，</w:t>
      </w:r>
      <w:r>
        <w:rPr>
          <w:rFonts w:hint="eastAsia" w:ascii="宋体" w:hAnsi="宋体" w:cs="仿宋_GB2312"/>
          <w:b/>
          <w:color w:val="auto"/>
          <w:spacing w:val="-6"/>
          <w:sz w:val="24"/>
          <w:highlight w:val="none"/>
        </w:rPr>
        <w:t>否则其响应文件按无效响应处理。</w:t>
      </w:r>
    </w:p>
    <w:p w14:paraId="7DFDDEB3">
      <w:pPr>
        <w:spacing w:line="360" w:lineRule="auto"/>
        <w:ind w:right="-817" w:rightChars="-389"/>
        <w:contextualSpacing/>
        <w:rPr>
          <w:rFonts w:ascii="宋体" w:hAnsi="宋体" w:cs="仿宋_GB2312"/>
          <w:color w:val="auto"/>
          <w:sz w:val="24"/>
          <w:highlight w:val="none"/>
        </w:rPr>
      </w:pPr>
    </w:p>
    <w:p w14:paraId="3EDC6344">
      <w:pPr>
        <w:spacing w:line="360" w:lineRule="auto"/>
        <w:ind w:right="-817" w:rightChars="-389"/>
        <w:contextualSpacing/>
        <w:rPr>
          <w:rFonts w:ascii="宋体" w:hAnsi="宋体" w:cs="仿宋_GB2312"/>
          <w:color w:val="auto"/>
          <w:sz w:val="24"/>
          <w:highlight w:val="none"/>
        </w:rPr>
      </w:pPr>
      <w:r>
        <w:rPr>
          <w:rFonts w:hint="eastAsia" w:ascii="宋体" w:hAnsi="宋体" w:cs="仿宋_GB2312"/>
          <w:color w:val="auto"/>
          <w:sz w:val="24"/>
          <w:highlight w:val="none"/>
        </w:rPr>
        <w:t xml:space="preserve">                   </w:t>
      </w:r>
    </w:p>
    <w:p w14:paraId="47984ABF">
      <w:pPr>
        <w:spacing w:line="360" w:lineRule="auto"/>
        <w:ind w:right="-817" w:rightChars="-389" w:firstLine="1680" w:firstLineChars="7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527F73DC">
      <w:pPr>
        <w:spacing w:line="360" w:lineRule="auto"/>
        <w:ind w:right="-817" w:rightChars="-389" w:firstLine="1680" w:firstLineChars="700"/>
        <w:contextualSpacing/>
        <w:rPr>
          <w:rFonts w:ascii="宋体" w:hAnsi="宋体" w:cs="仿宋_GB2312"/>
          <w:color w:val="auto"/>
          <w:sz w:val="24"/>
          <w:highlight w:val="none"/>
        </w:rPr>
      </w:pPr>
      <w:r>
        <w:rPr>
          <w:rFonts w:hint="eastAsia" w:ascii="宋体" w:hAnsi="宋体" w:cs="仿宋_GB2312"/>
          <w:color w:val="auto"/>
          <w:sz w:val="24"/>
          <w:highlight w:val="none"/>
        </w:rPr>
        <w:t>法定代表人或者委托代理人（签字或者盖章或者电子签名）：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5AE87057">
      <w:pPr>
        <w:spacing w:line="360" w:lineRule="auto"/>
        <w:ind w:right="-817" w:rightChars="-389" w:firstLine="4080" w:firstLineChars="1700"/>
        <w:contextualSpacing/>
        <w:rPr>
          <w:rFonts w:ascii="宋体" w:hAnsi="宋体" w:cs="仿宋_GB2312"/>
          <w:b/>
          <w:color w:val="auto"/>
          <w:sz w:val="24"/>
          <w:highlight w:val="none"/>
        </w:rPr>
      </w:pPr>
      <w:r>
        <w:rPr>
          <w:rFonts w:hint="eastAsia" w:ascii="宋体" w:hAnsi="宋体" w:cs="仿宋_GB2312"/>
          <w:color w:val="auto"/>
          <w:sz w:val="24"/>
          <w:highlight w:val="none"/>
        </w:rPr>
        <w:t>日期：   年   月   日</w:t>
      </w:r>
    </w:p>
    <w:p w14:paraId="59B284D8">
      <w:pPr>
        <w:spacing w:line="360" w:lineRule="auto"/>
        <w:ind w:right="420"/>
        <w:contextualSpacing/>
        <w:jc w:val="left"/>
        <w:rPr>
          <w:rFonts w:ascii="宋体" w:hAnsi="宋体"/>
          <w:b/>
          <w:color w:val="auto"/>
          <w:sz w:val="32"/>
          <w:szCs w:val="32"/>
          <w:highlight w:val="none"/>
        </w:rPr>
      </w:pPr>
      <w:r>
        <w:rPr>
          <w:rFonts w:ascii="宋体" w:hAnsi="宋体"/>
          <w:b/>
          <w:bCs/>
          <w:color w:val="auto"/>
          <w:sz w:val="32"/>
          <w:szCs w:val="32"/>
          <w:highlight w:val="none"/>
        </w:rPr>
        <w:br w:type="page"/>
      </w:r>
      <w:r>
        <w:rPr>
          <w:rFonts w:hint="eastAsia" w:ascii="宋体" w:hAnsi="宋体"/>
          <w:b/>
          <w:bCs/>
          <w:color w:val="auto"/>
          <w:sz w:val="32"/>
          <w:szCs w:val="32"/>
          <w:highlight w:val="none"/>
        </w:rPr>
        <w:t>三、</w:t>
      </w:r>
      <w:r>
        <w:rPr>
          <w:rFonts w:hint="eastAsia" w:ascii="宋体" w:hAnsi="宋体"/>
          <w:b/>
          <w:color w:val="auto"/>
          <w:sz w:val="32"/>
          <w:szCs w:val="32"/>
          <w:highlight w:val="none"/>
        </w:rPr>
        <w:t xml:space="preserve">商务技术文件格式 </w:t>
      </w:r>
    </w:p>
    <w:p w14:paraId="68ACBF91">
      <w:pPr>
        <w:snapToGrid w:val="0"/>
        <w:spacing w:before="156"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1.商务技术文件封面格式</w:t>
      </w:r>
    </w:p>
    <w:p w14:paraId="20698CDA">
      <w:pPr>
        <w:snapToGrid w:val="0"/>
        <w:spacing w:before="156" w:beforeLines="50" w:after="50"/>
        <w:rPr>
          <w:rFonts w:ascii="宋体" w:hAnsi="宋体"/>
          <w:bCs/>
          <w:color w:val="auto"/>
          <w:sz w:val="32"/>
          <w:szCs w:val="20"/>
          <w:highlight w:val="none"/>
        </w:rPr>
      </w:pPr>
      <w:r>
        <w:rPr>
          <w:rFonts w:hint="eastAsia" w:ascii="宋体" w:hAnsi="宋体"/>
          <w:color w:val="auto"/>
          <w:sz w:val="24"/>
          <w:highlight w:val="none"/>
        </w:rPr>
        <w:t xml:space="preserve">                                                    </w:t>
      </w:r>
    </w:p>
    <w:p w14:paraId="083A91AC">
      <w:pPr>
        <w:snapToGrid w:val="0"/>
        <w:spacing w:before="156" w:beforeLines="50" w:after="50"/>
        <w:jc w:val="center"/>
        <w:rPr>
          <w:rFonts w:ascii="宋体" w:hAnsi="宋体"/>
          <w:color w:val="auto"/>
          <w:sz w:val="24"/>
          <w:szCs w:val="20"/>
          <w:highlight w:val="none"/>
        </w:rPr>
      </w:pPr>
      <w:r>
        <w:rPr>
          <w:rFonts w:hint="eastAsia" w:ascii="宋体" w:hAnsi="宋体"/>
          <w:color w:val="auto"/>
          <w:sz w:val="44"/>
          <w:szCs w:val="44"/>
          <w:highlight w:val="none"/>
        </w:rPr>
        <w:t>电 子 响 应 文 件</w:t>
      </w:r>
    </w:p>
    <w:p w14:paraId="7C60FCDA">
      <w:pPr>
        <w:snapToGrid w:val="0"/>
        <w:spacing w:before="156" w:beforeLines="50" w:after="50"/>
        <w:rPr>
          <w:rFonts w:ascii="宋体" w:hAnsi="宋体"/>
          <w:color w:val="auto"/>
          <w:sz w:val="24"/>
          <w:szCs w:val="20"/>
          <w:highlight w:val="none"/>
        </w:rPr>
      </w:pPr>
    </w:p>
    <w:p w14:paraId="262C6B69">
      <w:pPr>
        <w:snapToGrid w:val="0"/>
        <w:spacing w:before="156" w:beforeLines="50" w:after="50"/>
        <w:rPr>
          <w:rFonts w:ascii="宋体" w:hAnsi="宋体"/>
          <w:color w:val="auto"/>
          <w:sz w:val="24"/>
          <w:szCs w:val="20"/>
          <w:highlight w:val="none"/>
        </w:rPr>
      </w:pPr>
    </w:p>
    <w:p w14:paraId="42D01B39">
      <w:pPr>
        <w:snapToGrid w:val="0"/>
        <w:spacing w:before="156" w:beforeLines="50" w:after="50"/>
        <w:jc w:val="center"/>
        <w:rPr>
          <w:rFonts w:ascii="宋体" w:hAnsi="宋体" w:cs="宋体"/>
          <w:bCs/>
          <w:color w:val="auto"/>
          <w:sz w:val="44"/>
          <w:szCs w:val="44"/>
          <w:highlight w:val="none"/>
        </w:rPr>
      </w:pPr>
      <w:r>
        <w:rPr>
          <w:rFonts w:hint="eastAsia" w:ascii="宋体" w:hAnsi="宋体" w:cs="宋体"/>
          <w:bCs/>
          <w:color w:val="auto"/>
          <w:sz w:val="44"/>
          <w:szCs w:val="44"/>
          <w:highlight w:val="none"/>
        </w:rPr>
        <w:t>商  务  技  术  文  件</w:t>
      </w:r>
    </w:p>
    <w:p w14:paraId="14098970">
      <w:pPr>
        <w:snapToGrid w:val="0"/>
        <w:spacing w:before="156" w:beforeLines="50" w:after="50"/>
        <w:rPr>
          <w:rFonts w:ascii="宋体" w:hAnsi="宋体"/>
          <w:bCs/>
          <w:color w:val="auto"/>
          <w:sz w:val="24"/>
          <w:szCs w:val="20"/>
          <w:highlight w:val="none"/>
        </w:rPr>
      </w:pPr>
    </w:p>
    <w:p w14:paraId="0FC83F9B">
      <w:pPr>
        <w:snapToGrid w:val="0"/>
        <w:spacing w:before="156" w:beforeLines="50" w:after="50"/>
        <w:rPr>
          <w:rFonts w:ascii="宋体" w:hAnsi="宋体"/>
          <w:bCs/>
          <w:color w:val="auto"/>
          <w:sz w:val="24"/>
          <w:szCs w:val="20"/>
          <w:highlight w:val="none"/>
        </w:rPr>
      </w:pPr>
    </w:p>
    <w:p w14:paraId="3CD51FDC">
      <w:pPr>
        <w:snapToGrid w:val="0"/>
        <w:spacing w:before="156" w:beforeLines="50" w:after="50"/>
        <w:rPr>
          <w:rFonts w:ascii="宋体" w:hAnsi="宋体"/>
          <w:bCs/>
          <w:color w:val="auto"/>
          <w:sz w:val="24"/>
          <w:szCs w:val="20"/>
          <w:highlight w:val="none"/>
        </w:rPr>
      </w:pPr>
    </w:p>
    <w:p w14:paraId="4FDCE9CF">
      <w:pPr>
        <w:snapToGrid w:val="0"/>
        <w:spacing w:before="156" w:beforeLines="50" w:after="50"/>
        <w:rPr>
          <w:rFonts w:ascii="宋体" w:hAnsi="宋体"/>
          <w:bCs/>
          <w:color w:val="auto"/>
          <w:sz w:val="24"/>
          <w:szCs w:val="20"/>
          <w:highlight w:val="none"/>
        </w:rPr>
      </w:pPr>
    </w:p>
    <w:p w14:paraId="1BFE6CA1">
      <w:pPr>
        <w:snapToGrid w:val="0"/>
        <w:spacing w:before="156" w:beforeLines="50" w:after="50"/>
        <w:rPr>
          <w:rFonts w:ascii="宋体" w:hAnsi="宋体"/>
          <w:bCs/>
          <w:color w:val="auto"/>
          <w:sz w:val="24"/>
          <w:szCs w:val="20"/>
          <w:highlight w:val="none"/>
        </w:rPr>
      </w:pPr>
    </w:p>
    <w:p w14:paraId="262DF755">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37F7FA3D">
      <w:pPr>
        <w:snapToGrid w:val="0"/>
        <w:spacing w:before="156" w:beforeLines="50" w:after="50"/>
        <w:ind w:firstLine="720" w:firstLineChars="225"/>
        <w:rPr>
          <w:rFonts w:ascii="宋体" w:hAnsi="宋体" w:cs="仿宋_GB2312"/>
          <w:bCs/>
          <w:color w:val="auto"/>
          <w:sz w:val="32"/>
          <w:szCs w:val="32"/>
          <w:highlight w:val="none"/>
        </w:rPr>
      </w:pPr>
    </w:p>
    <w:p w14:paraId="451873F5">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5015D910">
      <w:pPr>
        <w:snapToGrid w:val="0"/>
        <w:spacing w:before="156"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7DD4C413">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6857058C">
      <w:pPr>
        <w:snapToGrid w:val="0"/>
        <w:spacing w:before="156" w:beforeLines="50" w:after="50"/>
        <w:ind w:firstLine="720" w:firstLineChars="225"/>
        <w:rPr>
          <w:rFonts w:ascii="宋体" w:hAnsi="宋体" w:cs="仿宋_GB2312"/>
          <w:bCs/>
          <w:color w:val="auto"/>
          <w:sz w:val="32"/>
          <w:szCs w:val="32"/>
          <w:highlight w:val="none"/>
        </w:rPr>
      </w:pPr>
    </w:p>
    <w:p w14:paraId="304EA3EB">
      <w:pPr>
        <w:pStyle w:val="6"/>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2891818">
      <w:pPr>
        <w:pStyle w:val="6"/>
        <w:snapToGrid w:val="0"/>
        <w:spacing w:before="50" w:after="50"/>
        <w:ind w:firstLine="640" w:firstLineChars="200"/>
        <w:rPr>
          <w:rFonts w:ascii="宋体" w:hAnsi="宋体" w:cs="仿宋_GB2312"/>
          <w:bCs/>
          <w:color w:val="auto"/>
          <w:sz w:val="32"/>
          <w:szCs w:val="32"/>
          <w:highlight w:val="none"/>
        </w:rPr>
      </w:pPr>
    </w:p>
    <w:p w14:paraId="4AF4F2C6">
      <w:pPr>
        <w:pStyle w:val="6"/>
        <w:snapToGrid w:val="0"/>
        <w:spacing w:before="50" w:after="50"/>
        <w:ind w:firstLine="720" w:firstLineChars="225"/>
        <w:rPr>
          <w:rFonts w:ascii="宋体" w:hAnsi="宋体" w:cs="仿宋_GB2312"/>
          <w:bCs/>
          <w:color w:val="auto"/>
          <w:sz w:val="32"/>
          <w:szCs w:val="32"/>
          <w:highlight w:val="none"/>
        </w:rPr>
      </w:pPr>
    </w:p>
    <w:p w14:paraId="6945F52A">
      <w:pPr>
        <w:pStyle w:val="6"/>
        <w:snapToGrid w:val="0"/>
        <w:spacing w:before="50" w:after="50"/>
        <w:ind w:firstLine="0"/>
        <w:rPr>
          <w:rFonts w:ascii="宋体" w:hAnsi="宋体" w:cs="仿宋_GB2312"/>
          <w:bCs/>
          <w:color w:val="auto"/>
          <w:sz w:val="32"/>
          <w:szCs w:val="32"/>
          <w:highlight w:val="none"/>
        </w:rPr>
      </w:pPr>
    </w:p>
    <w:p w14:paraId="1BB5499D">
      <w:pPr>
        <w:pStyle w:val="6"/>
        <w:snapToGrid w:val="0"/>
        <w:spacing w:before="50" w:after="50"/>
        <w:ind w:firstLine="1280" w:firstLineChars="400"/>
        <w:rPr>
          <w:rFonts w:ascii="宋体" w:hAnsi="宋体" w:cs="仿宋_GB2312"/>
          <w:bCs/>
          <w:color w:val="auto"/>
          <w:sz w:val="32"/>
          <w:szCs w:val="32"/>
          <w:highlight w:val="none"/>
        </w:rPr>
      </w:pPr>
    </w:p>
    <w:p w14:paraId="183D61C4">
      <w:pPr>
        <w:snapToGrid w:val="0"/>
        <w:spacing w:before="156"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4463797A">
      <w:pPr>
        <w:snapToGrid w:val="0"/>
        <w:spacing w:before="156" w:beforeLines="50" w:after="50" w:line="360" w:lineRule="auto"/>
        <w:ind w:right="480" w:firstLine="240" w:firstLineChars="100"/>
        <w:jc w:val="left"/>
        <w:rPr>
          <w:rFonts w:ascii="宋体" w:hAnsi="宋体"/>
          <w:b/>
          <w:bCs/>
          <w:color w:val="auto"/>
          <w:sz w:val="24"/>
          <w:highlight w:val="none"/>
        </w:rPr>
      </w:pPr>
      <w:r>
        <w:rPr>
          <w:rFonts w:ascii="宋体" w:hAnsi="宋体"/>
          <w:color w:val="auto"/>
          <w:sz w:val="24"/>
          <w:highlight w:val="none"/>
        </w:rPr>
        <w:br w:type="page"/>
      </w:r>
      <w:r>
        <w:rPr>
          <w:rFonts w:hint="eastAsia" w:ascii="宋体" w:hAnsi="宋体"/>
          <w:b/>
          <w:bCs/>
          <w:color w:val="auto"/>
          <w:sz w:val="32"/>
          <w:szCs w:val="32"/>
          <w:highlight w:val="none"/>
        </w:rPr>
        <w:t>2.商务技术文件目录</w:t>
      </w:r>
    </w:p>
    <w:p w14:paraId="252B9E6C">
      <w:pPr>
        <w:snapToGrid w:val="0"/>
        <w:spacing w:before="156" w:beforeLines="50" w:after="50" w:line="360" w:lineRule="auto"/>
        <w:ind w:firstLine="640" w:firstLineChars="200"/>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5B269F5B">
      <w:pPr>
        <w:spacing w:line="400" w:lineRule="exact"/>
        <w:rPr>
          <w:rFonts w:ascii="仿宋_GB2312" w:hAnsi="仿宋_GB2312" w:eastAsia="仿宋_GB2312" w:cs="仿宋_GB2312"/>
          <w:color w:val="auto"/>
          <w:sz w:val="32"/>
          <w:szCs w:val="32"/>
          <w:highlight w:val="none"/>
        </w:rPr>
      </w:pPr>
    </w:p>
    <w:p w14:paraId="64544E19">
      <w:pPr>
        <w:spacing w:line="520" w:lineRule="exact"/>
        <w:jc w:val="center"/>
        <w:rPr>
          <w:rFonts w:ascii="宋体" w:hAnsi="宋体" w:cs="宋体"/>
          <w:color w:val="auto"/>
          <w:sz w:val="44"/>
          <w:szCs w:val="44"/>
          <w:highlight w:val="none"/>
        </w:rPr>
      </w:pPr>
      <w:r>
        <w:rPr>
          <w:rFonts w:hint="eastAsia" w:ascii="宋体" w:hAnsi="宋体" w:cs="宋体"/>
          <w:color w:val="auto"/>
          <w:sz w:val="44"/>
          <w:szCs w:val="44"/>
          <w:highlight w:val="none"/>
        </w:rPr>
        <w:br w:type="page"/>
      </w:r>
      <w:r>
        <w:rPr>
          <w:rFonts w:hint="eastAsia" w:ascii="宋体" w:hAnsi="宋体" w:cs="宋体"/>
          <w:color w:val="auto"/>
          <w:sz w:val="44"/>
          <w:szCs w:val="44"/>
          <w:highlight w:val="none"/>
        </w:rPr>
        <w:t>无串通竞标行为的承诺函</w:t>
      </w:r>
    </w:p>
    <w:p w14:paraId="0E3AB2A4">
      <w:pPr>
        <w:spacing w:line="520" w:lineRule="exact"/>
        <w:jc w:val="center"/>
        <w:rPr>
          <w:rFonts w:ascii="宋体" w:hAnsi="宋体" w:cs="宋体"/>
          <w:color w:val="auto"/>
          <w:sz w:val="44"/>
          <w:szCs w:val="44"/>
          <w:highlight w:val="none"/>
        </w:rPr>
      </w:pPr>
    </w:p>
    <w:p w14:paraId="5B9994A0">
      <w:pPr>
        <w:snapToGrid w:val="0"/>
        <w:spacing w:line="440" w:lineRule="exact"/>
        <w:jc w:val="left"/>
        <w:rPr>
          <w:rFonts w:ascii="宋体" w:hAnsi="宋体"/>
          <w:b/>
          <w:color w:val="auto"/>
          <w:sz w:val="24"/>
          <w:highlight w:val="none"/>
        </w:rPr>
      </w:pPr>
      <w:r>
        <w:rPr>
          <w:rFonts w:hint="eastAsia" w:ascii="宋体" w:hAnsi="宋体"/>
          <w:b/>
          <w:color w:val="auto"/>
          <w:sz w:val="24"/>
          <w:highlight w:val="none"/>
        </w:rPr>
        <w:t>一、我方承诺无下列相互串通投标的情形：</w:t>
      </w:r>
    </w:p>
    <w:p w14:paraId="3BAECB8F">
      <w:pPr>
        <w:snapToGrid w:val="0"/>
        <w:spacing w:line="440" w:lineRule="exact"/>
        <w:ind w:firstLine="470" w:firstLineChars="196"/>
        <w:jc w:val="left"/>
        <w:rPr>
          <w:rFonts w:ascii="宋体" w:hAnsi="宋体"/>
          <w:color w:val="auto"/>
          <w:sz w:val="24"/>
          <w:highlight w:val="none"/>
        </w:rPr>
      </w:pPr>
      <w:r>
        <w:rPr>
          <w:rFonts w:hint="eastAsia" w:ascii="宋体" w:hAnsi="宋体"/>
          <w:color w:val="auto"/>
          <w:sz w:val="24"/>
          <w:highlight w:val="none"/>
        </w:rPr>
        <w:t>1.不同竞标人的投标文件由同一单位或者个人编制；或者不同竞标人报名的IP地址一致的；或者编制标书硬件设备CPU编号、硬盘编号、网卡地址一致的情况。</w:t>
      </w:r>
    </w:p>
    <w:p w14:paraId="5308FB0F">
      <w:pPr>
        <w:snapToGrid w:val="0"/>
        <w:spacing w:line="440" w:lineRule="exact"/>
        <w:ind w:firstLine="470" w:firstLineChars="196"/>
        <w:jc w:val="left"/>
        <w:rPr>
          <w:rFonts w:ascii="宋体" w:hAnsi="宋体"/>
          <w:color w:val="auto"/>
          <w:sz w:val="24"/>
          <w:highlight w:val="none"/>
        </w:rPr>
      </w:pPr>
      <w:r>
        <w:rPr>
          <w:rFonts w:hint="eastAsia" w:ascii="宋体" w:hAnsi="宋体"/>
          <w:color w:val="auto"/>
          <w:sz w:val="24"/>
          <w:highlight w:val="none"/>
        </w:rPr>
        <w:t>2.不同竞标人委托同一单位或者个人办理投标事宜；</w:t>
      </w:r>
    </w:p>
    <w:p w14:paraId="1ED9130C">
      <w:pPr>
        <w:snapToGrid w:val="0"/>
        <w:spacing w:line="440" w:lineRule="exact"/>
        <w:ind w:firstLine="470" w:firstLineChars="196"/>
        <w:jc w:val="left"/>
        <w:rPr>
          <w:rFonts w:ascii="宋体" w:hAnsi="宋体"/>
          <w:color w:val="auto"/>
          <w:sz w:val="24"/>
          <w:highlight w:val="none"/>
        </w:rPr>
      </w:pPr>
      <w:r>
        <w:rPr>
          <w:rFonts w:hint="eastAsia" w:ascii="宋体" w:hAnsi="宋体"/>
          <w:color w:val="auto"/>
          <w:sz w:val="24"/>
          <w:highlight w:val="none"/>
        </w:rPr>
        <w:t>3.不同的竞标人的投标文件载明的项目管理员为同一个人；</w:t>
      </w:r>
    </w:p>
    <w:p w14:paraId="34EFE407">
      <w:pPr>
        <w:snapToGrid w:val="0"/>
        <w:spacing w:line="440" w:lineRule="exact"/>
        <w:ind w:firstLine="470" w:firstLineChars="196"/>
        <w:jc w:val="left"/>
        <w:rPr>
          <w:rFonts w:ascii="宋体" w:hAnsi="宋体"/>
          <w:color w:val="auto"/>
          <w:sz w:val="24"/>
          <w:highlight w:val="none"/>
        </w:rPr>
      </w:pPr>
      <w:r>
        <w:rPr>
          <w:rFonts w:hint="eastAsia" w:ascii="宋体" w:hAnsi="宋体"/>
          <w:color w:val="auto"/>
          <w:sz w:val="24"/>
          <w:highlight w:val="none"/>
        </w:rPr>
        <w:t>4.不同竞标人的投标文件异常一致或者投标报价呈规律性差异；</w:t>
      </w:r>
    </w:p>
    <w:p w14:paraId="47B11BA7">
      <w:pPr>
        <w:snapToGrid w:val="0"/>
        <w:spacing w:line="440" w:lineRule="exact"/>
        <w:ind w:firstLine="470" w:firstLineChars="196"/>
        <w:jc w:val="left"/>
        <w:rPr>
          <w:rFonts w:ascii="宋体" w:hAnsi="宋体"/>
          <w:color w:val="auto"/>
          <w:sz w:val="24"/>
          <w:highlight w:val="none"/>
        </w:rPr>
      </w:pPr>
      <w:r>
        <w:rPr>
          <w:rFonts w:hint="eastAsia" w:ascii="宋体" w:hAnsi="宋体"/>
          <w:color w:val="auto"/>
          <w:sz w:val="24"/>
          <w:highlight w:val="none"/>
        </w:rPr>
        <w:t>5.不同竞标人的投标文件相互混装；</w:t>
      </w:r>
    </w:p>
    <w:p w14:paraId="0496A394">
      <w:pPr>
        <w:snapToGrid w:val="0"/>
        <w:spacing w:line="440" w:lineRule="exact"/>
        <w:ind w:firstLine="470" w:firstLineChars="196"/>
        <w:jc w:val="left"/>
        <w:rPr>
          <w:rFonts w:ascii="宋体" w:hAnsi="宋体"/>
          <w:color w:val="auto"/>
          <w:sz w:val="24"/>
          <w:highlight w:val="none"/>
        </w:rPr>
      </w:pPr>
      <w:r>
        <w:rPr>
          <w:rFonts w:hint="eastAsia" w:ascii="宋体" w:hAnsi="宋体"/>
          <w:color w:val="auto"/>
          <w:sz w:val="24"/>
          <w:highlight w:val="none"/>
        </w:rPr>
        <w:t>6.不同竞标人的投标保证金从同一单位或者个人账户转出。</w:t>
      </w:r>
    </w:p>
    <w:p w14:paraId="022832F6">
      <w:pPr>
        <w:snapToGrid w:val="0"/>
        <w:spacing w:line="440" w:lineRule="exact"/>
        <w:jc w:val="left"/>
        <w:rPr>
          <w:rFonts w:ascii="宋体" w:hAnsi="宋体"/>
          <w:color w:val="auto"/>
          <w:sz w:val="24"/>
          <w:highlight w:val="none"/>
        </w:rPr>
      </w:pPr>
      <w:r>
        <w:rPr>
          <w:rFonts w:hint="eastAsia" w:ascii="宋体" w:hAnsi="宋体"/>
          <w:b/>
          <w:color w:val="auto"/>
          <w:sz w:val="24"/>
          <w:highlight w:val="none"/>
        </w:rPr>
        <w:t>二、我方承诺无下列恶意串通的情形：</w:t>
      </w:r>
    </w:p>
    <w:p w14:paraId="726D10EE">
      <w:pPr>
        <w:snapToGrid w:val="0"/>
        <w:spacing w:line="440" w:lineRule="exact"/>
        <w:ind w:firstLine="470" w:firstLineChars="196"/>
        <w:jc w:val="left"/>
        <w:rPr>
          <w:rFonts w:ascii="宋体" w:hAnsi="宋体"/>
          <w:color w:val="auto"/>
          <w:sz w:val="24"/>
          <w:highlight w:val="none"/>
        </w:rPr>
      </w:pPr>
      <w:r>
        <w:rPr>
          <w:rFonts w:hint="eastAsia" w:ascii="宋体" w:hAnsi="宋体"/>
          <w:color w:val="auto"/>
          <w:sz w:val="24"/>
          <w:highlight w:val="none"/>
        </w:rPr>
        <w:t>1.竞标人直接或者间接从采购人或者采购代理机构处获得其他竞标人的相关信息并修改其投标文件或者投标文件；</w:t>
      </w:r>
    </w:p>
    <w:p w14:paraId="33C293CB">
      <w:pPr>
        <w:snapToGrid w:val="0"/>
        <w:spacing w:line="440" w:lineRule="exact"/>
        <w:ind w:firstLine="470" w:firstLineChars="196"/>
        <w:jc w:val="left"/>
        <w:rPr>
          <w:rFonts w:ascii="宋体" w:hAnsi="宋体"/>
          <w:color w:val="auto"/>
          <w:sz w:val="24"/>
          <w:highlight w:val="none"/>
        </w:rPr>
      </w:pPr>
      <w:r>
        <w:rPr>
          <w:rFonts w:hint="eastAsia" w:ascii="宋体" w:hAnsi="宋体"/>
          <w:color w:val="auto"/>
          <w:sz w:val="24"/>
          <w:highlight w:val="none"/>
        </w:rPr>
        <w:t>2.竞标人按照采购人或者采购代理机构的授意撤换、修改投标文件或者投标文件；</w:t>
      </w:r>
    </w:p>
    <w:p w14:paraId="3BDCFE5B">
      <w:pPr>
        <w:snapToGrid w:val="0"/>
        <w:spacing w:line="440" w:lineRule="exact"/>
        <w:ind w:firstLine="470" w:firstLineChars="196"/>
        <w:jc w:val="left"/>
        <w:rPr>
          <w:rFonts w:ascii="宋体" w:hAnsi="宋体"/>
          <w:color w:val="auto"/>
          <w:sz w:val="24"/>
          <w:highlight w:val="none"/>
        </w:rPr>
      </w:pPr>
      <w:r>
        <w:rPr>
          <w:rFonts w:hint="eastAsia" w:ascii="宋体" w:hAnsi="宋体"/>
          <w:color w:val="auto"/>
          <w:sz w:val="24"/>
          <w:highlight w:val="none"/>
        </w:rPr>
        <w:t>3.竞标人之间协商报价、技术方案等投标文件或者投标文件的实质性内容；</w:t>
      </w:r>
    </w:p>
    <w:p w14:paraId="2E22ED55">
      <w:pPr>
        <w:snapToGrid w:val="0"/>
        <w:spacing w:line="440" w:lineRule="exact"/>
        <w:ind w:firstLine="470" w:firstLineChars="196"/>
        <w:jc w:val="left"/>
        <w:rPr>
          <w:rFonts w:ascii="宋体" w:hAnsi="宋体"/>
          <w:color w:val="auto"/>
          <w:sz w:val="24"/>
          <w:highlight w:val="none"/>
        </w:rPr>
      </w:pPr>
      <w:r>
        <w:rPr>
          <w:rFonts w:hint="eastAsia" w:ascii="宋体" w:hAnsi="宋体"/>
          <w:color w:val="auto"/>
          <w:sz w:val="24"/>
          <w:highlight w:val="none"/>
        </w:rPr>
        <w:t>4.属于同一集团、协会、商会等组织成员的竞标人按照该组织要求协同参加政府采购活动；</w:t>
      </w:r>
    </w:p>
    <w:p w14:paraId="1048115D">
      <w:pPr>
        <w:snapToGrid w:val="0"/>
        <w:spacing w:line="440" w:lineRule="exact"/>
        <w:ind w:firstLine="470" w:firstLineChars="196"/>
        <w:jc w:val="left"/>
        <w:rPr>
          <w:rFonts w:ascii="宋体" w:hAnsi="宋体"/>
          <w:color w:val="auto"/>
          <w:sz w:val="24"/>
          <w:highlight w:val="none"/>
        </w:rPr>
      </w:pPr>
      <w:r>
        <w:rPr>
          <w:rFonts w:hint="eastAsia" w:ascii="宋体" w:hAnsi="宋体"/>
          <w:color w:val="auto"/>
          <w:sz w:val="24"/>
          <w:highlight w:val="none"/>
        </w:rPr>
        <w:t>5.竞标人之间事先约定一致抬高或者压低投标报价，或者在招标项目中事先约定轮流以高价位或者低价位中标，或者事先约定由某一特定竞标人中标，然后再参加投标；</w:t>
      </w:r>
    </w:p>
    <w:p w14:paraId="07CF84B2">
      <w:pPr>
        <w:snapToGrid w:val="0"/>
        <w:spacing w:line="440" w:lineRule="exact"/>
        <w:ind w:firstLine="470" w:firstLineChars="196"/>
        <w:jc w:val="left"/>
        <w:rPr>
          <w:rFonts w:ascii="宋体" w:hAnsi="宋体"/>
          <w:color w:val="auto"/>
          <w:sz w:val="24"/>
          <w:highlight w:val="none"/>
        </w:rPr>
      </w:pPr>
      <w:r>
        <w:rPr>
          <w:rFonts w:hint="eastAsia" w:ascii="宋体" w:hAnsi="宋体"/>
          <w:color w:val="auto"/>
          <w:sz w:val="24"/>
          <w:highlight w:val="none"/>
        </w:rPr>
        <w:t>6.竞标人之间商定部分竞标人放弃参加政府采购活动或者放弃中标；</w:t>
      </w:r>
    </w:p>
    <w:p w14:paraId="3DF9C7CE">
      <w:pPr>
        <w:snapToGrid w:val="0"/>
        <w:spacing w:line="440" w:lineRule="exact"/>
        <w:ind w:firstLine="470" w:firstLineChars="196"/>
        <w:jc w:val="left"/>
        <w:rPr>
          <w:rFonts w:ascii="宋体" w:hAnsi="宋体"/>
          <w:color w:val="auto"/>
          <w:sz w:val="24"/>
          <w:highlight w:val="none"/>
        </w:rPr>
      </w:pPr>
      <w:r>
        <w:rPr>
          <w:rFonts w:hint="eastAsia" w:ascii="宋体" w:hAnsi="宋体"/>
          <w:color w:val="auto"/>
          <w:sz w:val="24"/>
          <w:highlight w:val="none"/>
        </w:rPr>
        <w:t>7.竞标人与采购人或者采购代理机构之间、竞标人相互之间，为谋求特定竞标人中标或者排斥其他竞标人的其他串通行为。</w:t>
      </w:r>
    </w:p>
    <w:p w14:paraId="1E8E2F4D">
      <w:pPr>
        <w:snapToGrid w:val="0"/>
        <w:spacing w:line="440" w:lineRule="exact"/>
        <w:ind w:firstLine="472" w:firstLineChars="196"/>
        <w:jc w:val="left"/>
        <w:rPr>
          <w:rFonts w:ascii="宋体" w:hAnsi="宋体"/>
          <w:b/>
          <w:color w:val="auto"/>
          <w:sz w:val="24"/>
          <w:highlight w:val="none"/>
        </w:rPr>
      </w:pPr>
      <w:r>
        <w:rPr>
          <w:rFonts w:hint="eastAsia" w:ascii="宋体" w:hAnsi="宋体"/>
          <w:b/>
          <w:color w:val="auto"/>
          <w:sz w:val="24"/>
          <w:highlight w:val="none"/>
        </w:rPr>
        <w:t>以上情形一经核查属实，我方愿意承担一切后果，接受政府采购监管部门对我方认定存在围标串标行为，并不再寻求任何旨在减轻或者免除法律责任的辩解。</w:t>
      </w:r>
    </w:p>
    <w:p w14:paraId="108E6B7A">
      <w:pPr>
        <w:spacing w:line="360" w:lineRule="auto"/>
        <w:contextualSpacing/>
        <w:rPr>
          <w:rFonts w:ascii="宋体" w:hAnsi="宋体" w:cs="仿宋_GB2312"/>
          <w:color w:val="auto"/>
          <w:sz w:val="24"/>
          <w:highlight w:val="none"/>
        </w:rPr>
      </w:pPr>
    </w:p>
    <w:p w14:paraId="5BC4BA49">
      <w:pPr>
        <w:spacing w:line="360" w:lineRule="auto"/>
        <w:ind w:firstLine="3600" w:firstLineChars="1500"/>
        <w:contextualSpacing/>
        <w:rPr>
          <w:rFonts w:ascii="宋体" w:hAnsi="宋体" w:cs="仿宋_GB2312"/>
          <w:color w:val="auto"/>
          <w:sz w:val="24"/>
          <w:highlight w:val="none"/>
          <w:u w:val="single"/>
        </w:rPr>
      </w:pPr>
      <w:r>
        <w:rPr>
          <w:rFonts w:hint="eastAsia" w:ascii="宋体" w:hAnsi="宋体" w:cs="仿宋_GB2312"/>
          <w:color w:val="auto"/>
          <w:sz w:val="24"/>
          <w:highlight w:val="none"/>
        </w:rPr>
        <w:t>供应商（电子签章）：</w:t>
      </w:r>
      <w:r>
        <w:rPr>
          <w:rFonts w:hint="eastAsia" w:ascii="宋体" w:hAnsi="宋体" w:cs="仿宋_GB2312"/>
          <w:color w:val="auto"/>
          <w:sz w:val="24"/>
          <w:highlight w:val="none"/>
          <w:u w:val="single"/>
        </w:rPr>
        <w:t xml:space="preserve">                     </w:t>
      </w:r>
    </w:p>
    <w:p w14:paraId="63D9F4EE">
      <w:pPr>
        <w:spacing w:line="360" w:lineRule="auto"/>
        <w:ind w:firstLine="480" w:firstLineChars="200"/>
        <w:contextualSpacing/>
        <w:jc w:val="center"/>
        <w:rPr>
          <w:rFonts w:ascii="仿宋_GB2312" w:hAnsi="仿宋_GB2312" w:eastAsia="仿宋_GB2312" w:cs="仿宋_GB2312"/>
          <w:color w:val="auto"/>
          <w:sz w:val="32"/>
          <w:szCs w:val="32"/>
          <w:highlight w:val="none"/>
        </w:rPr>
      </w:pPr>
      <w:r>
        <w:rPr>
          <w:rFonts w:hint="eastAsia" w:ascii="宋体" w:hAnsi="宋体" w:cs="仿宋_GB2312"/>
          <w:color w:val="auto"/>
          <w:sz w:val="24"/>
          <w:highlight w:val="none"/>
        </w:rPr>
        <w:t xml:space="preserve">                               年   月   日</w:t>
      </w:r>
    </w:p>
    <w:p w14:paraId="55EDD852">
      <w:pPr>
        <w:spacing w:line="520" w:lineRule="exact"/>
        <w:jc w:val="center"/>
        <w:rPr>
          <w:rFonts w:ascii="仿宋_GB2312" w:hAnsi="仿宋_GB2312" w:eastAsia="仿宋_GB2312" w:cs="仿宋_GB2312"/>
          <w:color w:val="auto"/>
          <w:sz w:val="32"/>
          <w:szCs w:val="32"/>
          <w:highlight w:val="none"/>
        </w:rPr>
      </w:pPr>
      <w:r>
        <w:rPr>
          <w:rFonts w:hint="eastAsia" w:ascii="宋体" w:hAnsi="宋体" w:cs="宋体"/>
          <w:bCs/>
          <w:color w:val="auto"/>
          <w:sz w:val="44"/>
          <w:szCs w:val="44"/>
          <w:highlight w:val="none"/>
        </w:rPr>
        <w:br w:type="page"/>
      </w:r>
      <w:r>
        <w:rPr>
          <w:rFonts w:hint="eastAsia" w:ascii="宋体" w:hAnsi="宋体" w:cs="宋体"/>
          <w:bCs/>
          <w:color w:val="auto"/>
          <w:sz w:val="44"/>
          <w:szCs w:val="44"/>
          <w:highlight w:val="none"/>
        </w:rPr>
        <w:t>法定代表人证明书</w:t>
      </w:r>
    </w:p>
    <w:p w14:paraId="428148CB">
      <w:pPr>
        <w:spacing w:line="360" w:lineRule="auto"/>
        <w:ind w:left="540"/>
        <w:contextualSpacing/>
        <w:rPr>
          <w:rFonts w:ascii="仿宋_GB2312" w:hAnsi="仿宋_GB2312" w:eastAsia="仿宋_GB2312" w:cs="仿宋_GB2312"/>
          <w:color w:val="auto"/>
          <w:sz w:val="32"/>
          <w:szCs w:val="32"/>
          <w:highlight w:val="none"/>
        </w:rPr>
      </w:pPr>
    </w:p>
    <w:p w14:paraId="0E58EAC9">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21962548">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09D1B846">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30792B9E">
      <w:pPr>
        <w:spacing w:line="360" w:lineRule="auto"/>
        <w:ind w:left="540"/>
        <w:contextualSpacing/>
        <w:rPr>
          <w:rFonts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53AC1F55">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4FE5D2D8">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的法定代表人。</w:t>
      </w:r>
    </w:p>
    <w:p w14:paraId="4E38260B">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特此证明。</w:t>
      </w:r>
    </w:p>
    <w:p w14:paraId="2A6B0013">
      <w:pPr>
        <w:spacing w:line="360" w:lineRule="auto"/>
        <w:ind w:left="540"/>
        <w:contextualSpacing/>
        <w:rPr>
          <w:rFonts w:ascii="宋体" w:hAnsi="宋体" w:cs="仿宋_GB2312"/>
          <w:color w:val="auto"/>
          <w:sz w:val="24"/>
          <w:highlight w:val="none"/>
        </w:rPr>
      </w:pPr>
    </w:p>
    <w:p w14:paraId="08D7B4B9">
      <w:pPr>
        <w:spacing w:line="360" w:lineRule="auto"/>
        <w:ind w:left="540"/>
        <w:contextualSpacing/>
        <w:rPr>
          <w:rFonts w:ascii="宋体" w:hAnsi="宋体" w:cs="仿宋_GB2312"/>
          <w:color w:val="auto"/>
          <w:sz w:val="24"/>
          <w:highlight w:val="none"/>
        </w:rPr>
      </w:pPr>
    </w:p>
    <w:p w14:paraId="77C552A1">
      <w:pPr>
        <w:spacing w:line="360" w:lineRule="auto"/>
        <w:ind w:left="540"/>
        <w:contextualSpacing/>
        <w:rPr>
          <w:rFonts w:ascii="宋体" w:hAnsi="宋体" w:cs="仿宋_GB2312"/>
          <w:color w:val="auto"/>
          <w:sz w:val="24"/>
          <w:highlight w:val="none"/>
        </w:rPr>
      </w:pPr>
    </w:p>
    <w:p w14:paraId="085A98D0">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附件：法定代表人有效身份证正反面复印件</w:t>
      </w:r>
    </w:p>
    <w:p w14:paraId="000939A2">
      <w:pPr>
        <w:spacing w:line="360" w:lineRule="auto"/>
        <w:ind w:left="540"/>
        <w:contextualSpacing/>
        <w:rPr>
          <w:rFonts w:ascii="宋体" w:hAnsi="宋体" w:cs="仿宋_GB2312"/>
          <w:color w:val="auto"/>
          <w:sz w:val="24"/>
          <w:highlight w:val="none"/>
        </w:rPr>
      </w:pPr>
    </w:p>
    <w:p w14:paraId="7DED3F2D">
      <w:pPr>
        <w:spacing w:line="360" w:lineRule="auto"/>
        <w:ind w:left="540"/>
        <w:contextualSpacing/>
        <w:jc w:val="center"/>
        <w:rPr>
          <w:rFonts w:ascii="宋体" w:hAnsi="宋体" w:cs="仿宋_GB2312"/>
          <w:color w:val="auto"/>
          <w:sz w:val="24"/>
          <w:highlight w:val="none"/>
        </w:rPr>
      </w:pPr>
      <w:r>
        <w:rPr>
          <w:rFonts w:hint="eastAsia" w:ascii="宋体" w:hAnsi="宋体" w:cs="仿宋_GB2312"/>
          <w:color w:val="auto"/>
          <w:sz w:val="24"/>
          <w:highlight w:val="none"/>
        </w:rPr>
        <w:t>供应商（电子签章）：</w:t>
      </w:r>
      <w:r>
        <w:rPr>
          <w:rFonts w:hint="eastAsia" w:ascii="宋体" w:hAnsi="宋体" w:cs="仿宋_GB2312"/>
          <w:color w:val="auto"/>
          <w:sz w:val="24"/>
          <w:highlight w:val="none"/>
          <w:u w:val="single"/>
        </w:rPr>
        <w:t xml:space="preserve">               </w:t>
      </w:r>
    </w:p>
    <w:p w14:paraId="34ABEE34">
      <w:pPr>
        <w:spacing w:line="360" w:lineRule="auto"/>
        <w:ind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年</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月</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日</w:t>
      </w:r>
    </w:p>
    <w:p w14:paraId="7438C77B">
      <w:pPr>
        <w:spacing w:line="360" w:lineRule="auto"/>
        <w:contextualSpacing/>
        <w:jc w:val="center"/>
        <w:rPr>
          <w:rFonts w:ascii="宋体" w:hAnsi="宋体" w:cs="仿宋_GB2312"/>
          <w:b/>
          <w:color w:val="auto"/>
          <w:sz w:val="24"/>
          <w:highlight w:val="none"/>
        </w:rPr>
      </w:pPr>
    </w:p>
    <w:p w14:paraId="55629C4C">
      <w:pPr>
        <w:spacing w:line="360" w:lineRule="auto"/>
        <w:contextualSpacing/>
        <w:jc w:val="left"/>
        <w:rPr>
          <w:rFonts w:ascii="宋体" w:hAnsi="宋体" w:cs="仿宋_GB2312"/>
          <w:color w:val="auto"/>
          <w:sz w:val="24"/>
          <w:highlight w:val="none"/>
        </w:rPr>
      </w:pPr>
    </w:p>
    <w:p w14:paraId="3559D22F">
      <w:pPr>
        <w:spacing w:line="360" w:lineRule="auto"/>
        <w:contextualSpacing/>
        <w:jc w:val="left"/>
        <w:rPr>
          <w:rFonts w:ascii="宋体" w:hAnsi="宋体" w:cs="仿宋_GB2312"/>
          <w:color w:val="auto"/>
          <w:sz w:val="24"/>
          <w:highlight w:val="none"/>
        </w:rPr>
      </w:pPr>
      <w:r>
        <w:rPr>
          <w:rFonts w:hint="eastAsia" w:ascii="宋体" w:hAnsi="宋体" w:cs="仿宋_GB2312"/>
          <w:color w:val="auto"/>
          <w:sz w:val="24"/>
          <w:highlight w:val="none"/>
        </w:rPr>
        <w:t>注：自然人竞标的无需提供，联合体竞标的只需牵头人出具。</w:t>
      </w:r>
    </w:p>
    <w:p w14:paraId="4F267DE1">
      <w:pPr>
        <w:adjustRightInd w:val="0"/>
        <w:snapToGrid w:val="0"/>
        <w:spacing w:line="300" w:lineRule="auto"/>
        <w:jc w:val="left"/>
        <w:rPr>
          <w:rFonts w:ascii="宋体" w:hAnsi="宋体"/>
          <w:b/>
          <w:color w:val="auto"/>
          <w:szCs w:val="21"/>
          <w:highlight w:val="none"/>
        </w:rPr>
      </w:pPr>
    </w:p>
    <w:p w14:paraId="792FE838">
      <w:pPr>
        <w:spacing w:line="500" w:lineRule="exact"/>
        <w:jc w:val="center"/>
        <w:rPr>
          <w:rFonts w:ascii="宋体" w:hAnsi="宋体" w:cs="宋体"/>
          <w:color w:val="auto"/>
          <w:sz w:val="44"/>
          <w:szCs w:val="44"/>
          <w:highlight w:val="none"/>
        </w:rPr>
      </w:pPr>
      <w:r>
        <w:rPr>
          <w:rFonts w:hint="eastAsia" w:ascii="宋体" w:hAnsi="宋体" w:cs="宋体"/>
          <w:color w:val="auto"/>
          <w:sz w:val="44"/>
          <w:szCs w:val="44"/>
          <w:highlight w:val="none"/>
        </w:rPr>
        <w:br w:type="page"/>
      </w:r>
      <w:bookmarkStart w:id="126" w:name="_Hlk65853643"/>
      <w:r>
        <w:rPr>
          <w:rFonts w:hint="eastAsia" w:ascii="宋体" w:hAnsi="宋体" w:cs="宋体"/>
          <w:color w:val="auto"/>
          <w:sz w:val="44"/>
          <w:szCs w:val="44"/>
          <w:highlight w:val="none"/>
        </w:rPr>
        <w:t>授权委托书</w:t>
      </w:r>
    </w:p>
    <w:p w14:paraId="7D99A226">
      <w:pPr>
        <w:spacing w:line="520" w:lineRule="exact"/>
        <w:jc w:val="center"/>
        <w:rPr>
          <w:rFonts w:ascii="宋体" w:hAnsi="宋体" w:cs="宋体"/>
          <w:color w:val="auto"/>
          <w:sz w:val="32"/>
          <w:szCs w:val="32"/>
          <w:highlight w:val="none"/>
        </w:rPr>
      </w:pPr>
      <w:r>
        <w:rPr>
          <w:rFonts w:hint="eastAsia" w:ascii="宋体" w:hAnsi="宋体" w:cs="宋体"/>
          <w:color w:val="auto"/>
          <w:sz w:val="32"/>
          <w:szCs w:val="32"/>
          <w:highlight w:val="none"/>
        </w:rPr>
        <w:t>（非联合体竞标格式）</w:t>
      </w:r>
    </w:p>
    <w:p w14:paraId="7B3166A0">
      <w:pPr>
        <w:spacing w:line="520" w:lineRule="exact"/>
        <w:jc w:val="center"/>
        <w:rPr>
          <w:rFonts w:ascii="宋体" w:hAnsi="宋体" w:cs="宋体"/>
          <w:color w:val="auto"/>
          <w:sz w:val="44"/>
          <w:szCs w:val="44"/>
          <w:highlight w:val="none"/>
        </w:rPr>
      </w:pPr>
      <w:r>
        <w:rPr>
          <w:rFonts w:hint="eastAsia" w:ascii="宋体" w:hAnsi="宋体" w:cs="宋体"/>
          <w:color w:val="auto"/>
          <w:sz w:val="32"/>
          <w:szCs w:val="32"/>
          <w:highlight w:val="none"/>
        </w:rPr>
        <w:t>（如有委托时）</w:t>
      </w:r>
    </w:p>
    <w:p w14:paraId="5AE2E763">
      <w:pPr>
        <w:spacing w:line="520" w:lineRule="exact"/>
        <w:rPr>
          <w:rFonts w:ascii="仿宋_GB2312" w:hAnsi="仿宋_GB2312" w:eastAsia="仿宋_GB2312" w:cs="仿宋_GB2312"/>
          <w:color w:val="auto"/>
          <w:sz w:val="32"/>
          <w:szCs w:val="32"/>
          <w:highlight w:val="none"/>
        </w:rPr>
      </w:pPr>
    </w:p>
    <w:p w14:paraId="0F3FABC5">
      <w:pPr>
        <w:spacing w:line="360" w:lineRule="auto"/>
        <w:rPr>
          <w:rFonts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（采购人名称）</w:t>
      </w:r>
      <w:r>
        <w:rPr>
          <w:rFonts w:hint="eastAsia" w:ascii="宋体" w:hAnsi="宋体" w:cs="仿宋_GB2312"/>
          <w:color w:val="auto"/>
          <w:sz w:val="24"/>
          <w:highlight w:val="none"/>
        </w:rPr>
        <w:t>：</w:t>
      </w:r>
    </w:p>
    <w:p w14:paraId="1BEAABA5">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sym w:font="Wingdings 2" w:char="00A3"/>
      </w:r>
      <w:r>
        <w:rPr>
          <w:rFonts w:hint="eastAsia" w:ascii="宋体" w:hAnsi="宋体" w:cs="仿宋_GB2312"/>
          <w:color w:val="auto"/>
          <w:sz w:val="24"/>
          <w:highlight w:val="none"/>
          <w:u w:val="single"/>
        </w:rPr>
        <w:t>法定代表人/□负责人/□自然人本人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项目的竞标活动，并代表我方全权办理针对上述项目的所有采购程序和环节的具体事务和签署相关文件。</w:t>
      </w:r>
    </w:p>
    <w:p w14:paraId="10F1CBAD">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我方对委托代理人的签字</w:t>
      </w:r>
      <w:r>
        <w:rPr>
          <w:rFonts w:hint="eastAsia" w:ascii="宋体" w:hAnsi="宋体"/>
          <w:color w:val="auto"/>
          <w:sz w:val="24"/>
          <w:highlight w:val="none"/>
        </w:rPr>
        <w:t>或者电子签名</w:t>
      </w:r>
      <w:r>
        <w:rPr>
          <w:rFonts w:hint="eastAsia" w:ascii="宋体" w:hAnsi="宋体" w:cs="仿宋_GB2312"/>
          <w:color w:val="auto"/>
          <w:sz w:val="24"/>
          <w:highlight w:val="none"/>
        </w:rPr>
        <w:t>事项负全部责任。</w:t>
      </w:r>
    </w:p>
    <w:p w14:paraId="5632282F">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29BFBBF5">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1CAC6741">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附：法定代表人身份证明书及委托代理人有效身份证正反面复印件</w:t>
      </w:r>
    </w:p>
    <w:p w14:paraId="4E6A7391">
      <w:pPr>
        <w:spacing w:line="360" w:lineRule="auto"/>
        <w:rPr>
          <w:rFonts w:ascii="宋体" w:hAnsi="宋体" w:cs="仿宋_GB2312"/>
          <w:color w:val="auto"/>
          <w:sz w:val="24"/>
          <w:highlight w:val="none"/>
        </w:rPr>
      </w:pPr>
    </w:p>
    <w:p w14:paraId="60B1AED7">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委托代理人（</w:t>
      </w:r>
      <w:r>
        <w:rPr>
          <w:rFonts w:hint="eastAsia" w:ascii="宋体" w:hAnsi="宋体"/>
          <w:color w:val="auto"/>
          <w:sz w:val="24"/>
          <w:highlight w:val="none"/>
        </w:rPr>
        <w:t>签字或者电子签名</w:t>
      </w:r>
      <w:r>
        <w:rPr>
          <w:rFonts w:hint="eastAsia" w:ascii="宋体" w:hAnsi="宋体" w:cs="仿宋_GB2312"/>
          <w:color w:val="auto"/>
          <w:sz w:val="24"/>
          <w:highlight w:val="none"/>
        </w:rPr>
        <w:t xml:space="preserve">）：     法定代表人（签字或者盖章或者电子签名）：                    </w:t>
      </w:r>
    </w:p>
    <w:p w14:paraId="40A7E1EF">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216A2A03">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                                </w:t>
      </w:r>
    </w:p>
    <w:p w14:paraId="4186A708">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供应商（电子签章）：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6B4536F2">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年    月    日</w:t>
      </w:r>
    </w:p>
    <w:p w14:paraId="12D215D8">
      <w:pPr>
        <w:spacing w:line="360" w:lineRule="auto"/>
        <w:rPr>
          <w:rFonts w:ascii="宋体" w:hAnsi="宋体" w:cs="仿宋_GB2312"/>
          <w:color w:val="auto"/>
          <w:sz w:val="24"/>
          <w:highlight w:val="none"/>
        </w:rPr>
      </w:pPr>
    </w:p>
    <w:p w14:paraId="257988DA">
      <w:pPr>
        <w:spacing w:line="360" w:lineRule="auto"/>
        <w:rPr>
          <w:rFonts w:ascii="宋体" w:hAnsi="宋体" w:cs="仿宋_GB2312"/>
          <w:color w:val="auto"/>
          <w:sz w:val="24"/>
          <w:highlight w:val="none"/>
        </w:rPr>
      </w:pPr>
      <w:r>
        <w:rPr>
          <w:rFonts w:hint="eastAsia" w:ascii="宋体" w:hAnsi="宋体" w:cs="仿宋_GB2312"/>
          <w:color w:val="auto"/>
          <w:sz w:val="24"/>
          <w:highlight w:val="none"/>
        </w:rPr>
        <w:t>注：1. 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否则其响应文件按无效响应处理。</w:t>
      </w:r>
    </w:p>
    <w:p w14:paraId="1F2E2F15">
      <w:pPr>
        <w:spacing w:line="360" w:lineRule="auto"/>
        <w:ind w:firstLine="480" w:firstLineChars="200"/>
        <w:jc w:val="left"/>
        <w:rPr>
          <w:rFonts w:ascii="宋体" w:hAnsi="宋体" w:cs="仿宋_GB2312"/>
          <w:color w:val="auto"/>
          <w:sz w:val="24"/>
          <w:highlight w:val="none"/>
        </w:rPr>
      </w:pPr>
      <w:r>
        <w:rPr>
          <w:rFonts w:ascii="宋体" w:hAnsi="宋体" w:cs="仿宋_GB2312"/>
          <w:color w:val="auto"/>
          <w:sz w:val="24"/>
          <w:highlight w:val="none"/>
        </w:rPr>
        <w:t>2.</w:t>
      </w:r>
      <w:bookmarkStart w:id="127" w:name="_Hlk65853109"/>
      <w:bookmarkStart w:id="128" w:name="_Hlk65853542"/>
      <w:r>
        <w:rPr>
          <w:rFonts w:hint="eastAsia" w:ascii="宋体" w:hAnsi="宋体" w:cs="仿宋_GB2312"/>
          <w:color w:val="auto"/>
          <w:sz w:val="24"/>
          <w:highlight w:val="none"/>
        </w:rPr>
        <w:t>法人、其他组织竞标时“我方”是指“我单位”，自然人竞标时“我方”是指“本人”。</w:t>
      </w:r>
      <w:bookmarkEnd w:id="127"/>
    </w:p>
    <w:bookmarkEnd w:id="128"/>
    <w:p w14:paraId="58280F0D">
      <w:pPr>
        <w:spacing w:line="360" w:lineRule="auto"/>
        <w:ind w:firstLine="420" w:firstLineChars="200"/>
        <w:jc w:val="left"/>
        <w:rPr>
          <w:rFonts w:ascii="仿宋_GB2312" w:hAnsi="仿宋_GB2312" w:eastAsia="仿宋_GB2312" w:cs="仿宋_GB2312"/>
          <w:color w:val="auto"/>
          <w:szCs w:val="21"/>
          <w:highlight w:val="none"/>
        </w:rPr>
      </w:pPr>
    </w:p>
    <w:p w14:paraId="32E3BA2E">
      <w:pPr>
        <w:spacing w:line="500" w:lineRule="exact"/>
        <w:jc w:val="center"/>
        <w:rPr>
          <w:rFonts w:ascii="宋体" w:hAnsi="宋体" w:cs="宋体"/>
          <w:color w:val="auto"/>
          <w:sz w:val="44"/>
          <w:szCs w:val="44"/>
          <w:highlight w:val="none"/>
        </w:rPr>
      </w:pPr>
      <w:r>
        <w:rPr>
          <w:rFonts w:ascii="仿宋_GB2312" w:hAnsi="仿宋_GB2312" w:eastAsia="仿宋_GB2312" w:cs="仿宋_GB2312"/>
          <w:color w:val="auto"/>
          <w:szCs w:val="21"/>
          <w:highlight w:val="none"/>
        </w:rPr>
        <w:br w:type="page"/>
      </w:r>
      <w:r>
        <w:rPr>
          <w:rFonts w:hint="eastAsia" w:ascii="宋体" w:hAnsi="宋体" w:cs="宋体"/>
          <w:color w:val="auto"/>
          <w:sz w:val="44"/>
          <w:szCs w:val="44"/>
          <w:highlight w:val="none"/>
        </w:rPr>
        <w:t>授权委托书</w:t>
      </w:r>
    </w:p>
    <w:p w14:paraId="0545FF0B">
      <w:pPr>
        <w:spacing w:line="500" w:lineRule="exact"/>
        <w:jc w:val="center"/>
        <w:rPr>
          <w:rFonts w:ascii="宋体" w:hAnsi="宋体" w:cs="宋体"/>
          <w:color w:val="auto"/>
          <w:sz w:val="32"/>
          <w:szCs w:val="32"/>
          <w:highlight w:val="none"/>
        </w:rPr>
      </w:pPr>
      <w:r>
        <w:rPr>
          <w:rFonts w:hint="eastAsia" w:ascii="宋体" w:hAnsi="宋体" w:cs="宋体"/>
          <w:color w:val="auto"/>
          <w:sz w:val="32"/>
          <w:szCs w:val="32"/>
          <w:highlight w:val="none"/>
        </w:rPr>
        <w:t>（联合体竞标格式）</w:t>
      </w:r>
    </w:p>
    <w:p w14:paraId="35E44A25">
      <w:pPr>
        <w:spacing w:line="500" w:lineRule="exact"/>
        <w:jc w:val="center"/>
        <w:rPr>
          <w:rFonts w:ascii="宋体" w:hAnsi="宋体" w:cs="宋体"/>
          <w:color w:val="auto"/>
          <w:sz w:val="44"/>
          <w:szCs w:val="44"/>
          <w:highlight w:val="none"/>
        </w:rPr>
      </w:pPr>
      <w:r>
        <w:rPr>
          <w:rFonts w:hint="eastAsia" w:ascii="宋体" w:hAnsi="宋体" w:cs="宋体"/>
          <w:color w:val="auto"/>
          <w:sz w:val="32"/>
          <w:szCs w:val="32"/>
          <w:highlight w:val="none"/>
        </w:rPr>
        <w:t>（如有委托时）</w:t>
      </w:r>
    </w:p>
    <w:p w14:paraId="2B369080">
      <w:pPr>
        <w:spacing w:line="500" w:lineRule="exact"/>
        <w:jc w:val="center"/>
        <w:rPr>
          <w:rFonts w:ascii="宋体" w:hAnsi="宋体" w:cs="宋体"/>
          <w:color w:val="auto"/>
          <w:sz w:val="44"/>
          <w:szCs w:val="44"/>
          <w:highlight w:val="none"/>
        </w:rPr>
      </w:pPr>
    </w:p>
    <w:p w14:paraId="0ED0F4EE">
      <w:pPr>
        <w:spacing w:line="500" w:lineRule="exact"/>
        <w:jc w:val="center"/>
        <w:rPr>
          <w:rFonts w:ascii="仿宋_GB2312" w:hAnsi="仿宋_GB2312" w:eastAsia="仿宋_GB2312" w:cs="仿宋_GB2312"/>
          <w:color w:val="auto"/>
          <w:sz w:val="32"/>
          <w:szCs w:val="32"/>
          <w:highlight w:val="none"/>
        </w:rPr>
      </w:pPr>
    </w:p>
    <w:p w14:paraId="77C2A597">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本授权委托书声明：根据</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（牵头人名称）与</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（联合体其他成员名称）签订的《联合体竞标协议书》的内容，</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（牵头人名称）的法定代表人</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（姓名）现授权</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（姓名）为联合委托代理人，并代表我方全权办理针对上述项目的所有采购程序和环节的具体事务和签署相关文件。</w:t>
      </w:r>
    </w:p>
    <w:p w14:paraId="1EB8798D">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我方对委托代理人的</w:t>
      </w:r>
      <w:r>
        <w:rPr>
          <w:rFonts w:hint="eastAsia" w:ascii="宋体" w:hAnsi="宋体"/>
          <w:color w:val="auto"/>
          <w:sz w:val="24"/>
          <w:highlight w:val="none"/>
        </w:rPr>
        <w:t>签字或者电子签名</w:t>
      </w:r>
      <w:r>
        <w:rPr>
          <w:rFonts w:hint="eastAsia" w:ascii="宋体" w:hAnsi="宋体" w:cs="仿宋_GB2312"/>
          <w:color w:val="auto"/>
          <w:sz w:val="24"/>
          <w:highlight w:val="none"/>
        </w:rPr>
        <w:t>事项负全部责任。</w:t>
      </w:r>
    </w:p>
    <w:p w14:paraId="3ACABAC0">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5EA17F4B">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7460A4C9">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    附：法定代表人身份证明书及委托代理人有效身份证正反面复印件</w:t>
      </w:r>
    </w:p>
    <w:p w14:paraId="15358A36">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牵头人法定代表人（签字或者盖章或者电子签名）：</w:t>
      </w:r>
    </w:p>
    <w:p w14:paraId="2C8488FF">
      <w:pPr>
        <w:spacing w:line="360" w:lineRule="auto"/>
        <w:ind w:firstLine="3120" w:firstLineChars="1300"/>
        <w:contextualSpacing/>
        <w:rPr>
          <w:rFonts w:ascii="宋体" w:hAnsi="宋体" w:cs="仿宋_GB2312"/>
          <w:color w:val="auto"/>
          <w:sz w:val="24"/>
          <w:highlight w:val="none"/>
          <w:u w:val="single"/>
        </w:rPr>
      </w:pPr>
      <w:r>
        <w:rPr>
          <w:rFonts w:hint="eastAsia" w:ascii="宋体" w:hAnsi="宋体" w:cs="仿宋_GB2312"/>
          <w:color w:val="auto"/>
          <w:sz w:val="24"/>
          <w:highlight w:val="none"/>
        </w:rPr>
        <w:t>牵头人（电子签章）：</w:t>
      </w:r>
      <w:r>
        <w:rPr>
          <w:rFonts w:hint="eastAsia" w:ascii="宋体" w:hAnsi="宋体" w:cs="仿宋_GB2312"/>
          <w:color w:val="auto"/>
          <w:sz w:val="24"/>
          <w:highlight w:val="none"/>
          <w:u w:val="single"/>
        </w:rPr>
        <w:t xml:space="preserve">                          </w:t>
      </w:r>
    </w:p>
    <w:p w14:paraId="52499B4C">
      <w:pPr>
        <w:spacing w:line="360" w:lineRule="auto"/>
        <w:ind w:firstLine="3840" w:firstLineChars="16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066C6909">
      <w:pPr>
        <w:spacing w:line="360" w:lineRule="auto"/>
        <w:contextualSpacing/>
        <w:rPr>
          <w:rFonts w:ascii="宋体" w:hAnsi="宋体" w:cs="仿宋_GB2312"/>
          <w:color w:val="auto"/>
          <w:sz w:val="24"/>
          <w:highlight w:val="none"/>
        </w:rPr>
      </w:pPr>
    </w:p>
    <w:p w14:paraId="74640EB0">
      <w:pPr>
        <w:spacing w:line="360" w:lineRule="auto"/>
        <w:ind w:firstLine="3120" w:firstLineChars="1300"/>
        <w:contextualSpacing/>
        <w:rPr>
          <w:rFonts w:ascii="宋体" w:hAnsi="宋体" w:cs="仿宋_GB2312"/>
          <w:color w:val="auto"/>
          <w:sz w:val="24"/>
          <w:highlight w:val="none"/>
          <w:u w:val="single"/>
        </w:rPr>
      </w:pPr>
      <w:r>
        <w:rPr>
          <w:rFonts w:hint="eastAsia" w:ascii="宋体" w:hAnsi="宋体" w:cs="仿宋_GB2312"/>
          <w:color w:val="auto"/>
          <w:sz w:val="24"/>
          <w:highlight w:val="none"/>
        </w:rPr>
        <w:t>被授权人（签字或者电子签名）：</w:t>
      </w:r>
      <w:r>
        <w:rPr>
          <w:rFonts w:hint="eastAsia" w:ascii="宋体" w:hAnsi="宋体" w:cs="仿宋_GB2312"/>
          <w:color w:val="auto"/>
          <w:sz w:val="24"/>
          <w:highlight w:val="none"/>
          <w:u w:val="single"/>
        </w:rPr>
        <w:t xml:space="preserve">                </w:t>
      </w:r>
    </w:p>
    <w:p w14:paraId="2AACA1C2">
      <w:pPr>
        <w:spacing w:line="360" w:lineRule="auto"/>
        <w:ind w:firstLine="3840" w:firstLineChars="16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37C5E41F">
      <w:pPr>
        <w:spacing w:line="360" w:lineRule="auto"/>
        <w:contextualSpacing/>
        <w:rPr>
          <w:rFonts w:ascii="宋体" w:hAnsi="宋体" w:cs="仿宋_GB2312"/>
          <w:color w:val="auto"/>
          <w:sz w:val="24"/>
          <w:highlight w:val="none"/>
        </w:rPr>
      </w:pPr>
    </w:p>
    <w:p w14:paraId="1C1926DB">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注：1. 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否则其响应文件按无效响应处理。</w:t>
      </w:r>
    </w:p>
    <w:p w14:paraId="6E044408">
      <w:pPr>
        <w:spacing w:line="360" w:lineRule="auto"/>
        <w:ind w:firstLine="480" w:firstLineChars="200"/>
        <w:jc w:val="left"/>
        <w:rPr>
          <w:rFonts w:ascii="宋体" w:hAnsi="宋体" w:cs="仿宋_GB2312"/>
          <w:color w:val="auto"/>
          <w:sz w:val="24"/>
          <w:highlight w:val="none"/>
        </w:rPr>
        <w:sectPr>
          <w:footerReference r:id="rId10" w:type="first"/>
          <w:footerReference r:id="rId9" w:type="default"/>
          <w:pgSz w:w="11906" w:h="16838"/>
          <w:pgMar w:top="1247" w:right="1247" w:bottom="1247" w:left="1247" w:header="851" w:footer="992" w:gutter="0"/>
          <w:cols w:space="720" w:num="1"/>
          <w:titlePg/>
          <w:docGrid w:type="lines" w:linePitch="312" w:charSpace="0"/>
        </w:sectPr>
      </w:pPr>
      <w:r>
        <w:rPr>
          <w:rFonts w:ascii="宋体" w:hAnsi="宋体" w:cs="仿宋_GB2312"/>
          <w:color w:val="auto"/>
          <w:sz w:val="24"/>
          <w:highlight w:val="none"/>
        </w:rPr>
        <w:t>2.</w:t>
      </w:r>
      <w:r>
        <w:rPr>
          <w:rFonts w:hint="eastAsia" w:ascii="宋体" w:hAnsi="宋体" w:cs="仿宋_GB2312"/>
          <w:color w:val="auto"/>
          <w:sz w:val="24"/>
          <w:highlight w:val="none"/>
        </w:rPr>
        <w:t>法人、其他组织竞标时“我方”是指“我单位”，自然人竞标时“我方”是指“本人”。</w:t>
      </w:r>
    </w:p>
    <w:bookmarkEnd w:id="126"/>
    <w:p w14:paraId="1C302CD9">
      <w:pPr>
        <w:spacing w:line="500" w:lineRule="exact"/>
        <w:jc w:val="center"/>
        <w:rPr>
          <w:rFonts w:ascii="宋体" w:hAnsi="宋体" w:cs="宋体"/>
          <w:bCs/>
          <w:color w:val="auto"/>
          <w:sz w:val="44"/>
          <w:szCs w:val="44"/>
          <w:highlight w:val="none"/>
        </w:rPr>
      </w:pPr>
      <w:r>
        <w:rPr>
          <w:rFonts w:hint="eastAsia" w:ascii="宋体" w:hAnsi="宋体" w:cs="宋体"/>
          <w:bCs/>
          <w:color w:val="auto"/>
          <w:sz w:val="44"/>
          <w:szCs w:val="44"/>
          <w:highlight w:val="none"/>
        </w:rPr>
        <w:t>商务要求偏离表格式</w:t>
      </w:r>
    </w:p>
    <w:p w14:paraId="73B50014">
      <w:pPr>
        <w:spacing w:line="500" w:lineRule="exact"/>
        <w:jc w:val="center"/>
        <w:rPr>
          <w:rFonts w:ascii="宋体" w:hAnsi="宋体" w:cs="宋体"/>
          <w:b/>
          <w:i/>
          <w:color w:val="auto"/>
          <w:sz w:val="32"/>
          <w:szCs w:val="32"/>
          <w:highlight w:val="none"/>
        </w:rPr>
      </w:pPr>
      <w:r>
        <w:rPr>
          <w:rFonts w:hint="eastAsia" w:ascii="宋体" w:hAnsi="宋体" w:cs="宋体"/>
          <w:bCs/>
          <w:i/>
          <w:color w:val="auto"/>
          <w:sz w:val="32"/>
          <w:szCs w:val="32"/>
          <w:highlight w:val="none"/>
        </w:rPr>
        <w:t>（注：按采购需求具体条款修改）</w:t>
      </w:r>
    </w:p>
    <w:p w14:paraId="6FFD8633">
      <w:pPr>
        <w:spacing w:line="360" w:lineRule="auto"/>
        <w:contextualSpacing/>
        <w:jc w:val="left"/>
        <w:rPr>
          <w:rFonts w:ascii="宋体" w:hAnsi="宋体"/>
          <w:color w:val="auto"/>
          <w:sz w:val="24"/>
          <w:highlight w:val="none"/>
        </w:rPr>
      </w:pPr>
    </w:p>
    <w:p w14:paraId="046AB780">
      <w:pPr>
        <w:pStyle w:val="16"/>
        <w:spacing w:line="360" w:lineRule="auto"/>
        <w:contextualSpacing/>
        <w:rPr>
          <w:rFonts w:hAnsi="宋体" w:cs="仿宋_GB2312"/>
          <w:color w:val="auto"/>
          <w:sz w:val="24"/>
          <w:szCs w:val="24"/>
          <w:highlight w:val="none"/>
        </w:rPr>
      </w:pPr>
      <w:r>
        <w:rPr>
          <w:rFonts w:hint="eastAsia" w:hAnsi="宋体" w:cs="仿宋_GB2312"/>
          <w:color w:val="auto"/>
          <w:sz w:val="24"/>
          <w:szCs w:val="24"/>
          <w:highlight w:val="none"/>
        </w:rPr>
        <w:t>所竞分标：</w:t>
      </w:r>
      <w:r>
        <w:rPr>
          <w:rFonts w:hint="eastAsia" w:hAnsi="宋体" w:cs="仿宋_GB2312"/>
          <w:color w:val="auto"/>
          <w:sz w:val="24"/>
          <w:szCs w:val="24"/>
          <w:highlight w:val="none"/>
          <w:u w:val="single"/>
        </w:rPr>
        <w:t xml:space="preserve">              </w:t>
      </w:r>
    </w:p>
    <w:p w14:paraId="6C5D5A35">
      <w:pPr>
        <w:spacing w:line="360" w:lineRule="auto"/>
        <w:contextualSpacing/>
        <w:jc w:val="left"/>
        <w:rPr>
          <w:rFonts w:ascii="宋体" w:hAnsi="宋体" w:cs="仿宋_GB2312"/>
          <w:color w:val="auto"/>
          <w:sz w:val="24"/>
          <w:highlight w:val="none"/>
          <w:u w:val="single"/>
        </w:rPr>
      </w:pPr>
    </w:p>
    <w:tbl>
      <w:tblPr>
        <w:tblStyle w:val="27"/>
        <w:tblpPr w:leftFromText="180" w:rightFromText="180" w:vertAnchor="text" w:horzAnchor="margin" w:tblpY="-9"/>
        <w:tblOverlap w:val="never"/>
        <w:tblW w:w="930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78"/>
        <w:gridCol w:w="2668"/>
        <w:gridCol w:w="2350"/>
        <w:gridCol w:w="2112"/>
      </w:tblGrid>
      <w:tr w14:paraId="289F0F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178" w:type="dxa"/>
            <w:tcBorders>
              <w:top w:val="single" w:color="auto" w:sz="4" w:space="0"/>
              <w:left w:val="single" w:color="auto" w:sz="4" w:space="0"/>
              <w:bottom w:val="single" w:color="auto" w:sz="4" w:space="0"/>
              <w:right w:val="single" w:color="auto" w:sz="4" w:space="0"/>
            </w:tcBorders>
            <w:vAlign w:val="center"/>
          </w:tcPr>
          <w:p w14:paraId="5B74157F">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项目</w:t>
            </w:r>
          </w:p>
        </w:tc>
        <w:tc>
          <w:tcPr>
            <w:tcW w:w="2668" w:type="dxa"/>
            <w:tcBorders>
              <w:top w:val="single" w:color="auto" w:sz="4" w:space="0"/>
              <w:left w:val="single" w:color="auto" w:sz="4" w:space="0"/>
              <w:bottom w:val="single" w:color="auto" w:sz="4" w:space="0"/>
              <w:right w:val="single" w:color="auto" w:sz="4" w:space="0"/>
            </w:tcBorders>
            <w:vAlign w:val="center"/>
          </w:tcPr>
          <w:p w14:paraId="6749244B">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磋商文件商务要求</w:t>
            </w:r>
          </w:p>
        </w:tc>
        <w:tc>
          <w:tcPr>
            <w:tcW w:w="2350" w:type="dxa"/>
            <w:tcBorders>
              <w:top w:val="single" w:color="auto" w:sz="4" w:space="0"/>
              <w:left w:val="single" w:color="auto" w:sz="4" w:space="0"/>
              <w:bottom w:val="single" w:color="auto" w:sz="4" w:space="0"/>
              <w:right w:val="single" w:color="auto" w:sz="4" w:space="0"/>
            </w:tcBorders>
            <w:vAlign w:val="center"/>
          </w:tcPr>
          <w:p w14:paraId="1C616EBD">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供应商的响应</w:t>
            </w:r>
          </w:p>
        </w:tc>
        <w:tc>
          <w:tcPr>
            <w:tcW w:w="2112" w:type="dxa"/>
            <w:tcBorders>
              <w:top w:val="single" w:color="auto" w:sz="4" w:space="0"/>
              <w:left w:val="single" w:color="auto" w:sz="4" w:space="0"/>
              <w:bottom w:val="single" w:color="auto" w:sz="4" w:space="0"/>
              <w:right w:val="single" w:color="auto" w:sz="4" w:space="0"/>
            </w:tcBorders>
            <w:vAlign w:val="center"/>
          </w:tcPr>
          <w:p w14:paraId="3E09224C">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偏离说明</w:t>
            </w:r>
          </w:p>
        </w:tc>
      </w:tr>
      <w:tr w14:paraId="5176A0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2178" w:type="dxa"/>
            <w:tcBorders>
              <w:top w:val="single" w:color="auto" w:sz="4" w:space="0"/>
              <w:left w:val="single" w:color="auto" w:sz="4" w:space="0"/>
              <w:bottom w:val="single" w:color="auto" w:sz="4" w:space="0"/>
              <w:right w:val="single" w:color="auto" w:sz="4" w:space="0"/>
            </w:tcBorders>
            <w:vAlign w:val="center"/>
          </w:tcPr>
          <w:p w14:paraId="11EB03C0">
            <w:pPr>
              <w:spacing w:line="360" w:lineRule="auto"/>
              <w:jc w:val="center"/>
              <w:rPr>
                <w:rFonts w:ascii="宋体" w:hAnsi="宋体"/>
                <w:color w:val="auto"/>
                <w:sz w:val="24"/>
                <w:highlight w:val="none"/>
              </w:rPr>
            </w:pPr>
            <w:r>
              <w:rPr>
                <w:rFonts w:hint="eastAsia" w:ascii="宋体" w:hAnsi="宋体"/>
                <w:color w:val="auto"/>
                <w:sz w:val="24"/>
                <w:highlight w:val="none"/>
              </w:rPr>
              <w:t>签订合同期</w:t>
            </w:r>
          </w:p>
        </w:tc>
        <w:tc>
          <w:tcPr>
            <w:tcW w:w="2668" w:type="dxa"/>
            <w:tcBorders>
              <w:top w:val="single" w:color="auto" w:sz="4" w:space="0"/>
              <w:left w:val="single" w:color="auto" w:sz="4" w:space="0"/>
              <w:bottom w:val="single" w:color="auto" w:sz="4" w:space="0"/>
              <w:right w:val="single" w:color="auto" w:sz="4" w:space="0"/>
            </w:tcBorders>
            <w:vAlign w:val="center"/>
          </w:tcPr>
          <w:p w14:paraId="7A1295B6">
            <w:pPr>
              <w:spacing w:line="360" w:lineRule="auto"/>
              <w:contextualSpacing/>
              <w:jc w:val="center"/>
              <w:rPr>
                <w:rFonts w:ascii="宋体" w:hAnsi="宋体" w:cs="仿宋_GB2312"/>
                <w:color w:val="auto"/>
                <w:sz w:val="24"/>
                <w:highlight w:val="none"/>
              </w:rPr>
            </w:pPr>
          </w:p>
        </w:tc>
        <w:tc>
          <w:tcPr>
            <w:tcW w:w="2350" w:type="dxa"/>
            <w:tcBorders>
              <w:top w:val="single" w:color="auto" w:sz="4" w:space="0"/>
              <w:left w:val="single" w:color="auto" w:sz="4" w:space="0"/>
              <w:bottom w:val="single" w:color="auto" w:sz="4" w:space="0"/>
              <w:right w:val="single" w:color="auto" w:sz="4" w:space="0"/>
            </w:tcBorders>
            <w:vAlign w:val="center"/>
          </w:tcPr>
          <w:p w14:paraId="0CEB891F">
            <w:pPr>
              <w:spacing w:line="360" w:lineRule="auto"/>
              <w:contextualSpacing/>
              <w:jc w:val="center"/>
              <w:rPr>
                <w:rFonts w:ascii="宋体" w:hAnsi="宋体" w:cs="仿宋_GB2312"/>
                <w:color w:val="auto"/>
                <w:sz w:val="24"/>
                <w:highlight w:val="none"/>
              </w:rPr>
            </w:pPr>
          </w:p>
        </w:tc>
        <w:tc>
          <w:tcPr>
            <w:tcW w:w="2112" w:type="dxa"/>
            <w:tcBorders>
              <w:top w:val="single" w:color="auto" w:sz="4" w:space="0"/>
              <w:left w:val="single" w:color="auto" w:sz="4" w:space="0"/>
              <w:bottom w:val="single" w:color="auto" w:sz="4" w:space="0"/>
              <w:right w:val="single" w:color="auto" w:sz="4" w:space="0"/>
            </w:tcBorders>
            <w:vAlign w:val="center"/>
          </w:tcPr>
          <w:p w14:paraId="72397B85">
            <w:pPr>
              <w:spacing w:line="360" w:lineRule="auto"/>
              <w:contextualSpacing/>
              <w:jc w:val="center"/>
              <w:rPr>
                <w:rFonts w:ascii="宋体" w:hAnsi="宋体" w:cs="仿宋_GB2312"/>
                <w:color w:val="auto"/>
                <w:sz w:val="24"/>
                <w:highlight w:val="none"/>
              </w:rPr>
            </w:pPr>
          </w:p>
        </w:tc>
      </w:tr>
      <w:tr w14:paraId="366C65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2178" w:type="dxa"/>
            <w:tcBorders>
              <w:top w:val="single" w:color="auto" w:sz="4" w:space="0"/>
              <w:left w:val="single" w:color="auto" w:sz="4" w:space="0"/>
              <w:bottom w:val="single" w:color="auto" w:sz="4" w:space="0"/>
              <w:right w:val="single" w:color="auto" w:sz="4" w:space="0"/>
            </w:tcBorders>
            <w:vAlign w:val="center"/>
          </w:tcPr>
          <w:p w14:paraId="367D833E">
            <w:pPr>
              <w:spacing w:line="360" w:lineRule="auto"/>
              <w:jc w:val="center"/>
              <w:rPr>
                <w:rFonts w:ascii="宋体" w:hAnsi="宋体"/>
                <w:color w:val="auto"/>
                <w:sz w:val="24"/>
                <w:highlight w:val="none"/>
              </w:rPr>
            </w:pPr>
            <w:r>
              <w:rPr>
                <w:rFonts w:hint="eastAsia" w:ascii="宋体" w:hAnsi="宋体" w:cs="宋体"/>
                <w:color w:val="auto"/>
                <w:sz w:val="24"/>
                <w:highlight w:val="none"/>
              </w:rPr>
              <w:t>▲磋商报价要求</w:t>
            </w:r>
          </w:p>
        </w:tc>
        <w:tc>
          <w:tcPr>
            <w:tcW w:w="2668" w:type="dxa"/>
            <w:tcBorders>
              <w:top w:val="single" w:color="auto" w:sz="4" w:space="0"/>
              <w:left w:val="single" w:color="auto" w:sz="4" w:space="0"/>
              <w:bottom w:val="single" w:color="auto" w:sz="4" w:space="0"/>
              <w:right w:val="single" w:color="auto" w:sz="4" w:space="0"/>
            </w:tcBorders>
            <w:vAlign w:val="center"/>
          </w:tcPr>
          <w:p w14:paraId="3FCD3C09">
            <w:pPr>
              <w:spacing w:line="360" w:lineRule="auto"/>
              <w:contextualSpacing/>
              <w:jc w:val="center"/>
              <w:rPr>
                <w:rFonts w:ascii="宋体" w:hAnsi="宋体" w:cs="仿宋_GB2312"/>
                <w:color w:val="auto"/>
                <w:sz w:val="24"/>
                <w:highlight w:val="none"/>
              </w:rPr>
            </w:pPr>
          </w:p>
        </w:tc>
        <w:tc>
          <w:tcPr>
            <w:tcW w:w="2350" w:type="dxa"/>
            <w:tcBorders>
              <w:top w:val="single" w:color="auto" w:sz="4" w:space="0"/>
              <w:left w:val="single" w:color="auto" w:sz="4" w:space="0"/>
              <w:bottom w:val="single" w:color="auto" w:sz="4" w:space="0"/>
              <w:right w:val="single" w:color="auto" w:sz="4" w:space="0"/>
            </w:tcBorders>
            <w:vAlign w:val="center"/>
          </w:tcPr>
          <w:p w14:paraId="35E8DA60">
            <w:pPr>
              <w:spacing w:line="360" w:lineRule="auto"/>
              <w:ind w:left="43"/>
              <w:contextualSpacing/>
              <w:jc w:val="center"/>
              <w:rPr>
                <w:rFonts w:ascii="宋体" w:hAnsi="宋体" w:cs="仿宋_GB2312"/>
                <w:color w:val="auto"/>
                <w:sz w:val="24"/>
                <w:highlight w:val="none"/>
              </w:rPr>
            </w:pPr>
          </w:p>
        </w:tc>
        <w:tc>
          <w:tcPr>
            <w:tcW w:w="2112" w:type="dxa"/>
            <w:tcBorders>
              <w:top w:val="single" w:color="auto" w:sz="4" w:space="0"/>
              <w:left w:val="single" w:color="auto" w:sz="4" w:space="0"/>
              <w:bottom w:val="single" w:color="auto" w:sz="4" w:space="0"/>
              <w:right w:val="single" w:color="auto" w:sz="4" w:space="0"/>
            </w:tcBorders>
            <w:vAlign w:val="center"/>
          </w:tcPr>
          <w:p w14:paraId="1EB1AB71">
            <w:pPr>
              <w:spacing w:line="360" w:lineRule="auto"/>
              <w:ind w:left="43"/>
              <w:contextualSpacing/>
              <w:jc w:val="center"/>
              <w:rPr>
                <w:rFonts w:ascii="宋体" w:hAnsi="宋体" w:cs="仿宋_GB2312"/>
                <w:color w:val="auto"/>
                <w:sz w:val="24"/>
                <w:highlight w:val="none"/>
              </w:rPr>
            </w:pPr>
          </w:p>
        </w:tc>
      </w:tr>
      <w:tr w14:paraId="4DB8A9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78" w:type="dxa"/>
            <w:tcBorders>
              <w:top w:val="single" w:color="auto" w:sz="4" w:space="0"/>
              <w:left w:val="single" w:color="auto" w:sz="4" w:space="0"/>
              <w:bottom w:val="single" w:color="auto" w:sz="4" w:space="0"/>
              <w:right w:val="single" w:color="auto" w:sz="4" w:space="0"/>
            </w:tcBorders>
            <w:vAlign w:val="center"/>
          </w:tcPr>
          <w:p w14:paraId="7DC2B306">
            <w:pPr>
              <w:spacing w:line="360" w:lineRule="auto"/>
              <w:jc w:val="center"/>
              <w:rPr>
                <w:rFonts w:ascii="宋体" w:hAnsi="宋体" w:cs="仿宋_GB2312"/>
                <w:color w:val="auto"/>
                <w:sz w:val="24"/>
                <w:highlight w:val="none"/>
              </w:rPr>
            </w:pPr>
            <w:r>
              <w:rPr>
                <w:rFonts w:hint="eastAsia" w:ascii="宋体" w:hAnsi="宋体" w:cs="宋体"/>
                <w:color w:val="auto"/>
                <w:sz w:val="24"/>
                <w:highlight w:val="none"/>
              </w:rPr>
              <w:t>▲提交服务成果时间及地点</w:t>
            </w:r>
          </w:p>
        </w:tc>
        <w:tc>
          <w:tcPr>
            <w:tcW w:w="2668" w:type="dxa"/>
            <w:tcBorders>
              <w:top w:val="single" w:color="auto" w:sz="4" w:space="0"/>
              <w:left w:val="single" w:color="auto" w:sz="4" w:space="0"/>
              <w:bottom w:val="single" w:color="auto" w:sz="4" w:space="0"/>
              <w:right w:val="single" w:color="auto" w:sz="4" w:space="0"/>
            </w:tcBorders>
            <w:vAlign w:val="center"/>
          </w:tcPr>
          <w:p w14:paraId="7BA4BFA4">
            <w:pPr>
              <w:spacing w:line="360" w:lineRule="auto"/>
              <w:contextualSpacing/>
              <w:jc w:val="center"/>
              <w:rPr>
                <w:rFonts w:ascii="宋体" w:hAnsi="宋体" w:cs="仿宋_GB2312"/>
                <w:color w:val="auto"/>
                <w:sz w:val="24"/>
                <w:highlight w:val="none"/>
              </w:rPr>
            </w:pPr>
          </w:p>
        </w:tc>
        <w:tc>
          <w:tcPr>
            <w:tcW w:w="2350" w:type="dxa"/>
            <w:tcBorders>
              <w:top w:val="single" w:color="auto" w:sz="4" w:space="0"/>
              <w:left w:val="single" w:color="auto" w:sz="4" w:space="0"/>
              <w:bottom w:val="single" w:color="auto" w:sz="4" w:space="0"/>
              <w:right w:val="single" w:color="auto" w:sz="4" w:space="0"/>
            </w:tcBorders>
            <w:vAlign w:val="center"/>
          </w:tcPr>
          <w:p w14:paraId="7F1219E4">
            <w:pPr>
              <w:spacing w:line="360" w:lineRule="auto"/>
              <w:contextualSpacing/>
              <w:jc w:val="center"/>
              <w:rPr>
                <w:rFonts w:ascii="宋体" w:hAnsi="宋体" w:cs="仿宋_GB2312"/>
                <w:color w:val="auto"/>
                <w:sz w:val="24"/>
                <w:highlight w:val="none"/>
              </w:rPr>
            </w:pPr>
          </w:p>
        </w:tc>
        <w:tc>
          <w:tcPr>
            <w:tcW w:w="2112" w:type="dxa"/>
            <w:tcBorders>
              <w:top w:val="single" w:color="auto" w:sz="4" w:space="0"/>
              <w:left w:val="single" w:color="auto" w:sz="4" w:space="0"/>
              <w:bottom w:val="single" w:color="auto" w:sz="4" w:space="0"/>
              <w:right w:val="single" w:color="auto" w:sz="4" w:space="0"/>
            </w:tcBorders>
            <w:vAlign w:val="center"/>
          </w:tcPr>
          <w:p w14:paraId="50A38294">
            <w:pPr>
              <w:spacing w:line="360" w:lineRule="auto"/>
              <w:contextualSpacing/>
              <w:jc w:val="center"/>
              <w:rPr>
                <w:rFonts w:ascii="宋体" w:hAnsi="宋体" w:cs="仿宋_GB2312"/>
                <w:color w:val="auto"/>
                <w:sz w:val="24"/>
                <w:highlight w:val="none"/>
              </w:rPr>
            </w:pPr>
          </w:p>
        </w:tc>
      </w:tr>
      <w:tr w14:paraId="7ACBAA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78" w:type="dxa"/>
            <w:tcBorders>
              <w:top w:val="single" w:color="auto" w:sz="4" w:space="0"/>
              <w:left w:val="single" w:color="auto" w:sz="4" w:space="0"/>
              <w:bottom w:val="single" w:color="auto" w:sz="4" w:space="0"/>
              <w:right w:val="single" w:color="auto" w:sz="4" w:space="0"/>
            </w:tcBorders>
            <w:vAlign w:val="center"/>
          </w:tcPr>
          <w:p w14:paraId="206850C9">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w:t>
            </w:r>
          </w:p>
        </w:tc>
        <w:tc>
          <w:tcPr>
            <w:tcW w:w="2668" w:type="dxa"/>
            <w:tcBorders>
              <w:top w:val="single" w:color="auto" w:sz="4" w:space="0"/>
              <w:left w:val="single" w:color="auto" w:sz="4" w:space="0"/>
              <w:bottom w:val="single" w:color="auto" w:sz="4" w:space="0"/>
              <w:right w:val="single" w:color="auto" w:sz="4" w:space="0"/>
            </w:tcBorders>
            <w:vAlign w:val="center"/>
          </w:tcPr>
          <w:p w14:paraId="1A63D051">
            <w:pPr>
              <w:spacing w:line="360" w:lineRule="auto"/>
              <w:contextualSpacing/>
              <w:jc w:val="center"/>
              <w:rPr>
                <w:rFonts w:ascii="宋体" w:hAnsi="宋体" w:cs="仿宋_GB2312"/>
                <w:color w:val="auto"/>
                <w:sz w:val="24"/>
                <w:highlight w:val="none"/>
              </w:rPr>
            </w:pPr>
          </w:p>
        </w:tc>
        <w:tc>
          <w:tcPr>
            <w:tcW w:w="2350" w:type="dxa"/>
            <w:tcBorders>
              <w:top w:val="single" w:color="auto" w:sz="4" w:space="0"/>
              <w:left w:val="single" w:color="auto" w:sz="4" w:space="0"/>
              <w:bottom w:val="single" w:color="auto" w:sz="4" w:space="0"/>
              <w:right w:val="single" w:color="auto" w:sz="4" w:space="0"/>
            </w:tcBorders>
            <w:vAlign w:val="center"/>
          </w:tcPr>
          <w:p w14:paraId="66E34D2F">
            <w:pPr>
              <w:spacing w:line="360" w:lineRule="auto"/>
              <w:contextualSpacing/>
              <w:jc w:val="center"/>
              <w:rPr>
                <w:rFonts w:ascii="宋体" w:hAnsi="宋体" w:cs="仿宋_GB2312"/>
                <w:color w:val="auto"/>
                <w:sz w:val="24"/>
                <w:highlight w:val="none"/>
              </w:rPr>
            </w:pPr>
          </w:p>
        </w:tc>
        <w:tc>
          <w:tcPr>
            <w:tcW w:w="2112" w:type="dxa"/>
            <w:tcBorders>
              <w:top w:val="single" w:color="auto" w:sz="4" w:space="0"/>
              <w:left w:val="single" w:color="auto" w:sz="4" w:space="0"/>
              <w:bottom w:val="single" w:color="auto" w:sz="4" w:space="0"/>
              <w:right w:val="single" w:color="auto" w:sz="4" w:space="0"/>
            </w:tcBorders>
            <w:vAlign w:val="center"/>
          </w:tcPr>
          <w:p w14:paraId="588A82C3">
            <w:pPr>
              <w:spacing w:line="360" w:lineRule="auto"/>
              <w:contextualSpacing/>
              <w:jc w:val="center"/>
              <w:rPr>
                <w:rFonts w:ascii="宋体" w:hAnsi="宋体" w:cs="仿宋_GB2312"/>
                <w:color w:val="auto"/>
                <w:sz w:val="24"/>
                <w:highlight w:val="none"/>
              </w:rPr>
            </w:pPr>
          </w:p>
        </w:tc>
      </w:tr>
    </w:tbl>
    <w:p w14:paraId="39BC34DA">
      <w:pPr>
        <w:pStyle w:val="10"/>
        <w:spacing w:after="0" w:line="360" w:lineRule="auto"/>
        <w:contextualSpacing/>
        <w:rPr>
          <w:rFonts w:ascii="宋体" w:hAnsi="宋体"/>
          <w:color w:val="auto"/>
          <w:kern w:val="0"/>
          <w:sz w:val="24"/>
          <w:szCs w:val="24"/>
          <w:highlight w:val="none"/>
        </w:rPr>
      </w:pPr>
      <w:r>
        <w:rPr>
          <w:rFonts w:hint="eastAsia" w:ascii="宋体" w:hAnsi="宋体"/>
          <w:color w:val="auto"/>
          <w:kern w:val="0"/>
          <w:sz w:val="24"/>
          <w:szCs w:val="24"/>
          <w:highlight w:val="none"/>
        </w:rPr>
        <w:t>注：</w:t>
      </w:r>
    </w:p>
    <w:p w14:paraId="0690164F">
      <w:pPr>
        <w:pStyle w:val="10"/>
        <w:spacing w:after="0" w:line="360" w:lineRule="auto"/>
        <w:contextualSpacing/>
        <w:rPr>
          <w:rFonts w:ascii="宋体" w:hAnsi="宋体"/>
          <w:color w:val="auto"/>
          <w:kern w:val="0"/>
          <w:sz w:val="24"/>
          <w:szCs w:val="24"/>
          <w:highlight w:val="none"/>
        </w:rPr>
      </w:pPr>
      <w:r>
        <w:rPr>
          <w:rFonts w:hint="eastAsia" w:ascii="宋体" w:hAnsi="宋体"/>
          <w:color w:val="auto"/>
          <w:kern w:val="0"/>
          <w:sz w:val="24"/>
          <w:szCs w:val="24"/>
          <w:highlight w:val="none"/>
        </w:rPr>
        <w:t>1. 说明：应对照磋商文件“第三章 采购需求”中的商务要求逐条作出明确响应，并作出偏离说明。</w:t>
      </w:r>
    </w:p>
    <w:p w14:paraId="47648CAD">
      <w:pPr>
        <w:spacing w:line="360" w:lineRule="auto"/>
        <w:contextualSpacing/>
        <w:jc w:val="left"/>
        <w:rPr>
          <w:rFonts w:ascii="宋体" w:hAnsi="宋体" w:cs="仿宋_GB2312"/>
          <w:color w:val="auto"/>
          <w:sz w:val="24"/>
          <w:highlight w:val="none"/>
          <w:u w:val="single"/>
        </w:rPr>
      </w:pPr>
      <w:r>
        <w:rPr>
          <w:rFonts w:hint="eastAsia" w:ascii="宋体" w:hAnsi="宋体"/>
          <w:color w:val="auto"/>
          <w:kern w:val="0"/>
          <w:sz w:val="24"/>
          <w:highlight w:val="none"/>
        </w:rPr>
        <w:t>2.供应商应根据自身的承诺，对照磋商文件要求在“偏离说明”中注明“正偏离”、“负偏离”或者“无偏离”。既不属于“正偏离”也不属于“负偏离”即为“无偏离”。</w:t>
      </w:r>
    </w:p>
    <w:p w14:paraId="2A0C186F">
      <w:pPr>
        <w:spacing w:line="360" w:lineRule="auto"/>
        <w:ind w:right="-817" w:rightChars="-389"/>
        <w:contextualSpacing/>
        <w:rPr>
          <w:rFonts w:ascii="宋体" w:hAnsi="宋体" w:cs="仿宋_GB2312"/>
          <w:color w:val="auto"/>
          <w:sz w:val="24"/>
          <w:highlight w:val="none"/>
        </w:rPr>
      </w:pPr>
    </w:p>
    <w:p w14:paraId="31B1A0D8">
      <w:pPr>
        <w:spacing w:line="360" w:lineRule="auto"/>
        <w:ind w:right="-817" w:rightChars="-389" w:firstLine="3120" w:firstLineChars="1300"/>
        <w:contextualSpacing/>
        <w:rPr>
          <w:rFonts w:ascii="宋体" w:hAnsi="宋体" w:cs="仿宋_GB2312"/>
          <w:color w:val="auto"/>
          <w:sz w:val="24"/>
          <w:highlight w:val="none"/>
        </w:rPr>
      </w:pPr>
      <w:r>
        <w:rPr>
          <w:rFonts w:hint="eastAsia" w:ascii="宋体" w:hAnsi="宋体" w:cs="仿宋_GB2312"/>
          <w:color w:val="auto"/>
          <w:sz w:val="24"/>
          <w:highlight w:val="none"/>
        </w:rPr>
        <w:t>供应商（电子签章）：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1AE0FF34">
      <w:pPr>
        <w:spacing w:line="360" w:lineRule="auto"/>
        <w:ind w:right="-817" w:rightChars="-389" w:firstLine="4080" w:firstLineChars="1700"/>
        <w:contextualSpacing/>
        <w:rPr>
          <w:rFonts w:ascii="仿宋_GB2312" w:hAnsi="仿宋_GB2312" w:eastAsia="仿宋_GB2312" w:cs="仿宋_GB2312"/>
          <w:b/>
          <w:color w:val="auto"/>
          <w:sz w:val="32"/>
          <w:szCs w:val="32"/>
          <w:highlight w:val="none"/>
        </w:rPr>
      </w:pPr>
      <w:r>
        <w:rPr>
          <w:rFonts w:hint="eastAsia" w:ascii="宋体" w:hAnsi="宋体" w:cs="仿宋_GB2312"/>
          <w:color w:val="auto"/>
          <w:sz w:val="24"/>
          <w:highlight w:val="none"/>
        </w:rPr>
        <w:t>日期：   年   月   日</w:t>
      </w:r>
    </w:p>
    <w:p w14:paraId="28AD270D">
      <w:pPr>
        <w:adjustRightInd w:val="0"/>
        <w:snapToGrid w:val="0"/>
        <w:spacing w:line="520" w:lineRule="exact"/>
        <w:ind w:firstLine="7040" w:firstLineChars="1600"/>
        <w:jc w:val="center"/>
        <w:rPr>
          <w:rFonts w:ascii="宋体" w:hAnsi="宋体" w:cs="宋体"/>
          <w:bCs/>
          <w:color w:val="auto"/>
          <w:sz w:val="44"/>
          <w:szCs w:val="44"/>
          <w:highlight w:val="none"/>
        </w:rPr>
      </w:pPr>
    </w:p>
    <w:p w14:paraId="09AC6E6B">
      <w:pPr>
        <w:adjustRightInd w:val="0"/>
        <w:snapToGrid w:val="0"/>
        <w:spacing w:line="520" w:lineRule="exact"/>
        <w:ind w:firstLine="7040" w:firstLineChars="1600"/>
        <w:jc w:val="center"/>
        <w:rPr>
          <w:rFonts w:ascii="宋体" w:hAnsi="宋体" w:cs="宋体"/>
          <w:bCs/>
          <w:color w:val="auto"/>
          <w:sz w:val="44"/>
          <w:szCs w:val="44"/>
          <w:highlight w:val="none"/>
        </w:rPr>
      </w:pPr>
    </w:p>
    <w:p w14:paraId="2EF909E9">
      <w:pPr>
        <w:adjustRightInd w:val="0"/>
        <w:snapToGrid w:val="0"/>
        <w:spacing w:line="520" w:lineRule="exact"/>
        <w:ind w:firstLine="7040" w:firstLineChars="1600"/>
        <w:jc w:val="center"/>
        <w:rPr>
          <w:rFonts w:ascii="宋体" w:hAnsi="宋体" w:cs="宋体"/>
          <w:bCs/>
          <w:color w:val="auto"/>
          <w:sz w:val="44"/>
          <w:szCs w:val="44"/>
          <w:highlight w:val="none"/>
        </w:rPr>
      </w:pPr>
    </w:p>
    <w:p w14:paraId="03F802A0">
      <w:pPr>
        <w:adjustRightInd w:val="0"/>
        <w:snapToGrid w:val="0"/>
        <w:spacing w:line="520" w:lineRule="exact"/>
        <w:ind w:firstLine="7040" w:firstLineChars="1600"/>
        <w:jc w:val="center"/>
        <w:rPr>
          <w:rFonts w:ascii="宋体" w:hAnsi="宋体" w:cs="宋体"/>
          <w:bCs/>
          <w:color w:val="auto"/>
          <w:sz w:val="44"/>
          <w:szCs w:val="44"/>
          <w:highlight w:val="none"/>
        </w:rPr>
      </w:pPr>
    </w:p>
    <w:p w14:paraId="1DC78D72">
      <w:pPr>
        <w:adjustRightInd w:val="0"/>
        <w:snapToGrid w:val="0"/>
        <w:spacing w:line="520" w:lineRule="exact"/>
        <w:rPr>
          <w:rFonts w:ascii="宋体" w:hAnsi="宋体"/>
          <w:color w:val="auto"/>
          <w:szCs w:val="21"/>
          <w:highlight w:val="none"/>
          <w:u w:val="single"/>
        </w:rPr>
      </w:pPr>
    </w:p>
    <w:p w14:paraId="2793FF83">
      <w:pPr>
        <w:adjustRightInd w:val="0"/>
        <w:snapToGrid w:val="0"/>
        <w:spacing w:line="300" w:lineRule="auto"/>
        <w:jc w:val="center"/>
        <w:rPr>
          <w:rFonts w:ascii="宋体" w:hAnsi="宋体" w:cs="宋体"/>
          <w:bCs/>
          <w:color w:val="auto"/>
          <w:sz w:val="44"/>
          <w:szCs w:val="44"/>
          <w:highlight w:val="none"/>
        </w:rPr>
      </w:pPr>
      <w:r>
        <w:rPr>
          <w:rFonts w:hint="eastAsia" w:ascii="宋体" w:hAnsi="宋体" w:cs="宋体"/>
          <w:bCs/>
          <w:color w:val="auto"/>
          <w:sz w:val="44"/>
          <w:szCs w:val="44"/>
          <w:highlight w:val="none"/>
        </w:rPr>
        <w:br w:type="page"/>
      </w:r>
      <w:r>
        <w:rPr>
          <w:rFonts w:hint="eastAsia" w:ascii="宋体" w:hAnsi="宋体" w:cs="宋体"/>
          <w:bCs/>
          <w:color w:val="auto"/>
          <w:sz w:val="44"/>
          <w:szCs w:val="44"/>
          <w:highlight w:val="none"/>
        </w:rPr>
        <w:t>技术要求偏离表</w:t>
      </w:r>
    </w:p>
    <w:p w14:paraId="4FA64446">
      <w:pPr>
        <w:spacing w:line="520" w:lineRule="exact"/>
        <w:rPr>
          <w:rFonts w:ascii="仿宋_GB2312" w:hAnsi="仿宋_GB2312" w:eastAsia="仿宋_GB2312" w:cs="仿宋_GB2312"/>
          <w:color w:val="auto"/>
          <w:sz w:val="32"/>
          <w:szCs w:val="32"/>
          <w:highlight w:val="none"/>
        </w:rPr>
      </w:pPr>
    </w:p>
    <w:p w14:paraId="19259047">
      <w:pPr>
        <w:spacing w:line="360" w:lineRule="auto"/>
        <w:contextualSpacing/>
        <w:rPr>
          <w:rFonts w:ascii="宋体" w:hAnsi="宋体" w:cs="仿宋_GB2312"/>
          <w:color w:val="auto"/>
          <w:sz w:val="24"/>
          <w:highlight w:val="none"/>
          <w:u w:val="single"/>
        </w:rPr>
      </w:pPr>
      <w:r>
        <w:rPr>
          <w:rFonts w:hint="eastAsia" w:ascii="宋体" w:hAnsi="宋体" w:cs="仿宋_GB2312"/>
          <w:color w:val="auto"/>
          <w:sz w:val="24"/>
          <w:highlight w:val="none"/>
        </w:rPr>
        <w:t>采购项目编号：</w:t>
      </w:r>
      <w:r>
        <w:rPr>
          <w:rFonts w:hint="eastAsia" w:ascii="宋体" w:hAnsi="宋体" w:cs="仿宋_GB2312"/>
          <w:color w:val="auto"/>
          <w:sz w:val="24"/>
          <w:highlight w:val="none"/>
          <w:u w:val="single"/>
        </w:rPr>
        <w:t xml:space="preserve">                 </w:t>
      </w:r>
    </w:p>
    <w:p w14:paraId="2000A76F">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采购项目名称：</w:t>
      </w:r>
      <w:r>
        <w:rPr>
          <w:rFonts w:hint="eastAsia" w:ascii="宋体" w:hAnsi="宋体" w:cs="仿宋_GB2312"/>
          <w:color w:val="auto"/>
          <w:sz w:val="24"/>
          <w:highlight w:val="none"/>
          <w:u w:val="single"/>
        </w:rPr>
        <w:t xml:space="preserve">                 </w:t>
      </w:r>
    </w:p>
    <w:p w14:paraId="576E0452">
      <w:pPr>
        <w:spacing w:line="360" w:lineRule="auto"/>
        <w:contextualSpacing/>
        <w:rPr>
          <w:rFonts w:ascii="宋体" w:hAnsi="宋体" w:cs="仿宋_GB2312"/>
          <w:color w:val="auto"/>
          <w:sz w:val="24"/>
          <w:highlight w:val="none"/>
          <w:u w:val="single"/>
        </w:rPr>
      </w:pPr>
      <w:r>
        <w:rPr>
          <w:rFonts w:hint="eastAsia" w:ascii="宋体" w:hAnsi="宋体" w:cs="仿宋_GB2312"/>
          <w:color w:val="auto"/>
          <w:sz w:val="24"/>
          <w:highlight w:val="none"/>
        </w:rPr>
        <w:t>分标号：</w:t>
      </w:r>
      <w:r>
        <w:rPr>
          <w:rFonts w:hint="eastAsia" w:ascii="宋体" w:hAnsi="宋体" w:cs="仿宋_GB2312"/>
          <w:color w:val="auto"/>
          <w:sz w:val="24"/>
          <w:highlight w:val="none"/>
          <w:u w:val="single"/>
        </w:rPr>
        <w:t xml:space="preserve">                       </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69"/>
        <w:gridCol w:w="969"/>
        <w:gridCol w:w="3216"/>
        <w:gridCol w:w="2895"/>
        <w:gridCol w:w="1579"/>
      </w:tblGrid>
      <w:tr w14:paraId="6693FA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vAlign w:val="center"/>
          </w:tcPr>
          <w:p w14:paraId="74DFB2FC">
            <w:pPr>
              <w:pStyle w:val="14"/>
              <w:spacing w:line="360" w:lineRule="auto"/>
              <w:ind w:firstLine="0" w:firstLineChars="0"/>
              <w:contextualSpacing/>
              <w:jc w:val="center"/>
              <w:rPr>
                <w:rFonts w:ascii="宋体" w:hAnsi="宋体" w:eastAsia="宋体" w:cs="仿宋_GB2312"/>
                <w:color w:val="auto"/>
                <w:kern w:val="2"/>
                <w:sz w:val="24"/>
                <w:szCs w:val="24"/>
                <w:highlight w:val="none"/>
              </w:rPr>
            </w:pPr>
            <w:bookmarkStart w:id="129" w:name="_Toc297193185"/>
            <w:bookmarkStart w:id="130" w:name="_Toc295404981"/>
            <w:bookmarkStart w:id="131" w:name="_Toc373333689"/>
            <w:bookmarkStart w:id="132" w:name="_Toc254970729"/>
            <w:bookmarkStart w:id="133" w:name="_Toc254970588"/>
            <w:bookmarkStart w:id="134" w:name="_Toc383699906"/>
            <w:bookmarkStart w:id="135" w:name="_Toc301781611"/>
            <w:bookmarkStart w:id="136" w:name="_Toc173066401"/>
            <w:bookmarkStart w:id="137" w:name="_Toc173211900"/>
            <w:r>
              <w:rPr>
                <w:rFonts w:hint="eastAsia" w:ascii="宋体" w:hAnsi="宋体" w:eastAsia="宋体" w:cs="仿宋_GB2312"/>
                <w:color w:val="auto"/>
                <w:kern w:val="2"/>
                <w:sz w:val="24"/>
                <w:szCs w:val="24"/>
                <w:highlight w:val="none"/>
              </w:rPr>
              <w:t>序号</w:t>
            </w:r>
            <w:bookmarkEnd w:id="129"/>
            <w:bookmarkEnd w:id="130"/>
            <w:bookmarkEnd w:id="131"/>
            <w:bookmarkEnd w:id="132"/>
            <w:bookmarkEnd w:id="133"/>
            <w:bookmarkEnd w:id="134"/>
            <w:bookmarkEnd w:id="135"/>
            <w:bookmarkEnd w:id="136"/>
            <w:bookmarkEnd w:id="137"/>
          </w:p>
        </w:tc>
        <w:tc>
          <w:tcPr>
            <w:tcW w:w="503" w:type="pct"/>
            <w:tcBorders>
              <w:right w:val="single" w:color="auto" w:sz="4" w:space="0"/>
            </w:tcBorders>
            <w:vAlign w:val="center"/>
          </w:tcPr>
          <w:p w14:paraId="72E6DBA5">
            <w:pPr>
              <w:pStyle w:val="14"/>
              <w:spacing w:line="360" w:lineRule="auto"/>
              <w:ind w:firstLine="0" w:firstLineChars="0"/>
              <w:contextualSpacing/>
              <w:jc w:val="center"/>
              <w:rPr>
                <w:rFonts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名称</w:t>
            </w:r>
          </w:p>
        </w:tc>
        <w:tc>
          <w:tcPr>
            <w:tcW w:w="1670" w:type="pct"/>
            <w:tcBorders>
              <w:left w:val="single" w:color="auto" w:sz="4" w:space="0"/>
            </w:tcBorders>
            <w:vAlign w:val="center"/>
          </w:tcPr>
          <w:p w14:paraId="41D2800F">
            <w:pPr>
              <w:pStyle w:val="14"/>
              <w:spacing w:line="360" w:lineRule="auto"/>
              <w:ind w:firstLine="0" w:firstLineChars="0"/>
              <w:contextualSpacing/>
              <w:jc w:val="center"/>
              <w:rPr>
                <w:rFonts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磋商文件技术要求</w:t>
            </w:r>
          </w:p>
        </w:tc>
        <w:tc>
          <w:tcPr>
            <w:tcW w:w="1503" w:type="pct"/>
            <w:vAlign w:val="center"/>
          </w:tcPr>
          <w:p w14:paraId="3DACE4AC">
            <w:pPr>
              <w:pStyle w:val="14"/>
              <w:spacing w:line="360" w:lineRule="auto"/>
              <w:ind w:firstLine="0" w:firstLineChars="0"/>
              <w:contextualSpacing/>
              <w:jc w:val="center"/>
              <w:rPr>
                <w:rFonts w:ascii="宋体" w:hAnsi="宋体" w:eastAsia="宋体" w:cs="仿宋_GB2312"/>
                <w:color w:val="auto"/>
                <w:kern w:val="2"/>
                <w:sz w:val="24"/>
                <w:szCs w:val="24"/>
                <w:highlight w:val="none"/>
              </w:rPr>
            </w:pPr>
            <w:bookmarkStart w:id="138" w:name="_Toc254970590"/>
            <w:bookmarkStart w:id="139" w:name="_Toc297193187"/>
            <w:bookmarkStart w:id="140" w:name="_Toc173066403"/>
            <w:bookmarkStart w:id="141" w:name="_Toc173211902"/>
            <w:bookmarkStart w:id="142" w:name="_Toc383699908"/>
            <w:bookmarkStart w:id="143" w:name="_Toc254970731"/>
            <w:bookmarkStart w:id="144" w:name="_Toc301781613"/>
            <w:bookmarkStart w:id="145" w:name="_Toc295404983"/>
            <w:bookmarkStart w:id="146" w:name="_Toc373333691"/>
            <w:r>
              <w:rPr>
                <w:rFonts w:hint="eastAsia" w:ascii="宋体" w:hAnsi="宋体" w:eastAsia="宋体" w:cs="仿宋_GB2312"/>
                <w:color w:val="auto"/>
                <w:kern w:val="2"/>
                <w:sz w:val="24"/>
                <w:szCs w:val="24"/>
                <w:highlight w:val="none"/>
              </w:rPr>
              <w:t>竞标响应</w:t>
            </w:r>
            <w:bookmarkEnd w:id="138"/>
            <w:bookmarkEnd w:id="139"/>
            <w:bookmarkEnd w:id="140"/>
            <w:bookmarkEnd w:id="141"/>
            <w:bookmarkEnd w:id="142"/>
            <w:bookmarkEnd w:id="143"/>
            <w:bookmarkEnd w:id="144"/>
            <w:bookmarkEnd w:id="145"/>
            <w:bookmarkEnd w:id="146"/>
          </w:p>
        </w:tc>
        <w:tc>
          <w:tcPr>
            <w:tcW w:w="820" w:type="pct"/>
            <w:vAlign w:val="center"/>
          </w:tcPr>
          <w:p w14:paraId="3B087BF1">
            <w:pPr>
              <w:pStyle w:val="14"/>
              <w:spacing w:line="360" w:lineRule="auto"/>
              <w:ind w:firstLine="0" w:firstLineChars="0"/>
              <w:contextualSpacing/>
              <w:jc w:val="center"/>
              <w:rPr>
                <w:rFonts w:ascii="宋体" w:hAnsi="宋体" w:eastAsia="宋体" w:cs="仿宋_GB2312"/>
                <w:color w:val="auto"/>
                <w:kern w:val="2"/>
                <w:sz w:val="24"/>
                <w:szCs w:val="24"/>
                <w:highlight w:val="none"/>
              </w:rPr>
            </w:pPr>
            <w:bookmarkStart w:id="147" w:name="_Toc173211903"/>
            <w:bookmarkStart w:id="148" w:name="_Toc297193188"/>
            <w:bookmarkStart w:id="149" w:name="_Toc295404984"/>
            <w:bookmarkStart w:id="150" w:name="_Toc173066404"/>
            <w:bookmarkStart w:id="151" w:name="_Toc373333692"/>
            <w:bookmarkStart w:id="152" w:name="_Toc254970591"/>
            <w:bookmarkStart w:id="153" w:name="_Toc254970732"/>
            <w:bookmarkStart w:id="154" w:name="_Toc301781614"/>
            <w:bookmarkStart w:id="155" w:name="_Toc383699909"/>
            <w:r>
              <w:rPr>
                <w:rFonts w:hint="eastAsia" w:ascii="宋体" w:hAnsi="宋体" w:eastAsia="宋体" w:cs="仿宋_GB2312"/>
                <w:color w:val="auto"/>
                <w:kern w:val="2"/>
                <w:sz w:val="24"/>
                <w:szCs w:val="24"/>
                <w:highlight w:val="none"/>
              </w:rPr>
              <w:t>偏离</w:t>
            </w:r>
            <w:bookmarkEnd w:id="147"/>
            <w:bookmarkEnd w:id="148"/>
            <w:bookmarkEnd w:id="149"/>
            <w:bookmarkEnd w:id="150"/>
            <w:bookmarkEnd w:id="151"/>
            <w:bookmarkEnd w:id="152"/>
            <w:bookmarkEnd w:id="153"/>
            <w:bookmarkEnd w:id="154"/>
            <w:bookmarkEnd w:id="155"/>
            <w:bookmarkStart w:id="156" w:name="_Toc373333693"/>
            <w:bookmarkStart w:id="157" w:name="_Toc297193189"/>
            <w:bookmarkStart w:id="158" w:name="_Toc254970592"/>
            <w:bookmarkStart w:id="159" w:name="_Toc383699910"/>
            <w:bookmarkStart w:id="160" w:name="_Toc173066405"/>
            <w:bookmarkStart w:id="161" w:name="_Toc301781615"/>
            <w:bookmarkStart w:id="162" w:name="_Toc295404985"/>
            <w:bookmarkStart w:id="163" w:name="_Toc254970733"/>
            <w:bookmarkStart w:id="164" w:name="_Toc173211904"/>
            <w:r>
              <w:rPr>
                <w:rFonts w:hint="eastAsia" w:ascii="宋体" w:hAnsi="宋体" w:eastAsia="宋体" w:cs="仿宋_GB2312"/>
                <w:color w:val="auto"/>
                <w:kern w:val="2"/>
                <w:sz w:val="24"/>
                <w:szCs w:val="24"/>
                <w:highlight w:val="none"/>
              </w:rPr>
              <w:t>说明</w:t>
            </w:r>
            <w:bookmarkEnd w:id="156"/>
            <w:bookmarkEnd w:id="157"/>
            <w:bookmarkEnd w:id="158"/>
            <w:bookmarkEnd w:id="159"/>
            <w:bookmarkEnd w:id="160"/>
            <w:bookmarkEnd w:id="161"/>
            <w:bookmarkEnd w:id="162"/>
            <w:bookmarkEnd w:id="163"/>
            <w:bookmarkEnd w:id="164"/>
          </w:p>
        </w:tc>
      </w:tr>
      <w:tr w14:paraId="2D7586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vAlign w:val="center"/>
          </w:tcPr>
          <w:p w14:paraId="7FA1BF46">
            <w:pPr>
              <w:pStyle w:val="14"/>
              <w:spacing w:line="360" w:lineRule="auto"/>
              <w:ind w:firstLine="0" w:firstLineChars="0"/>
              <w:contextualSpacing/>
              <w:jc w:val="center"/>
              <w:rPr>
                <w:rFonts w:ascii="宋体" w:hAnsi="宋体" w:eastAsia="宋体" w:cs="仿宋_GB2312"/>
                <w:color w:val="auto"/>
                <w:kern w:val="2"/>
                <w:sz w:val="24"/>
                <w:szCs w:val="24"/>
                <w:highlight w:val="none"/>
              </w:rPr>
            </w:pPr>
            <w:bookmarkStart w:id="165" w:name="_Toc254970734"/>
            <w:bookmarkStart w:id="166" w:name="_Toc383699911"/>
            <w:bookmarkStart w:id="167" w:name="_Toc297193190"/>
            <w:bookmarkStart w:id="168" w:name="_Toc295404986"/>
            <w:bookmarkStart w:id="169" w:name="_Toc301781616"/>
            <w:bookmarkStart w:id="170" w:name="_Toc173211905"/>
            <w:bookmarkStart w:id="171" w:name="_Toc173066406"/>
            <w:bookmarkStart w:id="172" w:name="_Toc373333694"/>
            <w:bookmarkStart w:id="173" w:name="_Toc254970593"/>
            <w:r>
              <w:rPr>
                <w:rFonts w:hint="eastAsia" w:ascii="宋体" w:hAnsi="宋体" w:eastAsia="宋体" w:cs="仿宋_GB2312"/>
                <w:color w:val="auto"/>
                <w:kern w:val="2"/>
                <w:sz w:val="24"/>
                <w:szCs w:val="24"/>
                <w:highlight w:val="none"/>
              </w:rPr>
              <w:t>1</w:t>
            </w:r>
            <w:bookmarkEnd w:id="165"/>
            <w:bookmarkEnd w:id="166"/>
            <w:bookmarkEnd w:id="167"/>
            <w:bookmarkEnd w:id="168"/>
            <w:bookmarkEnd w:id="169"/>
            <w:bookmarkEnd w:id="170"/>
            <w:bookmarkEnd w:id="171"/>
            <w:bookmarkEnd w:id="172"/>
            <w:bookmarkEnd w:id="173"/>
          </w:p>
        </w:tc>
        <w:tc>
          <w:tcPr>
            <w:tcW w:w="503" w:type="pct"/>
            <w:tcBorders>
              <w:right w:val="single" w:color="auto" w:sz="4" w:space="0"/>
            </w:tcBorders>
            <w:vAlign w:val="center"/>
          </w:tcPr>
          <w:p w14:paraId="15E0A8E3">
            <w:pPr>
              <w:pStyle w:val="14"/>
              <w:spacing w:line="360" w:lineRule="auto"/>
              <w:ind w:firstLine="0" w:firstLineChars="0"/>
              <w:contextualSpacing/>
              <w:jc w:val="center"/>
              <w:rPr>
                <w:rFonts w:ascii="宋体" w:hAnsi="宋体" w:eastAsia="宋体" w:cs="仿宋_GB2312"/>
                <w:color w:val="auto"/>
                <w:kern w:val="2"/>
                <w:sz w:val="24"/>
                <w:szCs w:val="24"/>
                <w:highlight w:val="none"/>
              </w:rPr>
            </w:pPr>
          </w:p>
        </w:tc>
        <w:tc>
          <w:tcPr>
            <w:tcW w:w="1670" w:type="pct"/>
            <w:tcBorders>
              <w:left w:val="single" w:color="auto" w:sz="4" w:space="0"/>
            </w:tcBorders>
            <w:vAlign w:val="center"/>
          </w:tcPr>
          <w:p w14:paraId="00259D54">
            <w:pPr>
              <w:pStyle w:val="14"/>
              <w:spacing w:line="360" w:lineRule="auto"/>
              <w:ind w:firstLine="0" w:firstLineChars="0"/>
              <w:contextualSpacing/>
              <w:jc w:val="center"/>
              <w:rPr>
                <w:rFonts w:ascii="宋体" w:hAnsi="宋体" w:eastAsia="宋体" w:cs="仿宋_GB2312"/>
                <w:color w:val="auto"/>
                <w:kern w:val="2"/>
                <w:sz w:val="24"/>
                <w:szCs w:val="24"/>
                <w:highlight w:val="none"/>
              </w:rPr>
            </w:pPr>
          </w:p>
        </w:tc>
        <w:tc>
          <w:tcPr>
            <w:tcW w:w="1503" w:type="pct"/>
            <w:vAlign w:val="center"/>
          </w:tcPr>
          <w:p w14:paraId="0BC6EFA3">
            <w:pPr>
              <w:pStyle w:val="14"/>
              <w:spacing w:line="360" w:lineRule="auto"/>
              <w:ind w:firstLine="0" w:firstLineChars="0"/>
              <w:contextualSpacing/>
              <w:jc w:val="center"/>
              <w:rPr>
                <w:rFonts w:ascii="宋体" w:hAnsi="宋体" w:eastAsia="宋体" w:cs="仿宋_GB2312"/>
                <w:color w:val="auto"/>
                <w:kern w:val="2"/>
                <w:sz w:val="24"/>
                <w:szCs w:val="24"/>
                <w:highlight w:val="none"/>
              </w:rPr>
            </w:pPr>
          </w:p>
        </w:tc>
        <w:tc>
          <w:tcPr>
            <w:tcW w:w="820" w:type="pct"/>
            <w:vAlign w:val="center"/>
          </w:tcPr>
          <w:p w14:paraId="7F05CC33">
            <w:pPr>
              <w:pStyle w:val="14"/>
              <w:spacing w:line="360" w:lineRule="auto"/>
              <w:ind w:firstLine="0" w:firstLineChars="0"/>
              <w:contextualSpacing/>
              <w:jc w:val="center"/>
              <w:rPr>
                <w:rFonts w:ascii="宋体" w:hAnsi="宋体" w:eastAsia="宋体" w:cs="仿宋_GB2312"/>
                <w:color w:val="auto"/>
                <w:kern w:val="2"/>
                <w:sz w:val="24"/>
                <w:szCs w:val="24"/>
                <w:highlight w:val="none"/>
              </w:rPr>
            </w:pPr>
          </w:p>
        </w:tc>
      </w:tr>
      <w:tr w14:paraId="3EABEF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vAlign w:val="center"/>
          </w:tcPr>
          <w:p w14:paraId="3149BF7C">
            <w:pPr>
              <w:pStyle w:val="14"/>
              <w:spacing w:line="360" w:lineRule="auto"/>
              <w:ind w:firstLine="0" w:firstLineChars="0"/>
              <w:contextualSpacing/>
              <w:jc w:val="center"/>
              <w:rPr>
                <w:rFonts w:ascii="宋体" w:hAnsi="宋体" w:eastAsia="宋体" w:cs="仿宋_GB2312"/>
                <w:color w:val="auto"/>
                <w:kern w:val="2"/>
                <w:sz w:val="24"/>
                <w:szCs w:val="24"/>
                <w:highlight w:val="none"/>
              </w:rPr>
            </w:pPr>
            <w:bookmarkStart w:id="174" w:name="_Toc173066407"/>
            <w:bookmarkStart w:id="175" w:name="_Toc295404987"/>
            <w:bookmarkStart w:id="176" w:name="_Toc383699912"/>
            <w:bookmarkStart w:id="177" w:name="_Toc373333695"/>
            <w:bookmarkStart w:id="178" w:name="_Toc297193191"/>
            <w:bookmarkStart w:id="179" w:name="_Toc301781617"/>
            <w:bookmarkStart w:id="180" w:name="_Toc254970594"/>
            <w:bookmarkStart w:id="181" w:name="_Toc173211906"/>
            <w:bookmarkStart w:id="182" w:name="_Toc254970735"/>
            <w:r>
              <w:rPr>
                <w:rFonts w:hint="eastAsia" w:ascii="宋体" w:hAnsi="宋体" w:eastAsia="宋体" w:cs="仿宋_GB2312"/>
                <w:color w:val="auto"/>
                <w:kern w:val="2"/>
                <w:sz w:val="24"/>
                <w:szCs w:val="24"/>
                <w:highlight w:val="none"/>
              </w:rPr>
              <w:t>2</w:t>
            </w:r>
            <w:bookmarkEnd w:id="174"/>
            <w:bookmarkEnd w:id="175"/>
            <w:bookmarkEnd w:id="176"/>
            <w:bookmarkEnd w:id="177"/>
            <w:bookmarkEnd w:id="178"/>
            <w:bookmarkEnd w:id="179"/>
            <w:bookmarkEnd w:id="180"/>
            <w:bookmarkEnd w:id="181"/>
            <w:bookmarkEnd w:id="182"/>
          </w:p>
        </w:tc>
        <w:tc>
          <w:tcPr>
            <w:tcW w:w="503" w:type="pct"/>
            <w:tcBorders>
              <w:right w:val="single" w:color="auto" w:sz="4" w:space="0"/>
            </w:tcBorders>
            <w:vAlign w:val="center"/>
          </w:tcPr>
          <w:p w14:paraId="1B2F1F23">
            <w:pPr>
              <w:pStyle w:val="14"/>
              <w:spacing w:line="360" w:lineRule="auto"/>
              <w:ind w:firstLine="0" w:firstLineChars="0"/>
              <w:contextualSpacing/>
              <w:jc w:val="center"/>
              <w:rPr>
                <w:rFonts w:ascii="宋体" w:hAnsi="宋体" w:eastAsia="宋体" w:cs="仿宋_GB2312"/>
                <w:color w:val="auto"/>
                <w:kern w:val="2"/>
                <w:sz w:val="24"/>
                <w:szCs w:val="24"/>
                <w:highlight w:val="none"/>
              </w:rPr>
            </w:pPr>
          </w:p>
        </w:tc>
        <w:tc>
          <w:tcPr>
            <w:tcW w:w="1670" w:type="pct"/>
            <w:tcBorders>
              <w:left w:val="single" w:color="auto" w:sz="4" w:space="0"/>
            </w:tcBorders>
            <w:vAlign w:val="center"/>
          </w:tcPr>
          <w:p w14:paraId="5E657CC0">
            <w:pPr>
              <w:pStyle w:val="14"/>
              <w:spacing w:line="360" w:lineRule="auto"/>
              <w:ind w:firstLine="0" w:firstLineChars="0"/>
              <w:contextualSpacing/>
              <w:jc w:val="center"/>
              <w:rPr>
                <w:rFonts w:ascii="宋体" w:hAnsi="宋体" w:eastAsia="宋体" w:cs="仿宋_GB2312"/>
                <w:color w:val="auto"/>
                <w:kern w:val="2"/>
                <w:sz w:val="24"/>
                <w:szCs w:val="24"/>
                <w:highlight w:val="none"/>
              </w:rPr>
            </w:pPr>
          </w:p>
        </w:tc>
        <w:tc>
          <w:tcPr>
            <w:tcW w:w="1503" w:type="pct"/>
            <w:vAlign w:val="center"/>
          </w:tcPr>
          <w:p w14:paraId="71A91EA9">
            <w:pPr>
              <w:pStyle w:val="14"/>
              <w:spacing w:line="360" w:lineRule="auto"/>
              <w:ind w:firstLine="0" w:firstLineChars="0"/>
              <w:contextualSpacing/>
              <w:jc w:val="center"/>
              <w:rPr>
                <w:rFonts w:ascii="宋体" w:hAnsi="宋体" w:eastAsia="宋体" w:cs="仿宋_GB2312"/>
                <w:color w:val="auto"/>
                <w:kern w:val="2"/>
                <w:sz w:val="24"/>
                <w:szCs w:val="24"/>
                <w:highlight w:val="none"/>
              </w:rPr>
            </w:pPr>
          </w:p>
        </w:tc>
        <w:tc>
          <w:tcPr>
            <w:tcW w:w="820" w:type="pct"/>
            <w:vAlign w:val="center"/>
          </w:tcPr>
          <w:p w14:paraId="2C872698">
            <w:pPr>
              <w:pStyle w:val="14"/>
              <w:spacing w:line="360" w:lineRule="auto"/>
              <w:ind w:firstLine="0" w:firstLineChars="0"/>
              <w:contextualSpacing/>
              <w:jc w:val="center"/>
              <w:rPr>
                <w:rFonts w:ascii="宋体" w:hAnsi="宋体" w:eastAsia="宋体" w:cs="仿宋_GB2312"/>
                <w:color w:val="auto"/>
                <w:kern w:val="2"/>
                <w:sz w:val="24"/>
                <w:szCs w:val="24"/>
                <w:highlight w:val="none"/>
              </w:rPr>
            </w:pPr>
          </w:p>
        </w:tc>
      </w:tr>
      <w:tr w14:paraId="24A809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vAlign w:val="center"/>
          </w:tcPr>
          <w:p w14:paraId="7801BC0A">
            <w:pPr>
              <w:pStyle w:val="14"/>
              <w:spacing w:line="360" w:lineRule="auto"/>
              <w:ind w:firstLine="0" w:firstLineChars="0"/>
              <w:contextualSpacing/>
              <w:jc w:val="center"/>
              <w:rPr>
                <w:rFonts w:ascii="宋体" w:hAnsi="宋体" w:eastAsia="宋体" w:cs="仿宋_GB2312"/>
                <w:color w:val="auto"/>
                <w:kern w:val="2"/>
                <w:sz w:val="24"/>
                <w:szCs w:val="24"/>
                <w:highlight w:val="none"/>
              </w:rPr>
            </w:pPr>
            <w:bookmarkStart w:id="183" w:name="_Toc173066408"/>
            <w:bookmarkStart w:id="184" w:name="_Toc301781618"/>
            <w:bookmarkStart w:id="185" w:name="_Toc383699913"/>
            <w:bookmarkStart w:id="186" w:name="_Toc297193192"/>
            <w:bookmarkStart w:id="187" w:name="_Toc373333696"/>
            <w:bookmarkStart w:id="188" w:name="_Toc295404988"/>
            <w:bookmarkStart w:id="189" w:name="_Toc173211907"/>
            <w:bookmarkStart w:id="190" w:name="_Toc254970736"/>
            <w:bookmarkStart w:id="191" w:name="_Toc254970595"/>
            <w:r>
              <w:rPr>
                <w:rFonts w:hint="eastAsia" w:ascii="宋体" w:hAnsi="宋体" w:eastAsia="宋体" w:cs="仿宋_GB2312"/>
                <w:color w:val="auto"/>
                <w:kern w:val="2"/>
                <w:sz w:val="24"/>
                <w:szCs w:val="24"/>
                <w:highlight w:val="none"/>
              </w:rPr>
              <w:t>3</w:t>
            </w:r>
            <w:bookmarkEnd w:id="183"/>
            <w:bookmarkEnd w:id="184"/>
            <w:bookmarkEnd w:id="185"/>
            <w:bookmarkEnd w:id="186"/>
            <w:bookmarkEnd w:id="187"/>
            <w:bookmarkEnd w:id="188"/>
            <w:bookmarkEnd w:id="189"/>
            <w:bookmarkEnd w:id="190"/>
            <w:bookmarkEnd w:id="191"/>
          </w:p>
        </w:tc>
        <w:tc>
          <w:tcPr>
            <w:tcW w:w="503" w:type="pct"/>
            <w:tcBorders>
              <w:right w:val="single" w:color="auto" w:sz="4" w:space="0"/>
            </w:tcBorders>
            <w:vAlign w:val="center"/>
          </w:tcPr>
          <w:p w14:paraId="60F40023">
            <w:pPr>
              <w:pStyle w:val="14"/>
              <w:spacing w:line="360" w:lineRule="auto"/>
              <w:ind w:firstLine="0" w:firstLineChars="0"/>
              <w:contextualSpacing/>
              <w:jc w:val="center"/>
              <w:rPr>
                <w:rFonts w:ascii="宋体" w:hAnsi="宋体" w:eastAsia="宋体" w:cs="仿宋_GB2312"/>
                <w:color w:val="auto"/>
                <w:kern w:val="2"/>
                <w:sz w:val="24"/>
                <w:szCs w:val="24"/>
                <w:highlight w:val="none"/>
              </w:rPr>
            </w:pPr>
          </w:p>
        </w:tc>
        <w:tc>
          <w:tcPr>
            <w:tcW w:w="1670" w:type="pct"/>
            <w:tcBorders>
              <w:left w:val="single" w:color="auto" w:sz="4" w:space="0"/>
            </w:tcBorders>
            <w:vAlign w:val="center"/>
          </w:tcPr>
          <w:p w14:paraId="42F0C632">
            <w:pPr>
              <w:pStyle w:val="14"/>
              <w:spacing w:line="360" w:lineRule="auto"/>
              <w:ind w:firstLine="0" w:firstLineChars="0"/>
              <w:contextualSpacing/>
              <w:jc w:val="center"/>
              <w:rPr>
                <w:rFonts w:ascii="宋体" w:hAnsi="宋体" w:eastAsia="宋体" w:cs="仿宋_GB2312"/>
                <w:color w:val="auto"/>
                <w:kern w:val="2"/>
                <w:sz w:val="24"/>
                <w:szCs w:val="24"/>
                <w:highlight w:val="none"/>
              </w:rPr>
            </w:pPr>
          </w:p>
        </w:tc>
        <w:tc>
          <w:tcPr>
            <w:tcW w:w="1503" w:type="pct"/>
            <w:vAlign w:val="center"/>
          </w:tcPr>
          <w:p w14:paraId="2B9192CC">
            <w:pPr>
              <w:pStyle w:val="14"/>
              <w:spacing w:line="360" w:lineRule="auto"/>
              <w:ind w:firstLine="0" w:firstLineChars="0"/>
              <w:contextualSpacing/>
              <w:jc w:val="center"/>
              <w:rPr>
                <w:rFonts w:ascii="宋体" w:hAnsi="宋体" w:eastAsia="宋体" w:cs="仿宋_GB2312"/>
                <w:color w:val="auto"/>
                <w:kern w:val="2"/>
                <w:sz w:val="24"/>
                <w:szCs w:val="24"/>
                <w:highlight w:val="none"/>
              </w:rPr>
            </w:pPr>
          </w:p>
        </w:tc>
        <w:tc>
          <w:tcPr>
            <w:tcW w:w="820" w:type="pct"/>
            <w:vAlign w:val="center"/>
          </w:tcPr>
          <w:p w14:paraId="08E8FC4A">
            <w:pPr>
              <w:pStyle w:val="14"/>
              <w:spacing w:line="360" w:lineRule="auto"/>
              <w:ind w:firstLine="0" w:firstLineChars="0"/>
              <w:contextualSpacing/>
              <w:jc w:val="center"/>
              <w:rPr>
                <w:rFonts w:ascii="宋体" w:hAnsi="宋体" w:eastAsia="宋体" w:cs="仿宋_GB2312"/>
                <w:color w:val="auto"/>
                <w:kern w:val="2"/>
                <w:sz w:val="24"/>
                <w:szCs w:val="24"/>
                <w:highlight w:val="none"/>
              </w:rPr>
            </w:pPr>
          </w:p>
        </w:tc>
      </w:tr>
      <w:tr w14:paraId="2F4EB2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20" w:hRule="atLeast"/>
          <w:jc w:val="center"/>
        </w:trPr>
        <w:tc>
          <w:tcPr>
            <w:tcW w:w="503" w:type="pct"/>
            <w:vAlign w:val="center"/>
          </w:tcPr>
          <w:p w14:paraId="5F2B137B">
            <w:pPr>
              <w:pStyle w:val="14"/>
              <w:spacing w:line="360" w:lineRule="auto"/>
              <w:ind w:firstLine="0" w:firstLineChars="0"/>
              <w:contextualSpacing/>
              <w:jc w:val="center"/>
              <w:rPr>
                <w:rFonts w:ascii="宋体" w:hAnsi="宋体" w:eastAsia="宋体" w:cs="仿宋_GB2312"/>
                <w:color w:val="auto"/>
                <w:kern w:val="2"/>
                <w:sz w:val="24"/>
                <w:szCs w:val="24"/>
                <w:highlight w:val="none"/>
              </w:rPr>
            </w:pPr>
            <w:bookmarkStart w:id="192" w:name="_Toc301781621"/>
            <w:bookmarkStart w:id="193" w:name="_Toc254970602"/>
            <w:bookmarkStart w:id="194" w:name="_Toc297193195"/>
            <w:bookmarkStart w:id="195" w:name="_Toc383699916"/>
            <w:bookmarkStart w:id="196" w:name="_Toc295404991"/>
            <w:bookmarkStart w:id="197" w:name="_Toc173211914"/>
            <w:bookmarkStart w:id="198" w:name="_Toc373333699"/>
            <w:bookmarkStart w:id="199" w:name="_Toc254970743"/>
            <w:bookmarkStart w:id="200" w:name="_Toc173066415"/>
            <w:r>
              <w:rPr>
                <w:rFonts w:hint="eastAsia" w:ascii="宋体" w:hAnsi="宋体" w:eastAsia="宋体" w:cs="仿宋_GB2312"/>
                <w:color w:val="auto"/>
                <w:kern w:val="2"/>
                <w:sz w:val="24"/>
                <w:szCs w:val="24"/>
                <w:highlight w:val="none"/>
              </w:rPr>
              <w:t>…</w:t>
            </w:r>
            <w:bookmarkEnd w:id="192"/>
            <w:bookmarkEnd w:id="193"/>
            <w:bookmarkEnd w:id="194"/>
            <w:bookmarkEnd w:id="195"/>
            <w:bookmarkEnd w:id="196"/>
            <w:bookmarkEnd w:id="197"/>
            <w:bookmarkEnd w:id="198"/>
            <w:bookmarkEnd w:id="199"/>
            <w:bookmarkEnd w:id="200"/>
          </w:p>
        </w:tc>
        <w:tc>
          <w:tcPr>
            <w:tcW w:w="503" w:type="pct"/>
            <w:tcBorders>
              <w:right w:val="single" w:color="auto" w:sz="4" w:space="0"/>
            </w:tcBorders>
            <w:vAlign w:val="center"/>
          </w:tcPr>
          <w:p w14:paraId="3AB8EA41">
            <w:pPr>
              <w:pStyle w:val="14"/>
              <w:spacing w:line="360" w:lineRule="auto"/>
              <w:ind w:firstLine="0" w:firstLineChars="0"/>
              <w:contextualSpacing/>
              <w:jc w:val="center"/>
              <w:rPr>
                <w:rFonts w:ascii="宋体" w:hAnsi="宋体" w:eastAsia="宋体" w:cs="仿宋_GB2312"/>
                <w:color w:val="auto"/>
                <w:kern w:val="2"/>
                <w:sz w:val="24"/>
                <w:szCs w:val="24"/>
                <w:highlight w:val="none"/>
              </w:rPr>
            </w:pPr>
          </w:p>
        </w:tc>
        <w:tc>
          <w:tcPr>
            <w:tcW w:w="1670" w:type="pct"/>
            <w:tcBorders>
              <w:left w:val="single" w:color="auto" w:sz="4" w:space="0"/>
            </w:tcBorders>
            <w:vAlign w:val="center"/>
          </w:tcPr>
          <w:p w14:paraId="4414ADBD">
            <w:pPr>
              <w:pStyle w:val="14"/>
              <w:spacing w:line="360" w:lineRule="auto"/>
              <w:ind w:firstLine="0" w:firstLineChars="0"/>
              <w:contextualSpacing/>
              <w:jc w:val="center"/>
              <w:rPr>
                <w:rFonts w:ascii="宋体" w:hAnsi="宋体" w:eastAsia="宋体" w:cs="仿宋_GB2312"/>
                <w:color w:val="auto"/>
                <w:kern w:val="2"/>
                <w:sz w:val="24"/>
                <w:szCs w:val="24"/>
                <w:highlight w:val="none"/>
              </w:rPr>
            </w:pPr>
          </w:p>
        </w:tc>
        <w:tc>
          <w:tcPr>
            <w:tcW w:w="1503" w:type="pct"/>
            <w:vAlign w:val="center"/>
          </w:tcPr>
          <w:p w14:paraId="1EA246C6">
            <w:pPr>
              <w:pStyle w:val="14"/>
              <w:spacing w:line="360" w:lineRule="auto"/>
              <w:ind w:firstLine="0" w:firstLineChars="0"/>
              <w:contextualSpacing/>
              <w:jc w:val="center"/>
              <w:rPr>
                <w:rFonts w:ascii="宋体" w:hAnsi="宋体" w:eastAsia="宋体" w:cs="仿宋_GB2312"/>
                <w:color w:val="auto"/>
                <w:kern w:val="2"/>
                <w:sz w:val="24"/>
                <w:szCs w:val="24"/>
                <w:highlight w:val="none"/>
              </w:rPr>
            </w:pPr>
          </w:p>
        </w:tc>
        <w:tc>
          <w:tcPr>
            <w:tcW w:w="820" w:type="pct"/>
            <w:tcBorders>
              <w:right w:val="single" w:color="auto" w:sz="4" w:space="0"/>
            </w:tcBorders>
            <w:vAlign w:val="center"/>
          </w:tcPr>
          <w:p w14:paraId="58053013">
            <w:pPr>
              <w:pStyle w:val="14"/>
              <w:spacing w:line="360" w:lineRule="auto"/>
              <w:ind w:firstLine="0" w:firstLineChars="0"/>
              <w:contextualSpacing/>
              <w:jc w:val="center"/>
              <w:rPr>
                <w:rFonts w:ascii="宋体" w:hAnsi="宋体" w:eastAsia="宋体" w:cs="仿宋_GB2312"/>
                <w:color w:val="auto"/>
                <w:kern w:val="2"/>
                <w:sz w:val="24"/>
                <w:szCs w:val="24"/>
                <w:highlight w:val="none"/>
              </w:rPr>
            </w:pPr>
          </w:p>
        </w:tc>
      </w:tr>
    </w:tbl>
    <w:p w14:paraId="3ED06868">
      <w:pPr>
        <w:adjustRightInd w:val="0"/>
        <w:spacing w:line="360" w:lineRule="auto"/>
        <w:contextualSpacing/>
        <w:rPr>
          <w:rFonts w:ascii="宋体" w:hAnsi="宋体" w:cs="仿宋_GB2312"/>
          <w:color w:val="auto"/>
          <w:sz w:val="24"/>
          <w:highlight w:val="none"/>
        </w:rPr>
      </w:pPr>
    </w:p>
    <w:p w14:paraId="6546304F">
      <w:pPr>
        <w:pStyle w:val="14"/>
        <w:spacing w:line="360" w:lineRule="auto"/>
        <w:ind w:firstLine="0" w:firstLineChars="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注：</w:t>
      </w:r>
    </w:p>
    <w:p w14:paraId="39E5BA7A">
      <w:pPr>
        <w:pStyle w:val="14"/>
        <w:spacing w:line="360" w:lineRule="auto"/>
        <w:ind w:firstLine="0" w:firstLineChars="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 说明：应对照磋商文件“第三章 采购需求”中的技术要求逐条作出明确响应，并作出偏离说明。</w:t>
      </w:r>
    </w:p>
    <w:p w14:paraId="1BB82A45">
      <w:pPr>
        <w:pStyle w:val="14"/>
        <w:spacing w:line="360" w:lineRule="auto"/>
        <w:ind w:firstLine="0" w:firstLineChars="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2.供应商应根据自身的承诺，对照磋商文件要求，在“偏离说明”中注明“正偏离”、“负偏离”或者“无偏离”。既不属于“正偏离”也不属于“负偏离”即为“无偏离”。</w:t>
      </w:r>
    </w:p>
    <w:p w14:paraId="12E068F9">
      <w:pPr>
        <w:spacing w:line="360" w:lineRule="auto"/>
        <w:ind w:right="-817" w:rightChars="-389"/>
        <w:contextualSpacing/>
        <w:rPr>
          <w:rFonts w:ascii="宋体" w:hAnsi="宋体" w:cs="仿宋_GB2312"/>
          <w:color w:val="auto"/>
          <w:sz w:val="24"/>
          <w:highlight w:val="none"/>
        </w:rPr>
      </w:pPr>
    </w:p>
    <w:p w14:paraId="407BB809">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供应商（电子签章）：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58A5A88E">
      <w:pPr>
        <w:spacing w:line="360" w:lineRule="auto"/>
        <w:ind w:right="-817" w:rightChars="-389"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2028150B">
      <w:pPr>
        <w:snapToGrid w:val="0"/>
        <w:spacing w:before="156" w:beforeLines="50" w:after="50"/>
        <w:ind w:left="142"/>
        <w:jc w:val="left"/>
        <w:rPr>
          <w:rFonts w:ascii="宋体" w:hAnsi="宋体"/>
          <w:b/>
          <w:color w:val="auto"/>
          <w:sz w:val="24"/>
          <w:highlight w:val="none"/>
        </w:rPr>
      </w:pPr>
      <w:r>
        <w:rPr>
          <w:rFonts w:ascii="宋体" w:hAnsi="宋体" w:cs="仿宋_GB2312"/>
          <w:color w:val="auto"/>
          <w:sz w:val="24"/>
          <w:highlight w:val="none"/>
        </w:rPr>
        <w:br w:type="page"/>
      </w:r>
      <w:r>
        <w:rPr>
          <w:rFonts w:hint="eastAsia" w:ascii="宋体" w:hAnsi="宋体"/>
          <w:b/>
          <w:color w:val="auto"/>
          <w:sz w:val="24"/>
          <w:highlight w:val="none"/>
        </w:rPr>
        <w:t>项目实施人员一览表格式</w:t>
      </w:r>
    </w:p>
    <w:p w14:paraId="62C259A5">
      <w:pPr>
        <w:snapToGrid w:val="0"/>
        <w:spacing w:before="156" w:beforeLines="50" w:after="50"/>
        <w:ind w:left="142"/>
        <w:jc w:val="left"/>
        <w:rPr>
          <w:rFonts w:ascii="宋体" w:hAnsi="宋体"/>
          <w:b/>
          <w:color w:val="auto"/>
          <w:sz w:val="24"/>
          <w:highlight w:val="none"/>
        </w:rPr>
      </w:pPr>
    </w:p>
    <w:p w14:paraId="3BEC691A">
      <w:pPr>
        <w:spacing w:line="360" w:lineRule="auto"/>
        <w:ind w:left="142"/>
        <w:contextualSpacing/>
        <w:jc w:val="center"/>
        <w:rPr>
          <w:rFonts w:ascii="宋体" w:hAnsi="宋体"/>
          <w:b/>
          <w:color w:val="auto"/>
          <w:sz w:val="32"/>
          <w:szCs w:val="32"/>
          <w:highlight w:val="none"/>
        </w:rPr>
      </w:pPr>
      <w:r>
        <w:rPr>
          <w:rFonts w:hint="eastAsia" w:ascii="宋体" w:hAnsi="宋体"/>
          <w:b/>
          <w:color w:val="auto"/>
          <w:sz w:val="32"/>
          <w:szCs w:val="32"/>
          <w:highlight w:val="none"/>
        </w:rPr>
        <w:t>项目实施人员一览表</w:t>
      </w:r>
    </w:p>
    <w:p w14:paraId="6FBCFF07">
      <w:pPr>
        <w:pStyle w:val="16"/>
        <w:spacing w:line="360" w:lineRule="auto"/>
        <w:contextualSpacing/>
        <w:rPr>
          <w:color w:val="auto"/>
          <w:sz w:val="24"/>
          <w:szCs w:val="24"/>
          <w:highlight w:val="none"/>
        </w:rPr>
      </w:pPr>
      <w:r>
        <w:rPr>
          <w:rFonts w:hint="eastAsia"/>
          <w:color w:val="auto"/>
          <w:sz w:val="24"/>
          <w:szCs w:val="24"/>
          <w:highlight w:val="none"/>
        </w:rPr>
        <w:t>所竞分标：</w:t>
      </w:r>
      <w:r>
        <w:rPr>
          <w:rFonts w:hint="eastAsia"/>
          <w:color w:val="auto"/>
          <w:sz w:val="24"/>
          <w:szCs w:val="24"/>
          <w:highlight w:val="none"/>
          <w:u w:val="single"/>
        </w:rPr>
        <w:t xml:space="preserve">     </w:t>
      </w:r>
      <w:r>
        <w:rPr>
          <w:rFonts w:hint="eastAsia"/>
          <w:color w:val="auto"/>
          <w:sz w:val="24"/>
          <w:szCs w:val="24"/>
          <w:highlight w:val="none"/>
        </w:rPr>
        <w:t>分标</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2631"/>
        <w:gridCol w:w="1829"/>
        <w:gridCol w:w="1657"/>
        <w:gridCol w:w="1614"/>
      </w:tblGrid>
      <w:tr w14:paraId="1B1B0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3DB7677">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姓名</w:t>
            </w:r>
          </w:p>
        </w:tc>
        <w:tc>
          <w:tcPr>
            <w:tcW w:w="709" w:type="dxa"/>
            <w:vAlign w:val="center"/>
          </w:tcPr>
          <w:p w14:paraId="5CD56AE4">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职务</w:t>
            </w:r>
          </w:p>
        </w:tc>
        <w:tc>
          <w:tcPr>
            <w:tcW w:w="2631" w:type="dxa"/>
            <w:vAlign w:val="center"/>
          </w:tcPr>
          <w:p w14:paraId="76012E7B">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专业技术资格（职称）或者职业资格或者执业资格证或者其他证书</w:t>
            </w:r>
          </w:p>
        </w:tc>
        <w:tc>
          <w:tcPr>
            <w:tcW w:w="1829" w:type="dxa"/>
            <w:vAlign w:val="center"/>
          </w:tcPr>
          <w:p w14:paraId="0377FAF9">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证书编号</w:t>
            </w:r>
          </w:p>
        </w:tc>
        <w:tc>
          <w:tcPr>
            <w:tcW w:w="1657" w:type="dxa"/>
            <w:vAlign w:val="center"/>
          </w:tcPr>
          <w:p w14:paraId="262D02FA">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参加本单位</w:t>
            </w:r>
          </w:p>
          <w:p w14:paraId="68FC2683">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工作时间</w:t>
            </w:r>
          </w:p>
        </w:tc>
        <w:tc>
          <w:tcPr>
            <w:tcW w:w="1614" w:type="dxa"/>
            <w:vAlign w:val="center"/>
          </w:tcPr>
          <w:p w14:paraId="0009987E">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备注</w:t>
            </w:r>
          </w:p>
        </w:tc>
      </w:tr>
      <w:tr w14:paraId="1E04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8A84E7B">
            <w:pPr>
              <w:spacing w:line="360" w:lineRule="auto"/>
              <w:contextualSpacing/>
              <w:jc w:val="center"/>
              <w:rPr>
                <w:rFonts w:ascii="宋体" w:hAnsi="宋体"/>
                <w:color w:val="auto"/>
                <w:sz w:val="24"/>
                <w:szCs w:val="20"/>
                <w:highlight w:val="none"/>
              </w:rPr>
            </w:pPr>
          </w:p>
        </w:tc>
        <w:tc>
          <w:tcPr>
            <w:tcW w:w="709" w:type="dxa"/>
            <w:vAlign w:val="center"/>
          </w:tcPr>
          <w:p w14:paraId="42298B10">
            <w:pPr>
              <w:spacing w:line="360" w:lineRule="auto"/>
              <w:contextualSpacing/>
              <w:jc w:val="center"/>
              <w:rPr>
                <w:rFonts w:ascii="宋体" w:hAnsi="宋体"/>
                <w:color w:val="auto"/>
                <w:sz w:val="24"/>
                <w:szCs w:val="20"/>
                <w:highlight w:val="none"/>
              </w:rPr>
            </w:pPr>
          </w:p>
        </w:tc>
        <w:tc>
          <w:tcPr>
            <w:tcW w:w="2631" w:type="dxa"/>
            <w:vAlign w:val="center"/>
          </w:tcPr>
          <w:p w14:paraId="7450C368">
            <w:pPr>
              <w:spacing w:line="360" w:lineRule="auto"/>
              <w:contextualSpacing/>
              <w:jc w:val="center"/>
              <w:rPr>
                <w:rFonts w:ascii="宋体" w:hAnsi="宋体"/>
                <w:color w:val="auto"/>
                <w:sz w:val="24"/>
                <w:szCs w:val="20"/>
                <w:highlight w:val="none"/>
              </w:rPr>
            </w:pPr>
          </w:p>
        </w:tc>
        <w:tc>
          <w:tcPr>
            <w:tcW w:w="1829" w:type="dxa"/>
            <w:vAlign w:val="center"/>
          </w:tcPr>
          <w:p w14:paraId="599D9C9D">
            <w:pPr>
              <w:spacing w:line="360" w:lineRule="auto"/>
              <w:contextualSpacing/>
              <w:jc w:val="center"/>
              <w:rPr>
                <w:rFonts w:ascii="宋体" w:hAnsi="宋体"/>
                <w:color w:val="auto"/>
                <w:sz w:val="24"/>
                <w:szCs w:val="20"/>
                <w:highlight w:val="none"/>
              </w:rPr>
            </w:pPr>
          </w:p>
        </w:tc>
        <w:tc>
          <w:tcPr>
            <w:tcW w:w="1657" w:type="dxa"/>
            <w:vAlign w:val="center"/>
          </w:tcPr>
          <w:p w14:paraId="4005AFE9">
            <w:pPr>
              <w:spacing w:line="360" w:lineRule="auto"/>
              <w:contextualSpacing/>
              <w:jc w:val="center"/>
              <w:rPr>
                <w:rFonts w:ascii="宋体" w:hAnsi="宋体"/>
                <w:color w:val="auto"/>
                <w:sz w:val="24"/>
                <w:szCs w:val="20"/>
                <w:highlight w:val="none"/>
              </w:rPr>
            </w:pPr>
          </w:p>
        </w:tc>
        <w:tc>
          <w:tcPr>
            <w:tcW w:w="1614" w:type="dxa"/>
            <w:vAlign w:val="center"/>
          </w:tcPr>
          <w:p w14:paraId="6430BC7C">
            <w:pPr>
              <w:spacing w:line="360" w:lineRule="auto"/>
              <w:contextualSpacing/>
              <w:jc w:val="center"/>
              <w:rPr>
                <w:rFonts w:ascii="宋体" w:hAnsi="宋体"/>
                <w:color w:val="auto"/>
                <w:sz w:val="24"/>
                <w:szCs w:val="20"/>
                <w:highlight w:val="none"/>
              </w:rPr>
            </w:pPr>
          </w:p>
        </w:tc>
      </w:tr>
      <w:tr w14:paraId="3818F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E4B4A5F">
            <w:pPr>
              <w:spacing w:line="360" w:lineRule="auto"/>
              <w:contextualSpacing/>
              <w:jc w:val="center"/>
              <w:rPr>
                <w:rFonts w:ascii="宋体" w:hAnsi="宋体"/>
                <w:color w:val="auto"/>
                <w:sz w:val="24"/>
                <w:szCs w:val="20"/>
                <w:highlight w:val="none"/>
              </w:rPr>
            </w:pPr>
          </w:p>
        </w:tc>
        <w:tc>
          <w:tcPr>
            <w:tcW w:w="709" w:type="dxa"/>
            <w:vAlign w:val="center"/>
          </w:tcPr>
          <w:p w14:paraId="014E57CF">
            <w:pPr>
              <w:spacing w:line="360" w:lineRule="auto"/>
              <w:contextualSpacing/>
              <w:jc w:val="center"/>
              <w:rPr>
                <w:rFonts w:ascii="宋体" w:hAnsi="宋体"/>
                <w:color w:val="auto"/>
                <w:sz w:val="24"/>
                <w:szCs w:val="20"/>
                <w:highlight w:val="none"/>
              </w:rPr>
            </w:pPr>
          </w:p>
        </w:tc>
        <w:tc>
          <w:tcPr>
            <w:tcW w:w="2631" w:type="dxa"/>
            <w:vAlign w:val="center"/>
          </w:tcPr>
          <w:p w14:paraId="00917C32">
            <w:pPr>
              <w:spacing w:line="360" w:lineRule="auto"/>
              <w:contextualSpacing/>
              <w:jc w:val="center"/>
              <w:rPr>
                <w:rFonts w:ascii="宋体" w:hAnsi="宋体"/>
                <w:color w:val="auto"/>
                <w:sz w:val="24"/>
                <w:szCs w:val="20"/>
                <w:highlight w:val="none"/>
              </w:rPr>
            </w:pPr>
          </w:p>
        </w:tc>
        <w:tc>
          <w:tcPr>
            <w:tcW w:w="1829" w:type="dxa"/>
            <w:vAlign w:val="center"/>
          </w:tcPr>
          <w:p w14:paraId="5CA734DC">
            <w:pPr>
              <w:spacing w:line="360" w:lineRule="auto"/>
              <w:contextualSpacing/>
              <w:jc w:val="center"/>
              <w:rPr>
                <w:rFonts w:ascii="宋体" w:hAnsi="宋体"/>
                <w:color w:val="auto"/>
                <w:sz w:val="24"/>
                <w:szCs w:val="20"/>
                <w:highlight w:val="none"/>
              </w:rPr>
            </w:pPr>
          </w:p>
        </w:tc>
        <w:tc>
          <w:tcPr>
            <w:tcW w:w="1657" w:type="dxa"/>
            <w:vAlign w:val="center"/>
          </w:tcPr>
          <w:p w14:paraId="6FE1BED6">
            <w:pPr>
              <w:spacing w:line="360" w:lineRule="auto"/>
              <w:contextualSpacing/>
              <w:jc w:val="center"/>
              <w:rPr>
                <w:rFonts w:ascii="宋体" w:hAnsi="宋体"/>
                <w:color w:val="auto"/>
                <w:sz w:val="24"/>
                <w:szCs w:val="20"/>
                <w:highlight w:val="none"/>
              </w:rPr>
            </w:pPr>
          </w:p>
        </w:tc>
        <w:tc>
          <w:tcPr>
            <w:tcW w:w="1614" w:type="dxa"/>
            <w:vAlign w:val="center"/>
          </w:tcPr>
          <w:p w14:paraId="5BF6B78A">
            <w:pPr>
              <w:spacing w:line="360" w:lineRule="auto"/>
              <w:contextualSpacing/>
              <w:jc w:val="center"/>
              <w:rPr>
                <w:rFonts w:ascii="宋体" w:hAnsi="宋体"/>
                <w:color w:val="auto"/>
                <w:sz w:val="24"/>
                <w:szCs w:val="20"/>
                <w:highlight w:val="none"/>
              </w:rPr>
            </w:pPr>
          </w:p>
        </w:tc>
      </w:tr>
      <w:tr w14:paraId="5383A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CA57723">
            <w:pPr>
              <w:spacing w:line="360" w:lineRule="auto"/>
              <w:contextualSpacing/>
              <w:jc w:val="center"/>
              <w:rPr>
                <w:rFonts w:ascii="宋体" w:hAnsi="宋体"/>
                <w:color w:val="auto"/>
                <w:sz w:val="24"/>
                <w:szCs w:val="20"/>
                <w:highlight w:val="none"/>
              </w:rPr>
            </w:pPr>
          </w:p>
        </w:tc>
        <w:tc>
          <w:tcPr>
            <w:tcW w:w="709" w:type="dxa"/>
            <w:vAlign w:val="center"/>
          </w:tcPr>
          <w:p w14:paraId="486B5779">
            <w:pPr>
              <w:spacing w:line="360" w:lineRule="auto"/>
              <w:contextualSpacing/>
              <w:jc w:val="center"/>
              <w:rPr>
                <w:rFonts w:ascii="宋体" w:hAnsi="宋体"/>
                <w:color w:val="auto"/>
                <w:sz w:val="24"/>
                <w:szCs w:val="20"/>
                <w:highlight w:val="none"/>
              </w:rPr>
            </w:pPr>
          </w:p>
        </w:tc>
        <w:tc>
          <w:tcPr>
            <w:tcW w:w="2631" w:type="dxa"/>
            <w:vAlign w:val="center"/>
          </w:tcPr>
          <w:p w14:paraId="44B5F03D">
            <w:pPr>
              <w:spacing w:line="360" w:lineRule="auto"/>
              <w:contextualSpacing/>
              <w:jc w:val="center"/>
              <w:rPr>
                <w:rFonts w:ascii="宋体" w:hAnsi="宋体"/>
                <w:color w:val="auto"/>
                <w:sz w:val="24"/>
                <w:szCs w:val="20"/>
                <w:highlight w:val="none"/>
              </w:rPr>
            </w:pPr>
          </w:p>
        </w:tc>
        <w:tc>
          <w:tcPr>
            <w:tcW w:w="1829" w:type="dxa"/>
            <w:vAlign w:val="center"/>
          </w:tcPr>
          <w:p w14:paraId="28CD966A">
            <w:pPr>
              <w:spacing w:line="360" w:lineRule="auto"/>
              <w:contextualSpacing/>
              <w:jc w:val="center"/>
              <w:rPr>
                <w:rFonts w:ascii="宋体" w:hAnsi="宋体"/>
                <w:color w:val="auto"/>
                <w:sz w:val="24"/>
                <w:szCs w:val="20"/>
                <w:highlight w:val="none"/>
              </w:rPr>
            </w:pPr>
          </w:p>
        </w:tc>
        <w:tc>
          <w:tcPr>
            <w:tcW w:w="1657" w:type="dxa"/>
            <w:vAlign w:val="center"/>
          </w:tcPr>
          <w:p w14:paraId="695D252A">
            <w:pPr>
              <w:spacing w:line="360" w:lineRule="auto"/>
              <w:contextualSpacing/>
              <w:jc w:val="center"/>
              <w:rPr>
                <w:rFonts w:ascii="宋体" w:hAnsi="宋体"/>
                <w:color w:val="auto"/>
                <w:sz w:val="24"/>
                <w:szCs w:val="20"/>
                <w:highlight w:val="none"/>
              </w:rPr>
            </w:pPr>
          </w:p>
        </w:tc>
        <w:tc>
          <w:tcPr>
            <w:tcW w:w="1614" w:type="dxa"/>
            <w:vAlign w:val="center"/>
          </w:tcPr>
          <w:p w14:paraId="773E84BD">
            <w:pPr>
              <w:spacing w:line="360" w:lineRule="auto"/>
              <w:contextualSpacing/>
              <w:jc w:val="center"/>
              <w:rPr>
                <w:rFonts w:ascii="宋体" w:hAnsi="宋体"/>
                <w:color w:val="auto"/>
                <w:sz w:val="24"/>
                <w:szCs w:val="20"/>
                <w:highlight w:val="none"/>
              </w:rPr>
            </w:pPr>
          </w:p>
        </w:tc>
      </w:tr>
      <w:tr w14:paraId="702C6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313200A">
            <w:pPr>
              <w:spacing w:line="360" w:lineRule="auto"/>
              <w:contextualSpacing/>
              <w:jc w:val="center"/>
              <w:rPr>
                <w:rFonts w:ascii="宋体" w:hAnsi="宋体"/>
                <w:color w:val="auto"/>
                <w:sz w:val="24"/>
                <w:szCs w:val="20"/>
                <w:highlight w:val="none"/>
              </w:rPr>
            </w:pPr>
            <w:r>
              <w:rPr>
                <w:rFonts w:ascii="Arial" w:hAnsi="Arial" w:cs="Arial"/>
                <w:color w:val="auto"/>
                <w:sz w:val="24"/>
                <w:szCs w:val="20"/>
                <w:highlight w:val="none"/>
              </w:rPr>
              <w:t>…</w:t>
            </w:r>
          </w:p>
        </w:tc>
        <w:tc>
          <w:tcPr>
            <w:tcW w:w="709" w:type="dxa"/>
            <w:vAlign w:val="center"/>
          </w:tcPr>
          <w:p w14:paraId="619DB523">
            <w:pPr>
              <w:spacing w:line="360" w:lineRule="auto"/>
              <w:contextualSpacing/>
              <w:jc w:val="center"/>
              <w:rPr>
                <w:rFonts w:ascii="宋体" w:hAnsi="宋体"/>
                <w:color w:val="auto"/>
                <w:sz w:val="24"/>
                <w:szCs w:val="20"/>
                <w:highlight w:val="none"/>
              </w:rPr>
            </w:pPr>
          </w:p>
        </w:tc>
        <w:tc>
          <w:tcPr>
            <w:tcW w:w="2631" w:type="dxa"/>
            <w:vAlign w:val="center"/>
          </w:tcPr>
          <w:p w14:paraId="368A25C0">
            <w:pPr>
              <w:spacing w:line="360" w:lineRule="auto"/>
              <w:contextualSpacing/>
              <w:jc w:val="center"/>
              <w:rPr>
                <w:rFonts w:ascii="宋体" w:hAnsi="宋体"/>
                <w:color w:val="auto"/>
                <w:sz w:val="24"/>
                <w:szCs w:val="20"/>
                <w:highlight w:val="none"/>
              </w:rPr>
            </w:pPr>
          </w:p>
        </w:tc>
        <w:tc>
          <w:tcPr>
            <w:tcW w:w="1829" w:type="dxa"/>
            <w:vAlign w:val="center"/>
          </w:tcPr>
          <w:p w14:paraId="41F7420E">
            <w:pPr>
              <w:spacing w:line="360" w:lineRule="auto"/>
              <w:contextualSpacing/>
              <w:jc w:val="center"/>
              <w:rPr>
                <w:rFonts w:ascii="宋体" w:hAnsi="宋体"/>
                <w:color w:val="auto"/>
                <w:sz w:val="24"/>
                <w:szCs w:val="20"/>
                <w:highlight w:val="none"/>
              </w:rPr>
            </w:pPr>
          </w:p>
        </w:tc>
        <w:tc>
          <w:tcPr>
            <w:tcW w:w="1657" w:type="dxa"/>
            <w:vAlign w:val="center"/>
          </w:tcPr>
          <w:p w14:paraId="342FE0D7">
            <w:pPr>
              <w:spacing w:line="360" w:lineRule="auto"/>
              <w:contextualSpacing/>
              <w:jc w:val="center"/>
              <w:rPr>
                <w:rFonts w:ascii="宋体" w:hAnsi="宋体"/>
                <w:color w:val="auto"/>
                <w:sz w:val="24"/>
                <w:szCs w:val="20"/>
                <w:highlight w:val="none"/>
              </w:rPr>
            </w:pPr>
          </w:p>
        </w:tc>
        <w:tc>
          <w:tcPr>
            <w:tcW w:w="1614" w:type="dxa"/>
            <w:vAlign w:val="center"/>
          </w:tcPr>
          <w:p w14:paraId="304D4EB8">
            <w:pPr>
              <w:spacing w:line="360" w:lineRule="auto"/>
              <w:contextualSpacing/>
              <w:jc w:val="center"/>
              <w:rPr>
                <w:rFonts w:ascii="宋体" w:hAnsi="宋体"/>
                <w:color w:val="auto"/>
                <w:sz w:val="24"/>
                <w:szCs w:val="20"/>
                <w:highlight w:val="none"/>
              </w:rPr>
            </w:pPr>
          </w:p>
        </w:tc>
      </w:tr>
    </w:tbl>
    <w:p w14:paraId="20E31327">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注：</w:t>
      </w:r>
    </w:p>
    <w:p w14:paraId="43B41556">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1</w:t>
      </w:r>
      <w:r>
        <w:rPr>
          <w:rFonts w:ascii="宋体" w:hAnsi="宋体"/>
          <w:color w:val="auto"/>
          <w:sz w:val="24"/>
          <w:szCs w:val="20"/>
          <w:highlight w:val="none"/>
        </w:rPr>
        <w:t>.</w:t>
      </w:r>
      <w:r>
        <w:rPr>
          <w:rFonts w:hint="eastAsia" w:ascii="宋体" w:hAnsi="宋体"/>
          <w:color w:val="auto"/>
          <w:sz w:val="24"/>
          <w:szCs w:val="20"/>
          <w:highlight w:val="none"/>
        </w:rPr>
        <w:t>在填写时，如本表格不适合供应商的实际情况，可根据本表格式自行制表填写。</w:t>
      </w:r>
    </w:p>
    <w:p w14:paraId="0A33B094">
      <w:pPr>
        <w:spacing w:line="360" w:lineRule="auto"/>
        <w:contextualSpacing/>
        <w:jc w:val="left"/>
        <w:rPr>
          <w:rFonts w:ascii="宋体" w:hAnsi="宋体"/>
          <w:color w:val="auto"/>
          <w:sz w:val="24"/>
          <w:szCs w:val="20"/>
          <w:highlight w:val="none"/>
        </w:rPr>
      </w:pPr>
      <w:r>
        <w:rPr>
          <w:rFonts w:ascii="宋体" w:hAnsi="宋体"/>
          <w:color w:val="auto"/>
          <w:sz w:val="24"/>
          <w:szCs w:val="20"/>
          <w:highlight w:val="none"/>
        </w:rPr>
        <w:t>2.</w:t>
      </w:r>
      <w:r>
        <w:rPr>
          <w:rFonts w:hint="eastAsia" w:ascii="宋体" w:hAnsi="宋体"/>
          <w:color w:val="auto"/>
          <w:sz w:val="24"/>
          <w:szCs w:val="20"/>
          <w:highlight w:val="none"/>
        </w:rPr>
        <w:t>供应商应当附本表所列证书的复印件并加盖供应商电子签章。</w:t>
      </w:r>
    </w:p>
    <w:p w14:paraId="68E69CE9">
      <w:pPr>
        <w:spacing w:line="360" w:lineRule="auto"/>
        <w:contextualSpacing/>
        <w:jc w:val="left"/>
        <w:rPr>
          <w:rFonts w:ascii="宋体" w:hAnsi="宋体"/>
          <w:color w:val="auto"/>
          <w:spacing w:val="20"/>
          <w:sz w:val="24"/>
          <w:highlight w:val="none"/>
        </w:rPr>
      </w:pPr>
    </w:p>
    <w:p w14:paraId="01B7BCB8">
      <w:pPr>
        <w:spacing w:line="360" w:lineRule="auto"/>
        <w:contextualSpacing/>
        <w:jc w:val="left"/>
        <w:rPr>
          <w:rFonts w:ascii="宋体" w:hAnsi="宋体"/>
          <w:color w:val="auto"/>
          <w:spacing w:val="20"/>
          <w:sz w:val="24"/>
          <w:highlight w:val="none"/>
        </w:rPr>
      </w:pPr>
    </w:p>
    <w:p w14:paraId="58B66F60">
      <w:pPr>
        <w:spacing w:line="360" w:lineRule="auto"/>
        <w:contextualSpacing/>
        <w:jc w:val="center"/>
        <w:rPr>
          <w:rFonts w:ascii="宋体" w:hAnsi="宋体"/>
          <w:color w:val="auto"/>
          <w:spacing w:val="20"/>
          <w:sz w:val="24"/>
          <w:highlight w:val="none"/>
        </w:rPr>
      </w:pPr>
      <w:r>
        <w:rPr>
          <w:rFonts w:hint="eastAsia" w:ascii="宋体" w:hAnsi="宋体"/>
          <w:color w:val="auto"/>
          <w:spacing w:val="20"/>
          <w:sz w:val="24"/>
          <w:highlight w:val="none"/>
        </w:rPr>
        <w:t>供应商（电子签章）：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p>
    <w:p w14:paraId="341EC923">
      <w:pPr>
        <w:spacing w:line="360" w:lineRule="auto"/>
        <w:ind w:firstLine="3360" w:firstLineChars="1200"/>
        <w:contextualSpacing/>
        <w:jc w:val="left"/>
        <w:rPr>
          <w:rFonts w:ascii="宋体" w:hAnsi="宋体"/>
          <w:color w:val="auto"/>
          <w:sz w:val="24"/>
          <w:szCs w:val="20"/>
          <w:highlight w:val="none"/>
        </w:rPr>
      </w:pPr>
      <w:r>
        <w:rPr>
          <w:rFonts w:hint="eastAsia" w:ascii="宋体" w:hAnsi="宋体"/>
          <w:color w:val="auto"/>
          <w:spacing w:val="20"/>
          <w:sz w:val="24"/>
          <w:highlight w:val="none"/>
        </w:rPr>
        <w:t>日 期：</w:t>
      </w:r>
      <w:r>
        <w:rPr>
          <w:rFonts w:hint="eastAsia" w:ascii="宋体" w:hAnsi="宋体" w:cs="仿宋_GB2312"/>
          <w:color w:val="auto"/>
          <w:sz w:val="24"/>
          <w:highlight w:val="none"/>
        </w:rPr>
        <w:t xml:space="preserve">  年   月   日</w:t>
      </w:r>
    </w:p>
    <w:p w14:paraId="680462DB">
      <w:pPr>
        <w:snapToGrid w:val="0"/>
        <w:spacing w:before="50" w:after="156" w:afterLines="50"/>
        <w:jc w:val="left"/>
        <w:rPr>
          <w:rFonts w:ascii="宋体" w:hAnsi="宋体"/>
          <w:color w:val="auto"/>
          <w:sz w:val="24"/>
          <w:szCs w:val="20"/>
          <w:highlight w:val="none"/>
        </w:rPr>
      </w:pPr>
    </w:p>
    <w:p w14:paraId="3DA25BE5">
      <w:pPr>
        <w:snapToGrid w:val="0"/>
        <w:spacing w:before="50" w:after="50" w:line="360" w:lineRule="auto"/>
        <w:ind w:right="-817" w:rightChars="-389" w:firstLine="5461" w:firstLineChars="1700"/>
        <w:rPr>
          <w:rFonts w:ascii="仿宋_GB2312" w:hAnsi="仿宋_GB2312" w:eastAsia="仿宋_GB2312" w:cs="仿宋_GB2312"/>
          <w:b/>
          <w:color w:val="auto"/>
          <w:sz w:val="32"/>
          <w:szCs w:val="32"/>
          <w:highlight w:val="none"/>
        </w:rPr>
      </w:pPr>
    </w:p>
    <w:p w14:paraId="32CE2BFF">
      <w:pPr>
        <w:spacing w:line="300" w:lineRule="auto"/>
        <w:rPr>
          <w:rFonts w:ascii="宋体" w:hAnsi="宋体"/>
          <w:color w:val="auto"/>
          <w:szCs w:val="21"/>
          <w:highlight w:val="none"/>
        </w:rPr>
      </w:pPr>
      <w:r>
        <w:rPr>
          <w:rFonts w:ascii="宋体" w:hAnsi="宋体"/>
          <w:b/>
          <w:bCs/>
          <w:color w:val="auto"/>
          <w:sz w:val="24"/>
          <w:highlight w:val="none"/>
        </w:rPr>
        <w:br w:type="page"/>
      </w:r>
      <w:r>
        <w:rPr>
          <w:rFonts w:hint="eastAsia" w:ascii="宋体" w:hAnsi="宋体"/>
          <w:b/>
          <w:bCs/>
          <w:color w:val="auto"/>
          <w:sz w:val="24"/>
          <w:highlight w:val="none"/>
        </w:rPr>
        <w:t>其他文书、文件格式</w:t>
      </w:r>
    </w:p>
    <w:p w14:paraId="7D1AA9B0">
      <w:pPr>
        <w:jc w:val="center"/>
        <w:rPr>
          <w:rFonts w:ascii="宋体" w:hAnsi="宋体" w:cs="宋体"/>
          <w:color w:val="auto"/>
          <w:sz w:val="44"/>
          <w:szCs w:val="44"/>
          <w:highlight w:val="none"/>
        </w:rPr>
      </w:pPr>
      <w:bookmarkStart w:id="201" w:name="_Toc71365926"/>
      <w:r>
        <w:rPr>
          <w:rFonts w:hint="eastAsia" w:ascii="宋体" w:hAnsi="宋体" w:cs="宋体"/>
          <w:color w:val="auto"/>
          <w:sz w:val="44"/>
          <w:szCs w:val="44"/>
          <w:highlight w:val="none"/>
        </w:rPr>
        <w:t>中小企业声明函（服务）</w:t>
      </w:r>
      <w:bookmarkEnd w:id="201"/>
    </w:p>
    <w:p w14:paraId="4FFA23DE">
      <w:pPr>
        <w:spacing w:before="2" w:line="500" w:lineRule="exact"/>
        <w:ind w:firstLine="708" w:firstLineChars="294"/>
        <w:rPr>
          <w:rFonts w:ascii="宋体" w:hAnsi="宋体" w:cs="宋体"/>
          <w:b/>
          <w:bCs/>
          <w:color w:val="auto"/>
          <w:sz w:val="24"/>
          <w:highlight w:val="none"/>
        </w:rPr>
      </w:pPr>
    </w:p>
    <w:p w14:paraId="35F08129">
      <w:pPr>
        <w:pStyle w:val="11"/>
        <w:spacing w:line="500" w:lineRule="exact"/>
        <w:ind w:right="142" w:firstLine="705" w:firstLineChars="294"/>
        <w:rPr>
          <w:rFonts w:ascii="宋体" w:hAnsi="宋体"/>
          <w:color w:val="auto"/>
          <w:sz w:val="24"/>
          <w:highlight w:val="none"/>
        </w:rPr>
      </w:pPr>
      <w:r>
        <w:rPr>
          <w:rFonts w:ascii="宋体" w:hAnsi="宋体"/>
          <w:color w:val="auto"/>
          <w:sz w:val="24"/>
          <w:highlight w:val="none"/>
        </w:rPr>
        <w:t>本公司（联合体）郑重声明，根据《政府采购促进中小企业发展管理办法》（财库﹝2020﹞46号）的规定，本公司（联合体）参加</w:t>
      </w:r>
      <w:r>
        <w:rPr>
          <w:rFonts w:ascii="宋体" w:hAnsi="宋体"/>
          <w:color w:val="auto"/>
          <w:sz w:val="24"/>
          <w:highlight w:val="none"/>
          <w:u w:val="single"/>
        </w:rPr>
        <w:t>（单位名称）</w:t>
      </w:r>
      <w:r>
        <w:rPr>
          <w:rFonts w:ascii="宋体" w:hAnsi="宋体"/>
          <w:color w:val="auto"/>
          <w:sz w:val="24"/>
          <w:highlight w:val="none"/>
        </w:rPr>
        <w:t>的</w:t>
      </w:r>
      <w:r>
        <w:rPr>
          <w:rFonts w:ascii="宋体" w:hAnsi="宋体"/>
          <w:color w:val="auto"/>
          <w:sz w:val="24"/>
          <w:highlight w:val="none"/>
          <w:u w:val="single"/>
        </w:rPr>
        <w:t>（项目名称）</w:t>
      </w:r>
      <w:r>
        <w:rPr>
          <w:rFonts w:ascii="宋体" w:hAnsi="宋体"/>
          <w:color w:val="auto"/>
          <w:sz w:val="24"/>
          <w:highlight w:val="none"/>
        </w:rPr>
        <w:t>采购活动，</w:t>
      </w:r>
      <w:r>
        <w:rPr>
          <w:rFonts w:hint="eastAsia" w:ascii="宋体" w:hAnsi="宋体"/>
          <w:color w:val="auto"/>
          <w:sz w:val="24"/>
          <w:highlight w:val="none"/>
        </w:rPr>
        <w:t>服务全部由符合政策要求的中小企业承接。相关企业（含联合体中的中小企业、签订分包意向协议的中小企业）的具体情况如下：</w:t>
      </w:r>
    </w:p>
    <w:p w14:paraId="75D24D77">
      <w:pPr>
        <w:tabs>
          <w:tab w:val="left" w:pos="1384"/>
          <w:tab w:val="left" w:pos="4562"/>
          <w:tab w:val="left" w:pos="6803"/>
        </w:tabs>
        <w:spacing w:before="13" w:line="500" w:lineRule="exact"/>
        <w:ind w:right="142" w:firstLine="772" w:firstLineChars="322"/>
        <w:rPr>
          <w:rFonts w:ascii="宋体" w:hAnsi="宋体"/>
          <w:color w:val="auto"/>
          <w:sz w:val="24"/>
          <w:highlight w:val="none"/>
        </w:rPr>
      </w:pPr>
      <w:r>
        <w:rPr>
          <w:rFonts w:ascii="宋体" w:hAnsi="宋体"/>
          <w:color w:val="auto"/>
          <w:sz w:val="24"/>
          <w:highlight w:val="none"/>
        </w:rPr>
        <w:t>1.</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w:t>
      </w:r>
      <w:r>
        <w:rPr>
          <w:rFonts w:ascii="宋体" w:hAnsi="宋体"/>
          <w:color w:val="auto"/>
          <w:sz w:val="24"/>
          <w:highlight w:val="none"/>
          <w:u w:val="single"/>
        </w:rPr>
        <w:t>业）</w:t>
      </w:r>
      <w:r>
        <w:rPr>
          <w:rFonts w:ascii="宋体" w:hAnsi="宋体"/>
          <w:color w:val="auto"/>
          <w:sz w:val="24"/>
          <w:highlight w:val="none"/>
        </w:rPr>
        <w:t>；</w:t>
      </w:r>
      <w:r>
        <w:rPr>
          <w:rFonts w:hint="eastAsia" w:ascii="宋体" w:hAnsi="宋体"/>
          <w:color w:val="auto"/>
          <w:sz w:val="24"/>
          <w:highlight w:val="none"/>
        </w:rPr>
        <w:t>承接企业为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5291FE64">
      <w:pPr>
        <w:tabs>
          <w:tab w:val="left" w:pos="1065"/>
          <w:tab w:val="left" w:pos="4262"/>
          <w:tab w:val="left" w:pos="6477"/>
        </w:tabs>
        <w:spacing w:before="20" w:line="500" w:lineRule="exact"/>
        <w:ind w:right="84" w:firstLine="772" w:firstLineChars="322"/>
        <w:rPr>
          <w:rFonts w:ascii="宋体" w:hAnsi="宋体"/>
          <w:color w:val="auto"/>
          <w:sz w:val="24"/>
          <w:highlight w:val="none"/>
          <w:u w:val="single"/>
        </w:rPr>
      </w:pPr>
      <w:r>
        <w:rPr>
          <w:rFonts w:ascii="宋体" w:hAnsi="宋体"/>
          <w:color w:val="auto"/>
          <w:sz w:val="24"/>
          <w:highlight w:val="none"/>
        </w:rPr>
        <w:t>2.</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行业</w:t>
      </w:r>
      <w:r>
        <w:rPr>
          <w:rFonts w:ascii="宋体" w:hAnsi="宋体"/>
          <w:color w:val="auto"/>
          <w:sz w:val="24"/>
          <w:highlight w:val="none"/>
          <w:u w:val="single"/>
        </w:rPr>
        <w:t>）</w:t>
      </w:r>
      <w:r>
        <w:rPr>
          <w:rFonts w:ascii="宋体" w:hAnsi="宋体"/>
          <w:color w:val="auto"/>
          <w:sz w:val="24"/>
          <w:highlight w:val="none"/>
        </w:rPr>
        <w:t>；</w:t>
      </w:r>
      <w:r>
        <w:rPr>
          <w:rFonts w:hint="eastAsia" w:ascii="宋体" w:hAnsi="宋体"/>
          <w:color w:val="auto"/>
          <w:sz w:val="24"/>
          <w:highlight w:val="none"/>
        </w:rPr>
        <w:t>承接企业为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1B690AF5">
      <w:pPr>
        <w:pStyle w:val="11"/>
        <w:spacing w:before="34" w:line="500" w:lineRule="exact"/>
        <w:ind w:right="142" w:firstLine="705" w:firstLineChars="294"/>
        <w:rPr>
          <w:rFonts w:ascii="宋体" w:hAnsi="宋体"/>
          <w:color w:val="auto"/>
          <w:sz w:val="24"/>
          <w:highlight w:val="none"/>
        </w:rPr>
      </w:pPr>
      <w:r>
        <w:rPr>
          <w:rFonts w:ascii="宋体" w:hAnsi="宋体"/>
          <w:color w:val="auto"/>
          <w:sz w:val="24"/>
          <w:highlight w:val="none"/>
        </w:rPr>
        <w:t xml:space="preserve">…… </w:t>
      </w:r>
    </w:p>
    <w:p w14:paraId="2F31D869">
      <w:pPr>
        <w:pStyle w:val="11"/>
        <w:spacing w:before="34" w:line="500" w:lineRule="exact"/>
        <w:ind w:right="142" w:firstLine="705" w:firstLineChars="294"/>
        <w:rPr>
          <w:rFonts w:ascii="宋体" w:hAnsi="宋体"/>
          <w:color w:val="auto"/>
          <w:sz w:val="24"/>
          <w:highlight w:val="none"/>
        </w:rPr>
      </w:pPr>
      <w:r>
        <w:rPr>
          <w:rFonts w:ascii="宋体" w:hAnsi="宋体"/>
          <w:color w:val="auto"/>
          <w:sz w:val="24"/>
          <w:highlight w:val="none"/>
        </w:rPr>
        <w:t>以上企业，不属于大企业的分支机构，不存在控股股东为大企业的情形，也不存在与大企业的负责人为同一人的情形。</w:t>
      </w:r>
    </w:p>
    <w:p w14:paraId="010FD6B8">
      <w:pPr>
        <w:pStyle w:val="11"/>
        <w:spacing w:before="25" w:line="500" w:lineRule="exact"/>
        <w:ind w:right="142" w:firstLine="705" w:firstLineChars="294"/>
        <w:rPr>
          <w:rFonts w:ascii="宋体" w:hAnsi="宋体"/>
          <w:color w:val="auto"/>
          <w:sz w:val="24"/>
          <w:highlight w:val="none"/>
        </w:rPr>
      </w:pPr>
      <w:r>
        <w:rPr>
          <w:rFonts w:ascii="宋体" w:hAnsi="宋体"/>
          <w:color w:val="auto"/>
          <w:sz w:val="24"/>
          <w:highlight w:val="none"/>
        </w:rPr>
        <w:t>本企业对上述声明内容的真实性负责。如有虚假，将依法承担相应责任。</w:t>
      </w:r>
    </w:p>
    <w:p w14:paraId="1D3EC5FD">
      <w:pPr>
        <w:pStyle w:val="11"/>
        <w:spacing w:before="56" w:line="500" w:lineRule="exact"/>
        <w:ind w:right="1808" w:firstLine="705" w:firstLineChars="294"/>
        <w:rPr>
          <w:rFonts w:ascii="宋体" w:hAnsi="宋体"/>
          <w:color w:val="auto"/>
          <w:sz w:val="24"/>
          <w:highlight w:val="none"/>
        </w:rPr>
      </w:pPr>
    </w:p>
    <w:p w14:paraId="2A4EE10E">
      <w:pPr>
        <w:pStyle w:val="11"/>
        <w:spacing w:before="56" w:line="500" w:lineRule="exact"/>
        <w:ind w:right="650" w:firstLine="5625" w:firstLineChars="2344"/>
        <w:rPr>
          <w:rFonts w:ascii="宋体" w:hAnsi="宋体"/>
          <w:color w:val="auto"/>
          <w:sz w:val="24"/>
          <w:highlight w:val="none"/>
        </w:rPr>
      </w:pPr>
      <w:r>
        <w:rPr>
          <w:rFonts w:hint="eastAsia" w:ascii="宋体" w:hAnsi="宋体" w:cs="仿宋_GB2312"/>
          <w:color w:val="auto"/>
          <w:sz w:val="24"/>
          <w:highlight w:val="none"/>
        </w:rPr>
        <w:t>供应商（电子签章）：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r>
        <w:rPr>
          <w:rFonts w:ascii="宋体" w:hAnsi="宋体"/>
          <w:color w:val="auto"/>
          <w:sz w:val="24"/>
          <w:highlight w:val="none"/>
        </w:rPr>
        <w:t xml:space="preserve"> </w:t>
      </w:r>
    </w:p>
    <w:p w14:paraId="08E137A0">
      <w:pPr>
        <w:spacing w:line="360" w:lineRule="auto"/>
        <w:ind w:right="-817" w:rightChars="-389" w:firstLine="5760" w:firstLineChars="24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6C94C635">
      <w:pPr>
        <w:spacing w:line="520" w:lineRule="exact"/>
        <w:jc w:val="left"/>
        <w:rPr>
          <w:rFonts w:ascii="宋体" w:hAnsi="宋体" w:cs="仿宋_GB2312"/>
          <w:color w:val="auto"/>
          <w:sz w:val="24"/>
          <w:highlight w:val="none"/>
        </w:rPr>
      </w:pPr>
      <w:r>
        <w:rPr>
          <w:rFonts w:hint="eastAsia" w:ascii="宋体" w:hAnsi="宋体" w:cs="仿宋_GB2312"/>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22A53010">
      <w:pPr>
        <w:spacing w:line="520" w:lineRule="exact"/>
        <w:jc w:val="center"/>
        <w:rPr>
          <w:rFonts w:ascii="仿宋_GB2312" w:hAnsi="仿宋_GB2312" w:eastAsia="仿宋_GB2312" w:cs="仿宋_GB2312"/>
          <w:color w:val="auto"/>
          <w:sz w:val="32"/>
          <w:szCs w:val="32"/>
          <w:highlight w:val="none"/>
        </w:rPr>
      </w:pPr>
      <w:r>
        <w:rPr>
          <w:rFonts w:ascii="宋体" w:hAnsi="宋体"/>
          <w:color w:val="auto"/>
          <w:sz w:val="24"/>
          <w:highlight w:val="none"/>
        </w:rPr>
        <w:br w:type="page"/>
      </w:r>
      <w:r>
        <w:rPr>
          <w:rFonts w:hint="eastAsia" w:ascii="宋体" w:hAnsi="宋体" w:cs="宋体"/>
          <w:color w:val="auto"/>
          <w:sz w:val="44"/>
          <w:szCs w:val="44"/>
          <w:highlight w:val="none"/>
        </w:rPr>
        <w:t>残疾人福利性单位声明函</w:t>
      </w:r>
    </w:p>
    <w:p w14:paraId="4BA73FE2">
      <w:pPr>
        <w:spacing w:line="360" w:lineRule="auto"/>
        <w:contextualSpacing/>
        <w:rPr>
          <w:rFonts w:ascii="仿宋_GB2312" w:hAnsi="仿宋_GB2312" w:eastAsia="仿宋_GB2312" w:cs="仿宋_GB2312"/>
          <w:color w:val="auto"/>
          <w:sz w:val="32"/>
          <w:szCs w:val="32"/>
          <w:highlight w:val="none"/>
        </w:rPr>
      </w:pPr>
    </w:p>
    <w:p w14:paraId="656E714E">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单位的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7FE6D171">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本单位对上述声明的真实性负责。如有虚假，将依法承担相应责任。</w:t>
      </w:r>
    </w:p>
    <w:p w14:paraId="02F2689C">
      <w:pPr>
        <w:spacing w:line="360" w:lineRule="auto"/>
        <w:contextualSpacing/>
        <w:rPr>
          <w:rFonts w:ascii="宋体" w:hAnsi="宋体" w:cs="仿宋_GB2312"/>
          <w:color w:val="auto"/>
          <w:sz w:val="24"/>
          <w:highlight w:val="none"/>
        </w:rPr>
      </w:pPr>
    </w:p>
    <w:p w14:paraId="738D42B6">
      <w:pPr>
        <w:spacing w:line="360" w:lineRule="auto"/>
        <w:contextualSpacing/>
        <w:rPr>
          <w:rFonts w:ascii="宋体" w:hAnsi="宋体" w:cs="仿宋_GB2312"/>
          <w:color w:val="auto"/>
          <w:sz w:val="24"/>
          <w:highlight w:val="none"/>
        </w:rPr>
      </w:pPr>
    </w:p>
    <w:p w14:paraId="71507A6E">
      <w:pPr>
        <w:spacing w:line="360" w:lineRule="auto"/>
        <w:contextualSpacing/>
        <w:rPr>
          <w:rFonts w:ascii="宋体" w:hAnsi="宋体" w:cs="仿宋_GB2312"/>
          <w:color w:val="auto"/>
          <w:sz w:val="24"/>
          <w:highlight w:val="none"/>
        </w:rPr>
      </w:pPr>
    </w:p>
    <w:p w14:paraId="5FE2A5E8">
      <w:pPr>
        <w:spacing w:line="360" w:lineRule="auto"/>
        <w:ind w:firstLine="3600" w:firstLineChars="1500"/>
        <w:contextualSpacing/>
        <w:rPr>
          <w:rFonts w:ascii="宋体" w:hAnsi="宋体" w:cs="仿宋_GB2312"/>
          <w:color w:val="auto"/>
          <w:sz w:val="24"/>
          <w:highlight w:val="none"/>
        </w:rPr>
      </w:pPr>
      <w:r>
        <w:rPr>
          <w:rFonts w:hint="eastAsia" w:ascii="宋体" w:hAnsi="宋体" w:cs="仿宋_GB2312"/>
          <w:color w:val="auto"/>
          <w:sz w:val="24"/>
          <w:highlight w:val="none"/>
        </w:rPr>
        <w:t>供应商（电子签章）：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5D6DFB13">
      <w:pPr>
        <w:spacing w:line="360" w:lineRule="auto"/>
        <w:ind w:right="-817" w:rightChars="-389" w:firstLine="3600" w:firstLineChars="1500"/>
        <w:contextualSpacing/>
        <w:rPr>
          <w:rFonts w:ascii="宋体" w:hAnsi="宋体" w:cs="仿宋_GB2312"/>
          <w:color w:val="auto"/>
          <w:sz w:val="24"/>
          <w:highlight w:val="none"/>
        </w:rPr>
      </w:pPr>
      <w:r>
        <w:rPr>
          <w:rFonts w:hint="eastAsia" w:ascii="宋体" w:hAnsi="宋体" w:cs="仿宋_GB2312"/>
          <w:color w:val="auto"/>
          <w:sz w:val="24"/>
          <w:highlight w:val="none"/>
        </w:rPr>
        <w:t>日  期：   年   月   日</w:t>
      </w:r>
    </w:p>
    <w:p w14:paraId="19595B35">
      <w:pPr>
        <w:spacing w:line="360" w:lineRule="auto"/>
        <w:ind w:firstLine="3600" w:firstLineChars="1500"/>
        <w:contextualSpacing/>
        <w:rPr>
          <w:rFonts w:ascii="宋体" w:hAnsi="宋体" w:cs="仿宋_GB2312"/>
          <w:color w:val="auto"/>
          <w:sz w:val="24"/>
          <w:highlight w:val="none"/>
        </w:rPr>
      </w:pPr>
    </w:p>
    <w:p w14:paraId="22D81C18">
      <w:pPr>
        <w:spacing w:line="360" w:lineRule="auto"/>
        <w:contextualSpacing/>
        <w:rPr>
          <w:rFonts w:ascii="宋体" w:hAnsi="宋体" w:cs="仿宋_GB2312"/>
          <w:color w:val="auto"/>
          <w:sz w:val="24"/>
          <w:highlight w:val="none"/>
        </w:rPr>
      </w:pPr>
    </w:p>
    <w:p w14:paraId="3CCC4D28">
      <w:pPr>
        <w:spacing w:line="360" w:lineRule="auto"/>
        <w:contextualSpacing/>
        <w:rPr>
          <w:rFonts w:ascii="宋体" w:hAnsi="宋体" w:cs="仿宋_GB2312"/>
          <w:color w:val="auto"/>
          <w:sz w:val="24"/>
          <w:highlight w:val="none"/>
        </w:rPr>
      </w:pPr>
    </w:p>
    <w:p w14:paraId="38A7FC82">
      <w:pPr>
        <w:spacing w:line="360" w:lineRule="auto"/>
        <w:contextualSpacing/>
        <w:rPr>
          <w:rFonts w:ascii="宋体" w:hAnsi="宋体" w:cs="仿宋_GB2312"/>
          <w:color w:val="auto"/>
          <w:sz w:val="24"/>
          <w:highlight w:val="none"/>
        </w:rPr>
      </w:pPr>
    </w:p>
    <w:p w14:paraId="23FDE4CF">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1CAE92FA">
      <w:pPr>
        <w:spacing w:line="360" w:lineRule="auto"/>
        <w:jc w:val="center"/>
        <w:rPr>
          <w:rFonts w:ascii="宋体" w:hAnsi="宋体"/>
          <w:b/>
          <w:bCs/>
          <w:color w:val="auto"/>
          <w:sz w:val="32"/>
          <w:szCs w:val="32"/>
          <w:highlight w:val="none"/>
        </w:rPr>
      </w:pPr>
      <w:r>
        <w:rPr>
          <w:rFonts w:ascii="宋体" w:hAnsi="宋体" w:cs="仿宋_GB2312"/>
          <w:color w:val="auto"/>
          <w:sz w:val="24"/>
          <w:highlight w:val="none"/>
        </w:rPr>
        <w:br w:type="page"/>
      </w:r>
      <w:r>
        <w:rPr>
          <w:rFonts w:hint="eastAsia" w:ascii="宋体" w:hAnsi="宋体" w:cs="宋体"/>
          <w:color w:val="auto"/>
          <w:sz w:val="44"/>
          <w:szCs w:val="44"/>
          <w:highlight w:val="none"/>
        </w:rPr>
        <w:t>质疑函（格式）</w:t>
      </w:r>
    </w:p>
    <w:p w14:paraId="692BA0B6">
      <w:pPr>
        <w:pStyle w:val="16"/>
        <w:spacing w:line="360" w:lineRule="auto"/>
        <w:ind w:firstLine="482" w:firstLineChars="200"/>
        <w:contextualSpacing/>
        <w:rPr>
          <w:rFonts w:hAnsi="宋体"/>
          <w:b/>
          <w:bCs/>
          <w:color w:val="auto"/>
          <w:sz w:val="24"/>
          <w:szCs w:val="24"/>
          <w:highlight w:val="none"/>
        </w:rPr>
      </w:pPr>
      <w:r>
        <w:rPr>
          <w:rFonts w:hint="eastAsia" w:hAnsi="宋体"/>
          <w:b/>
          <w:bCs/>
          <w:color w:val="auto"/>
          <w:sz w:val="24"/>
          <w:szCs w:val="24"/>
          <w:highlight w:val="none"/>
        </w:rPr>
        <w:t>一、质疑供应商基本信息：</w:t>
      </w:r>
    </w:p>
    <w:p w14:paraId="6F697156">
      <w:pPr>
        <w:pStyle w:val="16"/>
        <w:spacing w:line="360" w:lineRule="auto"/>
        <w:ind w:firstLine="480" w:firstLineChars="200"/>
        <w:contextualSpacing/>
        <w:rPr>
          <w:rFonts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9E183B9">
      <w:pPr>
        <w:pStyle w:val="16"/>
        <w:spacing w:line="360" w:lineRule="auto"/>
        <w:ind w:firstLine="480" w:firstLineChars="200"/>
        <w:contextualSpacing/>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4FBA69A8">
      <w:pPr>
        <w:pStyle w:val="16"/>
        <w:spacing w:line="360" w:lineRule="auto"/>
        <w:ind w:firstLine="480" w:firstLineChars="200"/>
        <w:contextualSpacing/>
        <w:rPr>
          <w:rFonts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3C79BDBF">
      <w:pPr>
        <w:pStyle w:val="16"/>
        <w:spacing w:line="360" w:lineRule="auto"/>
        <w:ind w:firstLine="480" w:firstLineChars="200"/>
        <w:contextualSpacing/>
        <w:rPr>
          <w:rFonts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19D14C90">
      <w:pPr>
        <w:pStyle w:val="16"/>
        <w:spacing w:line="360" w:lineRule="auto"/>
        <w:ind w:firstLine="480" w:firstLineChars="200"/>
        <w:contextualSpacing/>
        <w:rPr>
          <w:rFonts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1D70DF44">
      <w:pPr>
        <w:pStyle w:val="16"/>
        <w:spacing w:line="360" w:lineRule="auto"/>
        <w:ind w:firstLine="480" w:firstLineChars="200"/>
        <w:contextualSpacing/>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F1CB562">
      <w:pPr>
        <w:pStyle w:val="16"/>
        <w:spacing w:line="360" w:lineRule="auto"/>
        <w:ind w:firstLine="482" w:firstLineChars="200"/>
        <w:contextualSpacing/>
        <w:rPr>
          <w:rFonts w:hAnsi="宋体"/>
          <w:b/>
          <w:bCs/>
          <w:color w:val="auto"/>
          <w:sz w:val="24"/>
          <w:szCs w:val="24"/>
          <w:highlight w:val="none"/>
        </w:rPr>
      </w:pPr>
      <w:r>
        <w:rPr>
          <w:rFonts w:hint="eastAsia" w:hAnsi="宋体"/>
          <w:b/>
          <w:bCs/>
          <w:color w:val="auto"/>
          <w:sz w:val="24"/>
          <w:szCs w:val="24"/>
          <w:highlight w:val="none"/>
        </w:rPr>
        <w:t>二、质疑项目基本情况：</w:t>
      </w:r>
    </w:p>
    <w:p w14:paraId="0481B848">
      <w:pPr>
        <w:pStyle w:val="16"/>
        <w:spacing w:line="360" w:lineRule="auto"/>
        <w:ind w:left="25" w:leftChars="12" w:firstLine="472" w:firstLineChars="197"/>
        <w:contextualSpacing/>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221A09D2">
      <w:pPr>
        <w:pStyle w:val="16"/>
        <w:spacing w:line="360" w:lineRule="auto"/>
        <w:ind w:left="25" w:leftChars="12" w:firstLine="472" w:firstLineChars="197"/>
        <w:contextualSpacing/>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6264E851">
      <w:pPr>
        <w:pStyle w:val="16"/>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2250523D">
      <w:pPr>
        <w:pStyle w:val="16"/>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w:t>
      </w:r>
    </w:p>
    <w:p w14:paraId="5E1058E4">
      <w:pPr>
        <w:pStyle w:val="16"/>
        <w:spacing w:line="360" w:lineRule="auto"/>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14:paraId="5FE7B006">
      <w:pPr>
        <w:pStyle w:val="16"/>
        <w:spacing w:line="360" w:lineRule="auto"/>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 xml:space="preserve">□采购过程   </w:t>
      </w:r>
    </w:p>
    <w:p w14:paraId="7747DA70">
      <w:pPr>
        <w:pStyle w:val="16"/>
        <w:spacing w:line="360" w:lineRule="auto"/>
        <w:ind w:left="25" w:leftChars="12" w:firstLine="352" w:firstLineChars="147"/>
        <w:contextualSpacing/>
        <w:rPr>
          <w:rFonts w:hAnsi="宋体"/>
          <w:bCs/>
          <w:color w:val="auto"/>
          <w:sz w:val="24"/>
          <w:szCs w:val="24"/>
          <w:highlight w:val="none"/>
          <w:u w:val="single"/>
        </w:rPr>
      </w:pPr>
      <w:r>
        <w:rPr>
          <w:rFonts w:hint="eastAsia" w:hAnsi="宋体"/>
          <w:color w:val="auto"/>
          <w:sz w:val="24"/>
          <w:szCs w:val="24"/>
          <w:highlight w:val="none"/>
        </w:rPr>
        <w:t xml:space="preserve">□成交结果   </w:t>
      </w:r>
    </w:p>
    <w:p w14:paraId="51F38169">
      <w:pPr>
        <w:pStyle w:val="16"/>
        <w:spacing w:line="360" w:lineRule="auto"/>
        <w:ind w:left="25" w:leftChars="12" w:firstLine="472" w:firstLineChars="196"/>
        <w:contextualSpacing/>
        <w:rPr>
          <w:rFonts w:hAnsi="宋体"/>
          <w:b/>
          <w:color w:val="auto"/>
          <w:sz w:val="24"/>
          <w:szCs w:val="24"/>
          <w:highlight w:val="none"/>
        </w:rPr>
      </w:pPr>
      <w:r>
        <w:rPr>
          <w:rFonts w:hint="eastAsia" w:hAnsi="宋体"/>
          <w:b/>
          <w:color w:val="auto"/>
          <w:sz w:val="24"/>
          <w:szCs w:val="24"/>
          <w:highlight w:val="none"/>
        </w:rPr>
        <w:t>三、质疑事项具体内容</w:t>
      </w:r>
    </w:p>
    <w:p w14:paraId="310689E4">
      <w:pPr>
        <w:pStyle w:val="16"/>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311AB27E">
      <w:pPr>
        <w:pStyle w:val="16"/>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1ED57BA6">
      <w:pPr>
        <w:pStyle w:val="16"/>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58FFAF78">
      <w:pPr>
        <w:pStyle w:val="16"/>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质疑事项2</w:t>
      </w:r>
    </w:p>
    <w:p w14:paraId="50A7ADB5">
      <w:pPr>
        <w:pStyle w:val="16"/>
        <w:spacing w:line="360" w:lineRule="auto"/>
        <w:ind w:left="25" w:leftChars="12" w:firstLine="472" w:firstLineChars="197"/>
        <w:contextualSpacing/>
        <w:rPr>
          <w:rFonts w:hAnsi="宋体"/>
          <w:color w:val="auto"/>
          <w:sz w:val="24"/>
          <w:szCs w:val="24"/>
          <w:highlight w:val="none"/>
        </w:rPr>
      </w:pPr>
      <w:r>
        <w:rPr>
          <w:rFonts w:hAnsi="宋体"/>
          <w:color w:val="auto"/>
          <w:sz w:val="24"/>
          <w:szCs w:val="24"/>
          <w:highlight w:val="none"/>
        </w:rPr>
        <w:t>……</w:t>
      </w:r>
    </w:p>
    <w:p w14:paraId="4829ECB3">
      <w:pPr>
        <w:pStyle w:val="16"/>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四、与质疑事项相关的质疑请求：</w:t>
      </w:r>
    </w:p>
    <w:p w14:paraId="5C257B0B">
      <w:pPr>
        <w:pStyle w:val="16"/>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63970EE4">
      <w:pPr>
        <w:pStyle w:val="16"/>
        <w:spacing w:line="360" w:lineRule="auto"/>
        <w:ind w:left="25" w:leftChars="12" w:firstLine="352" w:firstLineChars="147"/>
        <w:contextualSpacing/>
        <w:rPr>
          <w:rFonts w:hAnsi="宋体"/>
          <w:color w:val="auto"/>
          <w:sz w:val="24"/>
          <w:szCs w:val="24"/>
          <w:highlight w:val="none"/>
        </w:rPr>
      </w:pPr>
    </w:p>
    <w:p w14:paraId="16C25223">
      <w:pPr>
        <w:pStyle w:val="16"/>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签字（签章）：                                       公章：</w:t>
      </w:r>
    </w:p>
    <w:p w14:paraId="23F51AD6">
      <w:pPr>
        <w:pStyle w:val="16"/>
        <w:spacing w:line="360" w:lineRule="auto"/>
        <w:ind w:firstLine="480" w:firstLineChars="200"/>
        <w:contextualSpacing/>
        <w:rPr>
          <w:rFonts w:hAnsi="宋体"/>
          <w:b/>
          <w:color w:val="auto"/>
          <w:sz w:val="24"/>
          <w:szCs w:val="24"/>
          <w:highlight w:val="none"/>
        </w:rPr>
      </w:pPr>
      <w:r>
        <w:rPr>
          <w:rFonts w:hint="eastAsia" w:hAnsi="宋体"/>
          <w:color w:val="auto"/>
          <w:sz w:val="24"/>
          <w:szCs w:val="24"/>
          <w:highlight w:val="none"/>
        </w:rPr>
        <w:t>日期：</w:t>
      </w:r>
    </w:p>
    <w:p w14:paraId="7BEA1E80">
      <w:pPr>
        <w:pStyle w:val="16"/>
        <w:spacing w:line="360" w:lineRule="auto"/>
        <w:contextualSpacing/>
        <w:rPr>
          <w:rFonts w:hAnsi="宋体"/>
          <w:b/>
          <w:color w:val="auto"/>
          <w:sz w:val="24"/>
          <w:szCs w:val="24"/>
          <w:highlight w:val="none"/>
        </w:rPr>
      </w:pPr>
      <w:r>
        <w:rPr>
          <w:rFonts w:hint="eastAsia" w:hAnsi="宋体"/>
          <w:b/>
          <w:color w:val="auto"/>
          <w:sz w:val="24"/>
          <w:szCs w:val="24"/>
          <w:highlight w:val="none"/>
        </w:rPr>
        <w:t>说明：</w:t>
      </w:r>
    </w:p>
    <w:p w14:paraId="4F176934">
      <w:pPr>
        <w:pStyle w:val="16"/>
        <w:spacing w:line="360" w:lineRule="auto"/>
        <w:ind w:left="25" w:leftChars="12" w:firstLine="354" w:firstLineChars="147"/>
        <w:contextualSpacing/>
        <w:rPr>
          <w:rFonts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4D2E0D56">
      <w:pPr>
        <w:pStyle w:val="16"/>
        <w:spacing w:line="360" w:lineRule="auto"/>
        <w:ind w:left="25" w:leftChars="12" w:firstLine="354" w:firstLineChars="147"/>
        <w:contextualSpacing/>
        <w:rPr>
          <w:rFonts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EA8425B">
      <w:pPr>
        <w:pStyle w:val="16"/>
        <w:spacing w:line="360" w:lineRule="auto"/>
        <w:ind w:left="25" w:leftChars="12" w:firstLine="354" w:firstLineChars="147"/>
        <w:contextualSpacing/>
        <w:rPr>
          <w:rFonts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2E3F2333">
      <w:pPr>
        <w:pStyle w:val="16"/>
        <w:spacing w:line="360" w:lineRule="auto"/>
        <w:ind w:left="25" w:leftChars="12" w:firstLine="354" w:firstLineChars="147"/>
        <w:contextualSpacing/>
        <w:rPr>
          <w:rFonts w:hAnsi="宋体"/>
          <w:b/>
          <w:color w:val="auto"/>
          <w:sz w:val="24"/>
          <w:szCs w:val="24"/>
          <w:highlight w:val="none"/>
        </w:rPr>
      </w:pPr>
      <w:r>
        <w:rPr>
          <w:rFonts w:hint="eastAsia" w:hAnsi="宋体"/>
          <w:b/>
          <w:color w:val="auto"/>
          <w:sz w:val="24"/>
          <w:szCs w:val="24"/>
          <w:highlight w:val="none"/>
        </w:rPr>
        <w:t>4.质疑函的质疑请求应与质疑事项相关。</w:t>
      </w:r>
    </w:p>
    <w:p w14:paraId="4ED9201E">
      <w:pPr>
        <w:pStyle w:val="16"/>
        <w:spacing w:line="360" w:lineRule="auto"/>
        <w:ind w:left="25" w:leftChars="12" w:firstLine="354" w:firstLineChars="147"/>
        <w:contextualSpacing/>
        <w:rPr>
          <w:rFonts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332FB807">
      <w:pPr>
        <w:pStyle w:val="16"/>
        <w:snapToGrid w:val="0"/>
        <w:rPr>
          <w:b/>
          <w:color w:val="auto"/>
          <w:sz w:val="24"/>
          <w:szCs w:val="24"/>
          <w:highlight w:val="none"/>
        </w:rPr>
      </w:pPr>
    </w:p>
    <w:p w14:paraId="74EA142A">
      <w:pPr>
        <w:rPr>
          <w:color w:val="auto"/>
          <w:sz w:val="32"/>
          <w:szCs w:val="40"/>
          <w:highlight w:val="none"/>
        </w:rPr>
      </w:pPr>
    </w:p>
    <w:p w14:paraId="5CE1D690">
      <w:pPr>
        <w:rPr>
          <w:color w:val="auto"/>
          <w:sz w:val="32"/>
          <w:szCs w:val="40"/>
          <w:highlight w:val="none"/>
        </w:rPr>
      </w:pPr>
    </w:p>
    <w:p w14:paraId="5D48A724">
      <w:pPr>
        <w:rPr>
          <w:color w:val="auto"/>
          <w:sz w:val="32"/>
          <w:szCs w:val="40"/>
          <w:highlight w:val="none"/>
        </w:rPr>
      </w:pPr>
    </w:p>
    <w:p w14:paraId="0E5275A9">
      <w:pPr>
        <w:rPr>
          <w:color w:val="auto"/>
          <w:sz w:val="32"/>
          <w:szCs w:val="40"/>
          <w:highlight w:val="none"/>
        </w:rPr>
      </w:pPr>
    </w:p>
    <w:p w14:paraId="1962FB0C">
      <w:pPr>
        <w:rPr>
          <w:color w:val="auto"/>
          <w:sz w:val="32"/>
          <w:szCs w:val="40"/>
          <w:highlight w:val="none"/>
        </w:rPr>
      </w:pPr>
    </w:p>
    <w:p w14:paraId="64393CEC">
      <w:pPr>
        <w:rPr>
          <w:color w:val="auto"/>
          <w:sz w:val="32"/>
          <w:szCs w:val="40"/>
          <w:highlight w:val="none"/>
        </w:rPr>
      </w:pPr>
    </w:p>
    <w:p w14:paraId="0EA85148">
      <w:pPr>
        <w:rPr>
          <w:color w:val="auto"/>
          <w:sz w:val="32"/>
          <w:szCs w:val="40"/>
          <w:highlight w:val="none"/>
        </w:rPr>
      </w:pPr>
    </w:p>
    <w:p w14:paraId="740A2B90">
      <w:pPr>
        <w:rPr>
          <w:color w:val="auto"/>
          <w:sz w:val="32"/>
          <w:szCs w:val="40"/>
          <w:highlight w:val="none"/>
        </w:rPr>
      </w:pPr>
    </w:p>
    <w:p w14:paraId="784829BE">
      <w:pPr>
        <w:rPr>
          <w:color w:val="auto"/>
          <w:sz w:val="32"/>
          <w:szCs w:val="40"/>
          <w:highlight w:val="none"/>
        </w:rPr>
      </w:pPr>
    </w:p>
    <w:p w14:paraId="00DAF874">
      <w:pPr>
        <w:rPr>
          <w:color w:val="auto"/>
          <w:sz w:val="32"/>
          <w:szCs w:val="40"/>
          <w:highlight w:val="none"/>
        </w:rPr>
      </w:pPr>
    </w:p>
    <w:p w14:paraId="0074ADB9">
      <w:pPr>
        <w:rPr>
          <w:color w:val="auto"/>
          <w:sz w:val="32"/>
          <w:szCs w:val="40"/>
          <w:highlight w:val="none"/>
        </w:rPr>
      </w:pPr>
    </w:p>
    <w:p w14:paraId="630E8AEC">
      <w:pPr>
        <w:rPr>
          <w:color w:val="auto"/>
          <w:sz w:val="32"/>
          <w:szCs w:val="40"/>
          <w:highlight w:val="none"/>
        </w:rPr>
      </w:pPr>
    </w:p>
    <w:p w14:paraId="741E0A6B">
      <w:pPr>
        <w:rPr>
          <w:color w:val="auto"/>
          <w:sz w:val="32"/>
          <w:szCs w:val="40"/>
          <w:highlight w:val="none"/>
        </w:rPr>
      </w:pPr>
    </w:p>
    <w:p w14:paraId="1788F7DA">
      <w:pPr>
        <w:rPr>
          <w:color w:val="auto"/>
          <w:sz w:val="32"/>
          <w:szCs w:val="40"/>
          <w:highlight w:val="none"/>
        </w:rPr>
      </w:pPr>
    </w:p>
    <w:p w14:paraId="06689BEC">
      <w:pPr>
        <w:rPr>
          <w:color w:val="auto"/>
          <w:sz w:val="32"/>
          <w:szCs w:val="40"/>
          <w:highlight w:val="none"/>
        </w:rPr>
      </w:pPr>
    </w:p>
    <w:p w14:paraId="70446EF2">
      <w:pPr>
        <w:rPr>
          <w:color w:val="auto"/>
          <w:sz w:val="32"/>
          <w:szCs w:val="40"/>
          <w:highlight w:val="none"/>
        </w:rPr>
      </w:pPr>
    </w:p>
    <w:p w14:paraId="38D568F3">
      <w:pPr>
        <w:rPr>
          <w:color w:val="auto"/>
          <w:sz w:val="32"/>
          <w:szCs w:val="40"/>
          <w:highlight w:val="none"/>
        </w:rPr>
      </w:pPr>
    </w:p>
    <w:p w14:paraId="6DF71602">
      <w:pPr>
        <w:spacing w:line="360" w:lineRule="auto"/>
        <w:jc w:val="center"/>
        <w:rPr>
          <w:rFonts w:ascii="宋体" w:hAnsi="宋体" w:cs="宋体"/>
          <w:color w:val="auto"/>
          <w:sz w:val="44"/>
          <w:szCs w:val="44"/>
          <w:highlight w:val="none"/>
        </w:rPr>
      </w:pPr>
      <w:r>
        <w:rPr>
          <w:rFonts w:hint="eastAsia" w:ascii="宋体" w:hAnsi="宋体" w:cs="宋体"/>
          <w:color w:val="auto"/>
          <w:sz w:val="44"/>
          <w:szCs w:val="44"/>
          <w:highlight w:val="none"/>
        </w:rPr>
        <w:t>投诉书（格式）</w:t>
      </w:r>
    </w:p>
    <w:p w14:paraId="5AC3FC78">
      <w:pPr>
        <w:pStyle w:val="16"/>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28EAAD6D">
      <w:pPr>
        <w:pStyle w:val="16"/>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4A24E8C1">
      <w:pPr>
        <w:pStyle w:val="16"/>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6761E64">
      <w:pPr>
        <w:pStyle w:val="16"/>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6244AB2A">
      <w:pPr>
        <w:pStyle w:val="16"/>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34336085">
      <w:pPr>
        <w:pStyle w:val="16"/>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09630A59">
      <w:pPr>
        <w:pStyle w:val="16"/>
        <w:snapToGrid w:val="0"/>
        <w:spacing w:line="360" w:lineRule="auto"/>
        <w:ind w:firstLine="480" w:firstLineChars="200"/>
        <w:rPr>
          <w:rFonts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0DB586BC">
      <w:pPr>
        <w:pStyle w:val="16"/>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9DB07E2">
      <w:pPr>
        <w:pStyle w:val="1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被投诉人1：</w:t>
      </w:r>
    </w:p>
    <w:p w14:paraId="10E2AE4A">
      <w:pPr>
        <w:pStyle w:val="16"/>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7B635F38">
      <w:pPr>
        <w:pStyle w:val="16"/>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E49523F">
      <w:pPr>
        <w:pStyle w:val="16"/>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6EA226D1">
      <w:pPr>
        <w:pStyle w:val="1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被投诉人2：</w:t>
      </w:r>
    </w:p>
    <w:p w14:paraId="1E1F8B45">
      <w:pPr>
        <w:pStyle w:val="16"/>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w:t>
      </w:r>
    </w:p>
    <w:p w14:paraId="3B3E0B7F">
      <w:pPr>
        <w:pStyle w:val="16"/>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039C2953">
      <w:pPr>
        <w:pStyle w:val="16"/>
        <w:snapToGrid w:val="0"/>
        <w:spacing w:line="360" w:lineRule="auto"/>
        <w:ind w:firstLine="480" w:firstLineChars="200"/>
        <w:rPr>
          <w:rFonts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7434FE50">
      <w:pPr>
        <w:pStyle w:val="1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073A917">
      <w:pPr>
        <w:pStyle w:val="16"/>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二、投诉项目基本情况：</w:t>
      </w:r>
    </w:p>
    <w:p w14:paraId="46ACE92E">
      <w:pPr>
        <w:pStyle w:val="16"/>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2A2DF7DC">
      <w:pPr>
        <w:pStyle w:val="16"/>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420C6EC1">
      <w:pPr>
        <w:pStyle w:val="16"/>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7EC82843">
      <w:pPr>
        <w:pStyle w:val="16"/>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338494D7">
      <w:pPr>
        <w:pStyle w:val="16"/>
        <w:spacing w:line="360" w:lineRule="auto"/>
        <w:ind w:left="25" w:leftChars="12" w:firstLine="472" w:firstLineChars="197"/>
        <w:rPr>
          <w:rFonts w:hAnsi="宋体"/>
          <w:bCs/>
          <w:color w:val="auto"/>
          <w:sz w:val="24"/>
          <w:szCs w:val="24"/>
          <w:highlight w:val="none"/>
          <w:u w:val="single"/>
        </w:rPr>
      </w:pPr>
      <w:r>
        <w:rPr>
          <w:rFonts w:hint="eastAsia" w:hAnsi="宋体"/>
          <w:bCs/>
          <w:color w:val="auto"/>
          <w:sz w:val="24"/>
          <w:szCs w:val="24"/>
          <w:highlight w:val="none"/>
        </w:rPr>
        <w:t>采购文件公告：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574B63E0">
      <w:pPr>
        <w:pStyle w:val="16"/>
        <w:spacing w:line="360" w:lineRule="auto"/>
        <w:ind w:left="25" w:leftChars="12" w:firstLine="472" w:firstLineChars="197"/>
        <w:rPr>
          <w:rFonts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04A65208">
      <w:pPr>
        <w:pStyle w:val="16"/>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三、质疑基本情况</w:t>
      </w:r>
    </w:p>
    <w:p w14:paraId="3DB326F5">
      <w:pPr>
        <w:pStyle w:val="16"/>
        <w:spacing w:line="360" w:lineRule="auto"/>
        <w:ind w:firstLine="480" w:firstLineChars="200"/>
        <w:rPr>
          <w:rFonts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244FEDC0">
      <w:pPr>
        <w:pStyle w:val="16"/>
        <w:spacing w:line="360" w:lineRule="auto"/>
        <w:ind w:firstLine="241"/>
        <w:rPr>
          <w:rFonts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1806D7D2">
      <w:pPr>
        <w:pStyle w:val="16"/>
        <w:spacing w:line="360" w:lineRule="auto"/>
        <w:ind w:firstLine="241"/>
        <w:rPr>
          <w:rFonts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57E83D77">
      <w:pPr>
        <w:pStyle w:val="16"/>
        <w:spacing w:line="360" w:lineRule="auto"/>
        <w:ind w:firstLine="480" w:firstLineChars="200"/>
        <w:rPr>
          <w:rFonts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6DE7D689">
      <w:pPr>
        <w:pStyle w:val="16"/>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四、投诉事项具体内容</w:t>
      </w:r>
    </w:p>
    <w:p w14:paraId="59F85A23">
      <w:pPr>
        <w:pStyle w:val="16"/>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17213FBE">
      <w:pPr>
        <w:pStyle w:val="16"/>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05FFD0FC">
      <w:pPr>
        <w:pStyle w:val="16"/>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u w:val="single"/>
        </w:rPr>
        <w:t xml:space="preserve">                                                                                        </w:t>
      </w:r>
    </w:p>
    <w:p w14:paraId="2D472174">
      <w:pPr>
        <w:pStyle w:val="16"/>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02F813CE">
      <w:pPr>
        <w:pStyle w:val="16"/>
        <w:spacing w:line="360" w:lineRule="auto"/>
        <w:ind w:left="25" w:leftChars="12" w:firstLine="352" w:firstLineChars="147"/>
        <w:rPr>
          <w:rFonts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0117BB5B">
      <w:pPr>
        <w:pStyle w:val="16"/>
        <w:spacing w:line="360" w:lineRule="auto"/>
        <w:ind w:left="25" w:leftChars="12" w:firstLine="472" w:firstLineChars="197"/>
        <w:rPr>
          <w:rFonts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3175B998">
      <w:pPr>
        <w:pStyle w:val="16"/>
        <w:spacing w:line="360" w:lineRule="auto"/>
        <w:ind w:left="25" w:leftChars="12" w:firstLine="472" w:firstLineChars="197"/>
        <w:rPr>
          <w:rFonts w:hAnsi="宋体"/>
          <w:bCs/>
          <w:color w:val="auto"/>
          <w:sz w:val="24"/>
          <w:szCs w:val="24"/>
          <w:highlight w:val="none"/>
        </w:rPr>
      </w:pPr>
      <w:r>
        <w:rPr>
          <w:rFonts w:hAnsi="宋体"/>
          <w:bCs/>
          <w:color w:val="auto"/>
          <w:sz w:val="24"/>
          <w:szCs w:val="24"/>
          <w:highlight w:val="none"/>
        </w:rPr>
        <w:t>……</w:t>
      </w:r>
    </w:p>
    <w:p w14:paraId="2E46035F">
      <w:pPr>
        <w:pStyle w:val="16"/>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五、与投诉事项相关的投诉请求：</w:t>
      </w:r>
    </w:p>
    <w:p w14:paraId="065A0C0E">
      <w:pPr>
        <w:pStyle w:val="16"/>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05515C6B">
      <w:pPr>
        <w:pStyle w:val="16"/>
        <w:spacing w:line="360" w:lineRule="auto"/>
        <w:ind w:left="25" w:leftChars="12" w:firstLine="352" w:firstLineChars="147"/>
        <w:rPr>
          <w:rFonts w:hAnsi="宋体"/>
          <w:color w:val="auto"/>
          <w:sz w:val="24"/>
          <w:szCs w:val="24"/>
          <w:highlight w:val="none"/>
        </w:rPr>
      </w:pPr>
    </w:p>
    <w:p w14:paraId="1CF577CA">
      <w:pPr>
        <w:pStyle w:val="16"/>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签字（签章）：                                       公章：</w:t>
      </w:r>
    </w:p>
    <w:p w14:paraId="6BD612AC">
      <w:pPr>
        <w:pStyle w:val="16"/>
        <w:spacing w:line="360" w:lineRule="auto"/>
        <w:ind w:left="25" w:leftChars="12" w:firstLine="352" w:firstLineChars="147"/>
        <w:rPr>
          <w:rFonts w:hAnsi="宋体"/>
          <w:color w:val="auto"/>
          <w:sz w:val="24"/>
          <w:szCs w:val="24"/>
          <w:highlight w:val="none"/>
        </w:rPr>
      </w:pPr>
    </w:p>
    <w:p w14:paraId="7805440B">
      <w:pPr>
        <w:pStyle w:val="16"/>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日期：</w:t>
      </w:r>
    </w:p>
    <w:p w14:paraId="6C4C3877">
      <w:pPr>
        <w:pStyle w:val="16"/>
        <w:spacing w:line="360" w:lineRule="auto"/>
        <w:ind w:left="25" w:leftChars="12" w:firstLine="472" w:firstLineChars="197"/>
        <w:rPr>
          <w:rFonts w:hAnsi="宋体"/>
          <w:b/>
          <w:color w:val="auto"/>
          <w:sz w:val="24"/>
          <w:szCs w:val="24"/>
          <w:highlight w:val="none"/>
        </w:rPr>
      </w:pPr>
      <w:r>
        <w:rPr>
          <w:rFonts w:hint="eastAsia" w:hAnsi="宋体"/>
          <w:bCs/>
          <w:color w:val="auto"/>
          <w:sz w:val="24"/>
          <w:szCs w:val="24"/>
          <w:highlight w:val="none"/>
        </w:rPr>
        <w:t xml:space="preserve">                                                                                 </w:t>
      </w:r>
    </w:p>
    <w:p w14:paraId="6025C1C5">
      <w:pPr>
        <w:pStyle w:val="16"/>
        <w:snapToGrid w:val="0"/>
        <w:spacing w:line="360" w:lineRule="auto"/>
        <w:rPr>
          <w:rFonts w:hAnsi="宋体"/>
          <w:b/>
          <w:color w:val="auto"/>
          <w:sz w:val="24"/>
          <w:szCs w:val="24"/>
          <w:highlight w:val="none"/>
        </w:rPr>
      </w:pPr>
      <w:r>
        <w:rPr>
          <w:rFonts w:hint="eastAsia" w:hAnsi="宋体"/>
          <w:b/>
          <w:color w:val="auto"/>
          <w:sz w:val="24"/>
          <w:szCs w:val="24"/>
          <w:highlight w:val="none"/>
        </w:rPr>
        <w:t>说明：</w:t>
      </w:r>
    </w:p>
    <w:p w14:paraId="25E7DFAE">
      <w:pPr>
        <w:pStyle w:val="16"/>
        <w:spacing w:line="360" w:lineRule="auto"/>
        <w:ind w:left="25" w:leftChars="12" w:firstLine="354" w:firstLineChars="147"/>
        <w:rPr>
          <w:rFonts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7C3736EE">
      <w:pPr>
        <w:pStyle w:val="16"/>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C050978">
      <w:pPr>
        <w:pStyle w:val="16"/>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39756265">
      <w:pPr>
        <w:pStyle w:val="16"/>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6723D112">
      <w:pPr>
        <w:pStyle w:val="16"/>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5.投诉书的投诉请求应与投诉事项相关。</w:t>
      </w:r>
    </w:p>
    <w:p w14:paraId="3C1EF2E5">
      <w:pPr>
        <w:pStyle w:val="16"/>
        <w:spacing w:line="360" w:lineRule="auto"/>
        <w:ind w:left="25" w:leftChars="12" w:firstLine="354" w:firstLineChars="147"/>
        <w:rPr>
          <w:rFonts w:hAnsi="宋体"/>
          <w:b/>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p w14:paraId="1817AE4C">
      <w:pPr>
        <w:pStyle w:val="2"/>
        <w:jc w:val="center"/>
        <w:rPr>
          <w:color w:val="auto"/>
          <w:highlight w:val="none"/>
        </w:rPr>
      </w:pPr>
      <w:bookmarkStart w:id="202" w:name="_Toc74323461"/>
      <w:r>
        <w:rPr>
          <w:rFonts w:hint="eastAsia"/>
          <w:color w:val="auto"/>
          <w:highlight w:val="none"/>
        </w:rPr>
        <w:t>第六章 合同文本</w:t>
      </w:r>
      <w:bookmarkEnd w:id="202"/>
    </w:p>
    <w:p w14:paraId="614A128F">
      <w:pPr>
        <w:wordWrap w:val="0"/>
        <w:snapToGrid w:val="0"/>
        <w:spacing w:line="360" w:lineRule="auto"/>
        <w:jc w:val="left"/>
        <w:outlineLvl w:val="2"/>
        <w:rPr>
          <w:rFonts w:ascii="宋体" w:hAnsi="宋体" w:cs="宋体"/>
          <w:b/>
          <w:bCs/>
          <w:color w:val="auto"/>
          <w:sz w:val="36"/>
          <w:szCs w:val="36"/>
          <w:highlight w:val="none"/>
        </w:rPr>
      </w:pPr>
      <w:r>
        <w:rPr>
          <w:rFonts w:hint="eastAsia" w:ascii="宋体" w:hAnsi="宋体" w:cs="宋体"/>
          <w:b/>
          <w:bCs/>
          <w:color w:val="auto"/>
          <w:sz w:val="36"/>
          <w:szCs w:val="36"/>
          <w:highlight w:val="none"/>
        </w:rPr>
        <w:br w:type="page"/>
      </w:r>
      <w:r>
        <w:rPr>
          <w:rFonts w:hint="eastAsia" w:ascii="宋体" w:hAnsi="宋体" w:cs="宋体"/>
          <w:b/>
          <w:bCs/>
          <w:color w:val="auto"/>
          <w:sz w:val="36"/>
          <w:szCs w:val="36"/>
          <w:highlight w:val="none"/>
        </w:rPr>
        <w:t>“采购云”平台合同编号：</w:t>
      </w:r>
    </w:p>
    <w:p w14:paraId="70C66E8B">
      <w:pPr>
        <w:wordWrap w:val="0"/>
        <w:snapToGrid w:val="0"/>
        <w:spacing w:line="360" w:lineRule="auto"/>
        <w:jc w:val="center"/>
        <w:outlineLvl w:val="2"/>
        <w:rPr>
          <w:rFonts w:ascii="宋体" w:hAnsi="宋体" w:cs="宋体"/>
          <w:b/>
          <w:bCs/>
          <w:color w:val="auto"/>
          <w:sz w:val="36"/>
          <w:szCs w:val="36"/>
          <w:highlight w:val="none"/>
        </w:rPr>
      </w:pPr>
    </w:p>
    <w:p w14:paraId="5833411D">
      <w:pPr>
        <w:wordWrap w:val="0"/>
        <w:snapToGrid w:val="0"/>
        <w:spacing w:line="360" w:lineRule="auto"/>
        <w:jc w:val="center"/>
        <w:outlineLvl w:val="2"/>
        <w:rPr>
          <w:rFonts w:ascii="宋体" w:hAnsi="宋体" w:cs="宋体"/>
          <w:b/>
          <w:bCs/>
          <w:color w:val="auto"/>
          <w:sz w:val="36"/>
          <w:szCs w:val="36"/>
          <w:highlight w:val="none"/>
        </w:rPr>
      </w:pPr>
      <w:r>
        <w:rPr>
          <w:rFonts w:hint="eastAsia" w:ascii="宋体" w:hAnsi="宋体" w:cs="宋体"/>
          <w:b/>
          <w:bCs/>
          <w:color w:val="auto"/>
          <w:sz w:val="36"/>
          <w:szCs w:val="36"/>
          <w:highlight w:val="none"/>
        </w:rPr>
        <w:t>广西壮族自治区政府采购合同</w:t>
      </w:r>
    </w:p>
    <w:p w14:paraId="7EBAF11E">
      <w:pPr>
        <w:wordWrap w:val="0"/>
        <w:snapToGrid w:val="0"/>
        <w:spacing w:line="360" w:lineRule="auto"/>
        <w:jc w:val="center"/>
        <w:outlineLvl w:val="2"/>
        <w:rPr>
          <w:rFonts w:ascii="宋体" w:hAnsi="宋体" w:cs="宋体"/>
          <w:b/>
          <w:bCs/>
          <w:color w:val="auto"/>
          <w:sz w:val="36"/>
          <w:szCs w:val="36"/>
          <w:highlight w:val="none"/>
        </w:rPr>
      </w:pPr>
    </w:p>
    <w:p w14:paraId="50504B42">
      <w:pPr>
        <w:wordWrap w:val="0"/>
        <w:snapToGrid w:val="0"/>
        <w:spacing w:line="360" w:lineRule="auto"/>
        <w:jc w:val="center"/>
        <w:outlineLvl w:val="2"/>
        <w:rPr>
          <w:rFonts w:ascii="宋体" w:hAnsi="宋体" w:cs="宋体"/>
          <w:b/>
          <w:bCs/>
          <w:color w:val="auto"/>
          <w:sz w:val="36"/>
          <w:szCs w:val="36"/>
          <w:highlight w:val="none"/>
        </w:rPr>
      </w:pPr>
    </w:p>
    <w:p w14:paraId="79D042B6">
      <w:pPr>
        <w:wordWrap w:val="0"/>
        <w:snapToGrid w:val="0"/>
        <w:spacing w:line="360" w:lineRule="auto"/>
        <w:jc w:val="center"/>
        <w:outlineLvl w:val="2"/>
        <w:rPr>
          <w:rFonts w:ascii="宋体" w:hAnsi="宋体" w:cs="宋体"/>
          <w:b/>
          <w:bCs/>
          <w:color w:val="auto"/>
          <w:sz w:val="36"/>
          <w:szCs w:val="36"/>
          <w:highlight w:val="none"/>
        </w:rPr>
      </w:pPr>
    </w:p>
    <w:p w14:paraId="04731C7A">
      <w:pPr>
        <w:wordWrap w:val="0"/>
        <w:snapToGrid w:val="0"/>
        <w:spacing w:line="360" w:lineRule="auto"/>
        <w:jc w:val="center"/>
        <w:outlineLvl w:val="2"/>
        <w:rPr>
          <w:rFonts w:ascii="宋体" w:hAnsi="宋体" w:cs="宋体"/>
          <w:b/>
          <w:bCs/>
          <w:color w:val="auto"/>
          <w:sz w:val="36"/>
          <w:szCs w:val="36"/>
          <w:highlight w:val="none"/>
        </w:rPr>
      </w:pPr>
    </w:p>
    <w:p w14:paraId="51872B88">
      <w:pPr>
        <w:wordWrap w:val="0"/>
        <w:snapToGrid w:val="0"/>
        <w:spacing w:line="360" w:lineRule="auto"/>
        <w:ind w:firstLine="1084" w:firstLineChars="300"/>
        <w:outlineLvl w:val="2"/>
        <w:rPr>
          <w:rFonts w:ascii="宋体" w:hAnsi="宋体" w:cs="宋体"/>
          <w:b/>
          <w:bCs/>
          <w:color w:val="auto"/>
          <w:sz w:val="36"/>
          <w:szCs w:val="36"/>
          <w:highlight w:val="none"/>
          <w:u w:val="single"/>
        </w:rPr>
      </w:pPr>
      <w:r>
        <w:rPr>
          <w:rFonts w:hint="eastAsia" w:ascii="宋体" w:hAnsi="宋体" w:cs="宋体"/>
          <w:b/>
          <w:bCs/>
          <w:color w:val="auto"/>
          <w:sz w:val="36"/>
          <w:szCs w:val="36"/>
          <w:highlight w:val="none"/>
        </w:rPr>
        <w:t>项目名称：</w:t>
      </w:r>
      <w:r>
        <w:rPr>
          <w:rFonts w:hint="eastAsia" w:ascii="宋体" w:hAnsi="宋体" w:cs="宋体"/>
          <w:b/>
          <w:bCs/>
          <w:color w:val="auto"/>
          <w:sz w:val="36"/>
          <w:szCs w:val="36"/>
          <w:highlight w:val="none"/>
          <w:u w:val="single"/>
        </w:rPr>
        <w:t xml:space="preserve">                          </w:t>
      </w:r>
    </w:p>
    <w:p w14:paraId="5CBC5EC2">
      <w:pPr>
        <w:wordWrap w:val="0"/>
        <w:snapToGrid w:val="0"/>
        <w:spacing w:line="360" w:lineRule="auto"/>
        <w:ind w:firstLine="1084" w:firstLineChars="300"/>
        <w:outlineLvl w:val="2"/>
        <w:rPr>
          <w:rFonts w:ascii="宋体" w:hAnsi="宋体" w:cs="宋体"/>
          <w:b/>
          <w:bCs/>
          <w:color w:val="auto"/>
          <w:sz w:val="36"/>
          <w:szCs w:val="36"/>
          <w:highlight w:val="none"/>
        </w:rPr>
      </w:pPr>
      <w:r>
        <w:rPr>
          <w:rFonts w:hint="eastAsia" w:ascii="宋体" w:hAnsi="宋体" w:cs="宋体"/>
          <w:b/>
          <w:bCs/>
          <w:color w:val="auto"/>
          <w:sz w:val="36"/>
          <w:szCs w:val="36"/>
          <w:highlight w:val="none"/>
        </w:rPr>
        <w:t>项目编号：</w:t>
      </w:r>
      <w:r>
        <w:rPr>
          <w:rFonts w:hint="eastAsia" w:ascii="宋体" w:hAnsi="宋体" w:cs="宋体"/>
          <w:b/>
          <w:bCs/>
          <w:color w:val="auto"/>
          <w:sz w:val="36"/>
          <w:szCs w:val="36"/>
          <w:highlight w:val="none"/>
          <w:u w:val="single"/>
        </w:rPr>
        <w:t xml:space="preserve">                          </w:t>
      </w:r>
    </w:p>
    <w:p w14:paraId="14B606C0">
      <w:pPr>
        <w:wordWrap w:val="0"/>
        <w:snapToGrid w:val="0"/>
        <w:spacing w:line="360" w:lineRule="auto"/>
        <w:ind w:firstLine="1084" w:firstLineChars="300"/>
        <w:outlineLvl w:val="2"/>
        <w:rPr>
          <w:rFonts w:ascii="宋体" w:hAnsi="宋体" w:cs="宋体"/>
          <w:b/>
          <w:bCs/>
          <w:color w:val="auto"/>
          <w:sz w:val="36"/>
          <w:szCs w:val="36"/>
          <w:highlight w:val="none"/>
        </w:rPr>
      </w:pPr>
      <w:r>
        <w:rPr>
          <w:rFonts w:hint="eastAsia" w:ascii="宋体" w:hAnsi="宋体" w:cs="宋体"/>
          <w:b/>
          <w:bCs/>
          <w:color w:val="auto"/>
          <w:sz w:val="36"/>
          <w:szCs w:val="36"/>
          <w:highlight w:val="none"/>
        </w:rPr>
        <w:t>采购计划编号：</w:t>
      </w:r>
      <w:r>
        <w:rPr>
          <w:rFonts w:hint="eastAsia" w:ascii="宋体" w:hAnsi="宋体" w:cs="宋体"/>
          <w:b/>
          <w:bCs/>
          <w:color w:val="auto"/>
          <w:sz w:val="36"/>
          <w:szCs w:val="36"/>
          <w:highlight w:val="none"/>
          <w:u w:val="single"/>
        </w:rPr>
        <w:t xml:space="preserve">                      </w:t>
      </w:r>
    </w:p>
    <w:p w14:paraId="73B27B2D">
      <w:pPr>
        <w:wordWrap w:val="0"/>
        <w:snapToGrid w:val="0"/>
        <w:spacing w:line="360" w:lineRule="auto"/>
        <w:jc w:val="center"/>
        <w:outlineLvl w:val="2"/>
        <w:rPr>
          <w:rFonts w:ascii="宋体" w:hAnsi="宋体" w:cs="宋体"/>
          <w:b/>
          <w:bCs/>
          <w:color w:val="auto"/>
          <w:sz w:val="36"/>
          <w:szCs w:val="36"/>
          <w:highlight w:val="none"/>
        </w:rPr>
      </w:pPr>
    </w:p>
    <w:p w14:paraId="375F5338">
      <w:pPr>
        <w:wordWrap w:val="0"/>
        <w:snapToGrid w:val="0"/>
        <w:spacing w:line="360" w:lineRule="auto"/>
        <w:jc w:val="center"/>
        <w:outlineLvl w:val="2"/>
        <w:rPr>
          <w:rFonts w:ascii="宋体" w:hAnsi="宋体" w:cs="宋体"/>
          <w:b/>
          <w:bCs/>
          <w:color w:val="auto"/>
          <w:sz w:val="36"/>
          <w:szCs w:val="36"/>
          <w:highlight w:val="none"/>
        </w:rPr>
      </w:pPr>
    </w:p>
    <w:p w14:paraId="6C3F02AB">
      <w:pPr>
        <w:wordWrap w:val="0"/>
        <w:snapToGrid w:val="0"/>
        <w:spacing w:line="360" w:lineRule="auto"/>
        <w:jc w:val="center"/>
        <w:outlineLvl w:val="2"/>
        <w:rPr>
          <w:rFonts w:ascii="宋体" w:hAnsi="宋体" w:cs="宋体"/>
          <w:b/>
          <w:bCs/>
          <w:color w:val="auto"/>
          <w:sz w:val="36"/>
          <w:szCs w:val="36"/>
          <w:highlight w:val="none"/>
        </w:rPr>
      </w:pPr>
    </w:p>
    <w:p w14:paraId="0CBCCE3A">
      <w:pPr>
        <w:wordWrap w:val="0"/>
        <w:snapToGrid w:val="0"/>
        <w:spacing w:line="360" w:lineRule="auto"/>
        <w:jc w:val="center"/>
        <w:outlineLvl w:val="2"/>
        <w:rPr>
          <w:rFonts w:ascii="宋体" w:hAnsi="宋体" w:cs="宋体"/>
          <w:b/>
          <w:bCs/>
          <w:color w:val="auto"/>
          <w:sz w:val="36"/>
          <w:szCs w:val="36"/>
          <w:highlight w:val="none"/>
        </w:rPr>
      </w:pPr>
    </w:p>
    <w:p w14:paraId="753BE676">
      <w:pPr>
        <w:wordWrap w:val="0"/>
        <w:snapToGrid w:val="0"/>
        <w:spacing w:line="360" w:lineRule="auto"/>
        <w:jc w:val="center"/>
        <w:outlineLvl w:val="2"/>
        <w:rPr>
          <w:rFonts w:ascii="宋体" w:hAnsi="宋体" w:cs="宋体"/>
          <w:b/>
          <w:bCs/>
          <w:color w:val="auto"/>
          <w:sz w:val="36"/>
          <w:szCs w:val="36"/>
          <w:highlight w:val="none"/>
        </w:rPr>
      </w:pPr>
    </w:p>
    <w:p w14:paraId="4D35D371">
      <w:pPr>
        <w:wordWrap w:val="0"/>
        <w:snapToGrid w:val="0"/>
        <w:spacing w:line="360" w:lineRule="auto"/>
        <w:ind w:firstLine="1084" w:firstLineChars="300"/>
        <w:outlineLvl w:val="2"/>
        <w:rPr>
          <w:rFonts w:ascii="宋体" w:hAnsi="宋体" w:cs="宋体"/>
          <w:b/>
          <w:bCs/>
          <w:color w:val="auto"/>
          <w:sz w:val="36"/>
          <w:szCs w:val="36"/>
          <w:highlight w:val="none"/>
        </w:rPr>
      </w:pPr>
      <w:r>
        <w:rPr>
          <w:rFonts w:hint="eastAsia" w:ascii="宋体" w:hAnsi="宋体" w:cs="宋体"/>
          <w:b/>
          <w:bCs/>
          <w:color w:val="auto"/>
          <w:sz w:val="36"/>
          <w:szCs w:val="36"/>
          <w:highlight w:val="none"/>
        </w:rPr>
        <w:t>采购人：</w:t>
      </w:r>
      <w:r>
        <w:rPr>
          <w:rFonts w:hint="eastAsia" w:ascii="宋体" w:hAnsi="宋体" w:cs="宋体"/>
          <w:b/>
          <w:bCs/>
          <w:color w:val="auto"/>
          <w:sz w:val="36"/>
          <w:szCs w:val="36"/>
          <w:highlight w:val="none"/>
          <w:u w:val="single"/>
        </w:rPr>
        <w:t xml:space="preserve">                              </w:t>
      </w:r>
      <w:r>
        <w:rPr>
          <w:rFonts w:hint="eastAsia" w:ascii="宋体" w:hAnsi="宋体" w:cs="宋体"/>
          <w:b/>
          <w:bCs/>
          <w:color w:val="auto"/>
          <w:sz w:val="36"/>
          <w:szCs w:val="36"/>
          <w:highlight w:val="none"/>
        </w:rPr>
        <w:t xml:space="preserve"> </w:t>
      </w:r>
    </w:p>
    <w:p w14:paraId="04D4D571">
      <w:pPr>
        <w:wordWrap w:val="0"/>
        <w:snapToGrid w:val="0"/>
        <w:spacing w:line="360" w:lineRule="auto"/>
        <w:ind w:firstLine="1084" w:firstLineChars="300"/>
        <w:outlineLvl w:val="2"/>
        <w:rPr>
          <w:rFonts w:ascii="宋体" w:hAnsi="宋体" w:cs="宋体"/>
          <w:b/>
          <w:bCs/>
          <w:color w:val="auto"/>
          <w:sz w:val="36"/>
          <w:szCs w:val="36"/>
          <w:highlight w:val="none"/>
        </w:rPr>
      </w:pPr>
      <w:r>
        <w:rPr>
          <w:rFonts w:hint="eastAsia" w:ascii="宋体" w:hAnsi="宋体" w:cs="宋体"/>
          <w:b/>
          <w:bCs/>
          <w:color w:val="auto"/>
          <w:sz w:val="36"/>
          <w:szCs w:val="36"/>
          <w:highlight w:val="none"/>
        </w:rPr>
        <w:t>成交供应商：</w:t>
      </w:r>
      <w:r>
        <w:rPr>
          <w:rFonts w:hint="eastAsia" w:ascii="宋体" w:hAnsi="宋体" w:cs="宋体"/>
          <w:b/>
          <w:bCs/>
          <w:color w:val="auto"/>
          <w:sz w:val="36"/>
          <w:szCs w:val="36"/>
          <w:highlight w:val="none"/>
          <w:u w:val="single"/>
        </w:rPr>
        <w:t xml:space="preserve">                          </w:t>
      </w:r>
    </w:p>
    <w:p w14:paraId="7590CF09">
      <w:pPr>
        <w:wordWrap w:val="0"/>
        <w:snapToGrid w:val="0"/>
        <w:spacing w:line="360" w:lineRule="auto"/>
        <w:jc w:val="center"/>
        <w:outlineLvl w:val="2"/>
        <w:rPr>
          <w:rFonts w:ascii="宋体" w:hAnsi="宋体" w:cs="宋体"/>
          <w:b/>
          <w:bCs/>
          <w:color w:val="auto"/>
          <w:sz w:val="36"/>
          <w:szCs w:val="36"/>
          <w:highlight w:val="none"/>
        </w:rPr>
      </w:pPr>
    </w:p>
    <w:p w14:paraId="3703F6CD">
      <w:pPr>
        <w:wordWrap w:val="0"/>
        <w:snapToGrid w:val="0"/>
        <w:spacing w:line="360" w:lineRule="auto"/>
        <w:jc w:val="center"/>
        <w:outlineLvl w:val="2"/>
        <w:rPr>
          <w:rFonts w:ascii="宋体" w:hAnsi="宋体" w:cs="宋体"/>
          <w:b/>
          <w:bCs/>
          <w:color w:val="auto"/>
          <w:sz w:val="36"/>
          <w:szCs w:val="36"/>
          <w:highlight w:val="none"/>
          <w:lang w:val="zh-CN"/>
        </w:rPr>
      </w:pPr>
      <w:r>
        <w:rPr>
          <w:rFonts w:hint="eastAsia" w:ascii="宋体" w:hAnsi="宋体" w:cs="宋体"/>
          <w:b/>
          <w:bCs/>
          <w:color w:val="auto"/>
          <w:sz w:val="36"/>
          <w:szCs w:val="36"/>
          <w:highlight w:val="none"/>
          <w:lang w:val="zh-CN"/>
        </w:rPr>
        <w:t>签订时间：</w:t>
      </w:r>
      <w:r>
        <w:rPr>
          <w:rFonts w:hint="eastAsia" w:ascii="宋体" w:hAnsi="宋体" w:cs="宋体"/>
          <w:b/>
          <w:bCs/>
          <w:color w:val="auto"/>
          <w:sz w:val="36"/>
          <w:szCs w:val="36"/>
          <w:highlight w:val="none"/>
        </w:rPr>
        <w:t>2025</w:t>
      </w:r>
      <w:r>
        <w:rPr>
          <w:rFonts w:hint="eastAsia" w:ascii="宋体" w:hAnsi="宋体" w:cs="宋体"/>
          <w:b/>
          <w:bCs/>
          <w:color w:val="auto"/>
          <w:sz w:val="36"/>
          <w:szCs w:val="36"/>
          <w:highlight w:val="none"/>
          <w:lang w:val="zh-CN"/>
        </w:rPr>
        <w:t>年    月    日</w:t>
      </w:r>
    </w:p>
    <w:p w14:paraId="1F9E1F61">
      <w:pPr>
        <w:wordWrap w:val="0"/>
        <w:snapToGrid w:val="0"/>
        <w:spacing w:line="360" w:lineRule="auto"/>
        <w:jc w:val="center"/>
        <w:outlineLvl w:val="2"/>
        <w:rPr>
          <w:rFonts w:ascii="宋体" w:hAnsi="宋体" w:cs="宋体"/>
          <w:b/>
          <w:bCs/>
          <w:color w:val="auto"/>
          <w:szCs w:val="21"/>
          <w:highlight w:val="none"/>
        </w:rPr>
      </w:pPr>
    </w:p>
    <w:p w14:paraId="2270E4C7">
      <w:pPr>
        <w:wordWrap w:val="0"/>
        <w:snapToGrid w:val="0"/>
        <w:spacing w:line="360" w:lineRule="auto"/>
        <w:jc w:val="center"/>
        <w:outlineLvl w:val="2"/>
        <w:rPr>
          <w:rFonts w:ascii="宋体" w:hAnsi="宋体" w:cs="宋体"/>
          <w:b/>
          <w:bCs/>
          <w:color w:val="auto"/>
          <w:szCs w:val="21"/>
          <w:highlight w:val="none"/>
        </w:rPr>
      </w:pPr>
    </w:p>
    <w:p w14:paraId="37D179D8">
      <w:pPr>
        <w:wordWrap w:val="0"/>
        <w:snapToGrid w:val="0"/>
        <w:spacing w:line="360" w:lineRule="auto"/>
        <w:jc w:val="center"/>
        <w:outlineLvl w:val="2"/>
        <w:rPr>
          <w:rFonts w:ascii="宋体" w:hAnsi="宋体" w:cs="宋体"/>
          <w:b/>
          <w:bCs/>
          <w:color w:val="auto"/>
          <w:szCs w:val="21"/>
          <w:highlight w:val="none"/>
        </w:rPr>
      </w:pPr>
      <w:r>
        <w:rPr>
          <w:rFonts w:hint="eastAsia" w:ascii="宋体" w:hAnsi="宋体" w:cs="宋体"/>
          <w:b/>
          <w:bCs/>
          <w:color w:val="auto"/>
          <w:szCs w:val="21"/>
          <w:highlight w:val="none"/>
        </w:rPr>
        <w:t>合同目录</w:t>
      </w:r>
    </w:p>
    <w:p w14:paraId="4BB650A8">
      <w:pPr>
        <w:wordWrap w:val="0"/>
        <w:snapToGrid w:val="0"/>
        <w:spacing w:line="360" w:lineRule="auto"/>
        <w:jc w:val="center"/>
        <w:outlineLvl w:val="2"/>
        <w:rPr>
          <w:rFonts w:ascii="宋体" w:hAnsi="宋体" w:cs="宋体"/>
          <w:b/>
          <w:bCs/>
          <w:color w:val="auto"/>
          <w:szCs w:val="21"/>
          <w:highlight w:val="none"/>
        </w:rPr>
      </w:pPr>
    </w:p>
    <w:p w14:paraId="2D8C6EE4">
      <w:pPr>
        <w:wordWrap w:val="0"/>
        <w:snapToGrid w:val="0"/>
        <w:spacing w:line="360" w:lineRule="auto"/>
        <w:jc w:val="center"/>
        <w:outlineLvl w:val="2"/>
        <w:rPr>
          <w:rFonts w:ascii="宋体" w:hAnsi="宋体" w:cs="宋体"/>
          <w:b/>
          <w:bCs/>
          <w:color w:val="auto"/>
          <w:szCs w:val="21"/>
          <w:highlight w:val="none"/>
        </w:rPr>
      </w:pPr>
      <w:r>
        <w:rPr>
          <w:rFonts w:hint="eastAsia" w:ascii="宋体" w:hAnsi="宋体" w:cs="宋体"/>
          <w:b/>
          <w:bCs/>
          <w:color w:val="auto"/>
          <w:szCs w:val="21"/>
          <w:highlight w:val="none"/>
        </w:rPr>
        <w:t>一、第一部分 合同书……………………………………………………………（页码）</w:t>
      </w:r>
    </w:p>
    <w:p w14:paraId="5CBF187C">
      <w:pPr>
        <w:wordWrap w:val="0"/>
        <w:snapToGrid w:val="0"/>
        <w:spacing w:line="360" w:lineRule="auto"/>
        <w:jc w:val="center"/>
        <w:outlineLvl w:val="2"/>
        <w:rPr>
          <w:rFonts w:ascii="宋体" w:hAnsi="宋体" w:cs="宋体"/>
          <w:b/>
          <w:bCs/>
          <w:color w:val="auto"/>
          <w:szCs w:val="21"/>
          <w:highlight w:val="none"/>
        </w:rPr>
      </w:pPr>
      <w:r>
        <w:rPr>
          <w:rFonts w:hint="eastAsia" w:ascii="宋体" w:hAnsi="宋体" w:cs="宋体"/>
          <w:b/>
          <w:bCs/>
          <w:color w:val="auto"/>
          <w:szCs w:val="21"/>
          <w:highlight w:val="none"/>
        </w:rPr>
        <w:t>二、第二部分 合同附件…………………………………………………………（页码）</w:t>
      </w:r>
    </w:p>
    <w:p w14:paraId="6F01A851">
      <w:pPr>
        <w:wordWrap w:val="0"/>
        <w:snapToGrid w:val="0"/>
        <w:spacing w:line="360" w:lineRule="auto"/>
        <w:jc w:val="center"/>
        <w:outlineLvl w:val="2"/>
        <w:rPr>
          <w:rFonts w:ascii="宋体" w:hAnsi="宋体" w:cs="宋体"/>
          <w:b/>
          <w:bCs/>
          <w:color w:val="auto"/>
          <w:szCs w:val="21"/>
          <w:highlight w:val="none"/>
        </w:rPr>
      </w:pPr>
      <w:r>
        <w:rPr>
          <w:rFonts w:hint="eastAsia" w:ascii="宋体" w:hAnsi="宋体" w:cs="宋体"/>
          <w:b/>
          <w:bCs/>
          <w:color w:val="auto"/>
          <w:szCs w:val="21"/>
          <w:highlight w:val="none"/>
        </w:rPr>
        <w:t>2.1成交通知书 …………………………………………………………………（页码）</w:t>
      </w:r>
    </w:p>
    <w:p w14:paraId="59E6CC46">
      <w:pPr>
        <w:wordWrap w:val="0"/>
        <w:snapToGrid w:val="0"/>
        <w:spacing w:line="360" w:lineRule="auto"/>
        <w:jc w:val="center"/>
        <w:outlineLvl w:val="2"/>
        <w:rPr>
          <w:rFonts w:ascii="宋体" w:hAnsi="宋体" w:cs="宋体"/>
          <w:b/>
          <w:bCs/>
          <w:color w:val="auto"/>
          <w:szCs w:val="21"/>
          <w:highlight w:val="none"/>
        </w:rPr>
      </w:pPr>
      <w:r>
        <w:rPr>
          <w:rFonts w:hint="eastAsia" w:ascii="宋体" w:hAnsi="宋体" w:cs="宋体"/>
          <w:b/>
          <w:bCs/>
          <w:color w:val="auto"/>
          <w:szCs w:val="21"/>
          <w:highlight w:val="none"/>
        </w:rPr>
        <w:t>2.2竞标报价表 …………………………………………………………………（页码）</w:t>
      </w:r>
    </w:p>
    <w:p w14:paraId="11473B79">
      <w:pPr>
        <w:wordWrap w:val="0"/>
        <w:snapToGrid w:val="0"/>
        <w:spacing w:line="360" w:lineRule="auto"/>
        <w:jc w:val="center"/>
        <w:outlineLvl w:val="2"/>
        <w:rPr>
          <w:rFonts w:ascii="宋体" w:hAnsi="宋体" w:cs="宋体"/>
          <w:b/>
          <w:bCs/>
          <w:color w:val="auto"/>
          <w:szCs w:val="21"/>
          <w:highlight w:val="none"/>
        </w:rPr>
      </w:pPr>
      <w:r>
        <w:rPr>
          <w:rFonts w:hint="eastAsia" w:ascii="宋体" w:hAnsi="宋体" w:cs="宋体"/>
          <w:b/>
          <w:bCs/>
          <w:color w:val="auto"/>
          <w:szCs w:val="21"/>
          <w:highlight w:val="none"/>
        </w:rPr>
        <w:t>2.3商务条款偏离表及服务需求偏离表 ………………………………………（页码）</w:t>
      </w:r>
    </w:p>
    <w:p w14:paraId="42225579">
      <w:pPr>
        <w:wordWrap w:val="0"/>
        <w:snapToGrid w:val="0"/>
        <w:spacing w:line="360" w:lineRule="auto"/>
        <w:jc w:val="center"/>
        <w:outlineLvl w:val="2"/>
        <w:rPr>
          <w:rFonts w:ascii="宋体" w:hAnsi="宋体" w:cs="宋体"/>
          <w:b/>
          <w:bCs/>
          <w:color w:val="auto"/>
          <w:szCs w:val="21"/>
          <w:highlight w:val="none"/>
        </w:rPr>
      </w:pPr>
      <w:r>
        <w:rPr>
          <w:rFonts w:hint="eastAsia" w:ascii="宋体" w:hAnsi="宋体" w:cs="宋体"/>
          <w:b/>
          <w:bCs/>
          <w:color w:val="auto"/>
          <w:szCs w:val="21"/>
          <w:highlight w:val="none"/>
        </w:rPr>
        <w:t>2.4项目实施方案………………………………………………………………（页码）</w:t>
      </w:r>
    </w:p>
    <w:p w14:paraId="0A55B5C7">
      <w:pPr>
        <w:wordWrap w:val="0"/>
        <w:snapToGrid w:val="0"/>
        <w:spacing w:line="360" w:lineRule="auto"/>
        <w:jc w:val="center"/>
        <w:outlineLvl w:val="2"/>
        <w:rPr>
          <w:rFonts w:ascii="宋体" w:hAnsi="宋体" w:cs="宋体"/>
          <w:b/>
          <w:bCs/>
          <w:color w:val="auto"/>
          <w:szCs w:val="21"/>
          <w:highlight w:val="none"/>
        </w:rPr>
      </w:pPr>
      <w:r>
        <w:rPr>
          <w:rFonts w:hint="eastAsia" w:ascii="宋体" w:hAnsi="宋体" w:cs="宋体"/>
          <w:b/>
          <w:bCs/>
          <w:color w:val="auto"/>
          <w:szCs w:val="21"/>
          <w:highlight w:val="none"/>
        </w:rPr>
        <w:t>2.5服务承诺 ……………………………………………………………………（页码）</w:t>
      </w:r>
    </w:p>
    <w:p w14:paraId="03A1FD4B">
      <w:pPr>
        <w:wordWrap w:val="0"/>
        <w:snapToGrid w:val="0"/>
        <w:spacing w:line="360" w:lineRule="auto"/>
        <w:jc w:val="center"/>
        <w:outlineLvl w:val="2"/>
        <w:rPr>
          <w:rFonts w:ascii="宋体" w:hAnsi="宋体" w:cs="宋体"/>
          <w:b/>
          <w:bCs/>
          <w:color w:val="auto"/>
          <w:szCs w:val="21"/>
          <w:highlight w:val="none"/>
        </w:rPr>
      </w:pPr>
      <w:r>
        <w:rPr>
          <w:rFonts w:hint="eastAsia" w:ascii="宋体" w:hAnsi="宋体" w:cs="宋体"/>
          <w:b/>
          <w:bCs/>
          <w:color w:val="auto"/>
          <w:szCs w:val="21"/>
          <w:highlight w:val="none"/>
        </w:rPr>
        <w:t>2.6响应文件中的其他相关文件 ………………………………………………（页码）</w:t>
      </w:r>
    </w:p>
    <w:p w14:paraId="66C42A69">
      <w:pPr>
        <w:wordWrap w:val="0"/>
        <w:snapToGrid w:val="0"/>
        <w:spacing w:line="360" w:lineRule="auto"/>
        <w:jc w:val="center"/>
        <w:outlineLvl w:val="2"/>
        <w:rPr>
          <w:rFonts w:ascii="宋体" w:hAnsi="宋体" w:cs="宋体"/>
          <w:b/>
          <w:bCs/>
          <w:color w:val="auto"/>
          <w:sz w:val="36"/>
          <w:szCs w:val="36"/>
          <w:highlight w:val="none"/>
        </w:rPr>
      </w:pPr>
    </w:p>
    <w:p w14:paraId="144ED301">
      <w:pPr>
        <w:wordWrap w:val="0"/>
        <w:snapToGrid w:val="0"/>
        <w:spacing w:line="360" w:lineRule="auto"/>
        <w:ind w:right="480" w:firstLine="5280" w:firstLineChars="2200"/>
        <w:rPr>
          <w:rFonts w:ascii="宋体" w:hAnsi="宋体" w:cs="宋体"/>
          <w:bCs/>
          <w:color w:val="auto"/>
          <w:sz w:val="24"/>
          <w:highlight w:val="none"/>
        </w:rPr>
      </w:pPr>
    </w:p>
    <w:p w14:paraId="3F7BAD0D">
      <w:pPr>
        <w:wordWrap w:val="0"/>
        <w:snapToGrid w:val="0"/>
        <w:spacing w:line="360" w:lineRule="auto"/>
        <w:rPr>
          <w:rFonts w:ascii="宋体" w:hAnsi="宋体" w:cs="宋体"/>
          <w:color w:val="auto"/>
          <w:szCs w:val="21"/>
          <w:highlight w:val="none"/>
        </w:rPr>
      </w:pPr>
      <w:r>
        <w:rPr>
          <w:rFonts w:hint="eastAsia" w:ascii="宋体" w:hAnsi="宋体" w:cs="宋体"/>
          <w:bCs/>
          <w:color w:val="auto"/>
          <w:szCs w:val="21"/>
          <w:highlight w:val="none"/>
        </w:rPr>
        <w:t xml:space="preserve"> </w:t>
      </w:r>
      <w:r>
        <w:rPr>
          <w:rFonts w:hint="eastAsia" w:ascii="宋体" w:hAnsi="宋体" w:cs="宋体"/>
          <w:color w:val="auto"/>
          <w:szCs w:val="21"/>
          <w:highlight w:val="none"/>
        </w:rPr>
        <w:t xml:space="preserve"> </w:t>
      </w:r>
    </w:p>
    <w:p w14:paraId="180ED108">
      <w:pPr>
        <w:snapToGrid w:val="0"/>
        <w:spacing w:line="360" w:lineRule="exact"/>
        <w:jc w:val="center"/>
        <w:rPr>
          <w:rFonts w:ascii="宋体" w:hAnsi="宋体"/>
          <w:b/>
          <w:bCs/>
          <w:color w:val="auto"/>
          <w:sz w:val="32"/>
          <w:szCs w:val="32"/>
          <w:highlight w:val="none"/>
        </w:rPr>
      </w:pPr>
      <w:r>
        <w:rPr>
          <w:rFonts w:hint="eastAsia" w:ascii="宋体" w:hAnsi="宋体" w:cs="宋体"/>
          <w:color w:val="auto"/>
          <w:szCs w:val="21"/>
          <w:highlight w:val="none"/>
        </w:rPr>
        <w:br w:type="page"/>
      </w:r>
      <w:r>
        <w:rPr>
          <w:rFonts w:hint="eastAsia" w:ascii="宋体" w:hAnsi="宋体"/>
          <w:b/>
          <w:bCs/>
          <w:color w:val="auto"/>
          <w:sz w:val="32"/>
          <w:szCs w:val="32"/>
          <w:highlight w:val="none"/>
        </w:rPr>
        <w:t>广西壮族自治区政府采购合同</w:t>
      </w:r>
    </w:p>
    <w:p w14:paraId="7365DFCF">
      <w:pPr>
        <w:snapToGrid w:val="0"/>
        <w:spacing w:line="360" w:lineRule="exact"/>
        <w:jc w:val="center"/>
        <w:rPr>
          <w:rFonts w:ascii="宋体" w:hAnsi="宋体"/>
          <w:color w:val="auto"/>
          <w:szCs w:val="21"/>
          <w:highlight w:val="none"/>
        </w:rPr>
      </w:pPr>
      <w:r>
        <w:rPr>
          <w:rFonts w:hint="eastAsia" w:ascii="宋体" w:hAnsi="宋体"/>
          <w:color w:val="auto"/>
          <w:highlight w:val="none"/>
        </w:rPr>
        <w:t xml:space="preserve"> </w:t>
      </w:r>
    </w:p>
    <w:p w14:paraId="74837332">
      <w:pPr>
        <w:wordWrap w:val="0"/>
        <w:snapToGrid w:val="0"/>
        <w:spacing w:line="360" w:lineRule="exact"/>
        <w:ind w:right="60"/>
        <w:jc w:val="center"/>
        <w:rPr>
          <w:rFonts w:ascii="宋体" w:hAnsi="宋体"/>
          <w:color w:val="auto"/>
          <w:highlight w:val="none"/>
          <w:u w:val="single"/>
        </w:rPr>
      </w:pPr>
      <w:r>
        <w:rPr>
          <w:rFonts w:hint="eastAsia" w:ascii="宋体" w:hAnsi="宋体"/>
          <w:color w:val="auto"/>
          <w:highlight w:val="none"/>
        </w:rPr>
        <w:t xml:space="preserve">                           合同编号：</w:t>
      </w:r>
      <w:r>
        <w:rPr>
          <w:rFonts w:hint="eastAsia" w:ascii="宋体" w:hAnsi="宋体"/>
          <w:color w:val="auto"/>
          <w:highlight w:val="none"/>
          <w:u w:val="single"/>
        </w:rPr>
        <w:t xml:space="preserve">                       </w:t>
      </w:r>
    </w:p>
    <w:p w14:paraId="7808D410">
      <w:pPr>
        <w:snapToGrid w:val="0"/>
        <w:spacing w:line="360" w:lineRule="exact"/>
        <w:rPr>
          <w:rFonts w:ascii="宋体" w:hAnsi="宋体"/>
          <w:color w:val="auto"/>
          <w:highlight w:val="none"/>
        </w:rPr>
      </w:pPr>
      <w:r>
        <w:rPr>
          <w:rFonts w:hint="eastAsia" w:ascii="宋体" w:hAnsi="宋体"/>
          <w:color w:val="auto"/>
          <w:highlight w:val="none"/>
        </w:rPr>
        <w:t xml:space="preserve"> </w:t>
      </w:r>
    </w:p>
    <w:p w14:paraId="5B3E163E">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采购单位（甲方）：</w:t>
      </w:r>
      <w:r>
        <w:rPr>
          <w:rFonts w:hint="eastAsia" w:ascii="宋体" w:hAnsi="宋体" w:cs="宋体"/>
          <w:color w:val="auto"/>
          <w:szCs w:val="21"/>
          <w:highlight w:val="none"/>
          <w:u w:val="single"/>
        </w:rPr>
        <w:t>广西壮族自治区自然资源厅</w:t>
      </w:r>
      <w:r>
        <w:rPr>
          <w:rFonts w:hint="eastAsia" w:ascii="宋体" w:hAnsi="宋体" w:cs="宋体"/>
          <w:color w:val="auto"/>
          <w:szCs w:val="21"/>
          <w:highlight w:val="none"/>
        </w:rPr>
        <w:t xml:space="preserve">            </w:t>
      </w:r>
    </w:p>
    <w:p w14:paraId="51B3A9F3">
      <w:pPr>
        <w:snapToGrid w:val="0"/>
        <w:spacing w:line="400" w:lineRule="exact"/>
        <w:rPr>
          <w:rFonts w:ascii="宋体" w:hAnsi="宋体" w:cs="宋体"/>
          <w:color w:val="auto"/>
          <w:szCs w:val="21"/>
          <w:highlight w:val="none"/>
          <w:u w:val="single"/>
        </w:rPr>
      </w:pPr>
      <w:r>
        <w:rPr>
          <w:rFonts w:hint="eastAsia" w:ascii="宋体" w:hAnsi="宋体" w:cs="宋体"/>
          <w:color w:val="auto"/>
          <w:spacing w:val="-20"/>
          <w:szCs w:val="21"/>
          <w:highlight w:val="none"/>
        </w:rPr>
        <w:t>采购计划号 ：</w:t>
      </w:r>
      <w:r>
        <w:rPr>
          <w:rFonts w:hint="eastAsia" w:ascii="宋体" w:hAnsi="宋体" w:cs="宋体"/>
          <w:color w:val="auto"/>
          <w:szCs w:val="21"/>
          <w:highlight w:val="none"/>
          <w:u w:val="single"/>
        </w:rPr>
        <w:t xml:space="preserve">                                  </w:t>
      </w:r>
    </w:p>
    <w:p w14:paraId="74294A52">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供应商（乙方）：</w:t>
      </w:r>
      <w:r>
        <w:rPr>
          <w:rFonts w:hint="eastAsia" w:ascii="宋体" w:hAnsi="宋体" w:cs="宋体"/>
          <w:color w:val="auto"/>
          <w:szCs w:val="21"/>
          <w:highlight w:val="none"/>
          <w:u w:val="single"/>
        </w:rPr>
        <w:t xml:space="preserve">                             </w:t>
      </w:r>
    </w:p>
    <w:p w14:paraId="4108359F">
      <w:pPr>
        <w:snapToGrid w:val="0"/>
        <w:spacing w:line="400" w:lineRule="exact"/>
        <w:rPr>
          <w:rFonts w:ascii="宋体" w:hAnsi="宋体" w:cs="宋体"/>
          <w:color w:val="auto"/>
          <w:szCs w:val="21"/>
          <w:highlight w:val="none"/>
          <w:u w:val="single"/>
        </w:rPr>
      </w:pPr>
      <w:r>
        <w:rPr>
          <w:rFonts w:hint="eastAsia" w:ascii="宋体" w:hAnsi="宋体" w:cs="宋体"/>
          <w:color w:val="auto"/>
          <w:szCs w:val="21"/>
          <w:highlight w:val="none"/>
        </w:rPr>
        <w:t>标项号及标项名称：</w:t>
      </w:r>
      <w:r>
        <w:rPr>
          <w:rFonts w:hint="eastAsia" w:ascii="宋体" w:hAnsi="宋体" w:cs="宋体"/>
          <w:color w:val="auto"/>
          <w:szCs w:val="21"/>
          <w:highlight w:val="none"/>
          <w:u w:val="single"/>
        </w:rPr>
        <w:t xml:space="preserve">                            </w:t>
      </w:r>
    </w:p>
    <w:p w14:paraId="438F90C5">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签订地点：</w:t>
      </w:r>
      <w:r>
        <w:rPr>
          <w:rFonts w:hint="eastAsia" w:ascii="宋体" w:hAnsi="宋体" w:cs="宋体"/>
          <w:color w:val="auto"/>
          <w:szCs w:val="21"/>
          <w:highlight w:val="none"/>
          <w:u w:val="single"/>
        </w:rPr>
        <w:t xml:space="preserve">广西南宁市青秀区中新路2号           </w:t>
      </w:r>
    </w:p>
    <w:p w14:paraId="4898A52B">
      <w:pPr>
        <w:snapToGrid w:val="0"/>
        <w:spacing w:line="400" w:lineRule="exact"/>
        <w:rPr>
          <w:rFonts w:ascii="宋体" w:hAnsi="宋体" w:cs="宋体"/>
          <w:color w:val="auto"/>
          <w:szCs w:val="21"/>
          <w:highlight w:val="none"/>
          <w:u w:val="single"/>
        </w:rPr>
      </w:pPr>
      <w:r>
        <w:rPr>
          <w:rFonts w:hint="eastAsia" w:ascii="宋体" w:hAnsi="宋体" w:cs="宋体"/>
          <w:color w:val="auto"/>
          <w:szCs w:val="21"/>
          <w:highlight w:val="none"/>
        </w:rPr>
        <w:t>签订时间：</w:t>
      </w:r>
      <w:r>
        <w:rPr>
          <w:rFonts w:hint="eastAsia" w:ascii="宋体" w:hAnsi="宋体" w:cs="宋体"/>
          <w:color w:val="auto"/>
          <w:szCs w:val="21"/>
          <w:highlight w:val="none"/>
          <w:u w:val="single"/>
        </w:rPr>
        <w:t xml:space="preserve">                                    </w:t>
      </w:r>
    </w:p>
    <w:p w14:paraId="71BAF359">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 </w:t>
      </w:r>
    </w:p>
    <w:p w14:paraId="5D234C89">
      <w:pPr>
        <w:wordWrap w:val="0"/>
        <w:snapToGrid w:val="0"/>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根据《中华人民共和国政府采购法》《中华人民共和国民法典》等法律、法规规定，甲乙双方签订本合同。</w:t>
      </w:r>
    </w:p>
    <w:p w14:paraId="606E31F1">
      <w:pPr>
        <w:wordWrap w:val="0"/>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第一条 合同标的</w:t>
      </w:r>
    </w:p>
    <w:p w14:paraId="37EAA4AA">
      <w:pPr>
        <w:wordWrap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1、项目一览表</w:t>
      </w:r>
    </w:p>
    <w:p w14:paraId="639BA4D1">
      <w:pPr>
        <w:snapToGrid w:val="0"/>
        <w:spacing w:line="400" w:lineRule="exact"/>
        <w:ind w:firstLine="420" w:firstLineChars="200"/>
        <w:jc w:val="center"/>
        <w:rPr>
          <w:rFonts w:ascii="宋体" w:hAnsi="宋体" w:cs="宋体"/>
          <w:color w:val="auto"/>
          <w:szCs w:val="21"/>
          <w:highlight w:val="none"/>
        </w:rPr>
      </w:pPr>
      <w:r>
        <w:rPr>
          <w:rFonts w:hint="eastAsia" w:ascii="宋体" w:hAnsi="宋体" w:cs="宋体"/>
          <w:color w:val="auto"/>
          <w:szCs w:val="21"/>
          <w:highlight w:val="none"/>
        </w:rPr>
        <w:t>甲方委托乙方提供的技术服务一览表</w:t>
      </w:r>
    </w:p>
    <w:tbl>
      <w:tblPr>
        <w:tblStyle w:val="27"/>
        <w:tblW w:w="9668"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531"/>
        <w:gridCol w:w="3315"/>
        <w:gridCol w:w="824"/>
        <w:gridCol w:w="791"/>
        <w:gridCol w:w="2578"/>
      </w:tblGrid>
      <w:tr w14:paraId="6ACC4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vAlign w:val="center"/>
          </w:tcPr>
          <w:p w14:paraId="55DE7B6C">
            <w:pPr>
              <w:pStyle w:val="18"/>
              <w:spacing w:line="400" w:lineRule="exact"/>
              <w:ind w:firstLine="0"/>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1531" w:type="dxa"/>
            <w:vAlign w:val="center"/>
          </w:tcPr>
          <w:p w14:paraId="6BAF1B34">
            <w:pPr>
              <w:pStyle w:val="18"/>
              <w:spacing w:line="400" w:lineRule="exact"/>
              <w:ind w:firstLine="0"/>
              <w:jc w:val="center"/>
              <w:rPr>
                <w:rFonts w:ascii="宋体" w:hAnsi="宋体" w:cs="宋体"/>
                <w:color w:val="auto"/>
                <w:sz w:val="21"/>
                <w:szCs w:val="21"/>
                <w:highlight w:val="none"/>
              </w:rPr>
            </w:pPr>
            <w:r>
              <w:rPr>
                <w:rFonts w:hint="eastAsia" w:ascii="宋体" w:hAnsi="宋体" w:cs="宋体"/>
                <w:color w:val="auto"/>
                <w:sz w:val="21"/>
                <w:szCs w:val="21"/>
                <w:highlight w:val="none"/>
              </w:rPr>
              <w:t>服务名称</w:t>
            </w:r>
          </w:p>
        </w:tc>
        <w:tc>
          <w:tcPr>
            <w:tcW w:w="3315" w:type="dxa"/>
            <w:vAlign w:val="center"/>
          </w:tcPr>
          <w:p w14:paraId="579D79A2">
            <w:pPr>
              <w:pStyle w:val="18"/>
              <w:spacing w:line="400" w:lineRule="exact"/>
              <w:ind w:firstLine="0"/>
              <w:rPr>
                <w:rFonts w:ascii="宋体" w:hAnsi="宋体" w:cs="宋体"/>
                <w:color w:val="auto"/>
                <w:sz w:val="21"/>
                <w:szCs w:val="21"/>
                <w:highlight w:val="none"/>
              </w:rPr>
            </w:pPr>
            <w:r>
              <w:rPr>
                <w:rFonts w:hint="eastAsia" w:ascii="宋体" w:hAnsi="宋体" w:cs="宋体"/>
                <w:color w:val="auto"/>
                <w:sz w:val="21"/>
                <w:szCs w:val="21"/>
                <w:highlight w:val="none"/>
              </w:rPr>
              <w:t>服务项目要求（或技术参数需求）</w:t>
            </w:r>
          </w:p>
        </w:tc>
        <w:tc>
          <w:tcPr>
            <w:tcW w:w="824" w:type="dxa"/>
            <w:vAlign w:val="center"/>
          </w:tcPr>
          <w:p w14:paraId="46AF4FAD">
            <w:pPr>
              <w:pStyle w:val="18"/>
              <w:spacing w:line="400" w:lineRule="exact"/>
              <w:ind w:firstLine="0"/>
              <w:rPr>
                <w:rFonts w:ascii="宋体" w:hAnsi="宋体" w:cs="宋体"/>
                <w:color w:val="auto"/>
                <w:sz w:val="21"/>
                <w:szCs w:val="21"/>
                <w:highlight w:val="none"/>
              </w:rPr>
            </w:pPr>
            <w:r>
              <w:rPr>
                <w:rFonts w:hint="eastAsia" w:ascii="宋体" w:hAnsi="宋体" w:cs="宋体"/>
                <w:color w:val="auto"/>
                <w:sz w:val="21"/>
                <w:szCs w:val="21"/>
                <w:highlight w:val="none"/>
              </w:rPr>
              <w:t>数量</w:t>
            </w:r>
          </w:p>
        </w:tc>
        <w:tc>
          <w:tcPr>
            <w:tcW w:w="791" w:type="dxa"/>
            <w:vAlign w:val="center"/>
          </w:tcPr>
          <w:p w14:paraId="4004761B">
            <w:pPr>
              <w:pStyle w:val="18"/>
              <w:spacing w:line="400" w:lineRule="exact"/>
              <w:ind w:firstLine="0"/>
              <w:rPr>
                <w:rFonts w:ascii="宋体" w:hAnsi="宋体" w:cs="宋体"/>
                <w:color w:val="auto"/>
                <w:sz w:val="21"/>
                <w:szCs w:val="21"/>
                <w:highlight w:val="none"/>
              </w:rPr>
            </w:pPr>
            <w:r>
              <w:rPr>
                <w:rFonts w:hint="eastAsia" w:ascii="宋体" w:hAnsi="宋体" w:cs="宋体"/>
                <w:color w:val="auto"/>
                <w:sz w:val="21"/>
                <w:szCs w:val="21"/>
                <w:highlight w:val="none"/>
              </w:rPr>
              <w:t>单位</w:t>
            </w:r>
          </w:p>
        </w:tc>
        <w:tc>
          <w:tcPr>
            <w:tcW w:w="2578" w:type="dxa"/>
            <w:vAlign w:val="center"/>
          </w:tcPr>
          <w:p w14:paraId="3D4DFC6D">
            <w:pPr>
              <w:pStyle w:val="18"/>
              <w:spacing w:line="400" w:lineRule="exact"/>
              <w:ind w:firstLine="0"/>
              <w:jc w:val="center"/>
              <w:rPr>
                <w:rFonts w:ascii="宋体" w:hAnsi="宋体" w:cs="宋体"/>
                <w:color w:val="auto"/>
                <w:sz w:val="21"/>
                <w:szCs w:val="21"/>
                <w:highlight w:val="none"/>
              </w:rPr>
            </w:pPr>
            <w:r>
              <w:rPr>
                <w:rFonts w:hint="eastAsia" w:ascii="宋体" w:hAnsi="宋体" w:cs="宋体"/>
                <w:color w:val="auto"/>
                <w:sz w:val="21"/>
                <w:szCs w:val="21"/>
                <w:highlight w:val="none"/>
              </w:rPr>
              <w:t>金额（元）</w:t>
            </w:r>
          </w:p>
        </w:tc>
      </w:tr>
      <w:tr w14:paraId="271D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trPr>
        <w:tc>
          <w:tcPr>
            <w:tcW w:w="629" w:type="dxa"/>
            <w:vAlign w:val="center"/>
          </w:tcPr>
          <w:p w14:paraId="504E72B4">
            <w:pPr>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531" w:type="dxa"/>
            <w:vAlign w:val="center"/>
          </w:tcPr>
          <w:p w14:paraId="2DCE275C">
            <w:pPr>
              <w:wordWrap w:val="0"/>
              <w:snapToGrid w:val="0"/>
              <w:spacing w:line="360" w:lineRule="auto"/>
              <w:jc w:val="center"/>
              <w:rPr>
                <w:rFonts w:ascii="宋体" w:hAnsi="宋体" w:cs="宋体"/>
                <w:color w:val="auto"/>
                <w:szCs w:val="21"/>
                <w:highlight w:val="none"/>
              </w:rPr>
            </w:pPr>
            <w:r>
              <w:rPr>
                <w:rFonts w:hint="eastAsia" w:ascii="宋体" w:hAnsi="宋体"/>
                <w:color w:val="auto"/>
                <w:szCs w:val="21"/>
                <w:highlight w:val="none"/>
              </w:rPr>
              <w:t>广西国土空间规划实施监测网络建设试点项目</w:t>
            </w:r>
          </w:p>
        </w:tc>
        <w:tc>
          <w:tcPr>
            <w:tcW w:w="3315" w:type="dxa"/>
            <w:vAlign w:val="center"/>
          </w:tcPr>
          <w:p w14:paraId="03BF531E">
            <w:pPr>
              <w:wordWrap w:val="0"/>
              <w:snapToGrid w:val="0"/>
              <w:spacing w:line="360" w:lineRule="auto"/>
              <w:jc w:val="center"/>
              <w:rPr>
                <w:rFonts w:ascii="宋体" w:hAnsi="宋体" w:cs="宋体"/>
                <w:color w:val="auto"/>
                <w:szCs w:val="21"/>
                <w:highlight w:val="none"/>
              </w:rPr>
            </w:pPr>
            <w:r>
              <w:rPr>
                <w:rFonts w:hint="eastAsia" w:ascii="宋体" w:hAnsi="宋体"/>
                <w:color w:val="auto"/>
                <w:szCs w:val="21"/>
                <w:highlight w:val="none"/>
              </w:rPr>
              <w:t>详见采购需求</w:t>
            </w:r>
          </w:p>
        </w:tc>
        <w:tc>
          <w:tcPr>
            <w:tcW w:w="824" w:type="dxa"/>
            <w:vAlign w:val="center"/>
          </w:tcPr>
          <w:p w14:paraId="6B32EBBF">
            <w:pPr>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791" w:type="dxa"/>
            <w:vAlign w:val="center"/>
          </w:tcPr>
          <w:p w14:paraId="5DDBFDBF">
            <w:pPr>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项</w:t>
            </w:r>
          </w:p>
        </w:tc>
        <w:tc>
          <w:tcPr>
            <w:tcW w:w="2578" w:type="dxa"/>
            <w:vAlign w:val="center"/>
          </w:tcPr>
          <w:p w14:paraId="5E137BC6">
            <w:pPr>
              <w:snapToGrid w:val="0"/>
              <w:spacing w:line="400" w:lineRule="exact"/>
              <w:jc w:val="center"/>
              <w:rPr>
                <w:rFonts w:ascii="宋体" w:hAnsi="宋体" w:cs="宋体"/>
                <w:color w:val="auto"/>
                <w:szCs w:val="21"/>
                <w:highlight w:val="none"/>
              </w:rPr>
            </w:pPr>
          </w:p>
        </w:tc>
      </w:tr>
      <w:tr w14:paraId="6FF89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8" w:type="dxa"/>
            <w:gridSpan w:val="6"/>
          </w:tcPr>
          <w:p w14:paraId="21870AC6">
            <w:pPr>
              <w:pStyle w:val="18"/>
              <w:spacing w:line="400" w:lineRule="exact"/>
              <w:rPr>
                <w:rFonts w:ascii="宋体" w:hAnsi="宋体" w:cs="宋体"/>
                <w:color w:val="auto"/>
                <w:sz w:val="21"/>
                <w:szCs w:val="21"/>
                <w:highlight w:val="none"/>
              </w:rPr>
            </w:pPr>
            <w:r>
              <w:rPr>
                <w:rFonts w:hint="eastAsia" w:ascii="宋体" w:hAnsi="宋体" w:cs="宋体"/>
                <w:color w:val="auto"/>
                <w:sz w:val="21"/>
                <w:szCs w:val="21"/>
                <w:highlight w:val="none"/>
              </w:rPr>
              <w:t>合同总价（大写）：人民币         元整（小写 ¥          ）。</w:t>
            </w:r>
          </w:p>
        </w:tc>
      </w:tr>
    </w:tbl>
    <w:p w14:paraId="5E93EF66">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2、本合同价款采用固定总价方式确定。合同总价包括完成本项目采购要求所产生的全部费用及税费，甲方不再另行向乙方支付其他任何费用。</w:t>
      </w:r>
    </w:p>
    <w:p w14:paraId="70CC8208">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第二条</w:t>
      </w:r>
      <w:r>
        <w:rPr>
          <w:rFonts w:hint="eastAsia" w:ascii="宋体" w:hAnsi="宋体" w:cs="宋体"/>
          <w:color w:val="auto"/>
          <w:szCs w:val="21"/>
          <w:highlight w:val="none"/>
        </w:rPr>
        <w:tab/>
      </w:r>
      <w:r>
        <w:rPr>
          <w:rFonts w:hint="eastAsia" w:ascii="宋体" w:hAnsi="宋体" w:cs="宋体"/>
          <w:color w:val="auto"/>
          <w:szCs w:val="21"/>
          <w:highlight w:val="none"/>
        </w:rPr>
        <w:t>质量保证</w:t>
      </w:r>
    </w:p>
    <w:p w14:paraId="4B02E3E9">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1、乙方所提供的服务内容、技术规格、技术参数等质量必须与承诺相一致，提交项目成果一式三份。</w:t>
      </w:r>
    </w:p>
    <w:p w14:paraId="3512F440">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2、乙方所提供的服务各项指标均应达到质量要求，并组织进行专家验收，验收费用由乙方承担，如验收不通过，需按专家意见重新修改后再次组织专家评审。</w:t>
      </w:r>
    </w:p>
    <w:p w14:paraId="7B453201">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第三条</w:t>
      </w:r>
      <w:r>
        <w:rPr>
          <w:rFonts w:hint="eastAsia" w:ascii="宋体" w:hAnsi="宋体" w:cs="宋体"/>
          <w:color w:val="auto"/>
          <w:szCs w:val="21"/>
          <w:highlight w:val="none"/>
        </w:rPr>
        <w:tab/>
      </w:r>
      <w:r>
        <w:rPr>
          <w:rFonts w:hint="eastAsia" w:ascii="宋体" w:hAnsi="宋体" w:cs="宋体"/>
          <w:color w:val="auto"/>
          <w:szCs w:val="21"/>
          <w:highlight w:val="none"/>
        </w:rPr>
        <w:t>权利保证</w:t>
      </w:r>
    </w:p>
    <w:p w14:paraId="5BA9607B">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1、乙方应保证所提供服务成果（或其任何一部分）在使用时不会侵犯任何第三方的专利权、商标权、著作权、工业设计权或其他权利。</w:t>
      </w:r>
    </w:p>
    <w:p w14:paraId="29D86366">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2、乙方在甲方已按规定时间（合同签订后一个月内）提供必要数据资料的前提下应按合同工作要求约定的时间向甲方提交服务成果。</w:t>
      </w:r>
    </w:p>
    <w:p w14:paraId="2794EC62">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乙方未履行保密义务的，按第八条第5款承担违约责任。本合同终止后本保密条款继续有效。</w:t>
      </w:r>
    </w:p>
    <w:p w14:paraId="509CE0B5">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4、没有甲方同意，乙方不得将涉及服务成果的相关文本、表格、图件等资料提供任何其他人使用。</w:t>
      </w:r>
    </w:p>
    <w:p w14:paraId="7FED26D3">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5、如乙方所交付的服务成果侵犯第三人合法权益的，视为乙方违约，乙方应向甲方支付合同总价 5%的违约金，若上述违约金不足以弥补甲方的损失的，乙方应另行赔偿。</w:t>
      </w:r>
    </w:p>
    <w:p w14:paraId="4D744A89">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6、乙方配合甲方完成绩效考核工作。</w:t>
      </w:r>
    </w:p>
    <w:p w14:paraId="311AD961">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7、服务过程中形成的所有知识产权成果归甲方所有。</w:t>
      </w:r>
    </w:p>
    <w:p w14:paraId="10ABD374">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第四条</w:t>
      </w:r>
      <w:r>
        <w:rPr>
          <w:rFonts w:hint="eastAsia" w:ascii="宋体" w:hAnsi="宋体" w:cs="宋体"/>
          <w:color w:val="auto"/>
          <w:szCs w:val="21"/>
          <w:highlight w:val="none"/>
        </w:rPr>
        <w:tab/>
      </w:r>
      <w:r>
        <w:rPr>
          <w:rFonts w:hint="eastAsia" w:ascii="宋体" w:hAnsi="宋体" w:cs="宋体"/>
          <w:color w:val="auto"/>
          <w:szCs w:val="21"/>
          <w:highlight w:val="none"/>
        </w:rPr>
        <w:t>成果交付</w:t>
      </w:r>
    </w:p>
    <w:p w14:paraId="60B34927">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1、服务成</w:t>
      </w:r>
      <w:r>
        <w:rPr>
          <w:rFonts w:hint="eastAsia" w:ascii="宋体" w:hAnsi="宋体" w:cs="宋体"/>
          <w:color w:val="auto"/>
          <w:szCs w:val="21"/>
          <w:highlight w:val="none"/>
          <w:u w:val="single"/>
        </w:rPr>
        <w:t>果</w:t>
      </w:r>
      <w:r>
        <w:rPr>
          <w:rFonts w:hint="eastAsia" w:ascii="宋体" w:hAnsi="宋体" w:cs="宋体"/>
          <w:color w:val="auto"/>
          <w:szCs w:val="21"/>
          <w:highlight w:val="none"/>
        </w:rPr>
        <w:t>交付地点：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C4A838E">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2、乙方提供不符合本合同规定的服务或服务成果的，甲方有权拒绝接受。</w:t>
      </w:r>
    </w:p>
    <w:p w14:paraId="7B1DD047">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3、乙方必须按承诺的服务响应条款向甲方提供服务及服务成果。</w:t>
      </w:r>
    </w:p>
    <w:p w14:paraId="0600BB80">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4、乙方应对提交的服务成果作出全面检查和整理，并列出清单，经甲方确认后，清单应随提交的服务成果交给甲方。</w:t>
      </w:r>
    </w:p>
    <w:p w14:paraId="12A2FA7A">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乙方在指定地点提交服务成果后，甲方应在7个工作日内依据合同约定组织验收。验收合格后由甲乙双方签署服务成果验收单并加盖甲方公章，甲乙双方各执一份。甲方未按约定期限进行验收的，视同乙方交付的服务成果质量合格，符合合同约定。</w:t>
      </w:r>
    </w:p>
    <w:p w14:paraId="7E357908">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甲方委托采购代理机构组织验收的项目，其验收时间以该项目验收方案确定的验收时间为准，验收结果以该项目验收报告结论为准。在验收过程中发现乙方有违约问题且未整改完毕的，可暂缓资金结算，待违约问题解决后，方可办理资金结算事宜。</w:t>
      </w:r>
    </w:p>
    <w:p w14:paraId="164BB92E">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7、甲方对服务成果的质量有异议的，在列出清单后5个工作日内以书面形式向乙方提出，乙方应自收到甲方书面异议后5个工作日内及时予以解决，乙方必须无条件进行整改、修正，直至甲方验收通过。</w:t>
      </w:r>
    </w:p>
    <w:p w14:paraId="3282BE24">
      <w:pPr>
        <w:widowControl/>
        <w:spacing w:line="360" w:lineRule="auto"/>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第五条</w:t>
      </w:r>
      <w:r>
        <w:rPr>
          <w:rFonts w:hint="eastAsia" w:ascii="宋体" w:hAnsi="宋体" w:cs="宋体"/>
          <w:b/>
          <w:bCs/>
          <w:color w:val="auto"/>
          <w:szCs w:val="21"/>
          <w:highlight w:val="none"/>
        </w:rPr>
        <w:tab/>
      </w:r>
      <w:r>
        <w:rPr>
          <w:rFonts w:hint="eastAsia" w:ascii="宋体" w:hAnsi="宋体" w:cs="宋体"/>
          <w:b/>
          <w:bCs/>
          <w:color w:val="auto"/>
          <w:szCs w:val="21"/>
          <w:highlight w:val="none"/>
        </w:rPr>
        <w:t>付款方式</w:t>
      </w:r>
    </w:p>
    <w:p w14:paraId="046F567D">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1、资金性质：财政资金。</w:t>
      </w:r>
    </w:p>
    <w:p w14:paraId="504930D9">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2、付款条件（方式）：</w:t>
      </w:r>
    </w:p>
    <w:p w14:paraId="162E4A28">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（1）在合同签订之日起10个工作日甲方向乙方支付合同总额的30%作为项目启动经费。</w:t>
      </w:r>
    </w:p>
    <w:p w14:paraId="69B5D064">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（2）乙方按合同要求完成总工作量的60%，（即完成四个场景的规划实施监测和三个规范阶段性成果）并提交甲方验收确认后，甲方在10个工作日内支付合同总额的30%给乙方；</w:t>
      </w:r>
    </w:p>
    <w:p w14:paraId="475F1E77">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（3）乙方按合同要求完成总工作量的90%（即完成四个场景的规划实施监测和三个规范全部成果及相关技术文档）并提交甲方验收确认后，甲方在10个工作日内支付合同总额30%给乙方。</w:t>
      </w:r>
    </w:p>
    <w:p w14:paraId="7C1817BA">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（4）乙方按合同要求完成该项目最终成果后，甲方组织审查验收，并通过审查验收确认后，甲方在10个工作日内支付合同总额的10%合同尾款给乙方。</w:t>
      </w:r>
    </w:p>
    <w:p w14:paraId="48433552">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乙方在每次收到款项后5个工作日内，须向甲方开具等额的增值税普通发票。</w:t>
      </w:r>
    </w:p>
    <w:p w14:paraId="4536BAEA">
      <w:pPr>
        <w:widowControl/>
        <w:spacing w:line="360" w:lineRule="auto"/>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第六条</w:t>
      </w:r>
      <w:r>
        <w:rPr>
          <w:rFonts w:hint="eastAsia" w:ascii="宋体" w:hAnsi="宋体" w:cs="宋体"/>
          <w:b/>
          <w:bCs/>
          <w:color w:val="auto"/>
          <w:szCs w:val="21"/>
          <w:highlight w:val="none"/>
        </w:rPr>
        <w:tab/>
      </w:r>
      <w:r>
        <w:rPr>
          <w:rFonts w:hint="eastAsia" w:ascii="宋体" w:hAnsi="宋体" w:cs="宋体"/>
          <w:b/>
          <w:bCs/>
          <w:color w:val="auto"/>
          <w:szCs w:val="21"/>
          <w:highlight w:val="none"/>
        </w:rPr>
        <w:t>税费</w:t>
      </w:r>
    </w:p>
    <w:p w14:paraId="2FE99DBF">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本合同执行中相关的一切税费均由乙方承担。</w:t>
      </w:r>
    </w:p>
    <w:p w14:paraId="6B5AF542">
      <w:pPr>
        <w:widowControl/>
        <w:spacing w:line="360" w:lineRule="auto"/>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第七条</w:t>
      </w:r>
      <w:r>
        <w:rPr>
          <w:rFonts w:hint="eastAsia" w:ascii="宋体" w:hAnsi="宋体" w:cs="宋体"/>
          <w:b/>
          <w:bCs/>
          <w:color w:val="auto"/>
          <w:szCs w:val="21"/>
          <w:highlight w:val="none"/>
        </w:rPr>
        <w:tab/>
      </w:r>
      <w:r>
        <w:rPr>
          <w:rFonts w:hint="eastAsia" w:ascii="宋体" w:hAnsi="宋体" w:cs="宋体"/>
          <w:b/>
          <w:bCs/>
          <w:color w:val="auto"/>
          <w:szCs w:val="21"/>
          <w:highlight w:val="none"/>
        </w:rPr>
        <w:t>服务成果质量保证及售后服务</w:t>
      </w:r>
    </w:p>
    <w:p w14:paraId="6595E4BE">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乙方应按采购文件规定的采购服务内容、数量、服务项目要求（技术参数需求）等向甲方提交质量必须为合格的服务成果，因乙方原因导致乙方提交的成果不符合要求的，根据实际情况，经双方协商，可按以下办法处理：</w:t>
      </w:r>
    </w:p>
    <w:p w14:paraId="33A67702">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（1）更换：由乙方承担更换所发生的全部费用，若因此导致逾期向甲方提交成果的，按本合同第八条第3款约定处理。</w:t>
      </w:r>
    </w:p>
    <w:p w14:paraId="05E1E697">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（2）贬值处理：合同总价由甲乙双方重新合议确定，此外乙方还应向甲方支付合同总价5%的违约金。</w:t>
      </w:r>
    </w:p>
    <w:p w14:paraId="39B90510">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（3）退服务成果处理：乙方须按本合同第八条第1款中乙方无法提供质量符合采购及响应文件、国家有关质量标准或本合同约定的服务成果情形的约定处理。</w:t>
      </w:r>
    </w:p>
    <w:p w14:paraId="075ECB42">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2、如在使用过程中发生质量问题，乙方在接到甲方通知后在 8 小时内到达甲方现场。</w:t>
      </w:r>
    </w:p>
    <w:p w14:paraId="6E937FA9">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质保期为乙方提交的成果经甲方验收合格之日起6个月。在质保期内，乙方应对服务成果出现的质量及安全问题负责处理解决并承担一切费用，并无偿为甲方提供项目日常服务工作，因人为因素出现的故障不在免费质保范围内。超过质保期的服务成果，终生维护，维护时只收成本费。</w:t>
      </w:r>
    </w:p>
    <w:p w14:paraId="7B9878CA">
      <w:pPr>
        <w:widowControl/>
        <w:spacing w:line="360" w:lineRule="auto"/>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第八条 违约责任</w:t>
      </w:r>
    </w:p>
    <w:p w14:paraId="1EE4F0AB">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1、因乙方原因，乙方所提交的服务成果内容、数量、服务项目要求（技术参数需求）等不符合招投标文件、国家有关质量标准或本合同约定的，应及时调整，调整不及时的按本条第3款的约定按逾期提交成果处理；因特殊情况甲方同意接收不符合招投标文件、国家有关质量标准或本合同约定的服务或报告的，乙方除承担逾期违约责任外，还应向甲方支付合同总价5%违约金。因乙方无法提供质量符合招投标文件、国家有关质量标准或本合同约定的服务或报告的，甲方有权解除合同。 </w:t>
      </w:r>
    </w:p>
    <w:p w14:paraId="42D8B0A1">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乙方提供的服务成果如侵犯第三方合法权益而引发的任何纠纷或诉讼，均由乙方负责交涉并承担全部责任。如甲方为解决纠纷先行支付了费用，乙方应当在收到甲方关于要求偿还已支付款项的通知之日起5个工作日内将甲方已支付的合理费用赔偿给甲方。</w:t>
      </w:r>
    </w:p>
    <w:p w14:paraId="339F1D9C">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3、因乙方原因，乙方逾期交付服务成果的，每天向甲方支付合同总价0.1‰的违约金，但违约金累计不超过合同总价的5%。乙方逾期交付超过15日的，甲方有权解除合同。</w:t>
      </w:r>
    </w:p>
    <w:p w14:paraId="1CDD0D58">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4、乙方未按本合同和投标文件中规定的服务承诺提供售后服务的，乙方应按合同总价的5%向甲方支付违约金。</w:t>
      </w:r>
    </w:p>
    <w:p w14:paraId="15059D6D">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5、乙方有其它严重影响合同目的实现的违约行为的，每发生一次按合同总价的5%支付违约金。</w:t>
      </w:r>
    </w:p>
    <w:p w14:paraId="1884D86F">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甲方根据本合同约定解除合同的，有权不予支付任何款项给乙方，已经支付的，乙方应当自甲方要求返还之日起5日内予以返还，此外乙方还应支付合同总价5%的违约金给甲方。但甲方接受或利用乙方已完成的服务的，应按乙方完成的工作量支付费用。</w:t>
      </w:r>
    </w:p>
    <w:p w14:paraId="7EC1AD39">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当以上违约金不足以弥补甲方损失时，乙方还应对甲方超过违约金部分的损失依法承担赔偿责任，甲方有权继续向乙方追偿。乙方应当赔偿因此给甲方造成的所有损失，包括但不限于甲方直接损失、向第三人承担的违约金、赔偿金、为索赔支出的费用、律师费、诉讼费、仲裁费、调查费、公证费、鉴定费、保全费、保全保险费等。</w:t>
      </w:r>
    </w:p>
    <w:p w14:paraId="4800A579">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8、乙方不得将项目全部或部分进行转包，如有违反，乙方应向甲方一次性支付合同总价20%的违约金，且甲方有权解除合同。</w:t>
      </w:r>
    </w:p>
    <w:p w14:paraId="1C81679A">
      <w:pPr>
        <w:widowControl/>
        <w:spacing w:line="360" w:lineRule="auto"/>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第九条</w:t>
      </w:r>
      <w:r>
        <w:rPr>
          <w:rFonts w:hint="eastAsia" w:ascii="宋体" w:hAnsi="宋体" w:cs="宋体"/>
          <w:b/>
          <w:bCs/>
          <w:color w:val="auto"/>
          <w:szCs w:val="21"/>
          <w:highlight w:val="none"/>
        </w:rPr>
        <w:tab/>
      </w:r>
      <w:r>
        <w:rPr>
          <w:rFonts w:hint="eastAsia" w:ascii="宋体" w:hAnsi="宋体" w:cs="宋体"/>
          <w:b/>
          <w:bCs/>
          <w:color w:val="auto"/>
          <w:szCs w:val="21"/>
          <w:highlight w:val="none"/>
        </w:rPr>
        <w:t>不可抗力事件处理</w:t>
      </w:r>
    </w:p>
    <w:p w14:paraId="0DA2C122">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1、在合同有效期内，任何一方因不可抗力事件导致不能履行合同的，则合同履行期可延长，其延长期与不可抗力影响期相同。</w:t>
      </w:r>
    </w:p>
    <w:p w14:paraId="03A1AA90">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2、由于不可抗力事件不能全部或部分履行合同义务时，任一方可中止履行其在本合同项下的义务。</w:t>
      </w:r>
    </w:p>
    <w:p w14:paraId="5D9F6100">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不可抗力事件发生后，受影响方应立即通知对方，并寄送有关不可抗力发生的有效证明。声称受到不可抗力的一方应在任何时候采取合理的行动，以避免或尽量减少不可抗力事件的影响。因主观原因延误，未及时采取必要措施而导致损失扩大的，不能免除相应责任。</w:t>
      </w:r>
    </w:p>
    <w:p w14:paraId="6189C04A">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4、不可抗力事件延续一百二十天以上时，双方应通过友好协商，确定是否继续履行合同。若双方协商解除合同，甲方应按乙方完成的工作量支付费用。</w:t>
      </w:r>
    </w:p>
    <w:p w14:paraId="3AAFB52F">
      <w:pPr>
        <w:widowControl/>
        <w:spacing w:line="360" w:lineRule="auto"/>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第十条</w:t>
      </w:r>
      <w:r>
        <w:rPr>
          <w:rFonts w:hint="eastAsia" w:ascii="宋体" w:hAnsi="宋体" w:cs="宋体"/>
          <w:b/>
          <w:bCs/>
          <w:color w:val="auto"/>
          <w:szCs w:val="21"/>
          <w:highlight w:val="none"/>
        </w:rPr>
        <w:tab/>
      </w:r>
      <w:r>
        <w:rPr>
          <w:rFonts w:hint="eastAsia" w:ascii="宋体" w:hAnsi="宋体" w:cs="宋体"/>
          <w:b/>
          <w:bCs/>
          <w:color w:val="auto"/>
          <w:szCs w:val="21"/>
          <w:highlight w:val="none"/>
        </w:rPr>
        <w:t>合同争议解决</w:t>
      </w:r>
    </w:p>
    <w:p w14:paraId="0AF16E1A">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1、因服务成果质量问题发生争议的，应邀请国家认可的质量检测机构对服务成果质量进行鉴定。服务成果符合标准的，鉴定费由甲方承担；服务成果不符合标准的，鉴定费由乙方承担。</w:t>
      </w:r>
    </w:p>
    <w:p w14:paraId="63C9656E">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2、因履行本合同引起的或与本合同有关的争议，甲乙双方应首先通过友好协商解决，如果协商不能解决，任何一方均可向甲方所在地有管辖权的人民法院提起诉讼。</w:t>
      </w:r>
    </w:p>
    <w:p w14:paraId="5AFE7A49">
      <w:pPr>
        <w:widowControl/>
        <w:spacing w:line="360" w:lineRule="auto"/>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第十一条  合同生效及其它</w:t>
      </w:r>
    </w:p>
    <w:p w14:paraId="448FE710">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1、本合同经双方法定代表人或授权代表签字并加盖单位公章后生效。</w:t>
      </w:r>
    </w:p>
    <w:p w14:paraId="590A806C">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2、本合同未尽事宜，双方另行协商。</w:t>
      </w:r>
    </w:p>
    <w:p w14:paraId="19F4FC74">
      <w:pPr>
        <w:widowControl/>
        <w:spacing w:line="360" w:lineRule="auto"/>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第十二条  合同的变更、终止与转让</w:t>
      </w:r>
    </w:p>
    <w:p w14:paraId="5838730B">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1、除《中华人民共和国政府采购法》第五十条规定的情形外，本合同一经签订，甲乙双方不得擅自变更、中止或终止。</w:t>
      </w:r>
    </w:p>
    <w:p w14:paraId="2CF9795A">
      <w:pPr>
        <w:widowControl/>
        <w:spacing w:line="360" w:lineRule="auto"/>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第十三条  签订本合同依据</w:t>
      </w:r>
    </w:p>
    <w:p w14:paraId="011EAAD2">
      <w:pPr>
        <w:widowControl/>
        <w:numPr>
          <w:ilvl w:val="0"/>
          <w:numId w:val="6"/>
        </w:num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成交通知书；</w:t>
      </w:r>
    </w:p>
    <w:p w14:paraId="595840E2">
      <w:pPr>
        <w:widowControl/>
        <w:numPr>
          <w:ilvl w:val="0"/>
          <w:numId w:val="6"/>
        </w:num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竞标报价表；</w:t>
      </w:r>
    </w:p>
    <w:p w14:paraId="443C096B">
      <w:pPr>
        <w:widowControl/>
        <w:numPr>
          <w:ilvl w:val="0"/>
          <w:numId w:val="6"/>
        </w:num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商务条款偏离表及服务需求偏离表；</w:t>
      </w:r>
    </w:p>
    <w:p w14:paraId="49C3247E">
      <w:pPr>
        <w:widowControl/>
        <w:numPr>
          <w:ilvl w:val="0"/>
          <w:numId w:val="6"/>
        </w:num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项目实施方案；</w:t>
      </w:r>
    </w:p>
    <w:p w14:paraId="7D75175A">
      <w:pPr>
        <w:widowControl/>
        <w:numPr>
          <w:ilvl w:val="0"/>
          <w:numId w:val="6"/>
        </w:num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服务承诺；</w:t>
      </w:r>
    </w:p>
    <w:p w14:paraId="233B735D">
      <w:pPr>
        <w:widowControl/>
        <w:numPr>
          <w:ilvl w:val="0"/>
          <w:numId w:val="6"/>
        </w:num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响应文件中的其他相关文件。</w:t>
      </w:r>
    </w:p>
    <w:p w14:paraId="1B95F379">
      <w:pPr>
        <w:widowControl/>
        <w:numPr>
          <w:ilvl w:val="0"/>
          <w:numId w:val="6"/>
        </w:numPr>
        <w:spacing w:line="360" w:lineRule="auto"/>
        <w:ind w:firstLine="420" w:firstLineChars="200"/>
        <w:jc w:val="left"/>
        <w:rPr>
          <w:rFonts w:ascii="宋体" w:hAnsi="宋体"/>
          <w:b/>
          <w:color w:val="auto"/>
          <w:sz w:val="32"/>
          <w:szCs w:val="32"/>
          <w:highlight w:val="none"/>
        </w:rPr>
      </w:pPr>
      <w:r>
        <w:rPr>
          <w:rFonts w:hint="eastAsia" w:ascii="宋体" w:hAnsi="宋体" w:cs="宋体"/>
          <w:color w:val="auto"/>
          <w:szCs w:val="21"/>
          <w:highlight w:val="none"/>
        </w:rPr>
        <w:t>上述合同文件互相补充和解释。如果合同文件之间存在矛盾或者不一致之处，以上述文件的排列顺序在先者为准。</w:t>
      </w:r>
    </w:p>
    <w:p w14:paraId="3F3BF4E4">
      <w:pPr>
        <w:widowControl/>
        <w:spacing w:line="360" w:lineRule="auto"/>
        <w:ind w:firstLine="422" w:firstLineChars="200"/>
        <w:jc w:val="left"/>
        <w:rPr>
          <w:rFonts w:ascii="宋体" w:hAnsi="宋体" w:cs="宋体"/>
          <w:color w:val="auto"/>
          <w:szCs w:val="21"/>
          <w:highlight w:val="none"/>
        </w:rPr>
      </w:pPr>
      <w:r>
        <w:rPr>
          <w:rFonts w:hint="eastAsia" w:ascii="宋体" w:hAnsi="宋体" w:cs="宋体"/>
          <w:b/>
          <w:bCs/>
          <w:color w:val="auto"/>
          <w:szCs w:val="21"/>
          <w:highlight w:val="none"/>
        </w:rPr>
        <w:t xml:space="preserve">第十四条 </w:t>
      </w:r>
      <w:r>
        <w:rPr>
          <w:rFonts w:hint="eastAsia" w:ascii="宋体" w:hAnsi="宋体" w:cs="宋体"/>
          <w:color w:val="auto"/>
          <w:szCs w:val="21"/>
          <w:highlight w:val="none"/>
        </w:rPr>
        <w:t>本合同一式柒份，具有同等法律效力，采购代理机构壹份，甲方执叁份，乙方执叁份。</w:t>
      </w:r>
    </w:p>
    <w:tbl>
      <w:tblPr>
        <w:tblStyle w:val="27"/>
        <w:tblpPr w:leftFromText="180" w:rightFromText="180" w:vertAnchor="text" w:horzAnchor="page" w:tblpX="1469" w:tblpY="582"/>
        <w:tblOverlap w:val="never"/>
        <w:tblW w:w="9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6"/>
        <w:gridCol w:w="4614"/>
      </w:tblGrid>
      <w:tr w14:paraId="3E8C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8" w:hRule="atLeast"/>
        </w:trPr>
        <w:tc>
          <w:tcPr>
            <w:tcW w:w="4676" w:type="dxa"/>
            <w:vAlign w:val="center"/>
          </w:tcPr>
          <w:p w14:paraId="1F6B2ACB">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甲方（章）：</w:t>
            </w:r>
          </w:p>
          <w:p w14:paraId="732C101C">
            <w:pPr>
              <w:snapToGrid w:val="0"/>
              <w:spacing w:line="400" w:lineRule="exact"/>
              <w:jc w:val="right"/>
              <w:rPr>
                <w:rFonts w:ascii="宋体" w:hAnsi="宋体" w:cs="宋体"/>
                <w:color w:val="auto"/>
                <w:szCs w:val="21"/>
                <w:highlight w:val="none"/>
              </w:rPr>
            </w:pPr>
            <w:r>
              <w:rPr>
                <w:rFonts w:hint="eastAsia" w:ascii="宋体" w:hAnsi="宋体" w:cs="宋体"/>
                <w:color w:val="auto"/>
                <w:szCs w:val="21"/>
                <w:highlight w:val="none"/>
              </w:rPr>
              <w:t xml:space="preserve"> 2025年   月   日</w:t>
            </w:r>
          </w:p>
        </w:tc>
        <w:tc>
          <w:tcPr>
            <w:tcW w:w="4614" w:type="dxa"/>
            <w:vAlign w:val="center"/>
          </w:tcPr>
          <w:p w14:paraId="4D3AD431">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乙方（章）：</w:t>
            </w:r>
          </w:p>
          <w:p w14:paraId="59C6B188">
            <w:pPr>
              <w:snapToGrid w:val="0"/>
              <w:spacing w:line="400" w:lineRule="exact"/>
              <w:jc w:val="right"/>
              <w:rPr>
                <w:rFonts w:ascii="宋体" w:hAnsi="宋体" w:cs="宋体"/>
                <w:color w:val="auto"/>
                <w:szCs w:val="21"/>
                <w:highlight w:val="none"/>
              </w:rPr>
            </w:pPr>
            <w:r>
              <w:rPr>
                <w:rFonts w:hint="eastAsia" w:ascii="宋体" w:hAnsi="宋体" w:cs="宋体"/>
                <w:color w:val="auto"/>
                <w:szCs w:val="21"/>
                <w:highlight w:val="none"/>
              </w:rPr>
              <w:t xml:space="preserve"> 2025年   月   日</w:t>
            </w:r>
          </w:p>
        </w:tc>
      </w:tr>
      <w:tr w14:paraId="34C8C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4676" w:type="dxa"/>
            <w:vAlign w:val="center"/>
          </w:tcPr>
          <w:p w14:paraId="4B8221A5">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统一社会信用代码：</w:t>
            </w:r>
          </w:p>
        </w:tc>
        <w:tc>
          <w:tcPr>
            <w:tcW w:w="4614" w:type="dxa"/>
            <w:vAlign w:val="center"/>
          </w:tcPr>
          <w:p w14:paraId="41C27F1F">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lang w:val="zh-CN"/>
              </w:rPr>
              <w:t>统一社会信用代码或身份证号码：</w:t>
            </w:r>
          </w:p>
        </w:tc>
      </w:tr>
      <w:tr w14:paraId="55715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trPr>
        <w:tc>
          <w:tcPr>
            <w:tcW w:w="4676" w:type="dxa"/>
            <w:vAlign w:val="center"/>
          </w:tcPr>
          <w:p w14:paraId="00484F03">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lang w:val="zh-CN"/>
              </w:rPr>
              <w:t>住所</w:t>
            </w:r>
            <w:r>
              <w:rPr>
                <w:rFonts w:hint="eastAsia" w:ascii="宋体" w:hAnsi="宋体" w:cs="宋体"/>
                <w:color w:val="auto"/>
                <w:szCs w:val="21"/>
                <w:highlight w:val="none"/>
              </w:rPr>
              <w:t>：</w:t>
            </w:r>
          </w:p>
        </w:tc>
        <w:tc>
          <w:tcPr>
            <w:tcW w:w="4614" w:type="dxa"/>
            <w:vAlign w:val="center"/>
          </w:tcPr>
          <w:p w14:paraId="3F56C7C3">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lang w:val="zh-CN"/>
              </w:rPr>
              <w:t>住所</w:t>
            </w:r>
            <w:r>
              <w:rPr>
                <w:rFonts w:hint="eastAsia" w:ascii="宋体" w:hAnsi="宋体" w:cs="宋体"/>
                <w:color w:val="auto"/>
                <w:szCs w:val="21"/>
                <w:highlight w:val="none"/>
              </w:rPr>
              <w:t>：</w:t>
            </w:r>
          </w:p>
        </w:tc>
      </w:tr>
      <w:tr w14:paraId="11ED5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7" w:hRule="atLeast"/>
        </w:trPr>
        <w:tc>
          <w:tcPr>
            <w:tcW w:w="4676" w:type="dxa"/>
            <w:vAlign w:val="center"/>
          </w:tcPr>
          <w:p w14:paraId="6EF5FFEF">
            <w:pPr>
              <w:snapToGrid w:val="0"/>
              <w:spacing w:line="400" w:lineRule="exact"/>
              <w:rPr>
                <w:rFonts w:ascii="宋体" w:hAnsi="宋体" w:cs="宋体"/>
                <w:color w:val="auto"/>
                <w:szCs w:val="21"/>
                <w:highlight w:val="none"/>
                <w:lang w:val="zh-CN"/>
              </w:rPr>
            </w:pPr>
            <w:r>
              <w:rPr>
                <w:rFonts w:hint="eastAsia" w:ascii="宋体" w:hAnsi="宋体" w:cs="宋体"/>
                <w:color w:val="auto"/>
                <w:szCs w:val="21"/>
                <w:highlight w:val="none"/>
              </w:rPr>
              <w:t>法定代表人</w:t>
            </w:r>
          </w:p>
          <w:p w14:paraId="6AFB6BC0">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lang w:val="zh-CN"/>
              </w:rPr>
              <w:t>或授权代表（签字）：</w:t>
            </w:r>
          </w:p>
        </w:tc>
        <w:tc>
          <w:tcPr>
            <w:tcW w:w="4614" w:type="dxa"/>
            <w:vAlign w:val="center"/>
          </w:tcPr>
          <w:p w14:paraId="682E22EF">
            <w:pPr>
              <w:snapToGrid w:val="0"/>
              <w:spacing w:line="400" w:lineRule="exact"/>
              <w:rPr>
                <w:rFonts w:ascii="宋体" w:hAnsi="宋体" w:cs="宋体"/>
                <w:color w:val="auto"/>
                <w:szCs w:val="21"/>
                <w:highlight w:val="none"/>
                <w:lang w:val="zh-CN"/>
              </w:rPr>
            </w:pPr>
            <w:r>
              <w:rPr>
                <w:rFonts w:hint="eastAsia" w:ascii="宋体" w:hAnsi="宋体" w:cs="宋体"/>
                <w:color w:val="auto"/>
                <w:szCs w:val="21"/>
                <w:highlight w:val="none"/>
              </w:rPr>
              <w:t>法定代表人</w:t>
            </w:r>
          </w:p>
          <w:p w14:paraId="650DD9EF">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lang w:val="zh-CN"/>
              </w:rPr>
              <w:t>或授权代表（签字）：</w:t>
            </w:r>
          </w:p>
        </w:tc>
      </w:tr>
      <w:tr w14:paraId="7D476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4676" w:type="dxa"/>
            <w:vAlign w:val="center"/>
          </w:tcPr>
          <w:p w14:paraId="0497DCA2">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lang w:val="zh-CN"/>
              </w:rPr>
              <w:t>联系人：</w:t>
            </w:r>
            <w:r>
              <w:rPr>
                <w:rFonts w:hint="eastAsia" w:ascii="宋体" w:hAnsi="宋体" w:cs="宋体"/>
                <w:color w:val="auto"/>
                <w:szCs w:val="21"/>
                <w:highlight w:val="none"/>
              </w:rPr>
              <w:t>莫主任</w:t>
            </w:r>
          </w:p>
        </w:tc>
        <w:tc>
          <w:tcPr>
            <w:tcW w:w="4614" w:type="dxa"/>
            <w:vAlign w:val="center"/>
          </w:tcPr>
          <w:p w14:paraId="1ACC0D9B">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lang w:val="zh-CN"/>
              </w:rPr>
              <w:t>联系人：</w:t>
            </w:r>
          </w:p>
        </w:tc>
      </w:tr>
      <w:tr w14:paraId="0731F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4676" w:type="dxa"/>
            <w:vAlign w:val="center"/>
          </w:tcPr>
          <w:p w14:paraId="13D70CE5">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lang w:val="zh-CN"/>
              </w:rPr>
              <w:t>约定送达地址：</w:t>
            </w:r>
          </w:p>
        </w:tc>
        <w:tc>
          <w:tcPr>
            <w:tcW w:w="4614" w:type="dxa"/>
            <w:vAlign w:val="center"/>
          </w:tcPr>
          <w:p w14:paraId="573D8DEE">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lang w:val="zh-CN"/>
              </w:rPr>
              <w:t>约定送达地址：</w:t>
            </w:r>
          </w:p>
        </w:tc>
      </w:tr>
      <w:tr w14:paraId="362E2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4676" w:type="dxa"/>
            <w:vAlign w:val="center"/>
          </w:tcPr>
          <w:p w14:paraId="66AA4F29">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lang w:val="zh-CN"/>
              </w:rPr>
              <w:t>邮政编码：</w:t>
            </w:r>
          </w:p>
        </w:tc>
        <w:tc>
          <w:tcPr>
            <w:tcW w:w="4614" w:type="dxa"/>
            <w:vAlign w:val="center"/>
          </w:tcPr>
          <w:p w14:paraId="0B1E5D90">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lang w:val="zh-CN"/>
              </w:rPr>
              <w:t>邮政编码：</w:t>
            </w:r>
          </w:p>
        </w:tc>
      </w:tr>
      <w:tr w14:paraId="6533E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trPr>
        <w:tc>
          <w:tcPr>
            <w:tcW w:w="4676" w:type="dxa"/>
            <w:vAlign w:val="center"/>
          </w:tcPr>
          <w:p w14:paraId="3D7B97C0">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电话：</w:t>
            </w:r>
          </w:p>
        </w:tc>
        <w:tc>
          <w:tcPr>
            <w:tcW w:w="4614" w:type="dxa"/>
            <w:vAlign w:val="center"/>
          </w:tcPr>
          <w:p w14:paraId="5EEF61E4">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电话：</w:t>
            </w:r>
          </w:p>
        </w:tc>
      </w:tr>
      <w:tr w14:paraId="671A1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 w:hRule="atLeast"/>
        </w:trPr>
        <w:tc>
          <w:tcPr>
            <w:tcW w:w="4676" w:type="dxa"/>
            <w:vAlign w:val="center"/>
          </w:tcPr>
          <w:p w14:paraId="12334998">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lang w:val="zh-CN"/>
              </w:rPr>
              <w:t>传真：</w:t>
            </w:r>
          </w:p>
        </w:tc>
        <w:tc>
          <w:tcPr>
            <w:tcW w:w="4614" w:type="dxa"/>
            <w:vAlign w:val="center"/>
          </w:tcPr>
          <w:p w14:paraId="6A176A66">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lang w:val="zh-CN"/>
              </w:rPr>
              <w:t>传真：</w:t>
            </w:r>
            <w:r>
              <w:rPr>
                <w:rFonts w:hint="eastAsia" w:ascii="宋体" w:hAnsi="宋体" w:cs="宋体"/>
                <w:color w:val="auto"/>
                <w:szCs w:val="21"/>
                <w:highlight w:val="none"/>
              </w:rPr>
              <w:t xml:space="preserve"> /</w:t>
            </w:r>
          </w:p>
        </w:tc>
      </w:tr>
      <w:tr w14:paraId="73DA8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 w:hRule="atLeast"/>
        </w:trPr>
        <w:tc>
          <w:tcPr>
            <w:tcW w:w="4676" w:type="dxa"/>
            <w:vAlign w:val="center"/>
          </w:tcPr>
          <w:p w14:paraId="3CFD240A">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电子邮箱：</w:t>
            </w:r>
          </w:p>
        </w:tc>
        <w:tc>
          <w:tcPr>
            <w:tcW w:w="4614" w:type="dxa"/>
            <w:vAlign w:val="center"/>
          </w:tcPr>
          <w:p w14:paraId="56004E1C">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电子邮箱：</w:t>
            </w:r>
          </w:p>
        </w:tc>
      </w:tr>
      <w:tr w14:paraId="3A883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4676" w:type="dxa"/>
            <w:vAlign w:val="center"/>
          </w:tcPr>
          <w:p w14:paraId="1632F7A0">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开户银行：</w:t>
            </w:r>
          </w:p>
        </w:tc>
        <w:tc>
          <w:tcPr>
            <w:tcW w:w="4614" w:type="dxa"/>
            <w:vAlign w:val="center"/>
          </w:tcPr>
          <w:p w14:paraId="273D7B13">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开户银行：</w:t>
            </w:r>
          </w:p>
        </w:tc>
      </w:tr>
      <w:tr w14:paraId="33542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trPr>
        <w:tc>
          <w:tcPr>
            <w:tcW w:w="4676" w:type="dxa"/>
            <w:vAlign w:val="center"/>
          </w:tcPr>
          <w:p w14:paraId="249B52E4">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开户名称：</w:t>
            </w:r>
          </w:p>
        </w:tc>
        <w:tc>
          <w:tcPr>
            <w:tcW w:w="4614" w:type="dxa"/>
            <w:vAlign w:val="center"/>
          </w:tcPr>
          <w:p w14:paraId="713FA249">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开户名称：</w:t>
            </w:r>
          </w:p>
        </w:tc>
      </w:tr>
      <w:tr w14:paraId="16BEC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 w:hRule="atLeast"/>
        </w:trPr>
        <w:tc>
          <w:tcPr>
            <w:tcW w:w="4676" w:type="dxa"/>
            <w:vAlign w:val="center"/>
          </w:tcPr>
          <w:p w14:paraId="3E2C7CC3">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开户账号：</w:t>
            </w:r>
          </w:p>
        </w:tc>
        <w:tc>
          <w:tcPr>
            <w:tcW w:w="4614" w:type="dxa"/>
            <w:vAlign w:val="center"/>
          </w:tcPr>
          <w:p w14:paraId="565DE374">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开户账号：</w:t>
            </w:r>
          </w:p>
        </w:tc>
      </w:tr>
    </w:tbl>
    <w:p w14:paraId="5C45779E">
      <w:pPr>
        <w:spacing w:line="400" w:lineRule="exact"/>
        <w:rPr>
          <w:rFonts w:ascii="宋体" w:hAnsi="宋体" w:cs="宋体"/>
          <w:color w:val="auto"/>
          <w:szCs w:val="21"/>
          <w:highlight w:val="none"/>
        </w:rPr>
      </w:pPr>
    </w:p>
    <w:p w14:paraId="31D5F9F5">
      <w:pPr>
        <w:snapToGrid w:val="0"/>
        <w:spacing w:line="360" w:lineRule="auto"/>
        <w:ind w:firstLine="420" w:firstLineChars="200"/>
        <w:rPr>
          <w:rFonts w:hAnsi="宋体"/>
          <w:color w:val="auto"/>
          <w:szCs w:val="21"/>
          <w:highlight w:val="none"/>
        </w:rPr>
      </w:pPr>
    </w:p>
    <w:p w14:paraId="44EC252C">
      <w:pPr>
        <w:snapToGrid w:val="0"/>
        <w:spacing w:line="360" w:lineRule="auto"/>
        <w:ind w:firstLine="420" w:firstLineChars="200"/>
        <w:rPr>
          <w:rFonts w:hAnsi="宋体"/>
          <w:color w:val="auto"/>
          <w:szCs w:val="21"/>
          <w:highlight w:val="none"/>
        </w:rPr>
      </w:pPr>
    </w:p>
    <w:p w14:paraId="088FF25A">
      <w:pPr>
        <w:pStyle w:val="11"/>
        <w:rPr>
          <w:rFonts w:hAnsi="宋体"/>
          <w:color w:val="auto"/>
          <w:szCs w:val="21"/>
          <w:highlight w:val="none"/>
        </w:rPr>
      </w:pPr>
    </w:p>
    <w:p w14:paraId="5C12D180">
      <w:pPr>
        <w:pStyle w:val="12"/>
        <w:ind w:firstLine="680"/>
        <w:rPr>
          <w:rFonts w:hAnsi="宋体"/>
          <w:color w:val="auto"/>
          <w:szCs w:val="21"/>
          <w:highlight w:val="none"/>
        </w:rPr>
      </w:pPr>
    </w:p>
    <w:p w14:paraId="26576894">
      <w:pPr>
        <w:pStyle w:val="13"/>
        <w:ind w:firstLine="210"/>
        <w:rPr>
          <w:rFonts w:hAnsi="宋体"/>
          <w:color w:val="auto"/>
          <w:szCs w:val="21"/>
          <w:highlight w:val="none"/>
        </w:rPr>
      </w:pPr>
    </w:p>
    <w:p w14:paraId="0C1CC22E">
      <w:pPr>
        <w:rPr>
          <w:rFonts w:hAnsi="宋体"/>
          <w:color w:val="auto"/>
          <w:szCs w:val="21"/>
          <w:highlight w:val="none"/>
        </w:rPr>
      </w:pPr>
    </w:p>
    <w:p w14:paraId="24E4CE6C">
      <w:pPr>
        <w:pStyle w:val="11"/>
        <w:rPr>
          <w:rFonts w:hAnsi="宋体"/>
          <w:color w:val="auto"/>
          <w:szCs w:val="21"/>
          <w:highlight w:val="none"/>
        </w:rPr>
      </w:pPr>
    </w:p>
    <w:p w14:paraId="5817A0FC">
      <w:pPr>
        <w:pStyle w:val="12"/>
        <w:ind w:firstLine="680"/>
        <w:rPr>
          <w:rFonts w:hAnsi="宋体"/>
          <w:color w:val="auto"/>
          <w:szCs w:val="21"/>
          <w:highlight w:val="none"/>
        </w:rPr>
      </w:pPr>
    </w:p>
    <w:p w14:paraId="118EA833">
      <w:pPr>
        <w:pStyle w:val="13"/>
        <w:ind w:firstLine="210"/>
        <w:rPr>
          <w:rFonts w:hAnsi="宋体"/>
          <w:color w:val="auto"/>
          <w:szCs w:val="21"/>
          <w:highlight w:val="none"/>
        </w:rPr>
      </w:pPr>
    </w:p>
    <w:p w14:paraId="020964AC">
      <w:pPr>
        <w:rPr>
          <w:rFonts w:hAnsi="宋体"/>
          <w:color w:val="auto"/>
          <w:szCs w:val="21"/>
          <w:highlight w:val="none"/>
        </w:rPr>
      </w:pPr>
    </w:p>
    <w:p w14:paraId="7C4D1C7C">
      <w:pPr>
        <w:pStyle w:val="11"/>
        <w:rPr>
          <w:rFonts w:hAnsi="宋体"/>
          <w:color w:val="auto"/>
          <w:szCs w:val="21"/>
          <w:highlight w:val="none"/>
        </w:rPr>
      </w:pPr>
    </w:p>
    <w:p w14:paraId="0CF55F8F">
      <w:pPr>
        <w:pStyle w:val="12"/>
        <w:ind w:firstLine="680"/>
        <w:rPr>
          <w:rFonts w:hAnsi="宋体"/>
          <w:color w:val="auto"/>
          <w:szCs w:val="21"/>
          <w:highlight w:val="none"/>
        </w:rPr>
      </w:pPr>
    </w:p>
    <w:p w14:paraId="2DB52521">
      <w:pPr>
        <w:pStyle w:val="13"/>
        <w:ind w:firstLine="210"/>
        <w:rPr>
          <w:rFonts w:hAnsi="宋体"/>
          <w:color w:val="auto"/>
          <w:szCs w:val="21"/>
          <w:highlight w:val="none"/>
        </w:rPr>
      </w:pPr>
    </w:p>
    <w:p w14:paraId="254CC9C9">
      <w:pPr>
        <w:rPr>
          <w:rFonts w:hAnsi="宋体"/>
          <w:color w:val="auto"/>
          <w:szCs w:val="21"/>
          <w:highlight w:val="none"/>
        </w:rPr>
      </w:pPr>
    </w:p>
    <w:p w14:paraId="7B2AAD0D">
      <w:pPr>
        <w:pStyle w:val="11"/>
        <w:rPr>
          <w:rFonts w:hAnsi="宋体"/>
          <w:color w:val="auto"/>
          <w:szCs w:val="21"/>
          <w:highlight w:val="none"/>
        </w:rPr>
      </w:pPr>
    </w:p>
    <w:p w14:paraId="0520A12D">
      <w:pPr>
        <w:pStyle w:val="12"/>
        <w:ind w:firstLine="680"/>
        <w:rPr>
          <w:rFonts w:hAnsi="宋体"/>
          <w:color w:val="auto"/>
          <w:szCs w:val="21"/>
          <w:highlight w:val="none"/>
        </w:rPr>
      </w:pPr>
    </w:p>
    <w:p w14:paraId="21253313">
      <w:pPr>
        <w:pStyle w:val="13"/>
        <w:ind w:firstLine="210"/>
        <w:rPr>
          <w:rFonts w:hAnsi="宋体"/>
          <w:color w:val="auto"/>
          <w:szCs w:val="21"/>
          <w:highlight w:val="none"/>
        </w:rPr>
      </w:pPr>
    </w:p>
    <w:p w14:paraId="0AF2CF7C">
      <w:pPr>
        <w:rPr>
          <w:rFonts w:hAnsi="宋体"/>
          <w:color w:val="auto"/>
          <w:szCs w:val="21"/>
          <w:highlight w:val="none"/>
        </w:rPr>
      </w:pPr>
    </w:p>
    <w:p w14:paraId="0A8F1F6D">
      <w:pPr>
        <w:pStyle w:val="11"/>
        <w:rPr>
          <w:rFonts w:hAnsi="宋体"/>
          <w:color w:val="auto"/>
          <w:szCs w:val="21"/>
          <w:highlight w:val="none"/>
        </w:rPr>
      </w:pPr>
    </w:p>
    <w:p w14:paraId="4A170A1F">
      <w:pPr>
        <w:pStyle w:val="12"/>
        <w:ind w:firstLine="680"/>
        <w:rPr>
          <w:rFonts w:hAnsi="宋体"/>
          <w:color w:val="auto"/>
          <w:szCs w:val="21"/>
          <w:highlight w:val="none"/>
        </w:rPr>
      </w:pPr>
    </w:p>
    <w:p w14:paraId="34B2A70E">
      <w:pPr>
        <w:pStyle w:val="13"/>
        <w:ind w:firstLine="210"/>
        <w:rPr>
          <w:rFonts w:hAnsi="宋体"/>
          <w:color w:val="auto"/>
          <w:szCs w:val="21"/>
          <w:highlight w:val="none"/>
        </w:rPr>
      </w:pPr>
    </w:p>
    <w:p w14:paraId="533F6ED9">
      <w:pPr>
        <w:rPr>
          <w:rFonts w:hAnsi="宋体"/>
          <w:color w:val="auto"/>
          <w:szCs w:val="21"/>
          <w:highlight w:val="none"/>
        </w:rPr>
      </w:pPr>
    </w:p>
    <w:p w14:paraId="0E136FAE">
      <w:pPr>
        <w:pStyle w:val="11"/>
        <w:rPr>
          <w:rFonts w:hAnsi="宋体"/>
          <w:color w:val="auto"/>
          <w:szCs w:val="21"/>
          <w:highlight w:val="none"/>
        </w:rPr>
      </w:pPr>
    </w:p>
    <w:p w14:paraId="22C2AA46">
      <w:pPr>
        <w:pStyle w:val="12"/>
        <w:ind w:firstLine="680"/>
        <w:rPr>
          <w:color w:val="auto"/>
          <w:highlight w:val="none"/>
        </w:rPr>
      </w:pPr>
    </w:p>
    <w:p w14:paraId="7B77BE20">
      <w:pPr>
        <w:snapToGrid w:val="0"/>
        <w:spacing w:line="360" w:lineRule="auto"/>
        <w:ind w:firstLine="420" w:firstLineChars="200"/>
        <w:rPr>
          <w:rFonts w:hAnsi="宋体"/>
          <w:color w:val="auto"/>
          <w:szCs w:val="21"/>
          <w:highlight w:val="none"/>
        </w:rPr>
      </w:pPr>
    </w:p>
    <w:p w14:paraId="6C32EBC3">
      <w:pPr>
        <w:widowControl/>
        <w:jc w:val="center"/>
        <w:rPr>
          <w:rFonts w:ascii="仿宋_GB2312" w:hAnsi="黑体" w:eastAsia="仿宋_GB2312" w:cs="新宋体"/>
          <w:b/>
          <w:bCs/>
          <w:color w:val="auto"/>
          <w:kern w:val="0"/>
          <w:sz w:val="32"/>
          <w:szCs w:val="32"/>
          <w:highlight w:val="none"/>
        </w:rPr>
      </w:pPr>
      <w:r>
        <w:rPr>
          <w:rFonts w:hint="eastAsia" w:ascii="宋体" w:hAnsi="宋体" w:cs="宋体"/>
          <w:b/>
          <w:bCs/>
          <w:color w:val="auto"/>
          <w:kern w:val="0"/>
          <w:sz w:val="32"/>
          <w:szCs w:val="32"/>
          <w:highlight w:val="none"/>
        </w:rPr>
        <w:t>广西壮族自治区政府采购项目合同验收书（格式）</w:t>
      </w:r>
    </w:p>
    <w:p w14:paraId="273E540F">
      <w:pPr>
        <w:widowControl/>
        <w:snapToGrid w:val="0"/>
        <w:spacing w:before="100" w:beforeAutospacing="1" w:after="100" w:afterAutospacing="1" w:line="320" w:lineRule="exact"/>
        <w:ind w:left="-359" w:leftChars="-171"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w:t>
      </w:r>
      <w:r>
        <w:rPr>
          <w:rFonts w:hint="eastAsia" w:ascii="宋体" w:hAnsi="宋体" w:cs="宋体"/>
          <w:color w:val="auto"/>
          <w:kern w:val="0"/>
          <w:szCs w:val="21"/>
          <w:highlight w:val="none"/>
          <w:u w:val="single"/>
        </w:rPr>
        <w:softHyphen/>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xml:space="preserve">  项目名称   </w:t>
      </w:r>
      <w:r>
        <w:rPr>
          <w:rFonts w:hint="eastAsia" w:ascii="宋体" w:hAnsi="宋体" w:cs="宋体"/>
          <w:color w:val="auto"/>
          <w:kern w:val="0"/>
          <w:szCs w:val="21"/>
          <w:highlight w:val="none"/>
        </w:rPr>
        <w:t>）政府采购项目成交供应商（</w:t>
      </w:r>
      <w:r>
        <w:rPr>
          <w:rFonts w:hint="eastAsia" w:ascii="宋体" w:hAnsi="宋体" w:cs="宋体"/>
          <w:color w:val="auto"/>
          <w:kern w:val="0"/>
          <w:szCs w:val="21"/>
          <w:highlight w:val="none"/>
          <w:u w:val="single"/>
        </w:rPr>
        <w:t xml:space="preserve">            公司名称              </w:t>
      </w:r>
      <w:r>
        <w:rPr>
          <w:rFonts w:hint="eastAsia" w:ascii="宋体" w:hAnsi="宋体" w:cs="宋体"/>
          <w:color w:val="auto"/>
          <w:kern w:val="0"/>
          <w:szCs w:val="21"/>
          <w:highlight w:val="none"/>
        </w:rPr>
        <w:t>）提供的货物及服务进行了验收，验收情况如下：</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527"/>
        <w:gridCol w:w="2294"/>
        <w:gridCol w:w="946"/>
        <w:gridCol w:w="2495"/>
        <w:gridCol w:w="205"/>
        <w:gridCol w:w="793"/>
        <w:gridCol w:w="1367"/>
      </w:tblGrid>
      <w:tr w14:paraId="4C55A2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3821" w:type="dxa"/>
            <w:gridSpan w:val="2"/>
            <w:tcBorders>
              <w:top w:val="single" w:color="auto" w:sz="8" w:space="0"/>
              <w:left w:val="single" w:color="auto" w:sz="8" w:space="0"/>
              <w:bottom w:val="single" w:color="auto" w:sz="8" w:space="0"/>
              <w:right w:val="single" w:color="auto" w:sz="8" w:space="0"/>
            </w:tcBorders>
            <w:vAlign w:val="center"/>
          </w:tcPr>
          <w:p w14:paraId="34E535C1">
            <w:pPr>
              <w:widowControl/>
              <w:snapToGrid w:val="0"/>
              <w:spacing w:before="100" w:beforeAutospacing="1" w:after="100" w:afterAutospacing="1" w:line="320" w:lineRule="exact"/>
              <w:ind w:left="-3" w:firstLine="4" w:firstLineChars="2"/>
              <w:jc w:val="center"/>
              <w:rPr>
                <w:rFonts w:ascii="宋体" w:hAnsi="宋体" w:cs="宋体"/>
                <w:color w:val="auto"/>
                <w:kern w:val="0"/>
                <w:szCs w:val="21"/>
                <w:highlight w:val="none"/>
              </w:rPr>
            </w:pPr>
            <w:r>
              <w:rPr>
                <w:rFonts w:hint="eastAsia" w:ascii="宋体" w:hAnsi="宋体" w:cs="宋体"/>
                <w:color w:val="auto"/>
                <w:kern w:val="0"/>
                <w:szCs w:val="21"/>
                <w:highlight w:val="none"/>
              </w:rPr>
              <w:t>验收方式：</w:t>
            </w:r>
          </w:p>
        </w:tc>
        <w:tc>
          <w:tcPr>
            <w:tcW w:w="5806" w:type="dxa"/>
            <w:gridSpan w:val="5"/>
            <w:tcBorders>
              <w:top w:val="single" w:color="auto" w:sz="8" w:space="0"/>
              <w:left w:val="single" w:color="auto" w:sz="8" w:space="0"/>
              <w:bottom w:val="single" w:color="auto" w:sz="8" w:space="0"/>
              <w:right w:val="single" w:color="auto" w:sz="8" w:space="0"/>
            </w:tcBorders>
            <w:vAlign w:val="center"/>
          </w:tcPr>
          <w:p w14:paraId="043BA163">
            <w:pPr>
              <w:widowControl/>
              <w:snapToGrid w:val="0"/>
              <w:spacing w:before="100" w:beforeAutospacing="1" w:after="100" w:afterAutospacing="1" w:line="320" w:lineRule="exact"/>
              <w:ind w:left="-3" w:firstLine="420" w:firstLineChars="200"/>
              <w:jc w:val="center"/>
              <w:rPr>
                <w:rFonts w:ascii="宋体" w:hAnsi="宋体" w:cs="宋体"/>
                <w:color w:val="auto"/>
                <w:kern w:val="0"/>
                <w:szCs w:val="21"/>
                <w:highlight w:val="none"/>
              </w:rPr>
            </w:pPr>
            <w:r>
              <w:rPr>
                <w:rFonts w:hint="eastAsia" w:ascii="宋体" w:hAnsi="宋体" w:cs="宋体"/>
                <w:color w:val="auto"/>
                <w:kern w:val="0"/>
                <w:szCs w:val="21"/>
                <w:highlight w:val="none"/>
              </w:rPr>
              <w:t>□自行验收         □委托验收</w:t>
            </w:r>
          </w:p>
        </w:tc>
      </w:tr>
      <w:tr w14:paraId="1EA325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22" w:hRule="atLeast"/>
          <w:jc w:val="center"/>
        </w:trPr>
        <w:tc>
          <w:tcPr>
            <w:tcW w:w="1527" w:type="dxa"/>
            <w:tcBorders>
              <w:top w:val="single" w:color="auto" w:sz="8" w:space="0"/>
              <w:left w:val="single" w:color="auto" w:sz="8" w:space="0"/>
              <w:bottom w:val="single" w:color="auto" w:sz="8" w:space="0"/>
              <w:right w:val="single" w:color="auto" w:sz="8" w:space="0"/>
            </w:tcBorders>
            <w:vAlign w:val="center"/>
          </w:tcPr>
          <w:p w14:paraId="1F8B9F2B">
            <w:pPr>
              <w:widowControl/>
              <w:snapToGrid w:val="0"/>
              <w:spacing w:before="100" w:beforeAutospacing="1" w:after="100" w:afterAutospacing="1" w:line="320" w:lineRule="exact"/>
              <w:ind w:firstLine="2" w:firstLineChars="1"/>
              <w:jc w:val="center"/>
              <w:rPr>
                <w:rFonts w:ascii="宋体" w:hAnsi="宋体" w:cs="宋体"/>
                <w:color w:val="auto"/>
                <w:kern w:val="0"/>
                <w:szCs w:val="21"/>
                <w:highlight w:val="none"/>
              </w:rPr>
            </w:pPr>
            <w:r>
              <w:rPr>
                <w:rFonts w:hint="eastAsia" w:ascii="宋体" w:hAnsi="宋体" w:cs="宋体"/>
                <w:color w:val="auto"/>
                <w:kern w:val="0"/>
                <w:szCs w:val="21"/>
                <w:highlight w:val="none"/>
              </w:rPr>
              <w:t>序号</w:t>
            </w:r>
          </w:p>
        </w:tc>
        <w:tc>
          <w:tcPr>
            <w:tcW w:w="2294" w:type="dxa"/>
            <w:tcBorders>
              <w:top w:val="single" w:color="auto" w:sz="8" w:space="0"/>
              <w:left w:val="single" w:color="auto" w:sz="8" w:space="0"/>
              <w:bottom w:val="single" w:color="auto" w:sz="8" w:space="0"/>
              <w:right w:val="single" w:color="auto" w:sz="8" w:space="0"/>
            </w:tcBorders>
            <w:vAlign w:val="center"/>
          </w:tcPr>
          <w:p w14:paraId="2374A047">
            <w:pPr>
              <w:widowControl/>
              <w:snapToGrid w:val="0"/>
              <w:spacing w:before="100" w:beforeAutospacing="1" w:after="100" w:afterAutospacing="1" w:line="320" w:lineRule="exact"/>
              <w:ind w:left="-3" w:firstLine="2" w:firstLineChars="1"/>
              <w:jc w:val="center"/>
              <w:rPr>
                <w:rFonts w:ascii="宋体" w:hAnsi="宋体" w:cs="宋体"/>
                <w:color w:val="auto"/>
                <w:kern w:val="0"/>
                <w:szCs w:val="21"/>
                <w:highlight w:val="none"/>
              </w:rPr>
            </w:pPr>
            <w:r>
              <w:rPr>
                <w:rFonts w:hint="eastAsia" w:ascii="宋体" w:hAnsi="宋体" w:cs="宋体"/>
                <w:color w:val="auto"/>
                <w:kern w:val="0"/>
                <w:szCs w:val="21"/>
                <w:highlight w:val="none"/>
              </w:rPr>
              <w:t>名  称</w:t>
            </w:r>
          </w:p>
        </w:tc>
        <w:tc>
          <w:tcPr>
            <w:tcW w:w="3441" w:type="dxa"/>
            <w:gridSpan w:val="2"/>
            <w:tcBorders>
              <w:top w:val="single" w:color="auto" w:sz="8" w:space="0"/>
              <w:left w:val="single" w:color="auto" w:sz="8" w:space="0"/>
              <w:bottom w:val="single" w:color="auto" w:sz="8" w:space="0"/>
              <w:right w:val="single" w:color="auto" w:sz="8" w:space="0"/>
            </w:tcBorders>
            <w:vAlign w:val="center"/>
          </w:tcPr>
          <w:p w14:paraId="10235286">
            <w:pPr>
              <w:widowControl/>
              <w:snapToGrid w:val="0"/>
              <w:spacing w:before="100" w:beforeAutospacing="1" w:after="100" w:afterAutospacing="1" w:line="320" w:lineRule="exact"/>
              <w:ind w:left="-3" w:firstLine="2" w:firstLineChars="1"/>
              <w:jc w:val="center"/>
              <w:rPr>
                <w:rFonts w:ascii="宋体" w:hAnsi="宋体" w:cs="宋体"/>
                <w:color w:val="auto"/>
                <w:kern w:val="0"/>
                <w:szCs w:val="21"/>
                <w:highlight w:val="none"/>
              </w:rPr>
            </w:pPr>
            <w:r>
              <w:rPr>
                <w:rFonts w:hint="eastAsia" w:ascii="宋体" w:hAnsi="宋体" w:cs="宋体"/>
                <w:color w:val="auto"/>
                <w:kern w:val="0"/>
                <w:szCs w:val="21"/>
                <w:highlight w:val="none"/>
              </w:rPr>
              <w:t>货物及服务内容、标准</w:t>
            </w:r>
          </w:p>
        </w:tc>
        <w:tc>
          <w:tcPr>
            <w:tcW w:w="998" w:type="dxa"/>
            <w:gridSpan w:val="2"/>
            <w:tcBorders>
              <w:top w:val="single" w:color="auto" w:sz="8" w:space="0"/>
              <w:left w:val="single" w:color="auto" w:sz="8" w:space="0"/>
              <w:bottom w:val="single" w:color="auto" w:sz="8" w:space="0"/>
              <w:right w:val="single" w:color="auto" w:sz="8" w:space="0"/>
            </w:tcBorders>
            <w:vAlign w:val="center"/>
          </w:tcPr>
          <w:p w14:paraId="0003460D">
            <w:pPr>
              <w:widowControl/>
              <w:snapToGrid w:val="0"/>
              <w:spacing w:before="100" w:beforeAutospacing="1" w:after="100" w:afterAutospacing="1"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数量</w:t>
            </w:r>
          </w:p>
        </w:tc>
        <w:tc>
          <w:tcPr>
            <w:tcW w:w="1367" w:type="dxa"/>
            <w:tcBorders>
              <w:top w:val="single" w:color="auto" w:sz="8" w:space="0"/>
              <w:left w:val="single" w:color="auto" w:sz="8" w:space="0"/>
              <w:bottom w:val="single" w:color="auto" w:sz="8" w:space="0"/>
              <w:right w:val="single" w:color="auto" w:sz="8" w:space="0"/>
            </w:tcBorders>
            <w:vAlign w:val="center"/>
          </w:tcPr>
          <w:p w14:paraId="36D24BB1">
            <w:pPr>
              <w:widowControl/>
              <w:snapToGrid w:val="0"/>
              <w:spacing w:before="100" w:beforeAutospacing="1" w:after="100" w:afterAutospacing="1" w:line="320" w:lineRule="exact"/>
              <w:ind w:left="-3" w:firstLine="2" w:firstLineChars="1"/>
              <w:jc w:val="center"/>
              <w:rPr>
                <w:rFonts w:ascii="宋体" w:hAnsi="宋体" w:cs="宋体"/>
                <w:color w:val="auto"/>
                <w:kern w:val="0"/>
                <w:szCs w:val="21"/>
                <w:highlight w:val="none"/>
              </w:rPr>
            </w:pPr>
            <w:r>
              <w:rPr>
                <w:rFonts w:hint="eastAsia" w:ascii="宋体" w:hAnsi="宋体" w:cs="宋体"/>
                <w:color w:val="auto"/>
                <w:kern w:val="0"/>
                <w:szCs w:val="21"/>
                <w:highlight w:val="none"/>
              </w:rPr>
              <w:t>金  额</w:t>
            </w:r>
          </w:p>
        </w:tc>
      </w:tr>
      <w:tr w14:paraId="09E101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1527" w:type="dxa"/>
            <w:tcBorders>
              <w:top w:val="single" w:color="auto" w:sz="8" w:space="0"/>
              <w:left w:val="single" w:color="auto" w:sz="8" w:space="0"/>
              <w:bottom w:val="single" w:color="auto" w:sz="8" w:space="0"/>
              <w:right w:val="single" w:color="auto" w:sz="8" w:space="0"/>
            </w:tcBorders>
            <w:vAlign w:val="center"/>
          </w:tcPr>
          <w:p w14:paraId="2F6FC0FA">
            <w:pPr>
              <w:widowControl/>
              <w:snapToGrid w:val="0"/>
              <w:spacing w:before="100" w:beforeAutospacing="1" w:after="100" w:afterAutospacing="1" w:line="320" w:lineRule="exact"/>
              <w:ind w:left="-3" w:firstLine="4" w:firstLineChars="2"/>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294" w:type="dxa"/>
            <w:tcBorders>
              <w:top w:val="single" w:color="auto" w:sz="8" w:space="0"/>
              <w:left w:val="single" w:color="auto" w:sz="8" w:space="0"/>
              <w:bottom w:val="single" w:color="auto" w:sz="8" w:space="0"/>
              <w:right w:val="single" w:color="auto" w:sz="8" w:space="0"/>
            </w:tcBorders>
            <w:vAlign w:val="center"/>
          </w:tcPr>
          <w:p w14:paraId="7B1967EE">
            <w:pPr>
              <w:widowControl/>
              <w:snapToGrid w:val="0"/>
              <w:spacing w:before="100" w:beforeAutospacing="1" w:after="100" w:afterAutospacing="1" w:line="320" w:lineRule="exact"/>
              <w:ind w:left="-3"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441" w:type="dxa"/>
            <w:gridSpan w:val="2"/>
            <w:tcBorders>
              <w:top w:val="single" w:color="auto" w:sz="8" w:space="0"/>
              <w:left w:val="single" w:color="auto" w:sz="8" w:space="0"/>
              <w:bottom w:val="single" w:color="auto" w:sz="8" w:space="0"/>
              <w:right w:val="single" w:color="auto" w:sz="8" w:space="0"/>
            </w:tcBorders>
            <w:vAlign w:val="center"/>
          </w:tcPr>
          <w:p w14:paraId="4AC08EBE">
            <w:pPr>
              <w:widowControl/>
              <w:snapToGrid w:val="0"/>
              <w:spacing w:before="100" w:beforeAutospacing="1" w:after="100" w:afterAutospacing="1" w:line="320" w:lineRule="exact"/>
              <w:ind w:left="-3"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8" w:type="dxa"/>
            <w:gridSpan w:val="2"/>
            <w:tcBorders>
              <w:top w:val="single" w:color="auto" w:sz="8" w:space="0"/>
              <w:left w:val="single" w:color="auto" w:sz="8" w:space="0"/>
              <w:bottom w:val="single" w:color="auto" w:sz="8" w:space="0"/>
              <w:right w:val="single" w:color="auto" w:sz="8" w:space="0"/>
            </w:tcBorders>
            <w:vAlign w:val="center"/>
          </w:tcPr>
          <w:p w14:paraId="10F75A35">
            <w:pPr>
              <w:widowControl/>
              <w:snapToGrid w:val="0"/>
              <w:spacing w:before="100" w:beforeAutospacing="1" w:after="100" w:afterAutospacing="1" w:line="32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367" w:type="dxa"/>
            <w:tcBorders>
              <w:top w:val="single" w:color="auto" w:sz="8" w:space="0"/>
              <w:left w:val="single" w:color="auto" w:sz="8" w:space="0"/>
              <w:bottom w:val="single" w:color="auto" w:sz="8" w:space="0"/>
              <w:right w:val="single" w:color="auto" w:sz="8" w:space="0"/>
            </w:tcBorders>
            <w:vAlign w:val="center"/>
          </w:tcPr>
          <w:p w14:paraId="74766CD3">
            <w:pPr>
              <w:widowControl/>
              <w:snapToGrid w:val="0"/>
              <w:spacing w:before="100" w:beforeAutospacing="1" w:after="100" w:afterAutospacing="1" w:line="32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159704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1527" w:type="dxa"/>
            <w:tcBorders>
              <w:top w:val="single" w:color="auto" w:sz="8" w:space="0"/>
              <w:left w:val="single" w:color="auto" w:sz="8" w:space="0"/>
              <w:bottom w:val="single" w:color="auto" w:sz="8" w:space="0"/>
              <w:right w:val="single" w:color="auto" w:sz="8" w:space="0"/>
            </w:tcBorders>
            <w:vAlign w:val="center"/>
          </w:tcPr>
          <w:p w14:paraId="6E3271EF">
            <w:pPr>
              <w:widowControl/>
              <w:snapToGrid w:val="0"/>
              <w:spacing w:before="100" w:beforeAutospacing="1" w:after="100" w:afterAutospacing="1" w:line="320" w:lineRule="exact"/>
              <w:ind w:left="-3"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294" w:type="dxa"/>
            <w:tcBorders>
              <w:top w:val="single" w:color="auto" w:sz="8" w:space="0"/>
              <w:left w:val="single" w:color="auto" w:sz="8" w:space="0"/>
              <w:bottom w:val="single" w:color="auto" w:sz="8" w:space="0"/>
              <w:right w:val="single" w:color="auto" w:sz="8" w:space="0"/>
            </w:tcBorders>
            <w:vAlign w:val="center"/>
          </w:tcPr>
          <w:p w14:paraId="52256BE5">
            <w:pPr>
              <w:widowControl/>
              <w:snapToGrid w:val="0"/>
              <w:spacing w:before="100" w:beforeAutospacing="1" w:after="100" w:afterAutospacing="1" w:line="320" w:lineRule="exact"/>
              <w:ind w:left="-3"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441" w:type="dxa"/>
            <w:gridSpan w:val="2"/>
            <w:tcBorders>
              <w:top w:val="single" w:color="auto" w:sz="8" w:space="0"/>
              <w:left w:val="single" w:color="auto" w:sz="8" w:space="0"/>
              <w:bottom w:val="single" w:color="auto" w:sz="8" w:space="0"/>
              <w:right w:val="single" w:color="auto" w:sz="8" w:space="0"/>
            </w:tcBorders>
            <w:vAlign w:val="center"/>
          </w:tcPr>
          <w:p w14:paraId="45052CF1">
            <w:pPr>
              <w:widowControl/>
              <w:snapToGrid w:val="0"/>
              <w:spacing w:before="100" w:beforeAutospacing="1" w:after="100" w:afterAutospacing="1" w:line="320" w:lineRule="exact"/>
              <w:ind w:left="-3"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8" w:type="dxa"/>
            <w:gridSpan w:val="2"/>
            <w:tcBorders>
              <w:top w:val="single" w:color="auto" w:sz="8" w:space="0"/>
              <w:left w:val="single" w:color="auto" w:sz="8" w:space="0"/>
              <w:bottom w:val="single" w:color="auto" w:sz="8" w:space="0"/>
              <w:right w:val="single" w:color="auto" w:sz="8" w:space="0"/>
            </w:tcBorders>
            <w:vAlign w:val="center"/>
          </w:tcPr>
          <w:p w14:paraId="612A27D8">
            <w:pPr>
              <w:widowControl/>
              <w:snapToGrid w:val="0"/>
              <w:spacing w:before="100" w:beforeAutospacing="1" w:after="100" w:afterAutospacing="1" w:line="32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367" w:type="dxa"/>
            <w:tcBorders>
              <w:top w:val="single" w:color="auto" w:sz="8" w:space="0"/>
              <w:left w:val="single" w:color="auto" w:sz="8" w:space="0"/>
              <w:bottom w:val="single" w:color="auto" w:sz="8" w:space="0"/>
              <w:right w:val="single" w:color="auto" w:sz="8" w:space="0"/>
            </w:tcBorders>
            <w:vAlign w:val="center"/>
          </w:tcPr>
          <w:p w14:paraId="23FFC96D">
            <w:pPr>
              <w:widowControl/>
              <w:snapToGrid w:val="0"/>
              <w:spacing w:before="100" w:beforeAutospacing="1" w:after="100" w:afterAutospacing="1" w:line="32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5A6BC7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1527" w:type="dxa"/>
            <w:tcBorders>
              <w:top w:val="single" w:color="auto" w:sz="8" w:space="0"/>
              <w:left w:val="single" w:color="auto" w:sz="8" w:space="0"/>
              <w:bottom w:val="single" w:color="auto" w:sz="8" w:space="0"/>
              <w:right w:val="single" w:color="auto" w:sz="8" w:space="0"/>
            </w:tcBorders>
            <w:vAlign w:val="center"/>
          </w:tcPr>
          <w:p w14:paraId="021129FA">
            <w:pPr>
              <w:widowControl/>
              <w:snapToGrid w:val="0"/>
              <w:spacing w:before="100" w:beforeAutospacing="1" w:after="100" w:afterAutospacing="1" w:line="320" w:lineRule="exact"/>
              <w:ind w:left="-3"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294" w:type="dxa"/>
            <w:tcBorders>
              <w:top w:val="single" w:color="auto" w:sz="8" w:space="0"/>
              <w:left w:val="single" w:color="auto" w:sz="8" w:space="0"/>
              <w:bottom w:val="single" w:color="auto" w:sz="8" w:space="0"/>
              <w:right w:val="single" w:color="auto" w:sz="8" w:space="0"/>
            </w:tcBorders>
            <w:vAlign w:val="center"/>
          </w:tcPr>
          <w:p w14:paraId="687E9482">
            <w:pPr>
              <w:widowControl/>
              <w:snapToGrid w:val="0"/>
              <w:spacing w:before="100" w:beforeAutospacing="1" w:after="100" w:afterAutospacing="1" w:line="320" w:lineRule="exact"/>
              <w:ind w:left="-3"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441" w:type="dxa"/>
            <w:gridSpan w:val="2"/>
            <w:tcBorders>
              <w:top w:val="single" w:color="auto" w:sz="8" w:space="0"/>
              <w:left w:val="single" w:color="auto" w:sz="8" w:space="0"/>
              <w:bottom w:val="single" w:color="auto" w:sz="8" w:space="0"/>
              <w:right w:val="single" w:color="auto" w:sz="8" w:space="0"/>
            </w:tcBorders>
            <w:vAlign w:val="center"/>
          </w:tcPr>
          <w:p w14:paraId="5DA1FAE5">
            <w:pPr>
              <w:widowControl/>
              <w:snapToGrid w:val="0"/>
              <w:spacing w:before="100" w:beforeAutospacing="1" w:after="100" w:afterAutospacing="1" w:line="320" w:lineRule="exact"/>
              <w:ind w:left="-3"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8" w:type="dxa"/>
            <w:gridSpan w:val="2"/>
            <w:tcBorders>
              <w:top w:val="single" w:color="auto" w:sz="8" w:space="0"/>
              <w:left w:val="single" w:color="auto" w:sz="8" w:space="0"/>
              <w:bottom w:val="single" w:color="auto" w:sz="8" w:space="0"/>
              <w:right w:val="single" w:color="auto" w:sz="8" w:space="0"/>
            </w:tcBorders>
            <w:vAlign w:val="center"/>
          </w:tcPr>
          <w:p w14:paraId="3E6DEDE9">
            <w:pPr>
              <w:widowControl/>
              <w:snapToGrid w:val="0"/>
              <w:spacing w:before="100" w:beforeAutospacing="1" w:after="100" w:afterAutospacing="1" w:line="32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367" w:type="dxa"/>
            <w:tcBorders>
              <w:top w:val="single" w:color="auto" w:sz="8" w:space="0"/>
              <w:left w:val="single" w:color="auto" w:sz="8" w:space="0"/>
              <w:bottom w:val="single" w:color="auto" w:sz="8" w:space="0"/>
              <w:right w:val="single" w:color="auto" w:sz="8" w:space="0"/>
            </w:tcBorders>
            <w:vAlign w:val="center"/>
          </w:tcPr>
          <w:p w14:paraId="4BD71FE8">
            <w:pPr>
              <w:widowControl/>
              <w:snapToGrid w:val="0"/>
              <w:spacing w:before="100" w:beforeAutospacing="1" w:after="100" w:afterAutospacing="1" w:line="32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199319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7262" w:type="dxa"/>
            <w:gridSpan w:val="4"/>
            <w:tcBorders>
              <w:top w:val="single" w:color="auto" w:sz="8" w:space="0"/>
              <w:left w:val="single" w:color="auto" w:sz="8" w:space="0"/>
              <w:bottom w:val="single" w:color="auto" w:sz="8" w:space="0"/>
              <w:right w:val="single" w:color="auto" w:sz="8" w:space="0"/>
            </w:tcBorders>
            <w:vAlign w:val="center"/>
          </w:tcPr>
          <w:p w14:paraId="010192EB">
            <w:pPr>
              <w:widowControl/>
              <w:snapToGrid w:val="0"/>
              <w:spacing w:before="100" w:beforeAutospacing="1" w:after="100" w:afterAutospacing="1" w:line="320" w:lineRule="exact"/>
              <w:ind w:left="-3" w:firstLine="4" w:firstLineChars="2"/>
              <w:jc w:val="left"/>
              <w:rPr>
                <w:rFonts w:ascii="宋体" w:hAnsi="宋体" w:cs="宋体"/>
                <w:color w:val="auto"/>
                <w:kern w:val="0"/>
                <w:szCs w:val="21"/>
                <w:highlight w:val="none"/>
              </w:rPr>
            </w:pPr>
            <w:r>
              <w:rPr>
                <w:rFonts w:hint="eastAsia" w:ascii="宋体" w:hAnsi="宋体" w:cs="宋体"/>
                <w:color w:val="auto"/>
                <w:kern w:val="0"/>
                <w:szCs w:val="21"/>
                <w:highlight w:val="none"/>
              </w:rPr>
              <w:t>合        计</w:t>
            </w:r>
          </w:p>
        </w:tc>
        <w:tc>
          <w:tcPr>
            <w:tcW w:w="998" w:type="dxa"/>
            <w:gridSpan w:val="2"/>
            <w:tcBorders>
              <w:top w:val="single" w:color="auto" w:sz="8" w:space="0"/>
              <w:left w:val="single" w:color="auto" w:sz="8" w:space="0"/>
              <w:bottom w:val="single" w:color="auto" w:sz="8" w:space="0"/>
              <w:right w:val="single" w:color="auto" w:sz="8" w:space="0"/>
            </w:tcBorders>
            <w:vAlign w:val="center"/>
          </w:tcPr>
          <w:p w14:paraId="6AA624FC">
            <w:pPr>
              <w:widowControl/>
              <w:snapToGrid w:val="0"/>
              <w:spacing w:before="100" w:beforeAutospacing="1" w:after="100" w:afterAutospacing="1" w:line="32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367" w:type="dxa"/>
            <w:tcBorders>
              <w:top w:val="single" w:color="auto" w:sz="8" w:space="0"/>
              <w:left w:val="single" w:color="auto" w:sz="8" w:space="0"/>
              <w:bottom w:val="single" w:color="auto" w:sz="8" w:space="0"/>
              <w:right w:val="single" w:color="auto" w:sz="8" w:space="0"/>
            </w:tcBorders>
            <w:vAlign w:val="center"/>
          </w:tcPr>
          <w:p w14:paraId="55BF6054">
            <w:pPr>
              <w:widowControl/>
              <w:snapToGrid w:val="0"/>
              <w:spacing w:before="100" w:beforeAutospacing="1" w:after="100" w:afterAutospacing="1" w:line="32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033295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1" w:hRule="atLeast"/>
          <w:jc w:val="center"/>
        </w:trPr>
        <w:tc>
          <w:tcPr>
            <w:tcW w:w="9627" w:type="dxa"/>
            <w:gridSpan w:val="7"/>
            <w:tcBorders>
              <w:top w:val="single" w:color="auto" w:sz="8" w:space="0"/>
              <w:left w:val="single" w:color="auto" w:sz="8" w:space="0"/>
              <w:bottom w:val="single" w:color="auto" w:sz="8" w:space="0"/>
              <w:right w:val="single" w:color="auto" w:sz="8" w:space="0"/>
            </w:tcBorders>
            <w:vAlign w:val="center"/>
          </w:tcPr>
          <w:p w14:paraId="1B8386E4">
            <w:pPr>
              <w:widowControl/>
              <w:snapToGrid w:val="0"/>
              <w:spacing w:before="100" w:beforeAutospacing="1" w:after="100" w:afterAutospacing="1" w:line="320" w:lineRule="exact"/>
              <w:ind w:firstLine="2" w:firstLineChars="1"/>
              <w:jc w:val="left"/>
              <w:rPr>
                <w:rFonts w:ascii="宋体" w:hAnsi="宋体" w:cs="宋体"/>
                <w:color w:val="auto"/>
                <w:kern w:val="0"/>
                <w:szCs w:val="21"/>
                <w:highlight w:val="none"/>
              </w:rPr>
            </w:pPr>
            <w:r>
              <w:rPr>
                <w:rFonts w:hint="eastAsia" w:ascii="宋体" w:hAnsi="宋体" w:cs="宋体"/>
                <w:color w:val="auto"/>
                <w:kern w:val="0"/>
                <w:szCs w:val="21"/>
                <w:highlight w:val="none"/>
              </w:rPr>
              <w:t>合计大写金额：   仟    佰    拾    万    仟    佰    拾    元</w:t>
            </w:r>
          </w:p>
        </w:tc>
      </w:tr>
      <w:tr w14:paraId="464C62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1" w:hRule="atLeast"/>
          <w:jc w:val="center"/>
        </w:trPr>
        <w:tc>
          <w:tcPr>
            <w:tcW w:w="1527" w:type="dxa"/>
            <w:tcBorders>
              <w:top w:val="single" w:color="auto" w:sz="8" w:space="0"/>
              <w:left w:val="single" w:color="auto" w:sz="8" w:space="0"/>
              <w:bottom w:val="single" w:color="auto" w:sz="8" w:space="0"/>
              <w:right w:val="single" w:color="auto" w:sz="8" w:space="0"/>
            </w:tcBorders>
            <w:vAlign w:val="center"/>
          </w:tcPr>
          <w:p w14:paraId="141A1AB4">
            <w:pPr>
              <w:widowControl/>
              <w:snapToGrid w:val="0"/>
              <w:spacing w:before="100" w:beforeAutospacing="1" w:after="100" w:afterAutospacing="1" w:line="320" w:lineRule="exact"/>
              <w:ind w:firstLine="2" w:firstLineChars="1"/>
              <w:jc w:val="left"/>
              <w:rPr>
                <w:rFonts w:ascii="宋体" w:hAnsi="宋体" w:cs="宋体"/>
                <w:color w:val="auto"/>
                <w:kern w:val="0"/>
                <w:szCs w:val="21"/>
                <w:highlight w:val="none"/>
              </w:rPr>
            </w:pPr>
            <w:r>
              <w:rPr>
                <w:rFonts w:hint="eastAsia" w:ascii="宋体" w:hAnsi="宋体" w:cs="宋体"/>
                <w:color w:val="auto"/>
                <w:kern w:val="0"/>
                <w:szCs w:val="21"/>
                <w:highlight w:val="none"/>
              </w:rPr>
              <w:t>实际完成日期</w:t>
            </w:r>
          </w:p>
        </w:tc>
        <w:tc>
          <w:tcPr>
            <w:tcW w:w="3240" w:type="dxa"/>
            <w:gridSpan w:val="2"/>
            <w:tcBorders>
              <w:top w:val="single" w:color="auto" w:sz="8" w:space="0"/>
              <w:left w:val="single" w:color="auto" w:sz="8" w:space="0"/>
              <w:bottom w:val="single" w:color="auto" w:sz="8" w:space="0"/>
              <w:right w:val="single" w:color="auto" w:sz="8" w:space="0"/>
            </w:tcBorders>
            <w:vAlign w:val="center"/>
          </w:tcPr>
          <w:p w14:paraId="28EAB6EA">
            <w:pPr>
              <w:snapToGrid w:val="0"/>
              <w:spacing w:before="100" w:beforeAutospacing="1" w:after="100" w:afterAutospacing="1" w:line="320" w:lineRule="exact"/>
              <w:ind w:firstLine="420" w:firstLineChars="200"/>
              <w:jc w:val="left"/>
              <w:rPr>
                <w:rFonts w:ascii="宋体" w:hAnsi="宋体" w:cs="宋体"/>
                <w:color w:val="auto"/>
                <w:kern w:val="0"/>
                <w:szCs w:val="21"/>
                <w:highlight w:val="none"/>
              </w:rPr>
            </w:pPr>
          </w:p>
        </w:tc>
        <w:tc>
          <w:tcPr>
            <w:tcW w:w="2700" w:type="dxa"/>
            <w:gridSpan w:val="2"/>
            <w:tcBorders>
              <w:top w:val="single" w:color="auto" w:sz="8" w:space="0"/>
              <w:left w:val="single" w:color="auto" w:sz="8" w:space="0"/>
              <w:bottom w:val="single" w:color="auto" w:sz="8" w:space="0"/>
              <w:right w:val="single" w:color="auto" w:sz="8" w:space="0"/>
            </w:tcBorders>
            <w:vAlign w:val="center"/>
          </w:tcPr>
          <w:p w14:paraId="665E9D16">
            <w:pPr>
              <w:snapToGrid w:val="0"/>
              <w:spacing w:before="100" w:beforeAutospacing="1" w:after="100" w:afterAutospacing="1" w:line="320" w:lineRule="exact"/>
              <w:ind w:firstLine="39" w:firstLineChars="19"/>
              <w:jc w:val="center"/>
              <w:rPr>
                <w:rFonts w:ascii="宋体" w:hAnsi="宋体" w:cs="宋体"/>
                <w:color w:val="auto"/>
                <w:kern w:val="0"/>
                <w:szCs w:val="21"/>
                <w:highlight w:val="none"/>
              </w:rPr>
            </w:pPr>
            <w:r>
              <w:rPr>
                <w:rFonts w:hint="eastAsia" w:ascii="宋体" w:hAnsi="宋体" w:cs="宋体"/>
                <w:color w:val="auto"/>
                <w:kern w:val="0"/>
                <w:szCs w:val="21"/>
                <w:highlight w:val="none"/>
              </w:rPr>
              <w:t>合同验收日期</w:t>
            </w:r>
          </w:p>
        </w:tc>
        <w:tc>
          <w:tcPr>
            <w:tcW w:w="2160" w:type="dxa"/>
            <w:gridSpan w:val="2"/>
            <w:tcBorders>
              <w:top w:val="single" w:color="auto" w:sz="8" w:space="0"/>
              <w:left w:val="single" w:color="auto" w:sz="8" w:space="0"/>
              <w:bottom w:val="single" w:color="auto" w:sz="8" w:space="0"/>
              <w:right w:val="single" w:color="auto" w:sz="8" w:space="0"/>
            </w:tcBorders>
            <w:vAlign w:val="center"/>
          </w:tcPr>
          <w:p w14:paraId="63768EB4">
            <w:pPr>
              <w:snapToGrid w:val="0"/>
              <w:spacing w:before="100" w:beforeAutospacing="1" w:after="100" w:afterAutospacing="1" w:line="320" w:lineRule="exact"/>
              <w:ind w:firstLine="420" w:firstLineChars="200"/>
              <w:jc w:val="left"/>
              <w:rPr>
                <w:rFonts w:ascii="宋体" w:hAnsi="宋体" w:cs="宋体"/>
                <w:color w:val="auto"/>
                <w:kern w:val="0"/>
                <w:szCs w:val="21"/>
                <w:highlight w:val="none"/>
              </w:rPr>
            </w:pPr>
          </w:p>
        </w:tc>
      </w:tr>
      <w:tr w14:paraId="1620A1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4" w:hRule="atLeast"/>
          <w:jc w:val="center"/>
        </w:trPr>
        <w:tc>
          <w:tcPr>
            <w:tcW w:w="1527" w:type="dxa"/>
            <w:tcBorders>
              <w:top w:val="single" w:color="auto" w:sz="8" w:space="0"/>
              <w:left w:val="single" w:color="auto" w:sz="8" w:space="0"/>
              <w:bottom w:val="single" w:color="auto" w:sz="8" w:space="0"/>
              <w:right w:val="single" w:color="auto" w:sz="8" w:space="0"/>
            </w:tcBorders>
            <w:vAlign w:val="center"/>
          </w:tcPr>
          <w:p w14:paraId="336888D8">
            <w:pPr>
              <w:widowControl/>
              <w:snapToGrid w:val="0"/>
              <w:spacing w:before="100" w:beforeAutospacing="1" w:after="100" w:afterAutospacing="1" w:line="320" w:lineRule="exact"/>
              <w:ind w:firstLine="420" w:firstLineChars="200"/>
              <w:jc w:val="left"/>
              <w:rPr>
                <w:rFonts w:ascii="宋体" w:hAnsi="宋体" w:cs="宋体"/>
                <w:color w:val="auto"/>
                <w:kern w:val="0"/>
                <w:szCs w:val="21"/>
                <w:highlight w:val="none"/>
              </w:rPr>
            </w:pPr>
          </w:p>
        </w:tc>
        <w:tc>
          <w:tcPr>
            <w:tcW w:w="3240" w:type="dxa"/>
            <w:gridSpan w:val="2"/>
            <w:tcBorders>
              <w:top w:val="single" w:color="auto" w:sz="8" w:space="0"/>
              <w:left w:val="single" w:color="auto" w:sz="8" w:space="0"/>
              <w:bottom w:val="single" w:color="auto" w:sz="8" w:space="0"/>
              <w:right w:val="single" w:color="auto" w:sz="8" w:space="0"/>
            </w:tcBorders>
            <w:vAlign w:val="center"/>
          </w:tcPr>
          <w:p w14:paraId="74DAEE1C">
            <w:pPr>
              <w:snapToGrid w:val="0"/>
              <w:spacing w:before="100" w:beforeAutospacing="1" w:after="100" w:afterAutospacing="1" w:line="320" w:lineRule="exact"/>
              <w:ind w:firstLine="420" w:firstLineChars="200"/>
              <w:jc w:val="left"/>
              <w:rPr>
                <w:rFonts w:ascii="宋体" w:hAnsi="宋体" w:cs="宋体"/>
                <w:color w:val="auto"/>
                <w:kern w:val="0"/>
                <w:szCs w:val="21"/>
                <w:highlight w:val="none"/>
              </w:rPr>
            </w:pPr>
          </w:p>
        </w:tc>
        <w:tc>
          <w:tcPr>
            <w:tcW w:w="2700" w:type="dxa"/>
            <w:gridSpan w:val="2"/>
            <w:tcBorders>
              <w:top w:val="single" w:color="auto" w:sz="8" w:space="0"/>
              <w:left w:val="single" w:color="auto" w:sz="8" w:space="0"/>
              <w:bottom w:val="single" w:color="auto" w:sz="8" w:space="0"/>
              <w:right w:val="single" w:color="auto" w:sz="8" w:space="0"/>
            </w:tcBorders>
            <w:vAlign w:val="center"/>
          </w:tcPr>
          <w:p w14:paraId="5695CAF7">
            <w:pPr>
              <w:snapToGrid w:val="0"/>
              <w:spacing w:before="100" w:beforeAutospacing="1" w:after="100" w:afterAutospacing="1" w:line="320" w:lineRule="exact"/>
              <w:ind w:left="590" w:firstLine="420" w:firstLineChars="200"/>
              <w:jc w:val="left"/>
              <w:rPr>
                <w:rFonts w:ascii="宋体" w:hAnsi="宋体" w:cs="宋体"/>
                <w:color w:val="auto"/>
                <w:kern w:val="0"/>
                <w:szCs w:val="21"/>
                <w:highlight w:val="none"/>
              </w:rPr>
            </w:pPr>
          </w:p>
        </w:tc>
        <w:tc>
          <w:tcPr>
            <w:tcW w:w="2160" w:type="dxa"/>
            <w:gridSpan w:val="2"/>
            <w:tcBorders>
              <w:top w:val="single" w:color="auto" w:sz="8" w:space="0"/>
              <w:left w:val="single" w:color="auto" w:sz="8" w:space="0"/>
              <w:bottom w:val="single" w:color="auto" w:sz="8" w:space="0"/>
              <w:right w:val="single" w:color="auto" w:sz="8" w:space="0"/>
            </w:tcBorders>
            <w:vAlign w:val="center"/>
          </w:tcPr>
          <w:p w14:paraId="41596F9F">
            <w:pPr>
              <w:snapToGrid w:val="0"/>
              <w:spacing w:before="100" w:beforeAutospacing="1" w:after="100" w:afterAutospacing="1" w:line="320" w:lineRule="exact"/>
              <w:ind w:firstLine="420" w:firstLineChars="200"/>
              <w:jc w:val="left"/>
              <w:rPr>
                <w:rFonts w:ascii="宋体" w:hAnsi="宋体" w:cs="宋体"/>
                <w:color w:val="auto"/>
                <w:kern w:val="0"/>
                <w:szCs w:val="21"/>
                <w:highlight w:val="none"/>
              </w:rPr>
            </w:pPr>
          </w:p>
        </w:tc>
      </w:tr>
      <w:tr w14:paraId="719F3F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93" w:hRule="atLeast"/>
          <w:jc w:val="center"/>
        </w:trPr>
        <w:tc>
          <w:tcPr>
            <w:tcW w:w="152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91465F5">
            <w:pPr>
              <w:widowControl/>
              <w:snapToGrid w:val="0"/>
              <w:spacing w:before="100" w:beforeAutospacing="1" w:after="100" w:afterAutospacing="1"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验收具体内容</w:t>
            </w:r>
          </w:p>
        </w:tc>
        <w:tc>
          <w:tcPr>
            <w:tcW w:w="8100" w:type="dxa"/>
            <w:gridSpan w:val="6"/>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0EF4375">
            <w:pPr>
              <w:widowControl/>
              <w:snapToGrid w:val="0"/>
              <w:spacing w:before="100" w:beforeAutospacing="1" w:after="100" w:afterAutospacing="1" w:line="320" w:lineRule="exact"/>
              <w:jc w:val="left"/>
              <w:rPr>
                <w:rFonts w:ascii="宋体" w:hAnsi="宋体" w:cs="宋体"/>
                <w:color w:val="auto"/>
                <w:kern w:val="0"/>
                <w:szCs w:val="21"/>
                <w:highlight w:val="none"/>
              </w:rPr>
            </w:pPr>
            <w:r>
              <w:rPr>
                <w:rFonts w:hint="eastAsia" w:ascii="宋体" w:hAnsi="宋体"/>
                <w:color w:val="auto"/>
                <w:szCs w:val="21"/>
                <w:highlight w:val="none"/>
              </w:rPr>
              <w:t>（应</w:t>
            </w:r>
            <w:r>
              <w:rPr>
                <w:rFonts w:hint="eastAsia" w:ascii="宋体" w:hAnsi="宋体" w:cs="宋体"/>
                <w:color w:val="auto"/>
                <w:kern w:val="0"/>
                <w:szCs w:val="21"/>
                <w:highlight w:val="none"/>
              </w:rPr>
              <w:t>按采购合同、采购文件、响应文件及验收方案等进行验收；并核对</w:t>
            </w:r>
            <w:r>
              <w:rPr>
                <w:rFonts w:hint="eastAsia" w:ascii="宋体" w:hAnsi="宋体"/>
                <w:color w:val="auto"/>
                <w:szCs w:val="21"/>
                <w:highlight w:val="none"/>
              </w:rPr>
              <w:t>成交供应商在供货、服务、培训等方面是否违反合同约定或服务规范要求、提供的质量保证证明材料是否齐全并达到合同约定等</w:t>
            </w:r>
            <w:r>
              <w:rPr>
                <w:rFonts w:hint="eastAsia" w:ascii="宋体" w:hAnsi="宋体" w:cs="宋体"/>
                <w:color w:val="auto"/>
                <w:kern w:val="0"/>
                <w:szCs w:val="21"/>
                <w:highlight w:val="none"/>
              </w:rPr>
              <w:t>。可附件)</w:t>
            </w:r>
          </w:p>
        </w:tc>
      </w:tr>
      <w:tr w14:paraId="56E45F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32" w:hRule="atLeast"/>
          <w:jc w:val="center"/>
        </w:trPr>
        <w:tc>
          <w:tcPr>
            <w:tcW w:w="1527"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11E20E0">
            <w:pPr>
              <w:widowControl/>
              <w:spacing w:before="100" w:beforeAutospacing="1" w:after="100" w:afterAutospacing="1"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验收小组意见</w:t>
            </w:r>
          </w:p>
        </w:tc>
        <w:tc>
          <w:tcPr>
            <w:tcW w:w="8100" w:type="dxa"/>
            <w:gridSpan w:val="6"/>
            <w:tcBorders>
              <w:top w:val="single" w:color="auto" w:sz="8" w:space="0"/>
              <w:left w:val="single" w:color="auto" w:sz="8" w:space="0"/>
              <w:bottom w:val="single" w:color="auto" w:sz="4" w:space="0"/>
              <w:right w:val="single" w:color="auto" w:sz="8" w:space="0"/>
            </w:tcBorders>
            <w:vAlign w:val="center"/>
          </w:tcPr>
          <w:p w14:paraId="0259CBA2">
            <w:pPr>
              <w:widowControl/>
              <w:spacing w:before="100" w:beforeAutospacing="1" w:after="100" w:afterAutospacing="1"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验收结论性意见：</w:t>
            </w:r>
          </w:p>
        </w:tc>
      </w:tr>
      <w:tr w14:paraId="4C3C50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7" w:hRule="atLeast"/>
          <w:jc w:val="center"/>
        </w:trPr>
        <w:tc>
          <w:tcPr>
            <w:tcW w:w="1527" w:type="dxa"/>
            <w:vMerge w:val="continue"/>
            <w:tcBorders>
              <w:top w:val="single" w:color="auto" w:sz="8" w:space="0"/>
              <w:left w:val="single" w:color="auto" w:sz="8" w:space="0"/>
              <w:bottom w:val="single" w:color="auto" w:sz="8" w:space="0"/>
              <w:right w:val="single" w:color="auto" w:sz="8" w:space="0"/>
            </w:tcBorders>
            <w:vAlign w:val="center"/>
          </w:tcPr>
          <w:p w14:paraId="574E49CD">
            <w:pPr>
              <w:widowControl/>
              <w:spacing w:line="320" w:lineRule="exact"/>
              <w:jc w:val="left"/>
              <w:rPr>
                <w:rFonts w:ascii="宋体" w:hAnsi="宋体" w:cs="宋体"/>
                <w:color w:val="auto"/>
                <w:kern w:val="0"/>
                <w:szCs w:val="21"/>
                <w:highlight w:val="none"/>
              </w:rPr>
            </w:pPr>
          </w:p>
        </w:tc>
        <w:tc>
          <w:tcPr>
            <w:tcW w:w="8100" w:type="dxa"/>
            <w:gridSpan w:val="6"/>
            <w:tcBorders>
              <w:top w:val="single" w:color="auto" w:sz="4" w:space="0"/>
              <w:left w:val="single" w:color="auto" w:sz="8" w:space="0"/>
              <w:bottom w:val="single" w:color="auto" w:sz="8" w:space="0"/>
              <w:right w:val="single" w:color="auto" w:sz="8" w:space="0"/>
            </w:tcBorders>
            <w:vAlign w:val="center"/>
          </w:tcPr>
          <w:p w14:paraId="4CAB7A44">
            <w:pPr>
              <w:spacing w:before="100" w:beforeAutospacing="1" w:after="100" w:afterAutospacing="1" w:line="320" w:lineRule="exact"/>
              <w:ind w:firstLine="84" w:firstLineChars="40"/>
              <w:jc w:val="left"/>
              <w:rPr>
                <w:rFonts w:ascii="宋体" w:hAnsi="宋体" w:cs="宋体"/>
                <w:color w:val="auto"/>
                <w:kern w:val="0"/>
                <w:szCs w:val="21"/>
                <w:highlight w:val="none"/>
              </w:rPr>
            </w:pPr>
            <w:r>
              <w:rPr>
                <w:rFonts w:hint="eastAsia" w:ascii="宋体" w:hAnsi="宋体" w:cs="宋体"/>
                <w:color w:val="auto"/>
                <w:kern w:val="0"/>
                <w:szCs w:val="21"/>
                <w:highlight w:val="none"/>
              </w:rPr>
              <w:t>有异议的意见和说明理由：</w:t>
            </w:r>
          </w:p>
          <w:p w14:paraId="5B15D18A">
            <w:pPr>
              <w:spacing w:before="100" w:beforeAutospacing="1" w:after="100" w:afterAutospacing="1"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签字：</w:t>
            </w:r>
          </w:p>
        </w:tc>
      </w:tr>
      <w:tr w14:paraId="42FA01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7" w:hRule="atLeast"/>
          <w:jc w:val="center"/>
        </w:trPr>
        <w:tc>
          <w:tcPr>
            <w:tcW w:w="9627" w:type="dxa"/>
            <w:gridSpan w:val="7"/>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35DB3E7">
            <w:pPr>
              <w:widowControl/>
              <w:spacing w:before="100" w:beforeAutospacing="1" w:after="100" w:afterAutospacing="1"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验收小组成员签字：</w:t>
            </w:r>
          </w:p>
        </w:tc>
      </w:tr>
      <w:tr w14:paraId="594786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36" w:hRule="atLeast"/>
          <w:jc w:val="center"/>
        </w:trPr>
        <w:tc>
          <w:tcPr>
            <w:tcW w:w="9627" w:type="dxa"/>
            <w:gridSpan w:val="7"/>
            <w:tcBorders>
              <w:top w:val="single" w:color="auto" w:sz="8" w:space="0"/>
              <w:left w:val="single" w:color="auto" w:sz="8" w:space="0"/>
              <w:bottom w:val="single" w:color="auto" w:sz="4" w:space="0"/>
              <w:right w:val="single" w:color="auto" w:sz="8" w:space="0"/>
            </w:tcBorders>
            <w:tcMar>
              <w:top w:w="0" w:type="dxa"/>
              <w:left w:w="108" w:type="dxa"/>
              <w:bottom w:w="0" w:type="dxa"/>
              <w:right w:w="108" w:type="dxa"/>
            </w:tcMar>
            <w:vAlign w:val="center"/>
          </w:tcPr>
          <w:p w14:paraId="187D01E0">
            <w:pPr>
              <w:widowControl/>
              <w:spacing w:before="100" w:beforeAutospacing="1" w:after="100" w:afterAutospacing="1"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监督人员或其他相关人员签字：</w:t>
            </w:r>
          </w:p>
          <w:p w14:paraId="0C93E2F4">
            <w:pPr>
              <w:widowControl/>
              <w:spacing w:before="100" w:beforeAutospacing="1" w:after="100" w:afterAutospacing="1" w:line="320" w:lineRule="exact"/>
              <w:ind w:firstLine="65" w:firstLineChars="31"/>
              <w:jc w:val="left"/>
              <w:rPr>
                <w:rFonts w:ascii="宋体" w:hAnsi="宋体" w:cs="宋体"/>
                <w:color w:val="auto"/>
                <w:kern w:val="0"/>
                <w:szCs w:val="21"/>
                <w:highlight w:val="none"/>
              </w:rPr>
            </w:pPr>
            <w:r>
              <w:rPr>
                <w:rFonts w:hint="eastAsia" w:ascii="宋体" w:hAnsi="宋体" w:cs="宋体"/>
                <w:color w:val="auto"/>
                <w:kern w:val="0"/>
                <w:szCs w:val="21"/>
                <w:highlight w:val="none"/>
              </w:rPr>
              <w:t>或受邀机构的意见（盖章）：</w:t>
            </w:r>
          </w:p>
        </w:tc>
      </w:tr>
      <w:tr w14:paraId="4D3D15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812" w:hRule="atLeast"/>
          <w:jc w:val="center"/>
        </w:trPr>
        <w:tc>
          <w:tcPr>
            <w:tcW w:w="4767"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058D5B7">
            <w:pPr>
              <w:widowControl/>
              <w:spacing w:before="100" w:beforeAutospacing="1" w:after="100" w:afterAutospacing="1" w:line="320" w:lineRule="exact"/>
              <w:ind w:firstLine="65" w:firstLineChars="31"/>
              <w:jc w:val="left"/>
              <w:rPr>
                <w:rFonts w:ascii="宋体" w:hAnsi="宋体" w:cs="宋体"/>
                <w:color w:val="auto"/>
                <w:kern w:val="0"/>
                <w:szCs w:val="21"/>
                <w:highlight w:val="none"/>
              </w:rPr>
            </w:pPr>
            <w:r>
              <w:rPr>
                <w:rFonts w:hint="eastAsia" w:ascii="宋体" w:hAnsi="宋体" w:cs="宋体"/>
                <w:color w:val="auto"/>
                <w:kern w:val="0"/>
                <w:szCs w:val="21"/>
                <w:highlight w:val="none"/>
              </w:rPr>
              <w:t>成交或者成交供应商负责人签字或盖章：</w:t>
            </w:r>
          </w:p>
          <w:p w14:paraId="685102EB">
            <w:pPr>
              <w:widowControl/>
              <w:spacing w:before="100" w:beforeAutospacing="1" w:after="100" w:afterAutospacing="1" w:line="320" w:lineRule="exact"/>
              <w:ind w:firstLine="65" w:firstLineChars="31"/>
              <w:jc w:val="left"/>
              <w:rPr>
                <w:rFonts w:ascii="宋体" w:hAnsi="宋体" w:cs="宋体"/>
                <w:color w:val="auto"/>
                <w:kern w:val="0"/>
                <w:szCs w:val="21"/>
                <w:highlight w:val="none"/>
              </w:rPr>
            </w:pPr>
          </w:p>
          <w:p w14:paraId="5F6EB66F">
            <w:pPr>
              <w:widowControl/>
              <w:spacing w:before="100" w:beforeAutospacing="1" w:after="100" w:afterAutospacing="1"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联系电话：         年 月 日</w:t>
            </w:r>
          </w:p>
        </w:tc>
        <w:tc>
          <w:tcPr>
            <w:tcW w:w="4860" w:type="dxa"/>
            <w:gridSpan w:val="4"/>
            <w:tcBorders>
              <w:top w:val="single" w:color="auto" w:sz="4" w:space="0"/>
              <w:left w:val="single" w:color="auto" w:sz="4" w:space="0"/>
              <w:bottom w:val="single" w:color="auto" w:sz="4" w:space="0"/>
              <w:right w:val="single" w:color="auto" w:sz="4" w:space="0"/>
            </w:tcBorders>
            <w:vAlign w:val="center"/>
          </w:tcPr>
          <w:p w14:paraId="4092651D">
            <w:pPr>
              <w:widowControl/>
              <w:spacing w:before="100" w:beforeAutospacing="1" w:after="100" w:afterAutospacing="1"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采购人或受托机构的意见（盖章）：</w:t>
            </w:r>
          </w:p>
          <w:p w14:paraId="756574FE">
            <w:pPr>
              <w:widowControl/>
              <w:spacing w:before="100" w:beforeAutospacing="1" w:after="100" w:afterAutospacing="1" w:line="320" w:lineRule="exact"/>
              <w:jc w:val="left"/>
              <w:rPr>
                <w:rFonts w:ascii="宋体" w:hAnsi="宋体" w:cs="宋体"/>
                <w:color w:val="auto"/>
                <w:kern w:val="0"/>
                <w:szCs w:val="21"/>
                <w:highlight w:val="none"/>
              </w:rPr>
            </w:pPr>
          </w:p>
          <w:p w14:paraId="2175295A">
            <w:pPr>
              <w:widowControl/>
              <w:spacing w:before="100" w:beforeAutospacing="1" w:after="100" w:afterAutospacing="1"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联系电话：                 年   月   日</w:t>
            </w:r>
          </w:p>
        </w:tc>
      </w:tr>
    </w:tbl>
    <w:p w14:paraId="5104A63A">
      <w:pPr>
        <w:widowControl/>
        <w:jc w:val="left"/>
        <w:rPr>
          <w:rFonts w:ascii="宋体" w:hAnsi="宋体" w:cs="宋体"/>
          <w:color w:val="auto"/>
          <w:spacing w:val="-10"/>
          <w:kern w:val="0"/>
          <w:szCs w:val="21"/>
          <w:highlight w:val="none"/>
        </w:rPr>
      </w:pPr>
    </w:p>
    <w:p w14:paraId="751B93B7">
      <w:pPr>
        <w:spacing w:before="4"/>
        <w:rPr>
          <w:rFonts w:ascii="宋体" w:hAnsi="宋体" w:cs="宋体"/>
          <w:color w:val="auto"/>
          <w:sz w:val="6"/>
          <w:szCs w:val="6"/>
          <w:highlight w:val="none"/>
        </w:rPr>
      </w:pPr>
      <w:r>
        <w:rPr>
          <w:rFonts w:hint="eastAsia" w:ascii="宋体" w:hAnsi="宋体" w:cs="宋体"/>
          <w:color w:val="auto"/>
          <w:spacing w:val="-10"/>
          <w:kern w:val="0"/>
          <w:szCs w:val="21"/>
          <w:highlight w:val="none"/>
        </w:rPr>
        <w:t>备注：本报告单一式4份（采购单位1份、供应商1份、采购监督部门备案1份、采购代理机构1份）。</w:t>
      </w:r>
    </w:p>
    <w:sectPr>
      <w:pgSz w:w="11906" w:h="16838"/>
      <w:pgMar w:top="1247" w:right="1247" w:bottom="1247" w:left="1247"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1A0C3BF-1F29-418E-8ADE-06D031E04EF4}"/>
  </w:font>
  <w:font w:name="Arial">
    <w:panose1 w:val="020B0604020202020204"/>
    <w:charset w:val="01"/>
    <w:family w:val="swiss"/>
    <w:pitch w:val="default"/>
    <w:sig w:usb0="E0002EFF" w:usb1="C000785B" w:usb2="00000009" w:usb3="00000000" w:csb0="400001FF" w:csb1="FFFF0000"/>
    <w:embedRegular r:id="rId2" w:fontKey="{86B42EA7-ABE3-4BA3-AB43-98C90C444C01}"/>
  </w:font>
  <w:font w:name="黑体">
    <w:panose1 w:val="02010609060101010101"/>
    <w:charset w:val="86"/>
    <w:family w:val="auto"/>
    <w:pitch w:val="default"/>
    <w:sig w:usb0="800002BF" w:usb1="38CF7CFA" w:usb2="00000016" w:usb3="00000000" w:csb0="00040001" w:csb1="00000000"/>
    <w:embedRegular r:id="rId3" w:fontKey="{6835805E-A3BA-47A1-A380-CC8A2E097216}"/>
  </w:font>
  <w:font w:name="Courier New">
    <w:panose1 w:val="02070309020205020404"/>
    <w:charset w:val="01"/>
    <w:family w:val="modern"/>
    <w:pitch w:val="default"/>
    <w:sig w:usb0="E0002EFF" w:usb1="C0007843" w:usb2="00000009" w:usb3="00000000" w:csb0="400001FF" w:csb1="FFFF0000"/>
    <w:embedRegular r:id="rId4" w:fontKey="{6110C01D-3C8A-44CF-8B27-8E69C189BF2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479824C1-03D8-40FC-A646-ABBD4BF73231}"/>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6" w:fontKey="{B37401AA-E3D0-45F5-AFA7-8DCEDA477C6A}"/>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embedRegular r:id="rId7" w:fontKey="{59D4BA35-36BF-40F6-BC5E-2EE02C37389F}"/>
  </w:font>
  <w:font w:name="Calibri Light">
    <w:panose1 w:val="020F0302020204030204"/>
    <w:charset w:val="00"/>
    <w:family w:val="roman"/>
    <w:pitch w:val="default"/>
    <w:sig w:usb0="E4002EFF" w:usb1="C000247B" w:usb2="00000009" w:usb3="00000000" w:csb0="200001FF" w:csb1="00000000"/>
    <w:embedRegular r:id="rId8" w:fontKey="{19E55823-A02F-4C43-A66A-21AEE76ABE79}"/>
  </w:font>
  <w:font w:name="Arial Unicode MS">
    <w:panose1 w:val="020B0604020202020204"/>
    <w:charset w:val="86"/>
    <w:family w:val="swiss"/>
    <w:pitch w:val="default"/>
    <w:sig w:usb0="FFFFFFFF" w:usb1="E9FFFFFF" w:usb2="0000003F" w:usb3="00000000" w:csb0="603F01FF" w:csb1="FFFF0000"/>
    <w:embedRegular r:id="rId9" w:fontKey="{86F31015-18DA-4552-A1A9-FEF11A139DE8}"/>
  </w:font>
  <w:font w:name="微软雅黑">
    <w:panose1 w:val="020B0503020204020204"/>
    <w:charset w:val="86"/>
    <w:family w:val="swiss"/>
    <w:pitch w:val="default"/>
    <w:sig w:usb0="80000287" w:usb1="2ACF3C50" w:usb2="00000016" w:usb3="00000000" w:csb0="0004001F" w:csb1="00000000"/>
    <w:embedRegular r:id="rId10" w:fontKey="{F0CB0C0B-F2FF-4733-937E-67AE4B4E916E}"/>
  </w:font>
  <w:font w:name="仿宋">
    <w:panose1 w:val="02010609060101010101"/>
    <w:charset w:val="86"/>
    <w:family w:val="modern"/>
    <w:pitch w:val="default"/>
    <w:sig w:usb0="800002BF" w:usb1="38CF7CFA" w:usb2="00000016" w:usb3="00000000" w:csb0="00040001" w:csb1="00000000"/>
    <w:embedRegular r:id="rId11" w:fontKey="{06C4027B-DAF3-4FFE-AB51-3AA9A19A9575}"/>
  </w:font>
  <w:font w:name="Wingdings 2">
    <w:panose1 w:val="05020102010507070707"/>
    <w:charset w:val="02"/>
    <w:family w:val="roman"/>
    <w:pitch w:val="default"/>
    <w:sig w:usb0="00000000" w:usb1="00000000" w:usb2="00000000" w:usb3="00000000" w:csb0="80000000" w:csb1="00000000"/>
    <w:embedRegular r:id="rId12" w:fontKey="{350A0AB9-20D6-4952-92B9-76546F782E11}"/>
  </w:font>
  <w:font w:name="新宋体">
    <w:panose1 w:val="02010609030101010101"/>
    <w:charset w:val="86"/>
    <w:family w:val="modern"/>
    <w:pitch w:val="default"/>
    <w:sig w:usb0="00000203" w:usb1="288F0000" w:usb2="00000006" w:usb3="00000000" w:csb0="00040001" w:csb1="00000000"/>
    <w:embedRegular r:id="rId13" w:fontKey="{7DD72384-CCE2-4A2B-ADAD-0B872C99C3F6}"/>
  </w:font>
  <w:font w:name="WPSEMBED18">
    <w:panose1 w:val="02010800040101010101"/>
    <w:charset w:val="86"/>
    <w:family w:val="auto"/>
    <w:pitch w:val="default"/>
    <w:sig w:usb0="00000001" w:usb1="080F0000" w:usb2="00000000" w:usb3="00000000" w:csb0="00040000" w:csb1="00000000"/>
  </w:font>
  <w:font w:name="WPSEMBED17">
    <w:panose1 w:val="02010609030101010101"/>
    <w:charset w:val="86"/>
    <w:family w:val="auto"/>
    <w:pitch w:val="default"/>
    <w:sig w:usb0="00000001" w:usb1="080E0000" w:usb2="00000000" w:usb3="00000000" w:csb0="00040000" w:csb1="00000000"/>
  </w:font>
  <w:font w:name="WPSEMBED19">
    <w:panose1 w:val="020B0604020202020204"/>
    <w:charset w:val="86"/>
    <w:family w:val="auto"/>
    <w:pitch w:val="default"/>
    <w:sig w:usb0="FFFFFFFF" w:usb1="E9FFFFFF" w:usb2="0000003F" w:usb3="00000000" w:csb0="603F01FF" w:csb1="FFFF0000"/>
  </w:font>
  <w:font w:name="WPSEMBED20">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3A05C">
    <w:pPr>
      <w:pStyle w:val="20"/>
      <w:tabs>
        <w:tab w:val="center" w:pos="4439"/>
        <w:tab w:val="clear" w:pos="4153"/>
      </w:tabs>
      <w:jc w:val="both"/>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2ADF0B">
                          <w:pPr>
                            <w:pStyle w:val="2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512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DivWt8QBAACQAwAADgAAAAAAAAABACAAAAAeAQAAZHJzL2Uyb0RvYy54bWxQ&#10;SwUGAAAAAAYABgBZAQAAVAUAAAAA&#10;">
              <v:fill on="f" focussize="0,0"/>
              <v:stroke on="f"/>
              <v:imagedata o:title=""/>
              <o:lock v:ext="edit" aspectratio="f"/>
              <v:textbox inset="0mm,0mm,0mm,0mm" style="mso-fit-shape-to-text:t;">
                <w:txbxContent>
                  <w:p w14:paraId="612ADF0B">
                    <w:pPr>
                      <w:pStyle w:val="20"/>
                    </w:pPr>
                    <w:r>
                      <w:fldChar w:fldCharType="begin"/>
                    </w:r>
                    <w:r>
                      <w:instrText xml:space="preserve"> PAGE  \* MERGEFORMAT </w:instrText>
                    </w:r>
                    <w:r>
                      <w:fldChar w:fldCharType="separate"/>
                    </w:r>
                    <w:r>
                      <w:t>1</w:t>
                    </w:r>
                    <w:r>
                      <w:fldChar w:fldCharType="end"/>
                    </w:r>
                  </w:p>
                </w:txbxContent>
              </v:textbox>
            </v:shape>
          </w:pict>
        </mc:Fallback>
      </mc:AlternateContent>
    </w:r>
  </w:p>
  <w:p w14:paraId="729E5A9A">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BCD36">
    <w:pPr>
      <w:pStyle w:val="20"/>
      <w:tabs>
        <w:tab w:val="center" w:pos="4439"/>
        <w:tab w:val="clear" w:pos="4153"/>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5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B38119"/>
                      </w:txbxContent>
                    </wps:txbx>
                    <wps:bodyPr wrap="none" lIns="0" tIns="0" rIns="0" bIns="0">
                      <a:spAutoFit/>
                    </wps:bodyPr>
                  </wps:wsp>
                </a:graphicData>
              </a:graphic>
            </wp:anchor>
          </w:drawing>
        </mc:Choice>
        <mc:Fallback>
          <w:pict>
            <v:shape id="文本框 512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NlaYSsQBAACQAwAADgAAAAAAAAABACAAAAAeAQAAZHJzL2Uyb0RvYy54bWxQ&#10;SwUGAAAAAAYABgBZAQAAVAUAAAAA&#10;">
              <v:fill on="f" focussize="0,0"/>
              <v:stroke on="f"/>
              <v:imagedata o:title=""/>
              <o:lock v:ext="edit" aspectratio="f"/>
              <v:textbox inset="0mm,0mm,0mm,0mm" style="mso-fit-shape-to-text:t;">
                <w:txbxContent>
                  <w:p w14:paraId="2FB38119"/>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23346">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1C186F">
                          <w:pPr>
                            <w:pStyle w:val="20"/>
                            <w:jc w:val="center"/>
                          </w:pPr>
                          <w:r>
                            <w:fldChar w:fldCharType="begin"/>
                          </w:r>
                          <w:r>
                            <w:instrText xml:space="preserve"> PAGE   \* MERGEFORMAT </w:instrText>
                          </w:r>
                          <w:r>
                            <w:fldChar w:fldCharType="separate"/>
                          </w:r>
                          <w:r>
                            <w:rPr>
                              <w:lang w:val="zh-CN"/>
                            </w:rPr>
                            <w:t>4</w:t>
                          </w:r>
                          <w:r>
                            <w:fldChar w:fldCharType="end"/>
                          </w:r>
                        </w:p>
                      </w:txbxContent>
                    </wps:txbx>
                    <wps:bodyPr wrap="none" lIns="0" tIns="0" rIns="0" bIns="0">
                      <a:spAutoFit/>
                    </wps:bodyPr>
                  </wps:wsp>
                </a:graphicData>
              </a:graphic>
            </wp:anchor>
          </w:drawing>
        </mc:Choice>
        <mc:Fallback>
          <w:pict>
            <v:shape id="文本框 51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k8rmcQBAACQAwAADgAAAGRycy9lMm9Eb2MueG1srVPNjtMwEL4j8Q6W&#10;79RpEas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vqTEcYsDv3z/dvnx6/LzK3m1&#10;XN1khfoANSbeB0xNwxs/4N7MfkBnJj6oaPMXKRGMo77nq75ySETkR+vVel1hSGBsviA+e3geIqS3&#10;0luSjYZGHGDRlZ/eQxpT55Rczfk7bUwZonF/ORAze1jufewxW2nYDxOhvW/PyKfH2TfU4apTYt45&#10;lDavyWzE2dhPRq4B4fUxYeHST0YdoaZiOKjCaFqqvAl/3kvWw4+0/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ik8rmcQBAACQAwAADgAAAAAAAAABACAAAAAeAQAAZHJzL2Uyb0RvYy54bWxQ&#10;SwUGAAAAAAYABgBZAQAAVAUAAAAA&#10;">
              <v:fill on="f" focussize="0,0"/>
              <v:stroke on="f"/>
              <v:imagedata o:title=""/>
              <o:lock v:ext="edit" aspectratio="f"/>
              <v:textbox inset="0mm,0mm,0mm,0mm" style="mso-fit-shape-to-text:t;">
                <w:txbxContent>
                  <w:p w14:paraId="681C186F">
                    <w:pPr>
                      <w:pStyle w:val="20"/>
                      <w:jc w:val="center"/>
                    </w:pPr>
                    <w:r>
                      <w:fldChar w:fldCharType="begin"/>
                    </w:r>
                    <w:r>
                      <w:instrText xml:space="preserve"> PAGE   \* MERGEFORMAT </w:instrText>
                    </w:r>
                    <w:r>
                      <w:fldChar w:fldCharType="separate"/>
                    </w:r>
                    <w:r>
                      <w:rPr>
                        <w:lang w:val="zh-CN"/>
                      </w:rPr>
                      <w:t>4</w:t>
                    </w:r>
                    <w:r>
                      <w:fldChar w:fldCharType="end"/>
                    </w:r>
                  </w:p>
                </w:txbxContent>
              </v:textbox>
            </v:shape>
          </w:pict>
        </mc:Fallback>
      </mc:AlternateContent>
    </w:r>
  </w:p>
  <w:p w14:paraId="38569D8C">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7F276">
    <w:pPr>
      <w:pStyle w:val="2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5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085815">
                          <w:pPr>
                            <w:pStyle w:val="2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文本框 512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AO/ptsQBAACQAwAADgAAAAAAAAABACAAAAAeAQAAZHJzL2Uyb0RvYy54bWxQ&#10;SwUGAAAAAAYABgBZAQAAVAUAAAAA&#10;">
              <v:fill on="f" focussize="0,0"/>
              <v:stroke on="f"/>
              <v:imagedata o:title=""/>
              <o:lock v:ext="edit" aspectratio="f"/>
              <v:textbox inset="0mm,0mm,0mm,0mm" style="mso-fit-shape-to-text:t;">
                <w:txbxContent>
                  <w:p w14:paraId="49085815">
                    <w:pPr>
                      <w:pStyle w:val="2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E2750">
    <w:pPr>
      <w:pStyle w:val="2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00C2B8">
                          <w:pPr>
                            <w:pStyle w:val="20"/>
                            <w:jc w:val="center"/>
                          </w:pPr>
                          <w:r>
                            <w:fldChar w:fldCharType="begin"/>
                          </w:r>
                          <w:r>
                            <w:instrText xml:space="preserve"> PAGE  \* MERGEFORMAT </w:instrText>
                          </w:r>
                          <w:r>
                            <w:fldChar w:fldCharType="separate"/>
                          </w:r>
                          <w:r>
                            <w:t>38</w:t>
                          </w:r>
                          <w:r>
                            <w:fldChar w:fldCharType="end"/>
                          </w:r>
                        </w:p>
                      </w:txbxContent>
                    </wps:txbx>
                    <wps:bodyPr wrap="none" lIns="0" tIns="0" rIns="0" bIns="0">
                      <a:spAutoFit/>
                    </wps:bodyPr>
                  </wps:wsp>
                </a:graphicData>
              </a:graphic>
            </wp:anchor>
          </w:drawing>
        </mc:Choice>
        <mc:Fallback>
          <w:pict>
            <v:shape id="文本框 512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gfN8cUBAACQ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22W5TAr1HipMfPKYGoc7N+DezH5AZyI+tMGkL1IiGEd9Txd95RCJSI9W5WpVYEhgbL4gPnt+7gPE&#10;99IZkoyaBhxg1pUfHyGOqXNKqmbdvdI6D1HbvxyImTws9T72mKw47IaJ0M41J+TT4+xranHVKdEP&#10;FqVNazIbYTZ2k5FqgL89RCyc+0moI9RUDAeVGU1LlTbhz3vOev6R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FoHzfHFAQAAkAMAAA4AAAAAAAAAAQAgAAAAHgEAAGRycy9lMm9Eb2MueG1s&#10;UEsFBgAAAAAGAAYAWQEAAFUFAAAAAA==&#10;">
              <v:fill on="f" focussize="0,0"/>
              <v:stroke on="f"/>
              <v:imagedata o:title=""/>
              <o:lock v:ext="edit" aspectratio="f"/>
              <v:textbox inset="0mm,0mm,0mm,0mm" style="mso-fit-shape-to-text:t;">
                <w:txbxContent>
                  <w:p w14:paraId="2800C2B8">
                    <w:pPr>
                      <w:pStyle w:val="20"/>
                      <w:jc w:val="center"/>
                    </w:pPr>
                    <w:r>
                      <w:fldChar w:fldCharType="begin"/>
                    </w:r>
                    <w:r>
                      <w:instrText xml:space="preserve"> PAGE  \* MERGEFORMAT </w:instrText>
                    </w:r>
                    <w:r>
                      <w:fldChar w:fldCharType="separate"/>
                    </w:r>
                    <w:r>
                      <w:t>38</w:t>
                    </w:r>
                    <w:r>
                      <w:fldChar w:fldCharType="end"/>
                    </w:r>
                  </w:p>
                </w:txbxContent>
              </v:textbox>
            </v:shape>
          </w:pict>
        </mc:Fallback>
      </mc:AlternateContent>
    </w:r>
  </w:p>
  <w:p w14:paraId="02F209D2">
    <w:pPr>
      <w:pStyle w:val="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AA7AE">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4676BD">
                          <w:pPr>
                            <w:pStyle w:val="20"/>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wps:txbx>
                    <wps:bodyPr wrap="none" lIns="0" tIns="0" rIns="0" bIns="0">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DiSp0vFAQAAkAMAAA4AAAAAAAAAAQAgAAAAHgEAAGRycy9lMm9Eb2MueG1s&#10;UEsFBgAAAAAGAAYAWQEAAFUFAAAAAA==&#10;">
              <v:fill on="f" focussize="0,0"/>
              <v:stroke on="f"/>
              <v:imagedata o:title=""/>
              <o:lock v:ext="edit" aspectratio="f"/>
              <v:textbox inset="0mm,0mm,0mm,0mm" style="mso-fit-shape-to-text:t;">
                <w:txbxContent>
                  <w:p w14:paraId="004676BD">
                    <w:pPr>
                      <w:pStyle w:val="20"/>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98F51">
    <w:pPr>
      <w:pStyle w:val="2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AEF99">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F42062"/>
    <w:multiLevelType w:val="singleLevel"/>
    <w:tmpl w:val="CEF42062"/>
    <w:lvl w:ilvl="0" w:tentative="0">
      <w:start w:val="1"/>
      <w:numFmt w:val="decimal"/>
      <w:lvlText w:val="%1."/>
      <w:lvlJc w:val="left"/>
      <w:pPr>
        <w:tabs>
          <w:tab w:val="left" w:pos="312"/>
        </w:tabs>
      </w:pPr>
      <w:rPr>
        <w:rFonts w:hint="default" w:ascii="宋体" w:hAnsi="宋体" w:eastAsia="宋体" w:cs="宋体"/>
        <w:b w:val="0"/>
        <w:bCs w:val="0"/>
        <w:sz w:val="21"/>
        <w:szCs w:val="21"/>
      </w:rPr>
    </w:lvl>
  </w:abstractNum>
  <w:abstractNum w:abstractNumId="1">
    <w:nsid w:val="D7F9FE59"/>
    <w:multiLevelType w:val="multilevel"/>
    <w:tmpl w:val="D7F9FE59"/>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FB74BC5B"/>
    <w:multiLevelType w:val="singleLevel"/>
    <w:tmpl w:val="FB74BC5B"/>
    <w:lvl w:ilvl="0" w:tentative="0">
      <w:start w:val="2"/>
      <w:numFmt w:val="decimal"/>
      <w:suff w:val="nothing"/>
      <w:lvlText w:val="（%1）"/>
      <w:lvlJc w:val="left"/>
    </w:lvl>
  </w:abstractNum>
  <w:abstractNum w:abstractNumId="3">
    <w:nsid w:val="2470EC97"/>
    <w:multiLevelType w:val="multilevel"/>
    <w:tmpl w:val="2470EC97"/>
    <w:lvl w:ilvl="0" w:tentative="0">
      <w:start w:val="1"/>
      <w:numFmt w:val="decimal"/>
      <w:lvlText w:val="（%1）"/>
      <w:lvlJc w:val="left"/>
      <w:pPr>
        <w:tabs>
          <w:tab w:val="left" w:pos="1140"/>
        </w:tabs>
        <w:ind w:left="1140" w:hanging="7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2"/>
  </w:num>
  <w:num w:numId="2">
    <w:abstractNumId w:val="3"/>
    <w:lvlOverride w:ilvl="0">
      <w:startOverride w:val="1"/>
    </w:lvlOverride>
  </w:num>
  <w:num w:numId="3">
    <w:abstractNumId w:val="3"/>
  </w:num>
  <w:num w:numId="4">
    <w:abstractNumId w:val="1"/>
    <w:lvlOverride w:ilvl="0">
      <w:startOverride w:val="1"/>
    </w:lvlOverride>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5OWYxOTBkNWFmMDlhNTEzNjBjMDFjMjI4MWYyOTYifQ=="/>
  </w:docVars>
  <w:rsids>
    <w:rsidRoot w:val="00F34B14"/>
    <w:rsid w:val="000002E0"/>
    <w:rsid w:val="00000672"/>
    <w:rsid w:val="00001013"/>
    <w:rsid w:val="00001784"/>
    <w:rsid w:val="00001799"/>
    <w:rsid w:val="00001AF2"/>
    <w:rsid w:val="00001ECA"/>
    <w:rsid w:val="00002D29"/>
    <w:rsid w:val="00003B93"/>
    <w:rsid w:val="0000474D"/>
    <w:rsid w:val="00005FDF"/>
    <w:rsid w:val="0000644A"/>
    <w:rsid w:val="000070B3"/>
    <w:rsid w:val="000076B8"/>
    <w:rsid w:val="000109DC"/>
    <w:rsid w:val="00010D39"/>
    <w:rsid w:val="0001172C"/>
    <w:rsid w:val="00011A43"/>
    <w:rsid w:val="00011BC9"/>
    <w:rsid w:val="00012854"/>
    <w:rsid w:val="00012EA6"/>
    <w:rsid w:val="00013359"/>
    <w:rsid w:val="000139CF"/>
    <w:rsid w:val="00013AA4"/>
    <w:rsid w:val="00013DFE"/>
    <w:rsid w:val="000141EA"/>
    <w:rsid w:val="00016ABC"/>
    <w:rsid w:val="000177DB"/>
    <w:rsid w:val="000179C9"/>
    <w:rsid w:val="00017CCC"/>
    <w:rsid w:val="00020227"/>
    <w:rsid w:val="00020263"/>
    <w:rsid w:val="00020455"/>
    <w:rsid w:val="00020813"/>
    <w:rsid w:val="000215D0"/>
    <w:rsid w:val="000220B2"/>
    <w:rsid w:val="0002264C"/>
    <w:rsid w:val="00022731"/>
    <w:rsid w:val="00022792"/>
    <w:rsid w:val="00024463"/>
    <w:rsid w:val="00025461"/>
    <w:rsid w:val="00025636"/>
    <w:rsid w:val="00025E36"/>
    <w:rsid w:val="00026855"/>
    <w:rsid w:val="00026886"/>
    <w:rsid w:val="0002785D"/>
    <w:rsid w:val="000307BE"/>
    <w:rsid w:val="00031840"/>
    <w:rsid w:val="000329E0"/>
    <w:rsid w:val="00034174"/>
    <w:rsid w:val="000352E9"/>
    <w:rsid w:val="00035494"/>
    <w:rsid w:val="00036125"/>
    <w:rsid w:val="00036A07"/>
    <w:rsid w:val="0003780B"/>
    <w:rsid w:val="00040571"/>
    <w:rsid w:val="00040973"/>
    <w:rsid w:val="0004156E"/>
    <w:rsid w:val="00041713"/>
    <w:rsid w:val="0004440C"/>
    <w:rsid w:val="00046B5E"/>
    <w:rsid w:val="000470CB"/>
    <w:rsid w:val="000509D9"/>
    <w:rsid w:val="000512AF"/>
    <w:rsid w:val="00051ACB"/>
    <w:rsid w:val="000533E7"/>
    <w:rsid w:val="00055D41"/>
    <w:rsid w:val="00056EF6"/>
    <w:rsid w:val="00057CD6"/>
    <w:rsid w:val="00060DCE"/>
    <w:rsid w:val="000610E3"/>
    <w:rsid w:val="000614F3"/>
    <w:rsid w:val="000623B4"/>
    <w:rsid w:val="00062405"/>
    <w:rsid w:val="000634A7"/>
    <w:rsid w:val="00063B0B"/>
    <w:rsid w:val="00063F81"/>
    <w:rsid w:val="00064847"/>
    <w:rsid w:val="00065E08"/>
    <w:rsid w:val="000673E2"/>
    <w:rsid w:val="00067EF1"/>
    <w:rsid w:val="0007063F"/>
    <w:rsid w:val="000707FD"/>
    <w:rsid w:val="00070949"/>
    <w:rsid w:val="000711E4"/>
    <w:rsid w:val="00071E9B"/>
    <w:rsid w:val="000720A1"/>
    <w:rsid w:val="000724D9"/>
    <w:rsid w:val="00072AED"/>
    <w:rsid w:val="00073F47"/>
    <w:rsid w:val="0007492F"/>
    <w:rsid w:val="000749DA"/>
    <w:rsid w:val="00074ED8"/>
    <w:rsid w:val="00075B7E"/>
    <w:rsid w:val="00077ACA"/>
    <w:rsid w:val="00077C70"/>
    <w:rsid w:val="000813B5"/>
    <w:rsid w:val="0008191E"/>
    <w:rsid w:val="00081BA3"/>
    <w:rsid w:val="00081D2E"/>
    <w:rsid w:val="00081F89"/>
    <w:rsid w:val="00082619"/>
    <w:rsid w:val="00082D02"/>
    <w:rsid w:val="0008381A"/>
    <w:rsid w:val="00083871"/>
    <w:rsid w:val="00083B91"/>
    <w:rsid w:val="0008473C"/>
    <w:rsid w:val="0008520B"/>
    <w:rsid w:val="000857DE"/>
    <w:rsid w:val="000860BD"/>
    <w:rsid w:val="000871B8"/>
    <w:rsid w:val="00087B0A"/>
    <w:rsid w:val="000916DA"/>
    <w:rsid w:val="00091AAB"/>
    <w:rsid w:val="00092442"/>
    <w:rsid w:val="000929EF"/>
    <w:rsid w:val="00092C26"/>
    <w:rsid w:val="000933BE"/>
    <w:rsid w:val="00094428"/>
    <w:rsid w:val="0009543C"/>
    <w:rsid w:val="0009560F"/>
    <w:rsid w:val="0009588E"/>
    <w:rsid w:val="000959EE"/>
    <w:rsid w:val="00096DB9"/>
    <w:rsid w:val="00097183"/>
    <w:rsid w:val="000972CB"/>
    <w:rsid w:val="00097608"/>
    <w:rsid w:val="000A0F35"/>
    <w:rsid w:val="000A1175"/>
    <w:rsid w:val="000A13F3"/>
    <w:rsid w:val="000A196A"/>
    <w:rsid w:val="000A1C18"/>
    <w:rsid w:val="000A23B1"/>
    <w:rsid w:val="000A2B0E"/>
    <w:rsid w:val="000A398F"/>
    <w:rsid w:val="000A448C"/>
    <w:rsid w:val="000A509C"/>
    <w:rsid w:val="000A54A7"/>
    <w:rsid w:val="000A5A17"/>
    <w:rsid w:val="000A6007"/>
    <w:rsid w:val="000A65A6"/>
    <w:rsid w:val="000A70E3"/>
    <w:rsid w:val="000A7275"/>
    <w:rsid w:val="000A7A12"/>
    <w:rsid w:val="000A7A72"/>
    <w:rsid w:val="000B1202"/>
    <w:rsid w:val="000B1801"/>
    <w:rsid w:val="000B1D0C"/>
    <w:rsid w:val="000B2273"/>
    <w:rsid w:val="000B2BC6"/>
    <w:rsid w:val="000B2D03"/>
    <w:rsid w:val="000B37F2"/>
    <w:rsid w:val="000B3815"/>
    <w:rsid w:val="000B3C7B"/>
    <w:rsid w:val="000B3E68"/>
    <w:rsid w:val="000B4321"/>
    <w:rsid w:val="000B6A6B"/>
    <w:rsid w:val="000B6C95"/>
    <w:rsid w:val="000B79FC"/>
    <w:rsid w:val="000C1679"/>
    <w:rsid w:val="000C1EE3"/>
    <w:rsid w:val="000C3AE7"/>
    <w:rsid w:val="000C3CC9"/>
    <w:rsid w:val="000C5828"/>
    <w:rsid w:val="000C59C6"/>
    <w:rsid w:val="000C6DE4"/>
    <w:rsid w:val="000C7202"/>
    <w:rsid w:val="000D0A89"/>
    <w:rsid w:val="000D1389"/>
    <w:rsid w:val="000D1798"/>
    <w:rsid w:val="000D2626"/>
    <w:rsid w:val="000D4016"/>
    <w:rsid w:val="000D411D"/>
    <w:rsid w:val="000D4523"/>
    <w:rsid w:val="000D4589"/>
    <w:rsid w:val="000D4809"/>
    <w:rsid w:val="000D4986"/>
    <w:rsid w:val="000D4C60"/>
    <w:rsid w:val="000D713F"/>
    <w:rsid w:val="000D73DD"/>
    <w:rsid w:val="000E1C51"/>
    <w:rsid w:val="000E28AB"/>
    <w:rsid w:val="000E2E3E"/>
    <w:rsid w:val="000E3583"/>
    <w:rsid w:val="000E3AF0"/>
    <w:rsid w:val="000E4E04"/>
    <w:rsid w:val="000E693B"/>
    <w:rsid w:val="000E6D5C"/>
    <w:rsid w:val="000E6EC9"/>
    <w:rsid w:val="000E70B4"/>
    <w:rsid w:val="000E74BB"/>
    <w:rsid w:val="000E7611"/>
    <w:rsid w:val="000E7B62"/>
    <w:rsid w:val="000F0E1E"/>
    <w:rsid w:val="000F1A1B"/>
    <w:rsid w:val="000F2A95"/>
    <w:rsid w:val="000F3281"/>
    <w:rsid w:val="000F32FD"/>
    <w:rsid w:val="000F3733"/>
    <w:rsid w:val="000F5F8B"/>
    <w:rsid w:val="000F6153"/>
    <w:rsid w:val="000F64AA"/>
    <w:rsid w:val="000F7AF4"/>
    <w:rsid w:val="000F7C33"/>
    <w:rsid w:val="000F7F0C"/>
    <w:rsid w:val="001004D6"/>
    <w:rsid w:val="00101D1B"/>
    <w:rsid w:val="00102676"/>
    <w:rsid w:val="0010346A"/>
    <w:rsid w:val="0010350F"/>
    <w:rsid w:val="00103646"/>
    <w:rsid w:val="00103918"/>
    <w:rsid w:val="00104897"/>
    <w:rsid w:val="00104EDE"/>
    <w:rsid w:val="00104F54"/>
    <w:rsid w:val="00105CDA"/>
    <w:rsid w:val="00106BEE"/>
    <w:rsid w:val="0010711C"/>
    <w:rsid w:val="00107368"/>
    <w:rsid w:val="00107BDF"/>
    <w:rsid w:val="00107C74"/>
    <w:rsid w:val="0011091C"/>
    <w:rsid w:val="00111266"/>
    <w:rsid w:val="001112EB"/>
    <w:rsid w:val="0011247D"/>
    <w:rsid w:val="00113678"/>
    <w:rsid w:val="00113A7D"/>
    <w:rsid w:val="00113C3E"/>
    <w:rsid w:val="00115E11"/>
    <w:rsid w:val="00115EEE"/>
    <w:rsid w:val="00115F56"/>
    <w:rsid w:val="00116047"/>
    <w:rsid w:val="00116CA9"/>
    <w:rsid w:val="00116F38"/>
    <w:rsid w:val="001170A4"/>
    <w:rsid w:val="00117AE7"/>
    <w:rsid w:val="00117B85"/>
    <w:rsid w:val="00117CBD"/>
    <w:rsid w:val="0012006A"/>
    <w:rsid w:val="00121979"/>
    <w:rsid w:val="00122064"/>
    <w:rsid w:val="001221BA"/>
    <w:rsid w:val="00124341"/>
    <w:rsid w:val="00124492"/>
    <w:rsid w:val="00124495"/>
    <w:rsid w:val="00124B12"/>
    <w:rsid w:val="001250A0"/>
    <w:rsid w:val="001263B8"/>
    <w:rsid w:val="00126AD8"/>
    <w:rsid w:val="00130217"/>
    <w:rsid w:val="00130783"/>
    <w:rsid w:val="00130A47"/>
    <w:rsid w:val="00130FB0"/>
    <w:rsid w:val="00132B47"/>
    <w:rsid w:val="001337F8"/>
    <w:rsid w:val="001348B4"/>
    <w:rsid w:val="0013506E"/>
    <w:rsid w:val="001351CB"/>
    <w:rsid w:val="00135530"/>
    <w:rsid w:val="00135947"/>
    <w:rsid w:val="001359A2"/>
    <w:rsid w:val="00135F92"/>
    <w:rsid w:val="00136020"/>
    <w:rsid w:val="00136445"/>
    <w:rsid w:val="0013655E"/>
    <w:rsid w:val="00136A9C"/>
    <w:rsid w:val="00137389"/>
    <w:rsid w:val="00140132"/>
    <w:rsid w:val="00141C9C"/>
    <w:rsid w:val="0014277F"/>
    <w:rsid w:val="001434BE"/>
    <w:rsid w:val="00143AAD"/>
    <w:rsid w:val="00144050"/>
    <w:rsid w:val="00144369"/>
    <w:rsid w:val="0014479F"/>
    <w:rsid w:val="001452B4"/>
    <w:rsid w:val="00145320"/>
    <w:rsid w:val="001476D3"/>
    <w:rsid w:val="001509CF"/>
    <w:rsid w:val="00150D1D"/>
    <w:rsid w:val="001525AA"/>
    <w:rsid w:val="00152A87"/>
    <w:rsid w:val="00152AC1"/>
    <w:rsid w:val="00153122"/>
    <w:rsid w:val="00153BB5"/>
    <w:rsid w:val="00154518"/>
    <w:rsid w:val="00156359"/>
    <w:rsid w:val="00156DD6"/>
    <w:rsid w:val="0016086E"/>
    <w:rsid w:val="001609B9"/>
    <w:rsid w:val="00160D0C"/>
    <w:rsid w:val="00160DD1"/>
    <w:rsid w:val="00161172"/>
    <w:rsid w:val="00161998"/>
    <w:rsid w:val="00161A1E"/>
    <w:rsid w:val="00161E65"/>
    <w:rsid w:val="00162597"/>
    <w:rsid w:val="001629AF"/>
    <w:rsid w:val="001629FD"/>
    <w:rsid w:val="0016428A"/>
    <w:rsid w:val="001647C9"/>
    <w:rsid w:val="00165627"/>
    <w:rsid w:val="00165EB3"/>
    <w:rsid w:val="001661A3"/>
    <w:rsid w:val="00167226"/>
    <w:rsid w:val="0016782B"/>
    <w:rsid w:val="0016784D"/>
    <w:rsid w:val="00167853"/>
    <w:rsid w:val="00167887"/>
    <w:rsid w:val="0017159C"/>
    <w:rsid w:val="00172CA8"/>
    <w:rsid w:val="00173256"/>
    <w:rsid w:val="00173B0E"/>
    <w:rsid w:val="00173E03"/>
    <w:rsid w:val="0017512C"/>
    <w:rsid w:val="001756AF"/>
    <w:rsid w:val="0017586A"/>
    <w:rsid w:val="00175BA6"/>
    <w:rsid w:val="00176CA7"/>
    <w:rsid w:val="00176D0C"/>
    <w:rsid w:val="00176F8E"/>
    <w:rsid w:val="001778C5"/>
    <w:rsid w:val="00177E56"/>
    <w:rsid w:val="00177F0A"/>
    <w:rsid w:val="00180DA0"/>
    <w:rsid w:val="00181EAD"/>
    <w:rsid w:val="00182862"/>
    <w:rsid w:val="00182A81"/>
    <w:rsid w:val="00184F57"/>
    <w:rsid w:val="00185091"/>
    <w:rsid w:val="00185544"/>
    <w:rsid w:val="00185617"/>
    <w:rsid w:val="00186FE1"/>
    <w:rsid w:val="00187A14"/>
    <w:rsid w:val="00187D18"/>
    <w:rsid w:val="00187D2F"/>
    <w:rsid w:val="0019171E"/>
    <w:rsid w:val="00191BC9"/>
    <w:rsid w:val="00192368"/>
    <w:rsid w:val="001923A0"/>
    <w:rsid w:val="001928B1"/>
    <w:rsid w:val="00193537"/>
    <w:rsid w:val="001937AA"/>
    <w:rsid w:val="00193846"/>
    <w:rsid w:val="00195424"/>
    <w:rsid w:val="001955FF"/>
    <w:rsid w:val="00197EDD"/>
    <w:rsid w:val="001A02B3"/>
    <w:rsid w:val="001A04BB"/>
    <w:rsid w:val="001A08D0"/>
    <w:rsid w:val="001A1B39"/>
    <w:rsid w:val="001A2120"/>
    <w:rsid w:val="001A28C6"/>
    <w:rsid w:val="001A2E69"/>
    <w:rsid w:val="001A3C34"/>
    <w:rsid w:val="001A3EDE"/>
    <w:rsid w:val="001A4222"/>
    <w:rsid w:val="001A50EA"/>
    <w:rsid w:val="001A57CA"/>
    <w:rsid w:val="001A5E24"/>
    <w:rsid w:val="001A661D"/>
    <w:rsid w:val="001A6795"/>
    <w:rsid w:val="001A6B27"/>
    <w:rsid w:val="001A6D8B"/>
    <w:rsid w:val="001A6DAA"/>
    <w:rsid w:val="001A7487"/>
    <w:rsid w:val="001A7717"/>
    <w:rsid w:val="001A793A"/>
    <w:rsid w:val="001B125A"/>
    <w:rsid w:val="001B1EBA"/>
    <w:rsid w:val="001B2142"/>
    <w:rsid w:val="001B2F2B"/>
    <w:rsid w:val="001B327A"/>
    <w:rsid w:val="001B35DE"/>
    <w:rsid w:val="001B3A13"/>
    <w:rsid w:val="001B3F5C"/>
    <w:rsid w:val="001B57C9"/>
    <w:rsid w:val="001B59FF"/>
    <w:rsid w:val="001B6512"/>
    <w:rsid w:val="001B65D7"/>
    <w:rsid w:val="001B6752"/>
    <w:rsid w:val="001B6768"/>
    <w:rsid w:val="001B6F1F"/>
    <w:rsid w:val="001B7ECC"/>
    <w:rsid w:val="001C025B"/>
    <w:rsid w:val="001C115F"/>
    <w:rsid w:val="001C1DED"/>
    <w:rsid w:val="001C1EAB"/>
    <w:rsid w:val="001C25A7"/>
    <w:rsid w:val="001C2775"/>
    <w:rsid w:val="001C318C"/>
    <w:rsid w:val="001C35C4"/>
    <w:rsid w:val="001C4287"/>
    <w:rsid w:val="001C4479"/>
    <w:rsid w:val="001C5190"/>
    <w:rsid w:val="001C6081"/>
    <w:rsid w:val="001C73EB"/>
    <w:rsid w:val="001C7B48"/>
    <w:rsid w:val="001D0CFB"/>
    <w:rsid w:val="001D1A0D"/>
    <w:rsid w:val="001D343C"/>
    <w:rsid w:val="001D56E2"/>
    <w:rsid w:val="001D58A1"/>
    <w:rsid w:val="001D58C2"/>
    <w:rsid w:val="001D5A8A"/>
    <w:rsid w:val="001D61CA"/>
    <w:rsid w:val="001D6E87"/>
    <w:rsid w:val="001D735E"/>
    <w:rsid w:val="001D73C8"/>
    <w:rsid w:val="001D7BC6"/>
    <w:rsid w:val="001E129E"/>
    <w:rsid w:val="001E175C"/>
    <w:rsid w:val="001E1B0E"/>
    <w:rsid w:val="001E3B63"/>
    <w:rsid w:val="001E5A94"/>
    <w:rsid w:val="001F13FD"/>
    <w:rsid w:val="001F2234"/>
    <w:rsid w:val="001F2A2E"/>
    <w:rsid w:val="001F3356"/>
    <w:rsid w:val="001F396F"/>
    <w:rsid w:val="001F3C63"/>
    <w:rsid w:val="001F4460"/>
    <w:rsid w:val="001F6C96"/>
    <w:rsid w:val="001F711A"/>
    <w:rsid w:val="001F75B0"/>
    <w:rsid w:val="001F7FC7"/>
    <w:rsid w:val="0020057C"/>
    <w:rsid w:val="0020083C"/>
    <w:rsid w:val="00200CE5"/>
    <w:rsid w:val="00200F7C"/>
    <w:rsid w:val="002014DB"/>
    <w:rsid w:val="0020150B"/>
    <w:rsid w:val="00201E12"/>
    <w:rsid w:val="00202295"/>
    <w:rsid w:val="002033B5"/>
    <w:rsid w:val="0020382C"/>
    <w:rsid w:val="0020437A"/>
    <w:rsid w:val="0020454C"/>
    <w:rsid w:val="00204740"/>
    <w:rsid w:val="00205129"/>
    <w:rsid w:val="0020521F"/>
    <w:rsid w:val="0020532C"/>
    <w:rsid w:val="002114C7"/>
    <w:rsid w:val="0021302C"/>
    <w:rsid w:val="00213B1C"/>
    <w:rsid w:val="00213F1E"/>
    <w:rsid w:val="00214202"/>
    <w:rsid w:val="002148E3"/>
    <w:rsid w:val="0021552D"/>
    <w:rsid w:val="002156AE"/>
    <w:rsid w:val="00215E99"/>
    <w:rsid w:val="0022054D"/>
    <w:rsid w:val="0022107B"/>
    <w:rsid w:val="00223DDB"/>
    <w:rsid w:val="00223FA4"/>
    <w:rsid w:val="00223FB0"/>
    <w:rsid w:val="0022405A"/>
    <w:rsid w:val="00224067"/>
    <w:rsid w:val="0022421C"/>
    <w:rsid w:val="00224C4A"/>
    <w:rsid w:val="00224E83"/>
    <w:rsid w:val="00225664"/>
    <w:rsid w:val="0022663D"/>
    <w:rsid w:val="00227C56"/>
    <w:rsid w:val="00227F2D"/>
    <w:rsid w:val="00231009"/>
    <w:rsid w:val="00231851"/>
    <w:rsid w:val="002319FB"/>
    <w:rsid w:val="00231B89"/>
    <w:rsid w:val="00231F11"/>
    <w:rsid w:val="00231F5E"/>
    <w:rsid w:val="00232B1E"/>
    <w:rsid w:val="002346B4"/>
    <w:rsid w:val="00234F6E"/>
    <w:rsid w:val="002355BE"/>
    <w:rsid w:val="002358EA"/>
    <w:rsid w:val="00236578"/>
    <w:rsid w:val="00236DE9"/>
    <w:rsid w:val="00237342"/>
    <w:rsid w:val="00237D5A"/>
    <w:rsid w:val="00237F61"/>
    <w:rsid w:val="00240D75"/>
    <w:rsid w:val="002415AE"/>
    <w:rsid w:val="00241D3C"/>
    <w:rsid w:val="00242109"/>
    <w:rsid w:val="00243189"/>
    <w:rsid w:val="002439AB"/>
    <w:rsid w:val="00243C19"/>
    <w:rsid w:val="00244AE8"/>
    <w:rsid w:val="00244DC9"/>
    <w:rsid w:val="00245587"/>
    <w:rsid w:val="00245F2B"/>
    <w:rsid w:val="002466CD"/>
    <w:rsid w:val="00247F3A"/>
    <w:rsid w:val="00250122"/>
    <w:rsid w:val="0025024D"/>
    <w:rsid w:val="00250755"/>
    <w:rsid w:val="00251043"/>
    <w:rsid w:val="00251C4A"/>
    <w:rsid w:val="0025271C"/>
    <w:rsid w:val="0025277A"/>
    <w:rsid w:val="002533CD"/>
    <w:rsid w:val="002535EA"/>
    <w:rsid w:val="00254EAB"/>
    <w:rsid w:val="002557AF"/>
    <w:rsid w:val="0025589C"/>
    <w:rsid w:val="00255B62"/>
    <w:rsid w:val="002566B1"/>
    <w:rsid w:val="0025741E"/>
    <w:rsid w:val="002575E3"/>
    <w:rsid w:val="00257A74"/>
    <w:rsid w:val="00257C5D"/>
    <w:rsid w:val="002603C1"/>
    <w:rsid w:val="002609A1"/>
    <w:rsid w:val="002612B1"/>
    <w:rsid w:val="00265A12"/>
    <w:rsid w:val="00266165"/>
    <w:rsid w:val="00266F2C"/>
    <w:rsid w:val="0027125E"/>
    <w:rsid w:val="00271767"/>
    <w:rsid w:val="00272293"/>
    <w:rsid w:val="002723C8"/>
    <w:rsid w:val="00273633"/>
    <w:rsid w:val="00273C2A"/>
    <w:rsid w:val="00273CBE"/>
    <w:rsid w:val="002746B1"/>
    <w:rsid w:val="00274BAD"/>
    <w:rsid w:val="002807B0"/>
    <w:rsid w:val="00282D56"/>
    <w:rsid w:val="002835B0"/>
    <w:rsid w:val="00283C74"/>
    <w:rsid w:val="0028407E"/>
    <w:rsid w:val="0028410F"/>
    <w:rsid w:val="00284572"/>
    <w:rsid w:val="002850AA"/>
    <w:rsid w:val="00285221"/>
    <w:rsid w:val="00286FB5"/>
    <w:rsid w:val="00287763"/>
    <w:rsid w:val="00290606"/>
    <w:rsid w:val="002909B2"/>
    <w:rsid w:val="00291D6D"/>
    <w:rsid w:val="00291FF1"/>
    <w:rsid w:val="00292AA2"/>
    <w:rsid w:val="00293361"/>
    <w:rsid w:val="00294F10"/>
    <w:rsid w:val="002952B1"/>
    <w:rsid w:val="00295D11"/>
    <w:rsid w:val="00296FB6"/>
    <w:rsid w:val="002A0001"/>
    <w:rsid w:val="002A0BD9"/>
    <w:rsid w:val="002A0C3A"/>
    <w:rsid w:val="002A0DF8"/>
    <w:rsid w:val="002A0F1C"/>
    <w:rsid w:val="002A1130"/>
    <w:rsid w:val="002A1880"/>
    <w:rsid w:val="002A23B7"/>
    <w:rsid w:val="002A3A57"/>
    <w:rsid w:val="002A4B4F"/>
    <w:rsid w:val="002A57A8"/>
    <w:rsid w:val="002A6DEF"/>
    <w:rsid w:val="002A770B"/>
    <w:rsid w:val="002B013E"/>
    <w:rsid w:val="002B058D"/>
    <w:rsid w:val="002B0C16"/>
    <w:rsid w:val="002B2456"/>
    <w:rsid w:val="002B2AC5"/>
    <w:rsid w:val="002B3528"/>
    <w:rsid w:val="002B3539"/>
    <w:rsid w:val="002B4395"/>
    <w:rsid w:val="002B4532"/>
    <w:rsid w:val="002B4DD9"/>
    <w:rsid w:val="002B5042"/>
    <w:rsid w:val="002B69CC"/>
    <w:rsid w:val="002B6D71"/>
    <w:rsid w:val="002C03AE"/>
    <w:rsid w:val="002C0C1C"/>
    <w:rsid w:val="002C1887"/>
    <w:rsid w:val="002C291B"/>
    <w:rsid w:val="002C41BF"/>
    <w:rsid w:val="002C448B"/>
    <w:rsid w:val="002C54C2"/>
    <w:rsid w:val="002C5D34"/>
    <w:rsid w:val="002C60BB"/>
    <w:rsid w:val="002C661A"/>
    <w:rsid w:val="002D0D6F"/>
    <w:rsid w:val="002D25FC"/>
    <w:rsid w:val="002D4AC6"/>
    <w:rsid w:val="002D59BF"/>
    <w:rsid w:val="002D5BF5"/>
    <w:rsid w:val="002D5EE8"/>
    <w:rsid w:val="002D6583"/>
    <w:rsid w:val="002D7360"/>
    <w:rsid w:val="002D7648"/>
    <w:rsid w:val="002D7C80"/>
    <w:rsid w:val="002E0205"/>
    <w:rsid w:val="002E109C"/>
    <w:rsid w:val="002E193E"/>
    <w:rsid w:val="002E1A94"/>
    <w:rsid w:val="002E1D55"/>
    <w:rsid w:val="002E26C4"/>
    <w:rsid w:val="002E2734"/>
    <w:rsid w:val="002E30A5"/>
    <w:rsid w:val="002E47E4"/>
    <w:rsid w:val="002E4BF9"/>
    <w:rsid w:val="002E4D61"/>
    <w:rsid w:val="002E589F"/>
    <w:rsid w:val="002E5B2A"/>
    <w:rsid w:val="002E68A7"/>
    <w:rsid w:val="002E6E6C"/>
    <w:rsid w:val="002F016E"/>
    <w:rsid w:val="002F0522"/>
    <w:rsid w:val="002F16DD"/>
    <w:rsid w:val="002F199D"/>
    <w:rsid w:val="002F213C"/>
    <w:rsid w:val="002F2453"/>
    <w:rsid w:val="002F352D"/>
    <w:rsid w:val="002F381E"/>
    <w:rsid w:val="002F4084"/>
    <w:rsid w:val="002F4A08"/>
    <w:rsid w:val="002F4ADB"/>
    <w:rsid w:val="002F4BF4"/>
    <w:rsid w:val="002F52B7"/>
    <w:rsid w:val="002F531E"/>
    <w:rsid w:val="002F548D"/>
    <w:rsid w:val="002F5ACC"/>
    <w:rsid w:val="002F704B"/>
    <w:rsid w:val="002F72C3"/>
    <w:rsid w:val="002F768C"/>
    <w:rsid w:val="002F7D1E"/>
    <w:rsid w:val="00300201"/>
    <w:rsid w:val="0030025A"/>
    <w:rsid w:val="00302EFC"/>
    <w:rsid w:val="00303243"/>
    <w:rsid w:val="00303BCC"/>
    <w:rsid w:val="00303F2B"/>
    <w:rsid w:val="00303F8D"/>
    <w:rsid w:val="0030572D"/>
    <w:rsid w:val="0030586A"/>
    <w:rsid w:val="0030622D"/>
    <w:rsid w:val="00306811"/>
    <w:rsid w:val="00306F32"/>
    <w:rsid w:val="003074C5"/>
    <w:rsid w:val="00307A3C"/>
    <w:rsid w:val="00307FA4"/>
    <w:rsid w:val="00310290"/>
    <w:rsid w:val="00310CC1"/>
    <w:rsid w:val="00312504"/>
    <w:rsid w:val="00312B89"/>
    <w:rsid w:val="00313026"/>
    <w:rsid w:val="00313913"/>
    <w:rsid w:val="0031421F"/>
    <w:rsid w:val="00314B31"/>
    <w:rsid w:val="00315A65"/>
    <w:rsid w:val="003165D7"/>
    <w:rsid w:val="0031666B"/>
    <w:rsid w:val="00316ABE"/>
    <w:rsid w:val="00317BA7"/>
    <w:rsid w:val="00320BE2"/>
    <w:rsid w:val="00321886"/>
    <w:rsid w:val="00321EDC"/>
    <w:rsid w:val="00323694"/>
    <w:rsid w:val="00323BE7"/>
    <w:rsid w:val="00324C3A"/>
    <w:rsid w:val="00324D63"/>
    <w:rsid w:val="003255AF"/>
    <w:rsid w:val="003256EB"/>
    <w:rsid w:val="003259DB"/>
    <w:rsid w:val="0032795B"/>
    <w:rsid w:val="003303CD"/>
    <w:rsid w:val="003314D9"/>
    <w:rsid w:val="00331653"/>
    <w:rsid w:val="00331A48"/>
    <w:rsid w:val="00331BCC"/>
    <w:rsid w:val="003330C9"/>
    <w:rsid w:val="0033347F"/>
    <w:rsid w:val="0033364C"/>
    <w:rsid w:val="00334415"/>
    <w:rsid w:val="00334BC9"/>
    <w:rsid w:val="00335EA1"/>
    <w:rsid w:val="00336035"/>
    <w:rsid w:val="0033634D"/>
    <w:rsid w:val="0033691E"/>
    <w:rsid w:val="00336A6A"/>
    <w:rsid w:val="00336CCB"/>
    <w:rsid w:val="003411D1"/>
    <w:rsid w:val="003416BA"/>
    <w:rsid w:val="00342148"/>
    <w:rsid w:val="00342F99"/>
    <w:rsid w:val="0034506E"/>
    <w:rsid w:val="0034575A"/>
    <w:rsid w:val="00345F57"/>
    <w:rsid w:val="00350458"/>
    <w:rsid w:val="00350E6C"/>
    <w:rsid w:val="003518A6"/>
    <w:rsid w:val="00351E7F"/>
    <w:rsid w:val="00352953"/>
    <w:rsid w:val="00354062"/>
    <w:rsid w:val="0035459E"/>
    <w:rsid w:val="00354AE9"/>
    <w:rsid w:val="00355C0D"/>
    <w:rsid w:val="003566A9"/>
    <w:rsid w:val="00356988"/>
    <w:rsid w:val="003569D3"/>
    <w:rsid w:val="00356CE9"/>
    <w:rsid w:val="003570BB"/>
    <w:rsid w:val="00357128"/>
    <w:rsid w:val="0035755E"/>
    <w:rsid w:val="00357A80"/>
    <w:rsid w:val="00357E73"/>
    <w:rsid w:val="00361441"/>
    <w:rsid w:val="00361B8B"/>
    <w:rsid w:val="00363F39"/>
    <w:rsid w:val="003640FC"/>
    <w:rsid w:val="0036445C"/>
    <w:rsid w:val="00364627"/>
    <w:rsid w:val="00364AB0"/>
    <w:rsid w:val="00364D71"/>
    <w:rsid w:val="003667B0"/>
    <w:rsid w:val="003667DD"/>
    <w:rsid w:val="00366B48"/>
    <w:rsid w:val="00367764"/>
    <w:rsid w:val="00370316"/>
    <w:rsid w:val="00370DC7"/>
    <w:rsid w:val="00371CBD"/>
    <w:rsid w:val="00371E0A"/>
    <w:rsid w:val="00371F20"/>
    <w:rsid w:val="003721E3"/>
    <w:rsid w:val="00372B98"/>
    <w:rsid w:val="003737B7"/>
    <w:rsid w:val="003740CC"/>
    <w:rsid w:val="003745F4"/>
    <w:rsid w:val="0037491A"/>
    <w:rsid w:val="00374E79"/>
    <w:rsid w:val="0037529A"/>
    <w:rsid w:val="00375388"/>
    <w:rsid w:val="00375559"/>
    <w:rsid w:val="00375FB9"/>
    <w:rsid w:val="00376170"/>
    <w:rsid w:val="00376851"/>
    <w:rsid w:val="00376FA2"/>
    <w:rsid w:val="00377133"/>
    <w:rsid w:val="00377A3B"/>
    <w:rsid w:val="00377E3C"/>
    <w:rsid w:val="00380874"/>
    <w:rsid w:val="00380BBE"/>
    <w:rsid w:val="00381D70"/>
    <w:rsid w:val="0038235E"/>
    <w:rsid w:val="003829D0"/>
    <w:rsid w:val="0038326A"/>
    <w:rsid w:val="0038444F"/>
    <w:rsid w:val="003861F0"/>
    <w:rsid w:val="003864AB"/>
    <w:rsid w:val="00387051"/>
    <w:rsid w:val="00387ECF"/>
    <w:rsid w:val="0039021B"/>
    <w:rsid w:val="00390429"/>
    <w:rsid w:val="003906A0"/>
    <w:rsid w:val="003923D5"/>
    <w:rsid w:val="003931AF"/>
    <w:rsid w:val="00393518"/>
    <w:rsid w:val="0039366C"/>
    <w:rsid w:val="00393EC8"/>
    <w:rsid w:val="00395971"/>
    <w:rsid w:val="00395E42"/>
    <w:rsid w:val="00396409"/>
    <w:rsid w:val="00396A2D"/>
    <w:rsid w:val="00396FC3"/>
    <w:rsid w:val="003A1431"/>
    <w:rsid w:val="003A1A94"/>
    <w:rsid w:val="003A2018"/>
    <w:rsid w:val="003A204E"/>
    <w:rsid w:val="003A2D25"/>
    <w:rsid w:val="003A5101"/>
    <w:rsid w:val="003A5728"/>
    <w:rsid w:val="003A60E7"/>
    <w:rsid w:val="003A7092"/>
    <w:rsid w:val="003A72A1"/>
    <w:rsid w:val="003A7611"/>
    <w:rsid w:val="003A7D1F"/>
    <w:rsid w:val="003B0B6A"/>
    <w:rsid w:val="003B22F7"/>
    <w:rsid w:val="003B29CF"/>
    <w:rsid w:val="003B3A90"/>
    <w:rsid w:val="003B3D01"/>
    <w:rsid w:val="003B534F"/>
    <w:rsid w:val="003B7A79"/>
    <w:rsid w:val="003C0FE1"/>
    <w:rsid w:val="003C151A"/>
    <w:rsid w:val="003C350C"/>
    <w:rsid w:val="003C3733"/>
    <w:rsid w:val="003C3903"/>
    <w:rsid w:val="003C3BA0"/>
    <w:rsid w:val="003C4580"/>
    <w:rsid w:val="003C5C5E"/>
    <w:rsid w:val="003C6746"/>
    <w:rsid w:val="003C7555"/>
    <w:rsid w:val="003C7898"/>
    <w:rsid w:val="003D0FF5"/>
    <w:rsid w:val="003D11A3"/>
    <w:rsid w:val="003D1537"/>
    <w:rsid w:val="003D183C"/>
    <w:rsid w:val="003D2D1B"/>
    <w:rsid w:val="003D48C7"/>
    <w:rsid w:val="003D4C27"/>
    <w:rsid w:val="003D6829"/>
    <w:rsid w:val="003D7109"/>
    <w:rsid w:val="003D7CE8"/>
    <w:rsid w:val="003E0514"/>
    <w:rsid w:val="003E1032"/>
    <w:rsid w:val="003E1823"/>
    <w:rsid w:val="003E1904"/>
    <w:rsid w:val="003E285E"/>
    <w:rsid w:val="003E3124"/>
    <w:rsid w:val="003E3300"/>
    <w:rsid w:val="003E43D3"/>
    <w:rsid w:val="003E48E1"/>
    <w:rsid w:val="003E50F4"/>
    <w:rsid w:val="003E59BB"/>
    <w:rsid w:val="003E6225"/>
    <w:rsid w:val="003E65AC"/>
    <w:rsid w:val="003E66AE"/>
    <w:rsid w:val="003E72B9"/>
    <w:rsid w:val="003E7612"/>
    <w:rsid w:val="003E7ED4"/>
    <w:rsid w:val="003F0CAA"/>
    <w:rsid w:val="003F0E52"/>
    <w:rsid w:val="003F0F6B"/>
    <w:rsid w:val="003F1FC6"/>
    <w:rsid w:val="003F1FE3"/>
    <w:rsid w:val="003F2359"/>
    <w:rsid w:val="003F3232"/>
    <w:rsid w:val="003F3865"/>
    <w:rsid w:val="003F38AC"/>
    <w:rsid w:val="003F3D55"/>
    <w:rsid w:val="003F44E2"/>
    <w:rsid w:val="003F4632"/>
    <w:rsid w:val="003F47BA"/>
    <w:rsid w:val="003F4FE6"/>
    <w:rsid w:val="003F5638"/>
    <w:rsid w:val="003F6617"/>
    <w:rsid w:val="00402332"/>
    <w:rsid w:val="004025C2"/>
    <w:rsid w:val="00403195"/>
    <w:rsid w:val="004033A9"/>
    <w:rsid w:val="00403E55"/>
    <w:rsid w:val="0040407C"/>
    <w:rsid w:val="0040416C"/>
    <w:rsid w:val="004041CA"/>
    <w:rsid w:val="00404681"/>
    <w:rsid w:val="00405445"/>
    <w:rsid w:val="00405AC1"/>
    <w:rsid w:val="0040668D"/>
    <w:rsid w:val="00406923"/>
    <w:rsid w:val="0040763D"/>
    <w:rsid w:val="00410D17"/>
    <w:rsid w:val="00412AA9"/>
    <w:rsid w:val="00413442"/>
    <w:rsid w:val="00413821"/>
    <w:rsid w:val="00413BA5"/>
    <w:rsid w:val="004141A3"/>
    <w:rsid w:val="00414909"/>
    <w:rsid w:val="0041582F"/>
    <w:rsid w:val="00416112"/>
    <w:rsid w:val="00417A18"/>
    <w:rsid w:val="00417AE0"/>
    <w:rsid w:val="00417BAA"/>
    <w:rsid w:val="0042042B"/>
    <w:rsid w:val="00420B45"/>
    <w:rsid w:val="00420D7A"/>
    <w:rsid w:val="00421257"/>
    <w:rsid w:val="00422193"/>
    <w:rsid w:val="004223DE"/>
    <w:rsid w:val="00422A10"/>
    <w:rsid w:val="00422E41"/>
    <w:rsid w:val="00424D17"/>
    <w:rsid w:val="00425DFD"/>
    <w:rsid w:val="004263A3"/>
    <w:rsid w:val="00427713"/>
    <w:rsid w:val="00427CCC"/>
    <w:rsid w:val="0043013A"/>
    <w:rsid w:val="00430421"/>
    <w:rsid w:val="00430A36"/>
    <w:rsid w:val="00430B4F"/>
    <w:rsid w:val="00431084"/>
    <w:rsid w:val="004310D7"/>
    <w:rsid w:val="004322D6"/>
    <w:rsid w:val="00432589"/>
    <w:rsid w:val="00432A94"/>
    <w:rsid w:val="00432C95"/>
    <w:rsid w:val="00433827"/>
    <w:rsid w:val="00433A40"/>
    <w:rsid w:val="00434B70"/>
    <w:rsid w:val="004357B2"/>
    <w:rsid w:val="00435C03"/>
    <w:rsid w:val="004360C8"/>
    <w:rsid w:val="00436823"/>
    <w:rsid w:val="004371D5"/>
    <w:rsid w:val="0044006B"/>
    <w:rsid w:val="0044033F"/>
    <w:rsid w:val="00440630"/>
    <w:rsid w:val="00441CCE"/>
    <w:rsid w:val="00441F0F"/>
    <w:rsid w:val="00442965"/>
    <w:rsid w:val="004432B6"/>
    <w:rsid w:val="00444157"/>
    <w:rsid w:val="0044417C"/>
    <w:rsid w:val="00444DB3"/>
    <w:rsid w:val="00445617"/>
    <w:rsid w:val="00445A2F"/>
    <w:rsid w:val="0044684E"/>
    <w:rsid w:val="00446F22"/>
    <w:rsid w:val="0045019F"/>
    <w:rsid w:val="004503A4"/>
    <w:rsid w:val="00450555"/>
    <w:rsid w:val="004506FA"/>
    <w:rsid w:val="00450DC6"/>
    <w:rsid w:val="004516A5"/>
    <w:rsid w:val="00451E9C"/>
    <w:rsid w:val="0045280F"/>
    <w:rsid w:val="004535AE"/>
    <w:rsid w:val="0045444D"/>
    <w:rsid w:val="0045463A"/>
    <w:rsid w:val="00454AC9"/>
    <w:rsid w:val="00455050"/>
    <w:rsid w:val="004554A3"/>
    <w:rsid w:val="00455A6E"/>
    <w:rsid w:val="00455EAD"/>
    <w:rsid w:val="004578EB"/>
    <w:rsid w:val="004604D5"/>
    <w:rsid w:val="00460697"/>
    <w:rsid w:val="0046117B"/>
    <w:rsid w:val="00461FC2"/>
    <w:rsid w:val="00464AB7"/>
    <w:rsid w:val="00465998"/>
    <w:rsid w:val="00465DE5"/>
    <w:rsid w:val="00467EF8"/>
    <w:rsid w:val="00471AC3"/>
    <w:rsid w:val="00472429"/>
    <w:rsid w:val="004725E5"/>
    <w:rsid w:val="00472751"/>
    <w:rsid w:val="00473128"/>
    <w:rsid w:val="00475078"/>
    <w:rsid w:val="00475767"/>
    <w:rsid w:val="00476B2F"/>
    <w:rsid w:val="004779A0"/>
    <w:rsid w:val="004808E3"/>
    <w:rsid w:val="00481016"/>
    <w:rsid w:val="0048204C"/>
    <w:rsid w:val="004821BB"/>
    <w:rsid w:val="0048237A"/>
    <w:rsid w:val="004826FE"/>
    <w:rsid w:val="004827D5"/>
    <w:rsid w:val="00482AF2"/>
    <w:rsid w:val="004830C9"/>
    <w:rsid w:val="00483347"/>
    <w:rsid w:val="00483E2E"/>
    <w:rsid w:val="00483F84"/>
    <w:rsid w:val="00484B69"/>
    <w:rsid w:val="00485406"/>
    <w:rsid w:val="0048590F"/>
    <w:rsid w:val="00486D60"/>
    <w:rsid w:val="00487631"/>
    <w:rsid w:val="00491FA1"/>
    <w:rsid w:val="00492A25"/>
    <w:rsid w:val="004938A3"/>
    <w:rsid w:val="00495054"/>
    <w:rsid w:val="0049558B"/>
    <w:rsid w:val="00496350"/>
    <w:rsid w:val="00496F25"/>
    <w:rsid w:val="0049797C"/>
    <w:rsid w:val="004A1405"/>
    <w:rsid w:val="004A15BD"/>
    <w:rsid w:val="004A1E28"/>
    <w:rsid w:val="004A1FC6"/>
    <w:rsid w:val="004A2E5F"/>
    <w:rsid w:val="004A3262"/>
    <w:rsid w:val="004A38C2"/>
    <w:rsid w:val="004A3C03"/>
    <w:rsid w:val="004A3DB7"/>
    <w:rsid w:val="004A463B"/>
    <w:rsid w:val="004A5088"/>
    <w:rsid w:val="004A5255"/>
    <w:rsid w:val="004A6B28"/>
    <w:rsid w:val="004A6CB0"/>
    <w:rsid w:val="004A70FF"/>
    <w:rsid w:val="004A7EDE"/>
    <w:rsid w:val="004B0D93"/>
    <w:rsid w:val="004B154E"/>
    <w:rsid w:val="004B1FA4"/>
    <w:rsid w:val="004B29AC"/>
    <w:rsid w:val="004B35DF"/>
    <w:rsid w:val="004B3627"/>
    <w:rsid w:val="004B4922"/>
    <w:rsid w:val="004B57DF"/>
    <w:rsid w:val="004B5976"/>
    <w:rsid w:val="004B722E"/>
    <w:rsid w:val="004B72E8"/>
    <w:rsid w:val="004C01A5"/>
    <w:rsid w:val="004C0412"/>
    <w:rsid w:val="004C2138"/>
    <w:rsid w:val="004C3940"/>
    <w:rsid w:val="004C51FD"/>
    <w:rsid w:val="004C65A8"/>
    <w:rsid w:val="004C6689"/>
    <w:rsid w:val="004C684C"/>
    <w:rsid w:val="004D139A"/>
    <w:rsid w:val="004D14DC"/>
    <w:rsid w:val="004D17C6"/>
    <w:rsid w:val="004D2858"/>
    <w:rsid w:val="004D2E49"/>
    <w:rsid w:val="004D35BA"/>
    <w:rsid w:val="004D38E5"/>
    <w:rsid w:val="004D3C5A"/>
    <w:rsid w:val="004D449A"/>
    <w:rsid w:val="004D4701"/>
    <w:rsid w:val="004D47C7"/>
    <w:rsid w:val="004D4B2B"/>
    <w:rsid w:val="004D4F35"/>
    <w:rsid w:val="004D51EE"/>
    <w:rsid w:val="004D5D45"/>
    <w:rsid w:val="004D618D"/>
    <w:rsid w:val="004D62A9"/>
    <w:rsid w:val="004D6FC3"/>
    <w:rsid w:val="004D7476"/>
    <w:rsid w:val="004D7716"/>
    <w:rsid w:val="004E0306"/>
    <w:rsid w:val="004E0572"/>
    <w:rsid w:val="004E1641"/>
    <w:rsid w:val="004E1818"/>
    <w:rsid w:val="004E1990"/>
    <w:rsid w:val="004E25A8"/>
    <w:rsid w:val="004E3930"/>
    <w:rsid w:val="004E3ED9"/>
    <w:rsid w:val="004E523D"/>
    <w:rsid w:val="004E5866"/>
    <w:rsid w:val="004E6097"/>
    <w:rsid w:val="004E61EF"/>
    <w:rsid w:val="004E63C6"/>
    <w:rsid w:val="004E76A7"/>
    <w:rsid w:val="004E7B03"/>
    <w:rsid w:val="004F0064"/>
    <w:rsid w:val="004F02E9"/>
    <w:rsid w:val="004F06AC"/>
    <w:rsid w:val="004F0A05"/>
    <w:rsid w:val="004F0E50"/>
    <w:rsid w:val="004F1D2A"/>
    <w:rsid w:val="004F243F"/>
    <w:rsid w:val="004F252C"/>
    <w:rsid w:val="004F36A3"/>
    <w:rsid w:val="004F3E0C"/>
    <w:rsid w:val="004F4308"/>
    <w:rsid w:val="004F5B85"/>
    <w:rsid w:val="004F7160"/>
    <w:rsid w:val="00500258"/>
    <w:rsid w:val="00500B2D"/>
    <w:rsid w:val="00501A99"/>
    <w:rsid w:val="00503180"/>
    <w:rsid w:val="00503435"/>
    <w:rsid w:val="005038A4"/>
    <w:rsid w:val="00504514"/>
    <w:rsid w:val="00504CD4"/>
    <w:rsid w:val="0050524B"/>
    <w:rsid w:val="00505450"/>
    <w:rsid w:val="00505FC6"/>
    <w:rsid w:val="005100B7"/>
    <w:rsid w:val="005105DE"/>
    <w:rsid w:val="00510AC0"/>
    <w:rsid w:val="005113C9"/>
    <w:rsid w:val="00512050"/>
    <w:rsid w:val="00512055"/>
    <w:rsid w:val="0051280C"/>
    <w:rsid w:val="00512842"/>
    <w:rsid w:val="005128BE"/>
    <w:rsid w:val="0051356F"/>
    <w:rsid w:val="00513E7C"/>
    <w:rsid w:val="005140BB"/>
    <w:rsid w:val="00514FBE"/>
    <w:rsid w:val="00514FD9"/>
    <w:rsid w:val="0051550A"/>
    <w:rsid w:val="0051608F"/>
    <w:rsid w:val="00516480"/>
    <w:rsid w:val="005204BA"/>
    <w:rsid w:val="00520EF8"/>
    <w:rsid w:val="005210F7"/>
    <w:rsid w:val="00521753"/>
    <w:rsid w:val="0052239D"/>
    <w:rsid w:val="005224EE"/>
    <w:rsid w:val="00522879"/>
    <w:rsid w:val="00522AA6"/>
    <w:rsid w:val="00523BB1"/>
    <w:rsid w:val="00524B23"/>
    <w:rsid w:val="0052570E"/>
    <w:rsid w:val="005260CD"/>
    <w:rsid w:val="00526265"/>
    <w:rsid w:val="0052655D"/>
    <w:rsid w:val="0052658E"/>
    <w:rsid w:val="005265E0"/>
    <w:rsid w:val="00526BC3"/>
    <w:rsid w:val="00530064"/>
    <w:rsid w:val="00531761"/>
    <w:rsid w:val="0053248F"/>
    <w:rsid w:val="005327AB"/>
    <w:rsid w:val="0053332A"/>
    <w:rsid w:val="0053358A"/>
    <w:rsid w:val="00534668"/>
    <w:rsid w:val="00534DDD"/>
    <w:rsid w:val="00535291"/>
    <w:rsid w:val="00535A94"/>
    <w:rsid w:val="005376A3"/>
    <w:rsid w:val="00537874"/>
    <w:rsid w:val="0053795F"/>
    <w:rsid w:val="00537D3D"/>
    <w:rsid w:val="00540511"/>
    <w:rsid w:val="00540578"/>
    <w:rsid w:val="00540808"/>
    <w:rsid w:val="0054080E"/>
    <w:rsid w:val="00540D1A"/>
    <w:rsid w:val="00540DE5"/>
    <w:rsid w:val="00540EA1"/>
    <w:rsid w:val="00541E5A"/>
    <w:rsid w:val="0054358E"/>
    <w:rsid w:val="00543AF4"/>
    <w:rsid w:val="00543F53"/>
    <w:rsid w:val="00544191"/>
    <w:rsid w:val="0054440C"/>
    <w:rsid w:val="005448EC"/>
    <w:rsid w:val="00544C0A"/>
    <w:rsid w:val="00544F39"/>
    <w:rsid w:val="005457FB"/>
    <w:rsid w:val="005466AB"/>
    <w:rsid w:val="00546B96"/>
    <w:rsid w:val="00546F90"/>
    <w:rsid w:val="00547EFB"/>
    <w:rsid w:val="00550192"/>
    <w:rsid w:val="005522F2"/>
    <w:rsid w:val="005531DF"/>
    <w:rsid w:val="00553874"/>
    <w:rsid w:val="00553DCE"/>
    <w:rsid w:val="005541E0"/>
    <w:rsid w:val="00554577"/>
    <w:rsid w:val="00554AD8"/>
    <w:rsid w:val="00554F78"/>
    <w:rsid w:val="00555DA1"/>
    <w:rsid w:val="00556BF7"/>
    <w:rsid w:val="00556E53"/>
    <w:rsid w:val="00557181"/>
    <w:rsid w:val="00557F60"/>
    <w:rsid w:val="00561730"/>
    <w:rsid w:val="00561B97"/>
    <w:rsid w:val="00562149"/>
    <w:rsid w:val="00563EAE"/>
    <w:rsid w:val="005640EB"/>
    <w:rsid w:val="005661F5"/>
    <w:rsid w:val="005666A4"/>
    <w:rsid w:val="00567B5D"/>
    <w:rsid w:val="00570757"/>
    <w:rsid w:val="00573733"/>
    <w:rsid w:val="00573F8B"/>
    <w:rsid w:val="00574554"/>
    <w:rsid w:val="00574E06"/>
    <w:rsid w:val="005751BB"/>
    <w:rsid w:val="00576089"/>
    <w:rsid w:val="005764B1"/>
    <w:rsid w:val="00576852"/>
    <w:rsid w:val="00576D06"/>
    <w:rsid w:val="005779E4"/>
    <w:rsid w:val="00580EC7"/>
    <w:rsid w:val="0058289C"/>
    <w:rsid w:val="005831AF"/>
    <w:rsid w:val="005836C7"/>
    <w:rsid w:val="00583BDC"/>
    <w:rsid w:val="0058408E"/>
    <w:rsid w:val="005844C3"/>
    <w:rsid w:val="00585374"/>
    <w:rsid w:val="005854CA"/>
    <w:rsid w:val="00585FAB"/>
    <w:rsid w:val="0058750C"/>
    <w:rsid w:val="00590B77"/>
    <w:rsid w:val="00590D9A"/>
    <w:rsid w:val="005913A3"/>
    <w:rsid w:val="005914F8"/>
    <w:rsid w:val="00591A5A"/>
    <w:rsid w:val="005940D4"/>
    <w:rsid w:val="00594A7B"/>
    <w:rsid w:val="0059580E"/>
    <w:rsid w:val="00595D90"/>
    <w:rsid w:val="00596A6F"/>
    <w:rsid w:val="00596FCE"/>
    <w:rsid w:val="005A11BC"/>
    <w:rsid w:val="005A1525"/>
    <w:rsid w:val="005A1D46"/>
    <w:rsid w:val="005A1E17"/>
    <w:rsid w:val="005A252B"/>
    <w:rsid w:val="005A2A8F"/>
    <w:rsid w:val="005A3008"/>
    <w:rsid w:val="005A3204"/>
    <w:rsid w:val="005A3341"/>
    <w:rsid w:val="005A3B4C"/>
    <w:rsid w:val="005A3C3D"/>
    <w:rsid w:val="005A46EC"/>
    <w:rsid w:val="005A5EAE"/>
    <w:rsid w:val="005A603A"/>
    <w:rsid w:val="005A6407"/>
    <w:rsid w:val="005A726C"/>
    <w:rsid w:val="005B07EC"/>
    <w:rsid w:val="005B2B11"/>
    <w:rsid w:val="005B32A4"/>
    <w:rsid w:val="005B3371"/>
    <w:rsid w:val="005B338D"/>
    <w:rsid w:val="005B33A1"/>
    <w:rsid w:val="005B3852"/>
    <w:rsid w:val="005B3BAF"/>
    <w:rsid w:val="005B4DA3"/>
    <w:rsid w:val="005B5BEE"/>
    <w:rsid w:val="005B77D2"/>
    <w:rsid w:val="005C0195"/>
    <w:rsid w:val="005C019B"/>
    <w:rsid w:val="005C08D0"/>
    <w:rsid w:val="005C1AED"/>
    <w:rsid w:val="005C2136"/>
    <w:rsid w:val="005C2D2C"/>
    <w:rsid w:val="005C30F5"/>
    <w:rsid w:val="005C3840"/>
    <w:rsid w:val="005C51A5"/>
    <w:rsid w:val="005C557A"/>
    <w:rsid w:val="005C566F"/>
    <w:rsid w:val="005C5C47"/>
    <w:rsid w:val="005C61DD"/>
    <w:rsid w:val="005C6438"/>
    <w:rsid w:val="005C6B8B"/>
    <w:rsid w:val="005C727F"/>
    <w:rsid w:val="005D02E3"/>
    <w:rsid w:val="005D1F34"/>
    <w:rsid w:val="005D2C1F"/>
    <w:rsid w:val="005D34B2"/>
    <w:rsid w:val="005D3B54"/>
    <w:rsid w:val="005D40CD"/>
    <w:rsid w:val="005D48C5"/>
    <w:rsid w:val="005D6B59"/>
    <w:rsid w:val="005D709D"/>
    <w:rsid w:val="005D784B"/>
    <w:rsid w:val="005E03E4"/>
    <w:rsid w:val="005E0454"/>
    <w:rsid w:val="005E05F6"/>
    <w:rsid w:val="005E1B9D"/>
    <w:rsid w:val="005E1BDA"/>
    <w:rsid w:val="005E2442"/>
    <w:rsid w:val="005E3111"/>
    <w:rsid w:val="005E3CA0"/>
    <w:rsid w:val="005E3F85"/>
    <w:rsid w:val="005E4A5F"/>
    <w:rsid w:val="005E516A"/>
    <w:rsid w:val="005E57B0"/>
    <w:rsid w:val="005E5B01"/>
    <w:rsid w:val="005E6D3B"/>
    <w:rsid w:val="005F009E"/>
    <w:rsid w:val="005F0DF1"/>
    <w:rsid w:val="005F1516"/>
    <w:rsid w:val="005F1A6F"/>
    <w:rsid w:val="005F20B2"/>
    <w:rsid w:val="005F229E"/>
    <w:rsid w:val="005F2564"/>
    <w:rsid w:val="005F304B"/>
    <w:rsid w:val="005F3822"/>
    <w:rsid w:val="005F4635"/>
    <w:rsid w:val="005F4900"/>
    <w:rsid w:val="005F4E52"/>
    <w:rsid w:val="005F6D58"/>
    <w:rsid w:val="005F7383"/>
    <w:rsid w:val="0060058E"/>
    <w:rsid w:val="00602A3C"/>
    <w:rsid w:val="00603EFD"/>
    <w:rsid w:val="0060475B"/>
    <w:rsid w:val="00604BED"/>
    <w:rsid w:val="00604FB6"/>
    <w:rsid w:val="00605387"/>
    <w:rsid w:val="00605D1D"/>
    <w:rsid w:val="00605FE5"/>
    <w:rsid w:val="00606302"/>
    <w:rsid w:val="00606FC6"/>
    <w:rsid w:val="006076FD"/>
    <w:rsid w:val="00610811"/>
    <w:rsid w:val="0061143F"/>
    <w:rsid w:val="006114D8"/>
    <w:rsid w:val="00611F70"/>
    <w:rsid w:val="00613553"/>
    <w:rsid w:val="00613601"/>
    <w:rsid w:val="00613791"/>
    <w:rsid w:val="00614DA7"/>
    <w:rsid w:val="006150D6"/>
    <w:rsid w:val="00615245"/>
    <w:rsid w:val="0061590D"/>
    <w:rsid w:val="00615E8B"/>
    <w:rsid w:val="00617EEE"/>
    <w:rsid w:val="00620A1F"/>
    <w:rsid w:val="0062169D"/>
    <w:rsid w:val="0062181E"/>
    <w:rsid w:val="0062211B"/>
    <w:rsid w:val="00622BB7"/>
    <w:rsid w:val="00622C1E"/>
    <w:rsid w:val="00623389"/>
    <w:rsid w:val="00623DAA"/>
    <w:rsid w:val="00623FAF"/>
    <w:rsid w:val="006265C4"/>
    <w:rsid w:val="0062678A"/>
    <w:rsid w:val="006270AF"/>
    <w:rsid w:val="006326EA"/>
    <w:rsid w:val="00634367"/>
    <w:rsid w:val="00636CE3"/>
    <w:rsid w:val="00640082"/>
    <w:rsid w:val="00640291"/>
    <w:rsid w:val="00640EFE"/>
    <w:rsid w:val="00641D6D"/>
    <w:rsid w:val="00641FAC"/>
    <w:rsid w:val="00643664"/>
    <w:rsid w:val="00643CAA"/>
    <w:rsid w:val="00644F16"/>
    <w:rsid w:val="006455EB"/>
    <w:rsid w:val="006456C2"/>
    <w:rsid w:val="00645A65"/>
    <w:rsid w:val="006465B7"/>
    <w:rsid w:val="00646959"/>
    <w:rsid w:val="006477F0"/>
    <w:rsid w:val="006478E4"/>
    <w:rsid w:val="0065171A"/>
    <w:rsid w:val="006518D5"/>
    <w:rsid w:val="00652680"/>
    <w:rsid w:val="00653CDE"/>
    <w:rsid w:val="00654585"/>
    <w:rsid w:val="0065566E"/>
    <w:rsid w:val="00655AB6"/>
    <w:rsid w:val="00655EFA"/>
    <w:rsid w:val="00656061"/>
    <w:rsid w:val="006560F8"/>
    <w:rsid w:val="00656281"/>
    <w:rsid w:val="0065636A"/>
    <w:rsid w:val="00657003"/>
    <w:rsid w:val="00660238"/>
    <w:rsid w:val="006602EF"/>
    <w:rsid w:val="00661277"/>
    <w:rsid w:val="006619E0"/>
    <w:rsid w:val="00663FEA"/>
    <w:rsid w:val="00664803"/>
    <w:rsid w:val="006657C5"/>
    <w:rsid w:val="00665D75"/>
    <w:rsid w:val="006661A4"/>
    <w:rsid w:val="00666AC0"/>
    <w:rsid w:val="006670E0"/>
    <w:rsid w:val="006671B8"/>
    <w:rsid w:val="00667275"/>
    <w:rsid w:val="00667532"/>
    <w:rsid w:val="0066783E"/>
    <w:rsid w:val="00667E53"/>
    <w:rsid w:val="006703CD"/>
    <w:rsid w:val="006711C4"/>
    <w:rsid w:val="006713AB"/>
    <w:rsid w:val="006719D9"/>
    <w:rsid w:val="006721CE"/>
    <w:rsid w:val="00672CA5"/>
    <w:rsid w:val="00673711"/>
    <w:rsid w:val="00673F82"/>
    <w:rsid w:val="00674F74"/>
    <w:rsid w:val="0067508F"/>
    <w:rsid w:val="006766D8"/>
    <w:rsid w:val="00677576"/>
    <w:rsid w:val="0068011A"/>
    <w:rsid w:val="0068051E"/>
    <w:rsid w:val="00680B9D"/>
    <w:rsid w:val="00681F13"/>
    <w:rsid w:val="0068231C"/>
    <w:rsid w:val="00682344"/>
    <w:rsid w:val="00682F28"/>
    <w:rsid w:val="00683515"/>
    <w:rsid w:val="00684842"/>
    <w:rsid w:val="006859AA"/>
    <w:rsid w:val="00685BD6"/>
    <w:rsid w:val="00687116"/>
    <w:rsid w:val="006878A6"/>
    <w:rsid w:val="00687D5F"/>
    <w:rsid w:val="00690437"/>
    <w:rsid w:val="00690DC3"/>
    <w:rsid w:val="00690E65"/>
    <w:rsid w:val="006911B7"/>
    <w:rsid w:val="00691387"/>
    <w:rsid w:val="0069188E"/>
    <w:rsid w:val="00691974"/>
    <w:rsid w:val="00692BF6"/>
    <w:rsid w:val="00692CE6"/>
    <w:rsid w:val="00693186"/>
    <w:rsid w:val="00693381"/>
    <w:rsid w:val="00693B6C"/>
    <w:rsid w:val="006942AE"/>
    <w:rsid w:val="006950F9"/>
    <w:rsid w:val="00695421"/>
    <w:rsid w:val="00697A75"/>
    <w:rsid w:val="00697BD3"/>
    <w:rsid w:val="00697DFA"/>
    <w:rsid w:val="006A16D5"/>
    <w:rsid w:val="006A1772"/>
    <w:rsid w:val="006A1780"/>
    <w:rsid w:val="006A21DD"/>
    <w:rsid w:val="006A26C6"/>
    <w:rsid w:val="006A3302"/>
    <w:rsid w:val="006A3B28"/>
    <w:rsid w:val="006A4FEE"/>
    <w:rsid w:val="006A5549"/>
    <w:rsid w:val="006A703E"/>
    <w:rsid w:val="006A7BE3"/>
    <w:rsid w:val="006A7D32"/>
    <w:rsid w:val="006B01D1"/>
    <w:rsid w:val="006B0DF4"/>
    <w:rsid w:val="006B16EA"/>
    <w:rsid w:val="006B1780"/>
    <w:rsid w:val="006B21DC"/>
    <w:rsid w:val="006B224E"/>
    <w:rsid w:val="006B376E"/>
    <w:rsid w:val="006B4589"/>
    <w:rsid w:val="006B5157"/>
    <w:rsid w:val="006B610E"/>
    <w:rsid w:val="006B6805"/>
    <w:rsid w:val="006B6C07"/>
    <w:rsid w:val="006B6DE0"/>
    <w:rsid w:val="006C01BE"/>
    <w:rsid w:val="006C16C3"/>
    <w:rsid w:val="006C2187"/>
    <w:rsid w:val="006C27D9"/>
    <w:rsid w:val="006C32F4"/>
    <w:rsid w:val="006C3C54"/>
    <w:rsid w:val="006C3F8B"/>
    <w:rsid w:val="006C4B6B"/>
    <w:rsid w:val="006C4CE1"/>
    <w:rsid w:val="006C4F9F"/>
    <w:rsid w:val="006C71A2"/>
    <w:rsid w:val="006C73EC"/>
    <w:rsid w:val="006D0C1D"/>
    <w:rsid w:val="006D28F3"/>
    <w:rsid w:val="006D2E9D"/>
    <w:rsid w:val="006D4A4E"/>
    <w:rsid w:val="006D4C42"/>
    <w:rsid w:val="006D5389"/>
    <w:rsid w:val="006D53A2"/>
    <w:rsid w:val="006D5809"/>
    <w:rsid w:val="006D607E"/>
    <w:rsid w:val="006D635D"/>
    <w:rsid w:val="006D6E12"/>
    <w:rsid w:val="006D70CB"/>
    <w:rsid w:val="006D715C"/>
    <w:rsid w:val="006D7363"/>
    <w:rsid w:val="006D774E"/>
    <w:rsid w:val="006E0754"/>
    <w:rsid w:val="006E2668"/>
    <w:rsid w:val="006E2D39"/>
    <w:rsid w:val="006E2FE9"/>
    <w:rsid w:val="006E32B0"/>
    <w:rsid w:val="006E348E"/>
    <w:rsid w:val="006E396A"/>
    <w:rsid w:val="006E3D63"/>
    <w:rsid w:val="006E58BF"/>
    <w:rsid w:val="006E5DD8"/>
    <w:rsid w:val="006E5EA1"/>
    <w:rsid w:val="006E6DEE"/>
    <w:rsid w:val="006E7D4B"/>
    <w:rsid w:val="006F018A"/>
    <w:rsid w:val="006F0760"/>
    <w:rsid w:val="006F11E2"/>
    <w:rsid w:val="006F2433"/>
    <w:rsid w:val="006F2574"/>
    <w:rsid w:val="006F3231"/>
    <w:rsid w:val="006F3DE3"/>
    <w:rsid w:val="006F4787"/>
    <w:rsid w:val="006F61D8"/>
    <w:rsid w:val="006F62B7"/>
    <w:rsid w:val="006F70BC"/>
    <w:rsid w:val="006F726C"/>
    <w:rsid w:val="006F7E7C"/>
    <w:rsid w:val="0070174E"/>
    <w:rsid w:val="007018DB"/>
    <w:rsid w:val="00701DE6"/>
    <w:rsid w:val="00702740"/>
    <w:rsid w:val="0070381B"/>
    <w:rsid w:val="0070796C"/>
    <w:rsid w:val="007109BB"/>
    <w:rsid w:val="00710EBF"/>
    <w:rsid w:val="007110B8"/>
    <w:rsid w:val="0071209F"/>
    <w:rsid w:val="007125A2"/>
    <w:rsid w:val="007135AD"/>
    <w:rsid w:val="00713DD9"/>
    <w:rsid w:val="00713F79"/>
    <w:rsid w:val="007148A8"/>
    <w:rsid w:val="00716AC8"/>
    <w:rsid w:val="00716E54"/>
    <w:rsid w:val="0072033C"/>
    <w:rsid w:val="00720B1B"/>
    <w:rsid w:val="00721062"/>
    <w:rsid w:val="00721E5D"/>
    <w:rsid w:val="007229D4"/>
    <w:rsid w:val="007230F8"/>
    <w:rsid w:val="007233F4"/>
    <w:rsid w:val="00724044"/>
    <w:rsid w:val="007243F2"/>
    <w:rsid w:val="007248D3"/>
    <w:rsid w:val="00724DF8"/>
    <w:rsid w:val="00725137"/>
    <w:rsid w:val="00725378"/>
    <w:rsid w:val="007259B7"/>
    <w:rsid w:val="00727A43"/>
    <w:rsid w:val="00727FF2"/>
    <w:rsid w:val="00730379"/>
    <w:rsid w:val="00730550"/>
    <w:rsid w:val="00730C2A"/>
    <w:rsid w:val="00731434"/>
    <w:rsid w:val="00731E59"/>
    <w:rsid w:val="007323E0"/>
    <w:rsid w:val="00732911"/>
    <w:rsid w:val="00733721"/>
    <w:rsid w:val="00733DE2"/>
    <w:rsid w:val="00734142"/>
    <w:rsid w:val="00735102"/>
    <w:rsid w:val="007352EA"/>
    <w:rsid w:val="0073792F"/>
    <w:rsid w:val="00740C81"/>
    <w:rsid w:val="00740DA6"/>
    <w:rsid w:val="00741B4B"/>
    <w:rsid w:val="00741D1E"/>
    <w:rsid w:val="00741DD6"/>
    <w:rsid w:val="00741EE2"/>
    <w:rsid w:val="0074207F"/>
    <w:rsid w:val="00742367"/>
    <w:rsid w:val="00742EAA"/>
    <w:rsid w:val="00743360"/>
    <w:rsid w:val="00743818"/>
    <w:rsid w:val="00743857"/>
    <w:rsid w:val="007441FB"/>
    <w:rsid w:val="00744517"/>
    <w:rsid w:val="0074522A"/>
    <w:rsid w:val="00746996"/>
    <w:rsid w:val="00747295"/>
    <w:rsid w:val="00747829"/>
    <w:rsid w:val="0074789C"/>
    <w:rsid w:val="00747DE2"/>
    <w:rsid w:val="007502D0"/>
    <w:rsid w:val="007504BF"/>
    <w:rsid w:val="007506CD"/>
    <w:rsid w:val="0075267F"/>
    <w:rsid w:val="007526EC"/>
    <w:rsid w:val="00753C48"/>
    <w:rsid w:val="00754250"/>
    <w:rsid w:val="00754FE4"/>
    <w:rsid w:val="00755216"/>
    <w:rsid w:val="00756236"/>
    <w:rsid w:val="00756271"/>
    <w:rsid w:val="00756348"/>
    <w:rsid w:val="00756521"/>
    <w:rsid w:val="00756AB7"/>
    <w:rsid w:val="0076106D"/>
    <w:rsid w:val="007623FB"/>
    <w:rsid w:val="00762517"/>
    <w:rsid w:val="00763240"/>
    <w:rsid w:val="0076376A"/>
    <w:rsid w:val="007648AD"/>
    <w:rsid w:val="0076504E"/>
    <w:rsid w:val="00767BFD"/>
    <w:rsid w:val="00767EA0"/>
    <w:rsid w:val="0077068F"/>
    <w:rsid w:val="00771EDF"/>
    <w:rsid w:val="00772A90"/>
    <w:rsid w:val="00772F8D"/>
    <w:rsid w:val="0077408D"/>
    <w:rsid w:val="00774270"/>
    <w:rsid w:val="007743F6"/>
    <w:rsid w:val="00775679"/>
    <w:rsid w:val="0077574F"/>
    <w:rsid w:val="00775823"/>
    <w:rsid w:val="00776B1B"/>
    <w:rsid w:val="00777153"/>
    <w:rsid w:val="007777CC"/>
    <w:rsid w:val="00777B32"/>
    <w:rsid w:val="0078051E"/>
    <w:rsid w:val="00781089"/>
    <w:rsid w:val="00781CB6"/>
    <w:rsid w:val="007838F3"/>
    <w:rsid w:val="007856FE"/>
    <w:rsid w:val="00785F46"/>
    <w:rsid w:val="007865F4"/>
    <w:rsid w:val="00786D5C"/>
    <w:rsid w:val="00786E96"/>
    <w:rsid w:val="00787BB6"/>
    <w:rsid w:val="00787DFF"/>
    <w:rsid w:val="00787F93"/>
    <w:rsid w:val="00791E6D"/>
    <w:rsid w:val="00791EB5"/>
    <w:rsid w:val="0079343F"/>
    <w:rsid w:val="00793696"/>
    <w:rsid w:val="007955DA"/>
    <w:rsid w:val="0079634A"/>
    <w:rsid w:val="00796F65"/>
    <w:rsid w:val="007977C2"/>
    <w:rsid w:val="007A11C2"/>
    <w:rsid w:val="007A18BB"/>
    <w:rsid w:val="007A1AD4"/>
    <w:rsid w:val="007A27DD"/>
    <w:rsid w:val="007A41BF"/>
    <w:rsid w:val="007A490A"/>
    <w:rsid w:val="007A7B95"/>
    <w:rsid w:val="007B0297"/>
    <w:rsid w:val="007B02FA"/>
    <w:rsid w:val="007B0F53"/>
    <w:rsid w:val="007B21AE"/>
    <w:rsid w:val="007B2570"/>
    <w:rsid w:val="007B3113"/>
    <w:rsid w:val="007B3304"/>
    <w:rsid w:val="007B3BF0"/>
    <w:rsid w:val="007B7490"/>
    <w:rsid w:val="007C0525"/>
    <w:rsid w:val="007C13F7"/>
    <w:rsid w:val="007C1D77"/>
    <w:rsid w:val="007C218D"/>
    <w:rsid w:val="007C2CDB"/>
    <w:rsid w:val="007C2D28"/>
    <w:rsid w:val="007C3E22"/>
    <w:rsid w:val="007C517B"/>
    <w:rsid w:val="007C58C1"/>
    <w:rsid w:val="007C6218"/>
    <w:rsid w:val="007C6484"/>
    <w:rsid w:val="007C67C6"/>
    <w:rsid w:val="007C78BE"/>
    <w:rsid w:val="007C7A5D"/>
    <w:rsid w:val="007C7E59"/>
    <w:rsid w:val="007D0476"/>
    <w:rsid w:val="007D0B91"/>
    <w:rsid w:val="007D0FE7"/>
    <w:rsid w:val="007D1452"/>
    <w:rsid w:val="007D1563"/>
    <w:rsid w:val="007D3DCB"/>
    <w:rsid w:val="007D460C"/>
    <w:rsid w:val="007D4996"/>
    <w:rsid w:val="007D4AD3"/>
    <w:rsid w:val="007D5D19"/>
    <w:rsid w:val="007D5FDC"/>
    <w:rsid w:val="007D6176"/>
    <w:rsid w:val="007D69CD"/>
    <w:rsid w:val="007D6D68"/>
    <w:rsid w:val="007E194F"/>
    <w:rsid w:val="007E32DA"/>
    <w:rsid w:val="007E4998"/>
    <w:rsid w:val="007E4A9C"/>
    <w:rsid w:val="007E6506"/>
    <w:rsid w:val="007E6914"/>
    <w:rsid w:val="007E7F78"/>
    <w:rsid w:val="007F0179"/>
    <w:rsid w:val="007F2C13"/>
    <w:rsid w:val="007F2CEC"/>
    <w:rsid w:val="007F2ED1"/>
    <w:rsid w:val="007F3435"/>
    <w:rsid w:val="007F505D"/>
    <w:rsid w:val="007F531B"/>
    <w:rsid w:val="007F55DE"/>
    <w:rsid w:val="007F762D"/>
    <w:rsid w:val="007F78F0"/>
    <w:rsid w:val="007F78FF"/>
    <w:rsid w:val="007F7F24"/>
    <w:rsid w:val="008001C5"/>
    <w:rsid w:val="00800F6C"/>
    <w:rsid w:val="00801065"/>
    <w:rsid w:val="00802C0B"/>
    <w:rsid w:val="008031B4"/>
    <w:rsid w:val="00805040"/>
    <w:rsid w:val="008051FC"/>
    <w:rsid w:val="008055A9"/>
    <w:rsid w:val="008056C4"/>
    <w:rsid w:val="008057FD"/>
    <w:rsid w:val="00805D8B"/>
    <w:rsid w:val="0081010F"/>
    <w:rsid w:val="00810BB6"/>
    <w:rsid w:val="00810CEA"/>
    <w:rsid w:val="00810E8E"/>
    <w:rsid w:val="00812C44"/>
    <w:rsid w:val="00812F70"/>
    <w:rsid w:val="008135E1"/>
    <w:rsid w:val="00813779"/>
    <w:rsid w:val="00813E26"/>
    <w:rsid w:val="0081481D"/>
    <w:rsid w:val="00814BE8"/>
    <w:rsid w:val="00814F6E"/>
    <w:rsid w:val="00815B84"/>
    <w:rsid w:val="00816342"/>
    <w:rsid w:val="008166F6"/>
    <w:rsid w:val="00816BE9"/>
    <w:rsid w:val="00817D10"/>
    <w:rsid w:val="00822518"/>
    <w:rsid w:val="008226F5"/>
    <w:rsid w:val="00823FC6"/>
    <w:rsid w:val="00824306"/>
    <w:rsid w:val="00825C74"/>
    <w:rsid w:val="00825CFA"/>
    <w:rsid w:val="00826AB9"/>
    <w:rsid w:val="00826E0E"/>
    <w:rsid w:val="00827D11"/>
    <w:rsid w:val="00827E0F"/>
    <w:rsid w:val="00827F6E"/>
    <w:rsid w:val="00831758"/>
    <w:rsid w:val="008317D9"/>
    <w:rsid w:val="00831AEC"/>
    <w:rsid w:val="0083279F"/>
    <w:rsid w:val="00832CE9"/>
    <w:rsid w:val="008334DB"/>
    <w:rsid w:val="00833B7F"/>
    <w:rsid w:val="00833E8E"/>
    <w:rsid w:val="00834906"/>
    <w:rsid w:val="00836075"/>
    <w:rsid w:val="00836417"/>
    <w:rsid w:val="00836D47"/>
    <w:rsid w:val="00837526"/>
    <w:rsid w:val="008403BC"/>
    <w:rsid w:val="0084057D"/>
    <w:rsid w:val="008407A7"/>
    <w:rsid w:val="0084322B"/>
    <w:rsid w:val="00843CDE"/>
    <w:rsid w:val="00843F81"/>
    <w:rsid w:val="00844087"/>
    <w:rsid w:val="008448F1"/>
    <w:rsid w:val="0084519E"/>
    <w:rsid w:val="00845CAE"/>
    <w:rsid w:val="008462C5"/>
    <w:rsid w:val="008462FA"/>
    <w:rsid w:val="00846370"/>
    <w:rsid w:val="00846873"/>
    <w:rsid w:val="00846F73"/>
    <w:rsid w:val="008477E7"/>
    <w:rsid w:val="00847C2B"/>
    <w:rsid w:val="00850272"/>
    <w:rsid w:val="008506B9"/>
    <w:rsid w:val="0085086F"/>
    <w:rsid w:val="00851822"/>
    <w:rsid w:val="00851C16"/>
    <w:rsid w:val="008532BF"/>
    <w:rsid w:val="008539B2"/>
    <w:rsid w:val="00853BF4"/>
    <w:rsid w:val="00854294"/>
    <w:rsid w:val="00854295"/>
    <w:rsid w:val="0085572E"/>
    <w:rsid w:val="0085788B"/>
    <w:rsid w:val="00857A9E"/>
    <w:rsid w:val="00857DE2"/>
    <w:rsid w:val="0086003D"/>
    <w:rsid w:val="00863A8E"/>
    <w:rsid w:val="0086407F"/>
    <w:rsid w:val="008645E3"/>
    <w:rsid w:val="0086486A"/>
    <w:rsid w:val="00864E79"/>
    <w:rsid w:val="0086572B"/>
    <w:rsid w:val="00866615"/>
    <w:rsid w:val="0086661F"/>
    <w:rsid w:val="00866A0D"/>
    <w:rsid w:val="00866DB5"/>
    <w:rsid w:val="0086701D"/>
    <w:rsid w:val="0086702B"/>
    <w:rsid w:val="008672E2"/>
    <w:rsid w:val="0086784E"/>
    <w:rsid w:val="00867A6C"/>
    <w:rsid w:val="0087121C"/>
    <w:rsid w:val="00871FD2"/>
    <w:rsid w:val="00872084"/>
    <w:rsid w:val="00872827"/>
    <w:rsid w:val="00872A32"/>
    <w:rsid w:val="00874911"/>
    <w:rsid w:val="008754E4"/>
    <w:rsid w:val="00876EAE"/>
    <w:rsid w:val="00880106"/>
    <w:rsid w:val="00880F95"/>
    <w:rsid w:val="00882B44"/>
    <w:rsid w:val="008838AD"/>
    <w:rsid w:val="00885BC9"/>
    <w:rsid w:val="008864B3"/>
    <w:rsid w:val="008865E5"/>
    <w:rsid w:val="008871B0"/>
    <w:rsid w:val="00890B57"/>
    <w:rsid w:val="008916BA"/>
    <w:rsid w:val="0089217C"/>
    <w:rsid w:val="00892790"/>
    <w:rsid w:val="00893671"/>
    <w:rsid w:val="0089377A"/>
    <w:rsid w:val="00895838"/>
    <w:rsid w:val="00895A1E"/>
    <w:rsid w:val="00895A72"/>
    <w:rsid w:val="00895CDF"/>
    <w:rsid w:val="00896243"/>
    <w:rsid w:val="00896679"/>
    <w:rsid w:val="00896D8C"/>
    <w:rsid w:val="008A0FC9"/>
    <w:rsid w:val="008A1956"/>
    <w:rsid w:val="008A1A7C"/>
    <w:rsid w:val="008A2CE2"/>
    <w:rsid w:val="008A2DAB"/>
    <w:rsid w:val="008A40D3"/>
    <w:rsid w:val="008A469C"/>
    <w:rsid w:val="008A50FB"/>
    <w:rsid w:val="008A51D1"/>
    <w:rsid w:val="008A5DCE"/>
    <w:rsid w:val="008A75D3"/>
    <w:rsid w:val="008B05DD"/>
    <w:rsid w:val="008B07B8"/>
    <w:rsid w:val="008B17E8"/>
    <w:rsid w:val="008B2C45"/>
    <w:rsid w:val="008B2E7C"/>
    <w:rsid w:val="008B399A"/>
    <w:rsid w:val="008B45F0"/>
    <w:rsid w:val="008B4A70"/>
    <w:rsid w:val="008B502F"/>
    <w:rsid w:val="008B6DFC"/>
    <w:rsid w:val="008B7227"/>
    <w:rsid w:val="008C02FB"/>
    <w:rsid w:val="008C04E0"/>
    <w:rsid w:val="008C191C"/>
    <w:rsid w:val="008C1DA4"/>
    <w:rsid w:val="008C2095"/>
    <w:rsid w:val="008C2138"/>
    <w:rsid w:val="008C29B0"/>
    <w:rsid w:val="008C2CD5"/>
    <w:rsid w:val="008C33AE"/>
    <w:rsid w:val="008C3618"/>
    <w:rsid w:val="008C39E7"/>
    <w:rsid w:val="008C43AD"/>
    <w:rsid w:val="008C6118"/>
    <w:rsid w:val="008C627B"/>
    <w:rsid w:val="008C6341"/>
    <w:rsid w:val="008C64FF"/>
    <w:rsid w:val="008C653D"/>
    <w:rsid w:val="008C731F"/>
    <w:rsid w:val="008C74D9"/>
    <w:rsid w:val="008D2050"/>
    <w:rsid w:val="008D3B2D"/>
    <w:rsid w:val="008D58D9"/>
    <w:rsid w:val="008D5AD4"/>
    <w:rsid w:val="008D695E"/>
    <w:rsid w:val="008D6DD5"/>
    <w:rsid w:val="008D6E59"/>
    <w:rsid w:val="008D7155"/>
    <w:rsid w:val="008D76E0"/>
    <w:rsid w:val="008E0B29"/>
    <w:rsid w:val="008E141A"/>
    <w:rsid w:val="008E1A44"/>
    <w:rsid w:val="008E28E6"/>
    <w:rsid w:val="008E3232"/>
    <w:rsid w:val="008E3674"/>
    <w:rsid w:val="008E3B6C"/>
    <w:rsid w:val="008E3DE7"/>
    <w:rsid w:val="008E5227"/>
    <w:rsid w:val="008E562C"/>
    <w:rsid w:val="008E6540"/>
    <w:rsid w:val="008E6FBE"/>
    <w:rsid w:val="008E77D4"/>
    <w:rsid w:val="008E7ADD"/>
    <w:rsid w:val="008F091F"/>
    <w:rsid w:val="008F17B2"/>
    <w:rsid w:val="008F22B3"/>
    <w:rsid w:val="008F3119"/>
    <w:rsid w:val="008F3173"/>
    <w:rsid w:val="008F357B"/>
    <w:rsid w:val="008F4130"/>
    <w:rsid w:val="008F438A"/>
    <w:rsid w:val="008F44CA"/>
    <w:rsid w:val="008F49D3"/>
    <w:rsid w:val="008F6519"/>
    <w:rsid w:val="008F7012"/>
    <w:rsid w:val="008F7ADA"/>
    <w:rsid w:val="008F7B17"/>
    <w:rsid w:val="00900042"/>
    <w:rsid w:val="0090034B"/>
    <w:rsid w:val="0090087C"/>
    <w:rsid w:val="00901121"/>
    <w:rsid w:val="00901EF4"/>
    <w:rsid w:val="00902623"/>
    <w:rsid w:val="00902A67"/>
    <w:rsid w:val="00902C5E"/>
    <w:rsid w:val="00904BE4"/>
    <w:rsid w:val="0090504A"/>
    <w:rsid w:val="009051F5"/>
    <w:rsid w:val="00905221"/>
    <w:rsid w:val="00905664"/>
    <w:rsid w:val="00905A7C"/>
    <w:rsid w:val="00905D7E"/>
    <w:rsid w:val="00907037"/>
    <w:rsid w:val="00907259"/>
    <w:rsid w:val="009105C7"/>
    <w:rsid w:val="00910C5D"/>
    <w:rsid w:val="0091112C"/>
    <w:rsid w:val="0091160A"/>
    <w:rsid w:val="00912E04"/>
    <w:rsid w:val="00913258"/>
    <w:rsid w:val="00913851"/>
    <w:rsid w:val="00913BB0"/>
    <w:rsid w:val="0091456C"/>
    <w:rsid w:val="00914C58"/>
    <w:rsid w:val="00914D78"/>
    <w:rsid w:val="0091564D"/>
    <w:rsid w:val="009156DA"/>
    <w:rsid w:val="00915774"/>
    <w:rsid w:val="00916BC5"/>
    <w:rsid w:val="0091726A"/>
    <w:rsid w:val="00917C01"/>
    <w:rsid w:val="00920184"/>
    <w:rsid w:val="00920EA4"/>
    <w:rsid w:val="00921792"/>
    <w:rsid w:val="00921BEA"/>
    <w:rsid w:val="009227BE"/>
    <w:rsid w:val="009238FD"/>
    <w:rsid w:val="00923998"/>
    <w:rsid w:val="00923DB4"/>
    <w:rsid w:val="0092420B"/>
    <w:rsid w:val="0092430E"/>
    <w:rsid w:val="00925EAF"/>
    <w:rsid w:val="00926112"/>
    <w:rsid w:val="0092625F"/>
    <w:rsid w:val="00926B28"/>
    <w:rsid w:val="00926D9C"/>
    <w:rsid w:val="00927028"/>
    <w:rsid w:val="00927763"/>
    <w:rsid w:val="00927A2D"/>
    <w:rsid w:val="00927B37"/>
    <w:rsid w:val="009321B1"/>
    <w:rsid w:val="009327F0"/>
    <w:rsid w:val="00932ED7"/>
    <w:rsid w:val="0093422D"/>
    <w:rsid w:val="0093483B"/>
    <w:rsid w:val="00934CF9"/>
    <w:rsid w:val="00934DD7"/>
    <w:rsid w:val="00935CB2"/>
    <w:rsid w:val="009369A9"/>
    <w:rsid w:val="00936CF7"/>
    <w:rsid w:val="00937783"/>
    <w:rsid w:val="00937EAD"/>
    <w:rsid w:val="00937F28"/>
    <w:rsid w:val="00940FE1"/>
    <w:rsid w:val="00941474"/>
    <w:rsid w:val="00942306"/>
    <w:rsid w:val="009424B8"/>
    <w:rsid w:val="009432E2"/>
    <w:rsid w:val="00944668"/>
    <w:rsid w:val="00944DC6"/>
    <w:rsid w:val="009458B0"/>
    <w:rsid w:val="00945B52"/>
    <w:rsid w:val="00945B7A"/>
    <w:rsid w:val="00945F05"/>
    <w:rsid w:val="00946348"/>
    <w:rsid w:val="00947224"/>
    <w:rsid w:val="00947797"/>
    <w:rsid w:val="009478A2"/>
    <w:rsid w:val="009533BD"/>
    <w:rsid w:val="009536FB"/>
    <w:rsid w:val="00953808"/>
    <w:rsid w:val="009539A6"/>
    <w:rsid w:val="00954032"/>
    <w:rsid w:val="00954537"/>
    <w:rsid w:val="0095472D"/>
    <w:rsid w:val="00955342"/>
    <w:rsid w:val="00955FBB"/>
    <w:rsid w:val="0095694B"/>
    <w:rsid w:val="00956BD5"/>
    <w:rsid w:val="00956D84"/>
    <w:rsid w:val="00957700"/>
    <w:rsid w:val="009577B5"/>
    <w:rsid w:val="009608E6"/>
    <w:rsid w:val="00960F57"/>
    <w:rsid w:val="00961C90"/>
    <w:rsid w:val="00965443"/>
    <w:rsid w:val="00965954"/>
    <w:rsid w:val="00965A21"/>
    <w:rsid w:val="00965E55"/>
    <w:rsid w:val="0096608E"/>
    <w:rsid w:val="00966522"/>
    <w:rsid w:val="00966C33"/>
    <w:rsid w:val="00970F18"/>
    <w:rsid w:val="00971CF1"/>
    <w:rsid w:val="00971F5D"/>
    <w:rsid w:val="009721E9"/>
    <w:rsid w:val="00973772"/>
    <w:rsid w:val="0097560A"/>
    <w:rsid w:val="00975E1E"/>
    <w:rsid w:val="00975E70"/>
    <w:rsid w:val="009761DE"/>
    <w:rsid w:val="009766FA"/>
    <w:rsid w:val="00977CD6"/>
    <w:rsid w:val="0098048B"/>
    <w:rsid w:val="00980908"/>
    <w:rsid w:val="00980DF9"/>
    <w:rsid w:val="00981CD8"/>
    <w:rsid w:val="0098243D"/>
    <w:rsid w:val="00982D26"/>
    <w:rsid w:val="0098327D"/>
    <w:rsid w:val="00983B6E"/>
    <w:rsid w:val="00983FE5"/>
    <w:rsid w:val="009849E9"/>
    <w:rsid w:val="00984AFF"/>
    <w:rsid w:val="009859E4"/>
    <w:rsid w:val="00985D7F"/>
    <w:rsid w:val="00986162"/>
    <w:rsid w:val="00987812"/>
    <w:rsid w:val="00990225"/>
    <w:rsid w:val="00991307"/>
    <w:rsid w:val="00991FAA"/>
    <w:rsid w:val="00992A13"/>
    <w:rsid w:val="00994AAD"/>
    <w:rsid w:val="00995150"/>
    <w:rsid w:val="00995D67"/>
    <w:rsid w:val="00997613"/>
    <w:rsid w:val="009A013B"/>
    <w:rsid w:val="009A02F4"/>
    <w:rsid w:val="009A06BF"/>
    <w:rsid w:val="009A0D17"/>
    <w:rsid w:val="009A2494"/>
    <w:rsid w:val="009A32B1"/>
    <w:rsid w:val="009A33A3"/>
    <w:rsid w:val="009A36F2"/>
    <w:rsid w:val="009A40C3"/>
    <w:rsid w:val="009A40D5"/>
    <w:rsid w:val="009A5268"/>
    <w:rsid w:val="009A57D0"/>
    <w:rsid w:val="009A6559"/>
    <w:rsid w:val="009A68FC"/>
    <w:rsid w:val="009A6CE4"/>
    <w:rsid w:val="009A7514"/>
    <w:rsid w:val="009A7E7A"/>
    <w:rsid w:val="009B0925"/>
    <w:rsid w:val="009B1584"/>
    <w:rsid w:val="009B18F0"/>
    <w:rsid w:val="009B1F4C"/>
    <w:rsid w:val="009B2471"/>
    <w:rsid w:val="009B314F"/>
    <w:rsid w:val="009B439C"/>
    <w:rsid w:val="009B49A1"/>
    <w:rsid w:val="009B4A6C"/>
    <w:rsid w:val="009B4DA8"/>
    <w:rsid w:val="009B519A"/>
    <w:rsid w:val="009B620C"/>
    <w:rsid w:val="009B6753"/>
    <w:rsid w:val="009B676C"/>
    <w:rsid w:val="009B6A26"/>
    <w:rsid w:val="009C079D"/>
    <w:rsid w:val="009C0D70"/>
    <w:rsid w:val="009C13D1"/>
    <w:rsid w:val="009C2913"/>
    <w:rsid w:val="009C2BD4"/>
    <w:rsid w:val="009C51B8"/>
    <w:rsid w:val="009C5AFE"/>
    <w:rsid w:val="009C6606"/>
    <w:rsid w:val="009C6CE5"/>
    <w:rsid w:val="009C6D50"/>
    <w:rsid w:val="009C72B2"/>
    <w:rsid w:val="009C7547"/>
    <w:rsid w:val="009D05EC"/>
    <w:rsid w:val="009D18D4"/>
    <w:rsid w:val="009D1FCF"/>
    <w:rsid w:val="009D2F60"/>
    <w:rsid w:val="009D3A2E"/>
    <w:rsid w:val="009D5ADE"/>
    <w:rsid w:val="009D5BAC"/>
    <w:rsid w:val="009D5C56"/>
    <w:rsid w:val="009D6265"/>
    <w:rsid w:val="009D64BD"/>
    <w:rsid w:val="009D6CB1"/>
    <w:rsid w:val="009E0286"/>
    <w:rsid w:val="009E153F"/>
    <w:rsid w:val="009E18C5"/>
    <w:rsid w:val="009E322A"/>
    <w:rsid w:val="009E393E"/>
    <w:rsid w:val="009E444E"/>
    <w:rsid w:val="009E4968"/>
    <w:rsid w:val="009E64AF"/>
    <w:rsid w:val="009E663C"/>
    <w:rsid w:val="009E684A"/>
    <w:rsid w:val="009E6BB1"/>
    <w:rsid w:val="009E6E14"/>
    <w:rsid w:val="009E794A"/>
    <w:rsid w:val="009E7C14"/>
    <w:rsid w:val="009F0494"/>
    <w:rsid w:val="009F0CD9"/>
    <w:rsid w:val="009F1A79"/>
    <w:rsid w:val="009F1F57"/>
    <w:rsid w:val="009F2923"/>
    <w:rsid w:val="009F2DDD"/>
    <w:rsid w:val="009F3447"/>
    <w:rsid w:val="009F65F4"/>
    <w:rsid w:val="009F676B"/>
    <w:rsid w:val="009F6D2D"/>
    <w:rsid w:val="009F6D54"/>
    <w:rsid w:val="00A004DF"/>
    <w:rsid w:val="00A00FD5"/>
    <w:rsid w:val="00A012C0"/>
    <w:rsid w:val="00A019A8"/>
    <w:rsid w:val="00A01B03"/>
    <w:rsid w:val="00A01B89"/>
    <w:rsid w:val="00A02C66"/>
    <w:rsid w:val="00A02C84"/>
    <w:rsid w:val="00A03828"/>
    <w:rsid w:val="00A0464C"/>
    <w:rsid w:val="00A050BB"/>
    <w:rsid w:val="00A0521B"/>
    <w:rsid w:val="00A054E0"/>
    <w:rsid w:val="00A05D91"/>
    <w:rsid w:val="00A0740B"/>
    <w:rsid w:val="00A07ED3"/>
    <w:rsid w:val="00A10CA8"/>
    <w:rsid w:val="00A10E3B"/>
    <w:rsid w:val="00A11042"/>
    <w:rsid w:val="00A12579"/>
    <w:rsid w:val="00A12CDC"/>
    <w:rsid w:val="00A133D8"/>
    <w:rsid w:val="00A15655"/>
    <w:rsid w:val="00A160B0"/>
    <w:rsid w:val="00A163EF"/>
    <w:rsid w:val="00A1740C"/>
    <w:rsid w:val="00A17904"/>
    <w:rsid w:val="00A20069"/>
    <w:rsid w:val="00A2244D"/>
    <w:rsid w:val="00A2253D"/>
    <w:rsid w:val="00A2267F"/>
    <w:rsid w:val="00A22CDB"/>
    <w:rsid w:val="00A247B8"/>
    <w:rsid w:val="00A2495A"/>
    <w:rsid w:val="00A24C7A"/>
    <w:rsid w:val="00A24D8F"/>
    <w:rsid w:val="00A25B8B"/>
    <w:rsid w:val="00A2689F"/>
    <w:rsid w:val="00A26ECA"/>
    <w:rsid w:val="00A27461"/>
    <w:rsid w:val="00A27D67"/>
    <w:rsid w:val="00A30ABC"/>
    <w:rsid w:val="00A30B49"/>
    <w:rsid w:val="00A33B74"/>
    <w:rsid w:val="00A3467F"/>
    <w:rsid w:val="00A34B4C"/>
    <w:rsid w:val="00A35030"/>
    <w:rsid w:val="00A3551A"/>
    <w:rsid w:val="00A366A0"/>
    <w:rsid w:val="00A37209"/>
    <w:rsid w:val="00A37584"/>
    <w:rsid w:val="00A376E8"/>
    <w:rsid w:val="00A37F8E"/>
    <w:rsid w:val="00A41537"/>
    <w:rsid w:val="00A41737"/>
    <w:rsid w:val="00A42B8F"/>
    <w:rsid w:val="00A42D8E"/>
    <w:rsid w:val="00A43254"/>
    <w:rsid w:val="00A43896"/>
    <w:rsid w:val="00A43951"/>
    <w:rsid w:val="00A43A26"/>
    <w:rsid w:val="00A447A0"/>
    <w:rsid w:val="00A459F5"/>
    <w:rsid w:val="00A45FC0"/>
    <w:rsid w:val="00A46B74"/>
    <w:rsid w:val="00A47BF7"/>
    <w:rsid w:val="00A47ECC"/>
    <w:rsid w:val="00A50171"/>
    <w:rsid w:val="00A504FA"/>
    <w:rsid w:val="00A5102E"/>
    <w:rsid w:val="00A5132E"/>
    <w:rsid w:val="00A51375"/>
    <w:rsid w:val="00A51533"/>
    <w:rsid w:val="00A531D4"/>
    <w:rsid w:val="00A54572"/>
    <w:rsid w:val="00A575B8"/>
    <w:rsid w:val="00A619BB"/>
    <w:rsid w:val="00A61C60"/>
    <w:rsid w:val="00A61ECB"/>
    <w:rsid w:val="00A62E77"/>
    <w:rsid w:val="00A6410C"/>
    <w:rsid w:val="00A647B1"/>
    <w:rsid w:val="00A64DEF"/>
    <w:rsid w:val="00A654D2"/>
    <w:rsid w:val="00A6609D"/>
    <w:rsid w:val="00A665DF"/>
    <w:rsid w:val="00A67DB7"/>
    <w:rsid w:val="00A67FCC"/>
    <w:rsid w:val="00A70160"/>
    <w:rsid w:val="00A70AA5"/>
    <w:rsid w:val="00A70C03"/>
    <w:rsid w:val="00A71256"/>
    <w:rsid w:val="00A7217B"/>
    <w:rsid w:val="00A722D7"/>
    <w:rsid w:val="00A723A3"/>
    <w:rsid w:val="00A73861"/>
    <w:rsid w:val="00A739A6"/>
    <w:rsid w:val="00A740ED"/>
    <w:rsid w:val="00A744BF"/>
    <w:rsid w:val="00A74C29"/>
    <w:rsid w:val="00A74C62"/>
    <w:rsid w:val="00A75EF9"/>
    <w:rsid w:val="00A7657C"/>
    <w:rsid w:val="00A818D7"/>
    <w:rsid w:val="00A8311C"/>
    <w:rsid w:val="00A835D0"/>
    <w:rsid w:val="00A84C5F"/>
    <w:rsid w:val="00A85930"/>
    <w:rsid w:val="00A863F7"/>
    <w:rsid w:val="00A86604"/>
    <w:rsid w:val="00A87519"/>
    <w:rsid w:val="00A9246D"/>
    <w:rsid w:val="00A92CCA"/>
    <w:rsid w:val="00A93BD0"/>
    <w:rsid w:val="00A93CC2"/>
    <w:rsid w:val="00A94D4B"/>
    <w:rsid w:val="00A974CC"/>
    <w:rsid w:val="00AA2001"/>
    <w:rsid w:val="00AA2B5C"/>
    <w:rsid w:val="00AA32D2"/>
    <w:rsid w:val="00AA3B8B"/>
    <w:rsid w:val="00AA4016"/>
    <w:rsid w:val="00AA4525"/>
    <w:rsid w:val="00AA4C1F"/>
    <w:rsid w:val="00AA5328"/>
    <w:rsid w:val="00AA5393"/>
    <w:rsid w:val="00AA63D4"/>
    <w:rsid w:val="00AB03FD"/>
    <w:rsid w:val="00AB0D24"/>
    <w:rsid w:val="00AB2000"/>
    <w:rsid w:val="00AB38CB"/>
    <w:rsid w:val="00AB3BEC"/>
    <w:rsid w:val="00AB44E4"/>
    <w:rsid w:val="00AB4AEB"/>
    <w:rsid w:val="00AB4E5F"/>
    <w:rsid w:val="00AB5352"/>
    <w:rsid w:val="00AB56AE"/>
    <w:rsid w:val="00AB62D5"/>
    <w:rsid w:val="00AB65B5"/>
    <w:rsid w:val="00AB6C30"/>
    <w:rsid w:val="00AB6DCD"/>
    <w:rsid w:val="00AB6EE0"/>
    <w:rsid w:val="00AC17A2"/>
    <w:rsid w:val="00AC40B7"/>
    <w:rsid w:val="00AC531F"/>
    <w:rsid w:val="00AC5B36"/>
    <w:rsid w:val="00AC6377"/>
    <w:rsid w:val="00AC66A4"/>
    <w:rsid w:val="00AC6CB1"/>
    <w:rsid w:val="00AC75E9"/>
    <w:rsid w:val="00AC7D6D"/>
    <w:rsid w:val="00AC7EE0"/>
    <w:rsid w:val="00AD0091"/>
    <w:rsid w:val="00AD23EF"/>
    <w:rsid w:val="00AD2662"/>
    <w:rsid w:val="00AD307B"/>
    <w:rsid w:val="00AD4014"/>
    <w:rsid w:val="00AD41B3"/>
    <w:rsid w:val="00AD5721"/>
    <w:rsid w:val="00AD69F0"/>
    <w:rsid w:val="00AD6C82"/>
    <w:rsid w:val="00AD7127"/>
    <w:rsid w:val="00AD730C"/>
    <w:rsid w:val="00AE123A"/>
    <w:rsid w:val="00AE1539"/>
    <w:rsid w:val="00AE28A7"/>
    <w:rsid w:val="00AE2A98"/>
    <w:rsid w:val="00AE2CF2"/>
    <w:rsid w:val="00AE3012"/>
    <w:rsid w:val="00AE3297"/>
    <w:rsid w:val="00AE33A6"/>
    <w:rsid w:val="00AE3513"/>
    <w:rsid w:val="00AE3729"/>
    <w:rsid w:val="00AE4A3E"/>
    <w:rsid w:val="00AE4CCE"/>
    <w:rsid w:val="00AE5C6A"/>
    <w:rsid w:val="00AE6949"/>
    <w:rsid w:val="00AE7280"/>
    <w:rsid w:val="00AF01FA"/>
    <w:rsid w:val="00AF033A"/>
    <w:rsid w:val="00AF1658"/>
    <w:rsid w:val="00AF1699"/>
    <w:rsid w:val="00AF184B"/>
    <w:rsid w:val="00AF1FD3"/>
    <w:rsid w:val="00AF2910"/>
    <w:rsid w:val="00AF34B8"/>
    <w:rsid w:val="00AF3896"/>
    <w:rsid w:val="00AF39C9"/>
    <w:rsid w:val="00AF3FC2"/>
    <w:rsid w:val="00AF48CC"/>
    <w:rsid w:val="00AF4DEC"/>
    <w:rsid w:val="00B003FF"/>
    <w:rsid w:val="00B0098A"/>
    <w:rsid w:val="00B00A5F"/>
    <w:rsid w:val="00B029B8"/>
    <w:rsid w:val="00B02F60"/>
    <w:rsid w:val="00B02F94"/>
    <w:rsid w:val="00B032B8"/>
    <w:rsid w:val="00B04721"/>
    <w:rsid w:val="00B04B15"/>
    <w:rsid w:val="00B04B46"/>
    <w:rsid w:val="00B0534D"/>
    <w:rsid w:val="00B05685"/>
    <w:rsid w:val="00B05F9F"/>
    <w:rsid w:val="00B06368"/>
    <w:rsid w:val="00B06710"/>
    <w:rsid w:val="00B068DA"/>
    <w:rsid w:val="00B06A00"/>
    <w:rsid w:val="00B06FC6"/>
    <w:rsid w:val="00B074C9"/>
    <w:rsid w:val="00B07D9D"/>
    <w:rsid w:val="00B11AE5"/>
    <w:rsid w:val="00B12FE6"/>
    <w:rsid w:val="00B1303F"/>
    <w:rsid w:val="00B1364A"/>
    <w:rsid w:val="00B13859"/>
    <w:rsid w:val="00B13EC9"/>
    <w:rsid w:val="00B14319"/>
    <w:rsid w:val="00B14A06"/>
    <w:rsid w:val="00B158E1"/>
    <w:rsid w:val="00B16715"/>
    <w:rsid w:val="00B1768E"/>
    <w:rsid w:val="00B17910"/>
    <w:rsid w:val="00B20F18"/>
    <w:rsid w:val="00B21516"/>
    <w:rsid w:val="00B21A37"/>
    <w:rsid w:val="00B21D23"/>
    <w:rsid w:val="00B21F62"/>
    <w:rsid w:val="00B22CE0"/>
    <w:rsid w:val="00B23738"/>
    <w:rsid w:val="00B23BEF"/>
    <w:rsid w:val="00B247BB"/>
    <w:rsid w:val="00B2504A"/>
    <w:rsid w:val="00B25EE6"/>
    <w:rsid w:val="00B30F32"/>
    <w:rsid w:val="00B3115A"/>
    <w:rsid w:val="00B3178B"/>
    <w:rsid w:val="00B31825"/>
    <w:rsid w:val="00B31A5C"/>
    <w:rsid w:val="00B32265"/>
    <w:rsid w:val="00B3276D"/>
    <w:rsid w:val="00B33B06"/>
    <w:rsid w:val="00B33C19"/>
    <w:rsid w:val="00B35A15"/>
    <w:rsid w:val="00B35B45"/>
    <w:rsid w:val="00B36165"/>
    <w:rsid w:val="00B36A99"/>
    <w:rsid w:val="00B42264"/>
    <w:rsid w:val="00B434B2"/>
    <w:rsid w:val="00B43D45"/>
    <w:rsid w:val="00B459AF"/>
    <w:rsid w:val="00B468F2"/>
    <w:rsid w:val="00B469DE"/>
    <w:rsid w:val="00B47286"/>
    <w:rsid w:val="00B47EB4"/>
    <w:rsid w:val="00B50234"/>
    <w:rsid w:val="00B51BF4"/>
    <w:rsid w:val="00B52C68"/>
    <w:rsid w:val="00B5372B"/>
    <w:rsid w:val="00B542FE"/>
    <w:rsid w:val="00B55A1B"/>
    <w:rsid w:val="00B561DB"/>
    <w:rsid w:val="00B56DF9"/>
    <w:rsid w:val="00B56E80"/>
    <w:rsid w:val="00B57007"/>
    <w:rsid w:val="00B571F1"/>
    <w:rsid w:val="00B600BD"/>
    <w:rsid w:val="00B60E4E"/>
    <w:rsid w:val="00B61274"/>
    <w:rsid w:val="00B61DCE"/>
    <w:rsid w:val="00B62188"/>
    <w:rsid w:val="00B62F79"/>
    <w:rsid w:val="00B62F82"/>
    <w:rsid w:val="00B6306A"/>
    <w:rsid w:val="00B635E3"/>
    <w:rsid w:val="00B636AF"/>
    <w:rsid w:val="00B662FF"/>
    <w:rsid w:val="00B66679"/>
    <w:rsid w:val="00B70145"/>
    <w:rsid w:val="00B71A92"/>
    <w:rsid w:val="00B71C26"/>
    <w:rsid w:val="00B721D8"/>
    <w:rsid w:val="00B730CA"/>
    <w:rsid w:val="00B732EA"/>
    <w:rsid w:val="00B73747"/>
    <w:rsid w:val="00B747C5"/>
    <w:rsid w:val="00B74F2F"/>
    <w:rsid w:val="00B753ED"/>
    <w:rsid w:val="00B7665F"/>
    <w:rsid w:val="00B769BC"/>
    <w:rsid w:val="00B770F7"/>
    <w:rsid w:val="00B77349"/>
    <w:rsid w:val="00B7761E"/>
    <w:rsid w:val="00B80A3D"/>
    <w:rsid w:val="00B80B04"/>
    <w:rsid w:val="00B821E4"/>
    <w:rsid w:val="00B823E0"/>
    <w:rsid w:val="00B8260D"/>
    <w:rsid w:val="00B82B78"/>
    <w:rsid w:val="00B845B4"/>
    <w:rsid w:val="00B84662"/>
    <w:rsid w:val="00B84C74"/>
    <w:rsid w:val="00B84CE9"/>
    <w:rsid w:val="00B85191"/>
    <w:rsid w:val="00B858A1"/>
    <w:rsid w:val="00B85FEC"/>
    <w:rsid w:val="00B864A3"/>
    <w:rsid w:val="00B86C2A"/>
    <w:rsid w:val="00B902A5"/>
    <w:rsid w:val="00B90420"/>
    <w:rsid w:val="00B90848"/>
    <w:rsid w:val="00B91146"/>
    <w:rsid w:val="00B913E4"/>
    <w:rsid w:val="00B91DB9"/>
    <w:rsid w:val="00B91FF3"/>
    <w:rsid w:val="00B925F8"/>
    <w:rsid w:val="00B93EFE"/>
    <w:rsid w:val="00B944B9"/>
    <w:rsid w:val="00B94956"/>
    <w:rsid w:val="00B94C7F"/>
    <w:rsid w:val="00B94E93"/>
    <w:rsid w:val="00B956B5"/>
    <w:rsid w:val="00B95956"/>
    <w:rsid w:val="00B96DF2"/>
    <w:rsid w:val="00B96E18"/>
    <w:rsid w:val="00B96F5A"/>
    <w:rsid w:val="00BA0B39"/>
    <w:rsid w:val="00BA0CB2"/>
    <w:rsid w:val="00BA0E26"/>
    <w:rsid w:val="00BA138B"/>
    <w:rsid w:val="00BA305B"/>
    <w:rsid w:val="00BA31BF"/>
    <w:rsid w:val="00BA3C0F"/>
    <w:rsid w:val="00BA3C65"/>
    <w:rsid w:val="00BA3FC7"/>
    <w:rsid w:val="00BA478B"/>
    <w:rsid w:val="00BA5224"/>
    <w:rsid w:val="00BA575E"/>
    <w:rsid w:val="00BA76B7"/>
    <w:rsid w:val="00BA7E3B"/>
    <w:rsid w:val="00BB078D"/>
    <w:rsid w:val="00BB079C"/>
    <w:rsid w:val="00BB0D7A"/>
    <w:rsid w:val="00BB10E1"/>
    <w:rsid w:val="00BB2471"/>
    <w:rsid w:val="00BB3035"/>
    <w:rsid w:val="00BB3928"/>
    <w:rsid w:val="00BB39C1"/>
    <w:rsid w:val="00BB3DF5"/>
    <w:rsid w:val="00BB3EA7"/>
    <w:rsid w:val="00BB5D16"/>
    <w:rsid w:val="00BB6180"/>
    <w:rsid w:val="00BB69E6"/>
    <w:rsid w:val="00BB7323"/>
    <w:rsid w:val="00BB7BE5"/>
    <w:rsid w:val="00BC08BD"/>
    <w:rsid w:val="00BC11E8"/>
    <w:rsid w:val="00BC1B7A"/>
    <w:rsid w:val="00BC1CB8"/>
    <w:rsid w:val="00BC2C17"/>
    <w:rsid w:val="00BC3ACD"/>
    <w:rsid w:val="00BC3B20"/>
    <w:rsid w:val="00BC3EE4"/>
    <w:rsid w:val="00BC588C"/>
    <w:rsid w:val="00BC6E73"/>
    <w:rsid w:val="00BC74D3"/>
    <w:rsid w:val="00BC757B"/>
    <w:rsid w:val="00BD0014"/>
    <w:rsid w:val="00BD01D8"/>
    <w:rsid w:val="00BD255F"/>
    <w:rsid w:val="00BD2895"/>
    <w:rsid w:val="00BD4236"/>
    <w:rsid w:val="00BD483B"/>
    <w:rsid w:val="00BD51F9"/>
    <w:rsid w:val="00BD5448"/>
    <w:rsid w:val="00BD5CD4"/>
    <w:rsid w:val="00BD65D9"/>
    <w:rsid w:val="00BD6DF3"/>
    <w:rsid w:val="00BD6E09"/>
    <w:rsid w:val="00BD6EF9"/>
    <w:rsid w:val="00BE0ACB"/>
    <w:rsid w:val="00BE2260"/>
    <w:rsid w:val="00BE3917"/>
    <w:rsid w:val="00BE4C86"/>
    <w:rsid w:val="00BE50FD"/>
    <w:rsid w:val="00BE51CA"/>
    <w:rsid w:val="00BE537F"/>
    <w:rsid w:val="00BE5D77"/>
    <w:rsid w:val="00BE6D47"/>
    <w:rsid w:val="00BE7032"/>
    <w:rsid w:val="00BE7330"/>
    <w:rsid w:val="00BF01C5"/>
    <w:rsid w:val="00BF061A"/>
    <w:rsid w:val="00BF066A"/>
    <w:rsid w:val="00BF0AFF"/>
    <w:rsid w:val="00BF14CC"/>
    <w:rsid w:val="00BF1821"/>
    <w:rsid w:val="00BF22E9"/>
    <w:rsid w:val="00BF2FD6"/>
    <w:rsid w:val="00BF4342"/>
    <w:rsid w:val="00BF4704"/>
    <w:rsid w:val="00BF4FFC"/>
    <w:rsid w:val="00BF5050"/>
    <w:rsid w:val="00BF50D1"/>
    <w:rsid w:val="00BF5422"/>
    <w:rsid w:val="00BF5606"/>
    <w:rsid w:val="00BF59B1"/>
    <w:rsid w:val="00BF6625"/>
    <w:rsid w:val="00BF6A78"/>
    <w:rsid w:val="00BF7695"/>
    <w:rsid w:val="00BF79B4"/>
    <w:rsid w:val="00BF7C61"/>
    <w:rsid w:val="00C01427"/>
    <w:rsid w:val="00C014C7"/>
    <w:rsid w:val="00C031CF"/>
    <w:rsid w:val="00C047AB"/>
    <w:rsid w:val="00C058AF"/>
    <w:rsid w:val="00C075B6"/>
    <w:rsid w:val="00C11165"/>
    <w:rsid w:val="00C124C1"/>
    <w:rsid w:val="00C128AE"/>
    <w:rsid w:val="00C12BA8"/>
    <w:rsid w:val="00C13094"/>
    <w:rsid w:val="00C136D6"/>
    <w:rsid w:val="00C13D5B"/>
    <w:rsid w:val="00C141D7"/>
    <w:rsid w:val="00C15138"/>
    <w:rsid w:val="00C1711B"/>
    <w:rsid w:val="00C17AE2"/>
    <w:rsid w:val="00C20140"/>
    <w:rsid w:val="00C20F27"/>
    <w:rsid w:val="00C215CF"/>
    <w:rsid w:val="00C2244B"/>
    <w:rsid w:val="00C22711"/>
    <w:rsid w:val="00C2280A"/>
    <w:rsid w:val="00C22A1C"/>
    <w:rsid w:val="00C22B0D"/>
    <w:rsid w:val="00C22BFF"/>
    <w:rsid w:val="00C23522"/>
    <w:rsid w:val="00C240C1"/>
    <w:rsid w:val="00C244A1"/>
    <w:rsid w:val="00C24AED"/>
    <w:rsid w:val="00C250D0"/>
    <w:rsid w:val="00C252AC"/>
    <w:rsid w:val="00C25C0F"/>
    <w:rsid w:val="00C26567"/>
    <w:rsid w:val="00C26923"/>
    <w:rsid w:val="00C27214"/>
    <w:rsid w:val="00C27597"/>
    <w:rsid w:val="00C27E5E"/>
    <w:rsid w:val="00C30382"/>
    <w:rsid w:val="00C306B4"/>
    <w:rsid w:val="00C30772"/>
    <w:rsid w:val="00C30D6F"/>
    <w:rsid w:val="00C31063"/>
    <w:rsid w:val="00C31B7E"/>
    <w:rsid w:val="00C322D1"/>
    <w:rsid w:val="00C3242A"/>
    <w:rsid w:val="00C33201"/>
    <w:rsid w:val="00C33A39"/>
    <w:rsid w:val="00C34355"/>
    <w:rsid w:val="00C34619"/>
    <w:rsid w:val="00C348D9"/>
    <w:rsid w:val="00C35D01"/>
    <w:rsid w:val="00C360B3"/>
    <w:rsid w:val="00C362A8"/>
    <w:rsid w:val="00C37027"/>
    <w:rsid w:val="00C373BF"/>
    <w:rsid w:val="00C37B19"/>
    <w:rsid w:val="00C41349"/>
    <w:rsid w:val="00C413CB"/>
    <w:rsid w:val="00C42752"/>
    <w:rsid w:val="00C42973"/>
    <w:rsid w:val="00C46B95"/>
    <w:rsid w:val="00C4712A"/>
    <w:rsid w:val="00C5034F"/>
    <w:rsid w:val="00C50830"/>
    <w:rsid w:val="00C52479"/>
    <w:rsid w:val="00C5266E"/>
    <w:rsid w:val="00C52C59"/>
    <w:rsid w:val="00C5349E"/>
    <w:rsid w:val="00C539FF"/>
    <w:rsid w:val="00C544BD"/>
    <w:rsid w:val="00C54D3D"/>
    <w:rsid w:val="00C55A30"/>
    <w:rsid w:val="00C56384"/>
    <w:rsid w:val="00C60F8C"/>
    <w:rsid w:val="00C61424"/>
    <w:rsid w:val="00C61794"/>
    <w:rsid w:val="00C62359"/>
    <w:rsid w:val="00C62A48"/>
    <w:rsid w:val="00C62AC4"/>
    <w:rsid w:val="00C62B59"/>
    <w:rsid w:val="00C62F96"/>
    <w:rsid w:val="00C631E1"/>
    <w:rsid w:val="00C638D8"/>
    <w:rsid w:val="00C63A43"/>
    <w:rsid w:val="00C63AE7"/>
    <w:rsid w:val="00C63D26"/>
    <w:rsid w:val="00C6540A"/>
    <w:rsid w:val="00C668A1"/>
    <w:rsid w:val="00C67223"/>
    <w:rsid w:val="00C707B8"/>
    <w:rsid w:val="00C712AC"/>
    <w:rsid w:val="00C71C15"/>
    <w:rsid w:val="00C71F3D"/>
    <w:rsid w:val="00C72F53"/>
    <w:rsid w:val="00C74035"/>
    <w:rsid w:val="00C748EA"/>
    <w:rsid w:val="00C77818"/>
    <w:rsid w:val="00C8063F"/>
    <w:rsid w:val="00C80B93"/>
    <w:rsid w:val="00C81282"/>
    <w:rsid w:val="00C827B4"/>
    <w:rsid w:val="00C83214"/>
    <w:rsid w:val="00C8329F"/>
    <w:rsid w:val="00C84744"/>
    <w:rsid w:val="00C84F8A"/>
    <w:rsid w:val="00C85BA4"/>
    <w:rsid w:val="00C8618F"/>
    <w:rsid w:val="00C8625D"/>
    <w:rsid w:val="00C90372"/>
    <w:rsid w:val="00C9041F"/>
    <w:rsid w:val="00C9166B"/>
    <w:rsid w:val="00C91945"/>
    <w:rsid w:val="00C91A45"/>
    <w:rsid w:val="00C91FB4"/>
    <w:rsid w:val="00C92150"/>
    <w:rsid w:val="00C92328"/>
    <w:rsid w:val="00C92D42"/>
    <w:rsid w:val="00C938C2"/>
    <w:rsid w:val="00C93F8A"/>
    <w:rsid w:val="00C94EA1"/>
    <w:rsid w:val="00C95745"/>
    <w:rsid w:val="00C95902"/>
    <w:rsid w:val="00C962E3"/>
    <w:rsid w:val="00C978E2"/>
    <w:rsid w:val="00C97997"/>
    <w:rsid w:val="00CA10A2"/>
    <w:rsid w:val="00CA1D83"/>
    <w:rsid w:val="00CA25C0"/>
    <w:rsid w:val="00CA2FD1"/>
    <w:rsid w:val="00CA3451"/>
    <w:rsid w:val="00CA35C6"/>
    <w:rsid w:val="00CA4948"/>
    <w:rsid w:val="00CA4D3A"/>
    <w:rsid w:val="00CA52F9"/>
    <w:rsid w:val="00CA5368"/>
    <w:rsid w:val="00CA568B"/>
    <w:rsid w:val="00CA573A"/>
    <w:rsid w:val="00CA5C58"/>
    <w:rsid w:val="00CB19D7"/>
    <w:rsid w:val="00CB19FE"/>
    <w:rsid w:val="00CB1C3F"/>
    <w:rsid w:val="00CB2364"/>
    <w:rsid w:val="00CB304C"/>
    <w:rsid w:val="00CB3933"/>
    <w:rsid w:val="00CB3C75"/>
    <w:rsid w:val="00CB4B7C"/>
    <w:rsid w:val="00CB5010"/>
    <w:rsid w:val="00CB53E8"/>
    <w:rsid w:val="00CB594A"/>
    <w:rsid w:val="00CB5CB2"/>
    <w:rsid w:val="00CB6979"/>
    <w:rsid w:val="00CB7DDE"/>
    <w:rsid w:val="00CC0A3D"/>
    <w:rsid w:val="00CC2FF0"/>
    <w:rsid w:val="00CC3C53"/>
    <w:rsid w:val="00CC3D24"/>
    <w:rsid w:val="00CC3F91"/>
    <w:rsid w:val="00CC47EE"/>
    <w:rsid w:val="00CC4ACD"/>
    <w:rsid w:val="00CC4B0A"/>
    <w:rsid w:val="00CC544A"/>
    <w:rsid w:val="00CC57EA"/>
    <w:rsid w:val="00CC5954"/>
    <w:rsid w:val="00CC629B"/>
    <w:rsid w:val="00CC6C4E"/>
    <w:rsid w:val="00CD009D"/>
    <w:rsid w:val="00CD05A2"/>
    <w:rsid w:val="00CD29D4"/>
    <w:rsid w:val="00CD2B5C"/>
    <w:rsid w:val="00CD2FF3"/>
    <w:rsid w:val="00CD3323"/>
    <w:rsid w:val="00CD38F5"/>
    <w:rsid w:val="00CD3BF2"/>
    <w:rsid w:val="00CD3F16"/>
    <w:rsid w:val="00CD437E"/>
    <w:rsid w:val="00CD5DAD"/>
    <w:rsid w:val="00CD72C5"/>
    <w:rsid w:val="00CD764E"/>
    <w:rsid w:val="00CD79A7"/>
    <w:rsid w:val="00CD7FAD"/>
    <w:rsid w:val="00CE0789"/>
    <w:rsid w:val="00CE0E8D"/>
    <w:rsid w:val="00CE1A03"/>
    <w:rsid w:val="00CE2346"/>
    <w:rsid w:val="00CE25B2"/>
    <w:rsid w:val="00CE3529"/>
    <w:rsid w:val="00CE35C8"/>
    <w:rsid w:val="00CE3962"/>
    <w:rsid w:val="00CE3981"/>
    <w:rsid w:val="00CE4D0A"/>
    <w:rsid w:val="00CE4D1A"/>
    <w:rsid w:val="00CE4E8A"/>
    <w:rsid w:val="00CE5105"/>
    <w:rsid w:val="00CE56BD"/>
    <w:rsid w:val="00CE5EC0"/>
    <w:rsid w:val="00CE68AD"/>
    <w:rsid w:val="00CE6F9F"/>
    <w:rsid w:val="00CE781A"/>
    <w:rsid w:val="00CE7B08"/>
    <w:rsid w:val="00CE7D52"/>
    <w:rsid w:val="00CF0AB7"/>
    <w:rsid w:val="00CF1D74"/>
    <w:rsid w:val="00CF2BE2"/>
    <w:rsid w:val="00CF3DEB"/>
    <w:rsid w:val="00CF55F9"/>
    <w:rsid w:val="00CF7074"/>
    <w:rsid w:val="00CF7495"/>
    <w:rsid w:val="00D01CF9"/>
    <w:rsid w:val="00D0334D"/>
    <w:rsid w:val="00D0364B"/>
    <w:rsid w:val="00D0374D"/>
    <w:rsid w:val="00D06D7B"/>
    <w:rsid w:val="00D06DA5"/>
    <w:rsid w:val="00D07191"/>
    <w:rsid w:val="00D07F1D"/>
    <w:rsid w:val="00D10558"/>
    <w:rsid w:val="00D11D4D"/>
    <w:rsid w:val="00D11DB1"/>
    <w:rsid w:val="00D126DC"/>
    <w:rsid w:val="00D12B03"/>
    <w:rsid w:val="00D13E70"/>
    <w:rsid w:val="00D13EE7"/>
    <w:rsid w:val="00D14642"/>
    <w:rsid w:val="00D15FCD"/>
    <w:rsid w:val="00D16C58"/>
    <w:rsid w:val="00D17019"/>
    <w:rsid w:val="00D17FC8"/>
    <w:rsid w:val="00D2015B"/>
    <w:rsid w:val="00D20699"/>
    <w:rsid w:val="00D20B44"/>
    <w:rsid w:val="00D21168"/>
    <w:rsid w:val="00D2385D"/>
    <w:rsid w:val="00D2438C"/>
    <w:rsid w:val="00D2585A"/>
    <w:rsid w:val="00D259B0"/>
    <w:rsid w:val="00D259C2"/>
    <w:rsid w:val="00D26C3F"/>
    <w:rsid w:val="00D27185"/>
    <w:rsid w:val="00D3028A"/>
    <w:rsid w:val="00D31CA3"/>
    <w:rsid w:val="00D33488"/>
    <w:rsid w:val="00D33AB3"/>
    <w:rsid w:val="00D33F24"/>
    <w:rsid w:val="00D34160"/>
    <w:rsid w:val="00D344E8"/>
    <w:rsid w:val="00D346B8"/>
    <w:rsid w:val="00D34DCA"/>
    <w:rsid w:val="00D35AC8"/>
    <w:rsid w:val="00D36F87"/>
    <w:rsid w:val="00D37E4E"/>
    <w:rsid w:val="00D40CD7"/>
    <w:rsid w:val="00D417D8"/>
    <w:rsid w:val="00D41F78"/>
    <w:rsid w:val="00D42E6C"/>
    <w:rsid w:val="00D4351C"/>
    <w:rsid w:val="00D43B80"/>
    <w:rsid w:val="00D44988"/>
    <w:rsid w:val="00D44B40"/>
    <w:rsid w:val="00D45B4C"/>
    <w:rsid w:val="00D45BA4"/>
    <w:rsid w:val="00D471AF"/>
    <w:rsid w:val="00D471E2"/>
    <w:rsid w:val="00D4724F"/>
    <w:rsid w:val="00D50519"/>
    <w:rsid w:val="00D50779"/>
    <w:rsid w:val="00D51601"/>
    <w:rsid w:val="00D51ECB"/>
    <w:rsid w:val="00D5264C"/>
    <w:rsid w:val="00D52BBC"/>
    <w:rsid w:val="00D537FE"/>
    <w:rsid w:val="00D53CC9"/>
    <w:rsid w:val="00D54A6A"/>
    <w:rsid w:val="00D54B8F"/>
    <w:rsid w:val="00D55848"/>
    <w:rsid w:val="00D55951"/>
    <w:rsid w:val="00D559F0"/>
    <w:rsid w:val="00D5650F"/>
    <w:rsid w:val="00D57EB6"/>
    <w:rsid w:val="00D608C0"/>
    <w:rsid w:val="00D60D6D"/>
    <w:rsid w:val="00D6128C"/>
    <w:rsid w:val="00D63B22"/>
    <w:rsid w:val="00D66D8B"/>
    <w:rsid w:val="00D70849"/>
    <w:rsid w:val="00D72297"/>
    <w:rsid w:val="00D72A1C"/>
    <w:rsid w:val="00D7308F"/>
    <w:rsid w:val="00D7313E"/>
    <w:rsid w:val="00D73580"/>
    <w:rsid w:val="00D73802"/>
    <w:rsid w:val="00D73C2C"/>
    <w:rsid w:val="00D73D52"/>
    <w:rsid w:val="00D745E7"/>
    <w:rsid w:val="00D746A9"/>
    <w:rsid w:val="00D749BB"/>
    <w:rsid w:val="00D75FDA"/>
    <w:rsid w:val="00D774ED"/>
    <w:rsid w:val="00D777C3"/>
    <w:rsid w:val="00D7797C"/>
    <w:rsid w:val="00D77C44"/>
    <w:rsid w:val="00D77F88"/>
    <w:rsid w:val="00D81AFA"/>
    <w:rsid w:val="00D81EAA"/>
    <w:rsid w:val="00D81FE2"/>
    <w:rsid w:val="00D8259F"/>
    <w:rsid w:val="00D825F2"/>
    <w:rsid w:val="00D8285C"/>
    <w:rsid w:val="00D828B1"/>
    <w:rsid w:val="00D82A55"/>
    <w:rsid w:val="00D830F8"/>
    <w:rsid w:val="00D83D49"/>
    <w:rsid w:val="00D84181"/>
    <w:rsid w:val="00D846AD"/>
    <w:rsid w:val="00D84754"/>
    <w:rsid w:val="00D84F27"/>
    <w:rsid w:val="00D853F0"/>
    <w:rsid w:val="00D85862"/>
    <w:rsid w:val="00D86D47"/>
    <w:rsid w:val="00D8710C"/>
    <w:rsid w:val="00D873C6"/>
    <w:rsid w:val="00D9074A"/>
    <w:rsid w:val="00D9099E"/>
    <w:rsid w:val="00D9193A"/>
    <w:rsid w:val="00D923B2"/>
    <w:rsid w:val="00D92463"/>
    <w:rsid w:val="00D93E64"/>
    <w:rsid w:val="00D93F64"/>
    <w:rsid w:val="00D94CA4"/>
    <w:rsid w:val="00D95E99"/>
    <w:rsid w:val="00D965D5"/>
    <w:rsid w:val="00D97C8F"/>
    <w:rsid w:val="00D97DA2"/>
    <w:rsid w:val="00D97FC2"/>
    <w:rsid w:val="00DA0485"/>
    <w:rsid w:val="00DA1A3A"/>
    <w:rsid w:val="00DA2351"/>
    <w:rsid w:val="00DA249E"/>
    <w:rsid w:val="00DA2D3D"/>
    <w:rsid w:val="00DA3855"/>
    <w:rsid w:val="00DA39BA"/>
    <w:rsid w:val="00DA4C30"/>
    <w:rsid w:val="00DA6A44"/>
    <w:rsid w:val="00DA6BDB"/>
    <w:rsid w:val="00DA7A3C"/>
    <w:rsid w:val="00DB1322"/>
    <w:rsid w:val="00DB145E"/>
    <w:rsid w:val="00DB1A94"/>
    <w:rsid w:val="00DB1D52"/>
    <w:rsid w:val="00DB1E2B"/>
    <w:rsid w:val="00DB1F62"/>
    <w:rsid w:val="00DB21E7"/>
    <w:rsid w:val="00DB2E03"/>
    <w:rsid w:val="00DB3742"/>
    <w:rsid w:val="00DB3E9B"/>
    <w:rsid w:val="00DB3F4B"/>
    <w:rsid w:val="00DB5375"/>
    <w:rsid w:val="00DB67C1"/>
    <w:rsid w:val="00DB6C0B"/>
    <w:rsid w:val="00DB70F4"/>
    <w:rsid w:val="00DB748A"/>
    <w:rsid w:val="00DC03F5"/>
    <w:rsid w:val="00DC1056"/>
    <w:rsid w:val="00DC1442"/>
    <w:rsid w:val="00DC21D8"/>
    <w:rsid w:val="00DC282A"/>
    <w:rsid w:val="00DC2DE8"/>
    <w:rsid w:val="00DC34DC"/>
    <w:rsid w:val="00DC3780"/>
    <w:rsid w:val="00DC3ADA"/>
    <w:rsid w:val="00DC3CC6"/>
    <w:rsid w:val="00DC3F55"/>
    <w:rsid w:val="00DC4782"/>
    <w:rsid w:val="00DC514A"/>
    <w:rsid w:val="00DC67B1"/>
    <w:rsid w:val="00DC7FBC"/>
    <w:rsid w:val="00DD0019"/>
    <w:rsid w:val="00DD0936"/>
    <w:rsid w:val="00DD132B"/>
    <w:rsid w:val="00DD1725"/>
    <w:rsid w:val="00DD2159"/>
    <w:rsid w:val="00DD218B"/>
    <w:rsid w:val="00DD28BA"/>
    <w:rsid w:val="00DD2A18"/>
    <w:rsid w:val="00DD3044"/>
    <w:rsid w:val="00DD3985"/>
    <w:rsid w:val="00DD61E8"/>
    <w:rsid w:val="00DD62C0"/>
    <w:rsid w:val="00DD64DE"/>
    <w:rsid w:val="00DD66DE"/>
    <w:rsid w:val="00DD71C9"/>
    <w:rsid w:val="00DD7859"/>
    <w:rsid w:val="00DD7B41"/>
    <w:rsid w:val="00DE0784"/>
    <w:rsid w:val="00DE0A1D"/>
    <w:rsid w:val="00DE15B2"/>
    <w:rsid w:val="00DE1A9A"/>
    <w:rsid w:val="00DE3D2C"/>
    <w:rsid w:val="00DE5E82"/>
    <w:rsid w:val="00DE5FA6"/>
    <w:rsid w:val="00DE6792"/>
    <w:rsid w:val="00DE6AA1"/>
    <w:rsid w:val="00DE7EF7"/>
    <w:rsid w:val="00DF015B"/>
    <w:rsid w:val="00DF02EC"/>
    <w:rsid w:val="00DF10FC"/>
    <w:rsid w:val="00DF1185"/>
    <w:rsid w:val="00DF1299"/>
    <w:rsid w:val="00DF1A70"/>
    <w:rsid w:val="00DF1E5F"/>
    <w:rsid w:val="00DF23A8"/>
    <w:rsid w:val="00DF24B6"/>
    <w:rsid w:val="00DF2F27"/>
    <w:rsid w:val="00DF36B6"/>
    <w:rsid w:val="00DF4296"/>
    <w:rsid w:val="00DF5267"/>
    <w:rsid w:val="00DF53F0"/>
    <w:rsid w:val="00DF5F38"/>
    <w:rsid w:val="00DF6608"/>
    <w:rsid w:val="00DF6CCC"/>
    <w:rsid w:val="00DF6D0C"/>
    <w:rsid w:val="00DF6F64"/>
    <w:rsid w:val="00DF721E"/>
    <w:rsid w:val="00DF7549"/>
    <w:rsid w:val="00DF7657"/>
    <w:rsid w:val="00DF7B8A"/>
    <w:rsid w:val="00DF7C87"/>
    <w:rsid w:val="00E009B0"/>
    <w:rsid w:val="00E00A12"/>
    <w:rsid w:val="00E00B39"/>
    <w:rsid w:val="00E00C49"/>
    <w:rsid w:val="00E01C9C"/>
    <w:rsid w:val="00E0219D"/>
    <w:rsid w:val="00E04C0F"/>
    <w:rsid w:val="00E0570B"/>
    <w:rsid w:val="00E069C5"/>
    <w:rsid w:val="00E10913"/>
    <w:rsid w:val="00E10B87"/>
    <w:rsid w:val="00E121CE"/>
    <w:rsid w:val="00E12209"/>
    <w:rsid w:val="00E1478B"/>
    <w:rsid w:val="00E14FAC"/>
    <w:rsid w:val="00E15007"/>
    <w:rsid w:val="00E15E2D"/>
    <w:rsid w:val="00E15FCA"/>
    <w:rsid w:val="00E16277"/>
    <w:rsid w:val="00E16C44"/>
    <w:rsid w:val="00E16EC7"/>
    <w:rsid w:val="00E17DCC"/>
    <w:rsid w:val="00E219CE"/>
    <w:rsid w:val="00E21D93"/>
    <w:rsid w:val="00E22BE3"/>
    <w:rsid w:val="00E22D2A"/>
    <w:rsid w:val="00E24071"/>
    <w:rsid w:val="00E24DCA"/>
    <w:rsid w:val="00E24EBC"/>
    <w:rsid w:val="00E2522C"/>
    <w:rsid w:val="00E2552F"/>
    <w:rsid w:val="00E2599B"/>
    <w:rsid w:val="00E2710C"/>
    <w:rsid w:val="00E272BD"/>
    <w:rsid w:val="00E27428"/>
    <w:rsid w:val="00E305B4"/>
    <w:rsid w:val="00E31AFA"/>
    <w:rsid w:val="00E31CB7"/>
    <w:rsid w:val="00E324EE"/>
    <w:rsid w:val="00E34DB1"/>
    <w:rsid w:val="00E35931"/>
    <w:rsid w:val="00E359FF"/>
    <w:rsid w:val="00E364EE"/>
    <w:rsid w:val="00E3699A"/>
    <w:rsid w:val="00E402C5"/>
    <w:rsid w:val="00E402F4"/>
    <w:rsid w:val="00E405F1"/>
    <w:rsid w:val="00E4156D"/>
    <w:rsid w:val="00E417DB"/>
    <w:rsid w:val="00E43054"/>
    <w:rsid w:val="00E43655"/>
    <w:rsid w:val="00E44440"/>
    <w:rsid w:val="00E44762"/>
    <w:rsid w:val="00E46013"/>
    <w:rsid w:val="00E47099"/>
    <w:rsid w:val="00E47284"/>
    <w:rsid w:val="00E477C3"/>
    <w:rsid w:val="00E51E16"/>
    <w:rsid w:val="00E52DED"/>
    <w:rsid w:val="00E53730"/>
    <w:rsid w:val="00E542D7"/>
    <w:rsid w:val="00E5438D"/>
    <w:rsid w:val="00E54511"/>
    <w:rsid w:val="00E54E50"/>
    <w:rsid w:val="00E55288"/>
    <w:rsid w:val="00E57577"/>
    <w:rsid w:val="00E61D0B"/>
    <w:rsid w:val="00E62043"/>
    <w:rsid w:val="00E626B9"/>
    <w:rsid w:val="00E627C9"/>
    <w:rsid w:val="00E630F3"/>
    <w:rsid w:val="00E6332F"/>
    <w:rsid w:val="00E637C9"/>
    <w:rsid w:val="00E6402D"/>
    <w:rsid w:val="00E6680A"/>
    <w:rsid w:val="00E66F0D"/>
    <w:rsid w:val="00E70615"/>
    <w:rsid w:val="00E7161E"/>
    <w:rsid w:val="00E7207B"/>
    <w:rsid w:val="00E7347A"/>
    <w:rsid w:val="00E75A47"/>
    <w:rsid w:val="00E75BB6"/>
    <w:rsid w:val="00E75D8C"/>
    <w:rsid w:val="00E762D0"/>
    <w:rsid w:val="00E777F2"/>
    <w:rsid w:val="00E802C9"/>
    <w:rsid w:val="00E80BFB"/>
    <w:rsid w:val="00E80EC2"/>
    <w:rsid w:val="00E80F0A"/>
    <w:rsid w:val="00E815D4"/>
    <w:rsid w:val="00E8291B"/>
    <w:rsid w:val="00E82E70"/>
    <w:rsid w:val="00E82F92"/>
    <w:rsid w:val="00E8395F"/>
    <w:rsid w:val="00E8410F"/>
    <w:rsid w:val="00E849D7"/>
    <w:rsid w:val="00E85260"/>
    <w:rsid w:val="00E85E41"/>
    <w:rsid w:val="00E85EA1"/>
    <w:rsid w:val="00E86703"/>
    <w:rsid w:val="00E900DA"/>
    <w:rsid w:val="00E91044"/>
    <w:rsid w:val="00E910D3"/>
    <w:rsid w:val="00E92097"/>
    <w:rsid w:val="00E92154"/>
    <w:rsid w:val="00E923CF"/>
    <w:rsid w:val="00E93685"/>
    <w:rsid w:val="00E93B65"/>
    <w:rsid w:val="00E93C8C"/>
    <w:rsid w:val="00E95111"/>
    <w:rsid w:val="00E95FDF"/>
    <w:rsid w:val="00E96F12"/>
    <w:rsid w:val="00EA14C8"/>
    <w:rsid w:val="00EA2110"/>
    <w:rsid w:val="00EA283A"/>
    <w:rsid w:val="00EA2C90"/>
    <w:rsid w:val="00EA2E07"/>
    <w:rsid w:val="00EA383B"/>
    <w:rsid w:val="00EA412B"/>
    <w:rsid w:val="00EA48F3"/>
    <w:rsid w:val="00EA60BF"/>
    <w:rsid w:val="00EA7365"/>
    <w:rsid w:val="00EA763F"/>
    <w:rsid w:val="00EA77E9"/>
    <w:rsid w:val="00EB05D0"/>
    <w:rsid w:val="00EB1151"/>
    <w:rsid w:val="00EB1D49"/>
    <w:rsid w:val="00EB23D9"/>
    <w:rsid w:val="00EB39A0"/>
    <w:rsid w:val="00EB430A"/>
    <w:rsid w:val="00EB559F"/>
    <w:rsid w:val="00EB566C"/>
    <w:rsid w:val="00EB5A18"/>
    <w:rsid w:val="00EB5F3D"/>
    <w:rsid w:val="00EB6C97"/>
    <w:rsid w:val="00EC1CEB"/>
    <w:rsid w:val="00EC1DC0"/>
    <w:rsid w:val="00EC1DC2"/>
    <w:rsid w:val="00EC1E09"/>
    <w:rsid w:val="00EC210E"/>
    <w:rsid w:val="00EC21EC"/>
    <w:rsid w:val="00EC24B8"/>
    <w:rsid w:val="00EC268C"/>
    <w:rsid w:val="00EC3753"/>
    <w:rsid w:val="00EC4E71"/>
    <w:rsid w:val="00EC5F1C"/>
    <w:rsid w:val="00ED0365"/>
    <w:rsid w:val="00ED0865"/>
    <w:rsid w:val="00ED0C1C"/>
    <w:rsid w:val="00ED0D51"/>
    <w:rsid w:val="00ED1C60"/>
    <w:rsid w:val="00ED2EB9"/>
    <w:rsid w:val="00ED3722"/>
    <w:rsid w:val="00ED3A31"/>
    <w:rsid w:val="00ED4469"/>
    <w:rsid w:val="00ED5424"/>
    <w:rsid w:val="00ED5F23"/>
    <w:rsid w:val="00ED6DC0"/>
    <w:rsid w:val="00ED6E7D"/>
    <w:rsid w:val="00ED7A7A"/>
    <w:rsid w:val="00EE0327"/>
    <w:rsid w:val="00EE038C"/>
    <w:rsid w:val="00EE28C5"/>
    <w:rsid w:val="00EE2F09"/>
    <w:rsid w:val="00EE47C5"/>
    <w:rsid w:val="00EE490C"/>
    <w:rsid w:val="00EE4E57"/>
    <w:rsid w:val="00EE5738"/>
    <w:rsid w:val="00EE58BD"/>
    <w:rsid w:val="00EE5E59"/>
    <w:rsid w:val="00EE73D0"/>
    <w:rsid w:val="00EE7CB0"/>
    <w:rsid w:val="00EF08A8"/>
    <w:rsid w:val="00EF167B"/>
    <w:rsid w:val="00EF2496"/>
    <w:rsid w:val="00EF39F9"/>
    <w:rsid w:val="00EF41A8"/>
    <w:rsid w:val="00EF4363"/>
    <w:rsid w:val="00EF44FB"/>
    <w:rsid w:val="00EF5122"/>
    <w:rsid w:val="00EF5554"/>
    <w:rsid w:val="00EF5AD8"/>
    <w:rsid w:val="00EF5CF3"/>
    <w:rsid w:val="00EF6B90"/>
    <w:rsid w:val="00EF7807"/>
    <w:rsid w:val="00EF79F7"/>
    <w:rsid w:val="00F006C0"/>
    <w:rsid w:val="00F0125F"/>
    <w:rsid w:val="00F019AA"/>
    <w:rsid w:val="00F0267E"/>
    <w:rsid w:val="00F02686"/>
    <w:rsid w:val="00F030C0"/>
    <w:rsid w:val="00F03291"/>
    <w:rsid w:val="00F03A85"/>
    <w:rsid w:val="00F0459B"/>
    <w:rsid w:val="00F04E15"/>
    <w:rsid w:val="00F05DF3"/>
    <w:rsid w:val="00F06829"/>
    <w:rsid w:val="00F069EA"/>
    <w:rsid w:val="00F070E5"/>
    <w:rsid w:val="00F07A0D"/>
    <w:rsid w:val="00F07DDE"/>
    <w:rsid w:val="00F11675"/>
    <w:rsid w:val="00F123DA"/>
    <w:rsid w:val="00F12557"/>
    <w:rsid w:val="00F13599"/>
    <w:rsid w:val="00F13B28"/>
    <w:rsid w:val="00F156A0"/>
    <w:rsid w:val="00F15730"/>
    <w:rsid w:val="00F16915"/>
    <w:rsid w:val="00F176A6"/>
    <w:rsid w:val="00F202C2"/>
    <w:rsid w:val="00F212F6"/>
    <w:rsid w:val="00F22756"/>
    <w:rsid w:val="00F23248"/>
    <w:rsid w:val="00F23890"/>
    <w:rsid w:val="00F2415B"/>
    <w:rsid w:val="00F24714"/>
    <w:rsid w:val="00F2504D"/>
    <w:rsid w:val="00F2637F"/>
    <w:rsid w:val="00F268F7"/>
    <w:rsid w:val="00F27196"/>
    <w:rsid w:val="00F30B83"/>
    <w:rsid w:val="00F30BDB"/>
    <w:rsid w:val="00F30CF8"/>
    <w:rsid w:val="00F31EDF"/>
    <w:rsid w:val="00F32CDE"/>
    <w:rsid w:val="00F32D4C"/>
    <w:rsid w:val="00F3327E"/>
    <w:rsid w:val="00F338C3"/>
    <w:rsid w:val="00F34B14"/>
    <w:rsid w:val="00F34F58"/>
    <w:rsid w:val="00F35DA7"/>
    <w:rsid w:val="00F36A6A"/>
    <w:rsid w:val="00F40101"/>
    <w:rsid w:val="00F404F7"/>
    <w:rsid w:val="00F405C4"/>
    <w:rsid w:val="00F40CCA"/>
    <w:rsid w:val="00F42D97"/>
    <w:rsid w:val="00F42FCF"/>
    <w:rsid w:val="00F436B2"/>
    <w:rsid w:val="00F43813"/>
    <w:rsid w:val="00F43FEE"/>
    <w:rsid w:val="00F4492F"/>
    <w:rsid w:val="00F45A72"/>
    <w:rsid w:val="00F45B60"/>
    <w:rsid w:val="00F46723"/>
    <w:rsid w:val="00F4706D"/>
    <w:rsid w:val="00F476E1"/>
    <w:rsid w:val="00F47D1D"/>
    <w:rsid w:val="00F47F29"/>
    <w:rsid w:val="00F50016"/>
    <w:rsid w:val="00F5118A"/>
    <w:rsid w:val="00F51A21"/>
    <w:rsid w:val="00F52614"/>
    <w:rsid w:val="00F5276E"/>
    <w:rsid w:val="00F52E9F"/>
    <w:rsid w:val="00F53304"/>
    <w:rsid w:val="00F53B81"/>
    <w:rsid w:val="00F540FE"/>
    <w:rsid w:val="00F5459A"/>
    <w:rsid w:val="00F556FF"/>
    <w:rsid w:val="00F55D12"/>
    <w:rsid w:val="00F5687F"/>
    <w:rsid w:val="00F56D3F"/>
    <w:rsid w:val="00F575C7"/>
    <w:rsid w:val="00F57FD0"/>
    <w:rsid w:val="00F60305"/>
    <w:rsid w:val="00F61B12"/>
    <w:rsid w:val="00F61C70"/>
    <w:rsid w:val="00F63264"/>
    <w:rsid w:val="00F634E4"/>
    <w:rsid w:val="00F6379E"/>
    <w:rsid w:val="00F64047"/>
    <w:rsid w:val="00F6443D"/>
    <w:rsid w:val="00F65171"/>
    <w:rsid w:val="00F6560D"/>
    <w:rsid w:val="00F67844"/>
    <w:rsid w:val="00F70189"/>
    <w:rsid w:val="00F70799"/>
    <w:rsid w:val="00F70916"/>
    <w:rsid w:val="00F70A8B"/>
    <w:rsid w:val="00F70B8D"/>
    <w:rsid w:val="00F711B5"/>
    <w:rsid w:val="00F71936"/>
    <w:rsid w:val="00F724FB"/>
    <w:rsid w:val="00F726B8"/>
    <w:rsid w:val="00F72A26"/>
    <w:rsid w:val="00F733C3"/>
    <w:rsid w:val="00F746A1"/>
    <w:rsid w:val="00F74820"/>
    <w:rsid w:val="00F756DD"/>
    <w:rsid w:val="00F75A77"/>
    <w:rsid w:val="00F77F4E"/>
    <w:rsid w:val="00F80047"/>
    <w:rsid w:val="00F800C7"/>
    <w:rsid w:val="00F8104D"/>
    <w:rsid w:val="00F8153F"/>
    <w:rsid w:val="00F81587"/>
    <w:rsid w:val="00F81D8E"/>
    <w:rsid w:val="00F8288F"/>
    <w:rsid w:val="00F8301D"/>
    <w:rsid w:val="00F8376E"/>
    <w:rsid w:val="00F83C52"/>
    <w:rsid w:val="00F845B7"/>
    <w:rsid w:val="00F84802"/>
    <w:rsid w:val="00F85B72"/>
    <w:rsid w:val="00F86540"/>
    <w:rsid w:val="00F865CE"/>
    <w:rsid w:val="00F8766F"/>
    <w:rsid w:val="00F90282"/>
    <w:rsid w:val="00F91082"/>
    <w:rsid w:val="00F9116D"/>
    <w:rsid w:val="00F91342"/>
    <w:rsid w:val="00F91A9A"/>
    <w:rsid w:val="00F92634"/>
    <w:rsid w:val="00F933F3"/>
    <w:rsid w:val="00F93ABB"/>
    <w:rsid w:val="00F941FA"/>
    <w:rsid w:val="00F94D79"/>
    <w:rsid w:val="00F9658C"/>
    <w:rsid w:val="00F96598"/>
    <w:rsid w:val="00F96EEB"/>
    <w:rsid w:val="00F97A7F"/>
    <w:rsid w:val="00F97CD0"/>
    <w:rsid w:val="00FA0889"/>
    <w:rsid w:val="00FA16E7"/>
    <w:rsid w:val="00FA26B7"/>
    <w:rsid w:val="00FA31C7"/>
    <w:rsid w:val="00FA3BC7"/>
    <w:rsid w:val="00FA472D"/>
    <w:rsid w:val="00FA681F"/>
    <w:rsid w:val="00FB050F"/>
    <w:rsid w:val="00FB0CBF"/>
    <w:rsid w:val="00FB18F6"/>
    <w:rsid w:val="00FB2A52"/>
    <w:rsid w:val="00FB3F92"/>
    <w:rsid w:val="00FB52C7"/>
    <w:rsid w:val="00FB57DC"/>
    <w:rsid w:val="00FB6E19"/>
    <w:rsid w:val="00FB71F6"/>
    <w:rsid w:val="00FC07AF"/>
    <w:rsid w:val="00FC0AF8"/>
    <w:rsid w:val="00FC0B69"/>
    <w:rsid w:val="00FC1483"/>
    <w:rsid w:val="00FC1C47"/>
    <w:rsid w:val="00FC3102"/>
    <w:rsid w:val="00FC39ED"/>
    <w:rsid w:val="00FC4419"/>
    <w:rsid w:val="00FC47E2"/>
    <w:rsid w:val="00FC4AA5"/>
    <w:rsid w:val="00FC4B88"/>
    <w:rsid w:val="00FC4BB8"/>
    <w:rsid w:val="00FC5148"/>
    <w:rsid w:val="00FC6524"/>
    <w:rsid w:val="00FC6B58"/>
    <w:rsid w:val="00FC75AC"/>
    <w:rsid w:val="00FC7984"/>
    <w:rsid w:val="00FD01BF"/>
    <w:rsid w:val="00FD0525"/>
    <w:rsid w:val="00FD0AB7"/>
    <w:rsid w:val="00FD297D"/>
    <w:rsid w:val="00FD2D13"/>
    <w:rsid w:val="00FD371C"/>
    <w:rsid w:val="00FD374D"/>
    <w:rsid w:val="00FD4AF7"/>
    <w:rsid w:val="00FD4BA2"/>
    <w:rsid w:val="00FD6071"/>
    <w:rsid w:val="00FD633B"/>
    <w:rsid w:val="00FE0794"/>
    <w:rsid w:val="00FE0802"/>
    <w:rsid w:val="00FE1041"/>
    <w:rsid w:val="00FE24CB"/>
    <w:rsid w:val="00FE323F"/>
    <w:rsid w:val="00FE3473"/>
    <w:rsid w:val="00FE4049"/>
    <w:rsid w:val="00FE4794"/>
    <w:rsid w:val="00FE480F"/>
    <w:rsid w:val="00FE4998"/>
    <w:rsid w:val="00FE57DE"/>
    <w:rsid w:val="00FE7A68"/>
    <w:rsid w:val="00FF0231"/>
    <w:rsid w:val="00FF1C9B"/>
    <w:rsid w:val="00FF1D49"/>
    <w:rsid w:val="00FF203B"/>
    <w:rsid w:val="00FF2562"/>
    <w:rsid w:val="00FF3A41"/>
    <w:rsid w:val="00FF3E5B"/>
    <w:rsid w:val="00FF57E4"/>
    <w:rsid w:val="00FF78E5"/>
    <w:rsid w:val="0112244E"/>
    <w:rsid w:val="012C5FAF"/>
    <w:rsid w:val="01AF3D99"/>
    <w:rsid w:val="01CD378C"/>
    <w:rsid w:val="02511F9D"/>
    <w:rsid w:val="02687E6D"/>
    <w:rsid w:val="032A692E"/>
    <w:rsid w:val="032F2286"/>
    <w:rsid w:val="03337451"/>
    <w:rsid w:val="03A314B8"/>
    <w:rsid w:val="03D82B98"/>
    <w:rsid w:val="03F83E8B"/>
    <w:rsid w:val="04096CED"/>
    <w:rsid w:val="04A66578"/>
    <w:rsid w:val="05283431"/>
    <w:rsid w:val="05407950"/>
    <w:rsid w:val="05C56868"/>
    <w:rsid w:val="06925F20"/>
    <w:rsid w:val="06EE11B8"/>
    <w:rsid w:val="072639A0"/>
    <w:rsid w:val="07A539BD"/>
    <w:rsid w:val="07B72767"/>
    <w:rsid w:val="08077E72"/>
    <w:rsid w:val="08882DD0"/>
    <w:rsid w:val="09CC2AAC"/>
    <w:rsid w:val="0A652D3E"/>
    <w:rsid w:val="0A7C6F06"/>
    <w:rsid w:val="0AA21224"/>
    <w:rsid w:val="0B326F2A"/>
    <w:rsid w:val="0BDE7052"/>
    <w:rsid w:val="0C1E2888"/>
    <w:rsid w:val="0C735349"/>
    <w:rsid w:val="0C92213C"/>
    <w:rsid w:val="0CA30B4B"/>
    <w:rsid w:val="0CC2027E"/>
    <w:rsid w:val="0CC52536"/>
    <w:rsid w:val="0CE614B3"/>
    <w:rsid w:val="0CF142A6"/>
    <w:rsid w:val="0CF53944"/>
    <w:rsid w:val="0D1A75E8"/>
    <w:rsid w:val="0D84032B"/>
    <w:rsid w:val="0E7A1DF1"/>
    <w:rsid w:val="0E7D7D86"/>
    <w:rsid w:val="0E9168D0"/>
    <w:rsid w:val="0EDC0ADC"/>
    <w:rsid w:val="0F2A74C4"/>
    <w:rsid w:val="0F6D7E8C"/>
    <w:rsid w:val="10090303"/>
    <w:rsid w:val="104B3504"/>
    <w:rsid w:val="10A27F31"/>
    <w:rsid w:val="11000B06"/>
    <w:rsid w:val="11043645"/>
    <w:rsid w:val="11151B02"/>
    <w:rsid w:val="11927058"/>
    <w:rsid w:val="11B6639E"/>
    <w:rsid w:val="120E171E"/>
    <w:rsid w:val="128B3251"/>
    <w:rsid w:val="12B75243"/>
    <w:rsid w:val="12E0359D"/>
    <w:rsid w:val="13886339"/>
    <w:rsid w:val="13AF4F03"/>
    <w:rsid w:val="14736E66"/>
    <w:rsid w:val="147F458F"/>
    <w:rsid w:val="1534169A"/>
    <w:rsid w:val="15A2206F"/>
    <w:rsid w:val="15C03E03"/>
    <w:rsid w:val="162A25EB"/>
    <w:rsid w:val="16735895"/>
    <w:rsid w:val="16BA500B"/>
    <w:rsid w:val="16FD2A55"/>
    <w:rsid w:val="17067C1A"/>
    <w:rsid w:val="17366761"/>
    <w:rsid w:val="177C01F0"/>
    <w:rsid w:val="179E3EFA"/>
    <w:rsid w:val="17CE6630"/>
    <w:rsid w:val="18AF0147"/>
    <w:rsid w:val="18B110E9"/>
    <w:rsid w:val="18B4021F"/>
    <w:rsid w:val="19A90B8D"/>
    <w:rsid w:val="19AE1202"/>
    <w:rsid w:val="19EC64BA"/>
    <w:rsid w:val="1A1006FB"/>
    <w:rsid w:val="1A393593"/>
    <w:rsid w:val="1A5B7542"/>
    <w:rsid w:val="1AFF0AFE"/>
    <w:rsid w:val="1B4F19F8"/>
    <w:rsid w:val="1B50295E"/>
    <w:rsid w:val="1B7F594B"/>
    <w:rsid w:val="1C463555"/>
    <w:rsid w:val="1C830013"/>
    <w:rsid w:val="1CD96EB4"/>
    <w:rsid w:val="1E435F46"/>
    <w:rsid w:val="1E8707A4"/>
    <w:rsid w:val="1EC726BE"/>
    <w:rsid w:val="1ECC44FA"/>
    <w:rsid w:val="1ECD0526"/>
    <w:rsid w:val="1F063325"/>
    <w:rsid w:val="1FBC5DF5"/>
    <w:rsid w:val="1FF90588"/>
    <w:rsid w:val="2043405C"/>
    <w:rsid w:val="20C3623F"/>
    <w:rsid w:val="20D97273"/>
    <w:rsid w:val="214E201A"/>
    <w:rsid w:val="21781212"/>
    <w:rsid w:val="21B83F86"/>
    <w:rsid w:val="21BA123B"/>
    <w:rsid w:val="221178A8"/>
    <w:rsid w:val="221213CF"/>
    <w:rsid w:val="22327A92"/>
    <w:rsid w:val="22C14B96"/>
    <w:rsid w:val="22C15BFC"/>
    <w:rsid w:val="22F62969"/>
    <w:rsid w:val="22FD4EE7"/>
    <w:rsid w:val="231D53A2"/>
    <w:rsid w:val="236D5383"/>
    <w:rsid w:val="23B7504C"/>
    <w:rsid w:val="23C15521"/>
    <w:rsid w:val="23D27417"/>
    <w:rsid w:val="23E05165"/>
    <w:rsid w:val="23ED7FB3"/>
    <w:rsid w:val="24571307"/>
    <w:rsid w:val="25110A2A"/>
    <w:rsid w:val="256C0944"/>
    <w:rsid w:val="26446DE3"/>
    <w:rsid w:val="26877DFE"/>
    <w:rsid w:val="269669E7"/>
    <w:rsid w:val="26971372"/>
    <w:rsid w:val="26A270C1"/>
    <w:rsid w:val="26C90BF8"/>
    <w:rsid w:val="26D7699F"/>
    <w:rsid w:val="274E0185"/>
    <w:rsid w:val="27501A3F"/>
    <w:rsid w:val="27D649AF"/>
    <w:rsid w:val="28C05B8F"/>
    <w:rsid w:val="28C36E9C"/>
    <w:rsid w:val="28DB1746"/>
    <w:rsid w:val="28EE072D"/>
    <w:rsid w:val="28FF1870"/>
    <w:rsid w:val="295F0E39"/>
    <w:rsid w:val="29D44302"/>
    <w:rsid w:val="29D75F7F"/>
    <w:rsid w:val="29E431FC"/>
    <w:rsid w:val="2B634C23"/>
    <w:rsid w:val="2B774624"/>
    <w:rsid w:val="2B8C5C18"/>
    <w:rsid w:val="2C7A72BE"/>
    <w:rsid w:val="2C9A7D75"/>
    <w:rsid w:val="2CC17412"/>
    <w:rsid w:val="2D7C1E99"/>
    <w:rsid w:val="2D893666"/>
    <w:rsid w:val="2E9976CE"/>
    <w:rsid w:val="2ED42B2D"/>
    <w:rsid w:val="2EF01DEE"/>
    <w:rsid w:val="2F10716F"/>
    <w:rsid w:val="2F401D3C"/>
    <w:rsid w:val="2F5B24E1"/>
    <w:rsid w:val="2F63076A"/>
    <w:rsid w:val="2FA95C88"/>
    <w:rsid w:val="3041370F"/>
    <w:rsid w:val="30696983"/>
    <w:rsid w:val="30913CD1"/>
    <w:rsid w:val="30B16E18"/>
    <w:rsid w:val="30B87FED"/>
    <w:rsid w:val="312A06FF"/>
    <w:rsid w:val="312B50A3"/>
    <w:rsid w:val="3152277A"/>
    <w:rsid w:val="31894FD2"/>
    <w:rsid w:val="31E04C28"/>
    <w:rsid w:val="31E06E5D"/>
    <w:rsid w:val="31F76EE4"/>
    <w:rsid w:val="323943E0"/>
    <w:rsid w:val="32453A27"/>
    <w:rsid w:val="3263064A"/>
    <w:rsid w:val="326E5F6C"/>
    <w:rsid w:val="32A43132"/>
    <w:rsid w:val="32AC0C06"/>
    <w:rsid w:val="33344EF5"/>
    <w:rsid w:val="333670C9"/>
    <w:rsid w:val="33B6717D"/>
    <w:rsid w:val="3435431D"/>
    <w:rsid w:val="346818C0"/>
    <w:rsid w:val="34FC6BC1"/>
    <w:rsid w:val="3537750C"/>
    <w:rsid w:val="3537798C"/>
    <w:rsid w:val="35C13FC9"/>
    <w:rsid w:val="36080591"/>
    <w:rsid w:val="36372B05"/>
    <w:rsid w:val="364257B6"/>
    <w:rsid w:val="369D750D"/>
    <w:rsid w:val="36E3797A"/>
    <w:rsid w:val="36F13780"/>
    <w:rsid w:val="36F23DA6"/>
    <w:rsid w:val="372F0CC4"/>
    <w:rsid w:val="37A10C9D"/>
    <w:rsid w:val="37CF6FA7"/>
    <w:rsid w:val="37EA5922"/>
    <w:rsid w:val="38276B93"/>
    <w:rsid w:val="382E58B8"/>
    <w:rsid w:val="388560F7"/>
    <w:rsid w:val="38AC3431"/>
    <w:rsid w:val="38F75F08"/>
    <w:rsid w:val="392F2E16"/>
    <w:rsid w:val="393D2FE5"/>
    <w:rsid w:val="396C376A"/>
    <w:rsid w:val="39BF212D"/>
    <w:rsid w:val="39DF1D11"/>
    <w:rsid w:val="39E00529"/>
    <w:rsid w:val="3A0B64A7"/>
    <w:rsid w:val="3A574DDA"/>
    <w:rsid w:val="3AD3075A"/>
    <w:rsid w:val="3AF74C02"/>
    <w:rsid w:val="3C0059A5"/>
    <w:rsid w:val="3C134E78"/>
    <w:rsid w:val="3C20586B"/>
    <w:rsid w:val="3C983CE2"/>
    <w:rsid w:val="3D694A1F"/>
    <w:rsid w:val="3DF6345D"/>
    <w:rsid w:val="3E2B5515"/>
    <w:rsid w:val="3E4D4F28"/>
    <w:rsid w:val="3E78725A"/>
    <w:rsid w:val="3EB7042F"/>
    <w:rsid w:val="3ED92EC4"/>
    <w:rsid w:val="3EE13701"/>
    <w:rsid w:val="3F1A4BB3"/>
    <w:rsid w:val="3FDC6B6B"/>
    <w:rsid w:val="40192BA6"/>
    <w:rsid w:val="40334244"/>
    <w:rsid w:val="410129BE"/>
    <w:rsid w:val="41452699"/>
    <w:rsid w:val="41766EA9"/>
    <w:rsid w:val="417D00C4"/>
    <w:rsid w:val="422658DA"/>
    <w:rsid w:val="42550A18"/>
    <w:rsid w:val="429D496A"/>
    <w:rsid w:val="42AA3549"/>
    <w:rsid w:val="42F473A1"/>
    <w:rsid w:val="43200833"/>
    <w:rsid w:val="437217EA"/>
    <w:rsid w:val="439359EC"/>
    <w:rsid w:val="43AB7156"/>
    <w:rsid w:val="441E62C0"/>
    <w:rsid w:val="44407053"/>
    <w:rsid w:val="44551C28"/>
    <w:rsid w:val="44AF3669"/>
    <w:rsid w:val="45325D14"/>
    <w:rsid w:val="45811C7C"/>
    <w:rsid w:val="45906116"/>
    <w:rsid w:val="45931B8C"/>
    <w:rsid w:val="45B27966"/>
    <w:rsid w:val="45EF2552"/>
    <w:rsid w:val="468B3EFB"/>
    <w:rsid w:val="47031864"/>
    <w:rsid w:val="470A6193"/>
    <w:rsid w:val="47385210"/>
    <w:rsid w:val="475510F8"/>
    <w:rsid w:val="477C700C"/>
    <w:rsid w:val="47DC4F5C"/>
    <w:rsid w:val="47FA5757"/>
    <w:rsid w:val="48113065"/>
    <w:rsid w:val="485E6079"/>
    <w:rsid w:val="48A028AB"/>
    <w:rsid w:val="48B40671"/>
    <w:rsid w:val="48E45DDF"/>
    <w:rsid w:val="499B5738"/>
    <w:rsid w:val="499F244D"/>
    <w:rsid w:val="49D4280C"/>
    <w:rsid w:val="4A973F3F"/>
    <w:rsid w:val="4AF96BC7"/>
    <w:rsid w:val="4B180ECB"/>
    <w:rsid w:val="4B6252AD"/>
    <w:rsid w:val="4B862A85"/>
    <w:rsid w:val="4C485734"/>
    <w:rsid w:val="4C601040"/>
    <w:rsid w:val="4CEF36E2"/>
    <w:rsid w:val="4CEF4DC5"/>
    <w:rsid w:val="4D075B48"/>
    <w:rsid w:val="4D612B05"/>
    <w:rsid w:val="4E1A355F"/>
    <w:rsid w:val="4E257655"/>
    <w:rsid w:val="4E4E5BE7"/>
    <w:rsid w:val="4F372380"/>
    <w:rsid w:val="4F372FFB"/>
    <w:rsid w:val="4F5C5F5E"/>
    <w:rsid w:val="4FE95202"/>
    <w:rsid w:val="5025116D"/>
    <w:rsid w:val="504968C3"/>
    <w:rsid w:val="51063DE7"/>
    <w:rsid w:val="52395ECD"/>
    <w:rsid w:val="52A94558"/>
    <w:rsid w:val="52BB1735"/>
    <w:rsid w:val="52C10D75"/>
    <w:rsid w:val="533D3CBC"/>
    <w:rsid w:val="53873B69"/>
    <w:rsid w:val="53C27FF8"/>
    <w:rsid w:val="54806794"/>
    <w:rsid w:val="549E1A80"/>
    <w:rsid w:val="54C658F4"/>
    <w:rsid w:val="550C4BD7"/>
    <w:rsid w:val="55231735"/>
    <w:rsid w:val="554C1D56"/>
    <w:rsid w:val="55572986"/>
    <w:rsid w:val="559C1BB3"/>
    <w:rsid w:val="55F942A7"/>
    <w:rsid w:val="565340FA"/>
    <w:rsid w:val="56AD5F59"/>
    <w:rsid w:val="56C60774"/>
    <w:rsid w:val="56CB302E"/>
    <w:rsid w:val="573F5C92"/>
    <w:rsid w:val="57B12A52"/>
    <w:rsid w:val="582D584E"/>
    <w:rsid w:val="58373D19"/>
    <w:rsid w:val="58675193"/>
    <w:rsid w:val="59562075"/>
    <w:rsid w:val="59600F92"/>
    <w:rsid w:val="59723766"/>
    <w:rsid w:val="5A09061A"/>
    <w:rsid w:val="5A143F65"/>
    <w:rsid w:val="5A2F2CC8"/>
    <w:rsid w:val="5A9A0FCB"/>
    <w:rsid w:val="5B940DE8"/>
    <w:rsid w:val="5C10702D"/>
    <w:rsid w:val="5C152601"/>
    <w:rsid w:val="5C591F03"/>
    <w:rsid w:val="5C8A1B2F"/>
    <w:rsid w:val="5CBC26E8"/>
    <w:rsid w:val="5DC77603"/>
    <w:rsid w:val="5DFC41D7"/>
    <w:rsid w:val="5E19426F"/>
    <w:rsid w:val="5E28477B"/>
    <w:rsid w:val="5E543AC4"/>
    <w:rsid w:val="5ECD0E16"/>
    <w:rsid w:val="5EE80D15"/>
    <w:rsid w:val="5F4A0136"/>
    <w:rsid w:val="5F561B72"/>
    <w:rsid w:val="5FFE3F15"/>
    <w:rsid w:val="603E12B3"/>
    <w:rsid w:val="606007BB"/>
    <w:rsid w:val="60846E9E"/>
    <w:rsid w:val="6094161F"/>
    <w:rsid w:val="60AC7F66"/>
    <w:rsid w:val="61636710"/>
    <w:rsid w:val="61BF10D9"/>
    <w:rsid w:val="62AC22DC"/>
    <w:rsid w:val="62CB4F8F"/>
    <w:rsid w:val="6361787F"/>
    <w:rsid w:val="63A22BFD"/>
    <w:rsid w:val="63DD0B1A"/>
    <w:rsid w:val="64E45EF7"/>
    <w:rsid w:val="653C75AC"/>
    <w:rsid w:val="665C6FE0"/>
    <w:rsid w:val="6691014E"/>
    <w:rsid w:val="669A699B"/>
    <w:rsid w:val="669F06DC"/>
    <w:rsid w:val="66C87CCE"/>
    <w:rsid w:val="66D654FF"/>
    <w:rsid w:val="676E61BC"/>
    <w:rsid w:val="677435B2"/>
    <w:rsid w:val="67EF75F1"/>
    <w:rsid w:val="67FA3F2D"/>
    <w:rsid w:val="68354126"/>
    <w:rsid w:val="684F4F11"/>
    <w:rsid w:val="69124F16"/>
    <w:rsid w:val="694A4441"/>
    <w:rsid w:val="69CD5C14"/>
    <w:rsid w:val="69CF0D33"/>
    <w:rsid w:val="6A8032A9"/>
    <w:rsid w:val="6AC6388C"/>
    <w:rsid w:val="6B9946B3"/>
    <w:rsid w:val="6BE518DA"/>
    <w:rsid w:val="6C276F3A"/>
    <w:rsid w:val="6C305B70"/>
    <w:rsid w:val="6C7007C7"/>
    <w:rsid w:val="6DE76850"/>
    <w:rsid w:val="6EF81D81"/>
    <w:rsid w:val="6F054A93"/>
    <w:rsid w:val="6FB20BD4"/>
    <w:rsid w:val="6FBA59BE"/>
    <w:rsid w:val="6FDD260F"/>
    <w:rsid w:val="6FE70287"/>
    <w:rsid w:val="6FF934E0"/>
    <w:rsid w:val="70182BA3"/>
    <w:rsid w:val="70296B3E"/>
    <w:rsid w:val="70611204"/>
    <w:rsid w:val="70CC4152"/>
    <w:rsid w:val="70E272B2"/>
    <w:rsid w:val="70E4104F"/>
    <w:rsid w:val="7165620F"/>
    <w:rsid w:val="717039F8"/>
    <w:rsid w:val="72275B8A"/>
    <w:rsid w:val="72705527"/>
    <w:rsid w:val="72E871A5"/>
    <w:rsid w:val="731F586B"/>
    <w:rsid w:val="73245D03"/>
    <w:rsid w:val="73314BD4"/>
    <w:rsid w:val="735A7081"/>
    <w:rsid w:val="73FD0FE3"/>
    <w:rsid w:val="74106EF2"/>
    <w:rsid w:val="74321439"/>
    <w:rsid w:val="74B90999"/>
    <w:rsid w:val="74D13AD5"/>
    <w:rsid w:val="74FA2C30"/>
    <w:rsid w:val="754D5C4B"/>
    <w:rsid w:val="76862809"/>
    <w:rsid w:val="76C240A7"/>
    <w:rsid w:val="76DA416A"/>
    <w:rsid w:val="76DB391B"/>
    <w:rsid w:val="771414BB"/>
    <w:rsid w:val="775246B7"/>
    <w:rsid w:val="778F6250"/>
    <w:rsid w:val="77904CFD"/>
    <w:rsid w:val="781E69D1"/>
    <w:rsid w:val="78341FC6"/>
    <w:rsid w:val="788707A3"/>
    <w:rsid w:val="78C614BD"/>
    <w:rsid w:val="7901747F"/>
    <w:rsid w:val="79C320E8"/>
    <w:rsid w:val="7A263B6B"/>
    <w:rsid w:val="7AEE2544"/>
    <w:rsid w:val="7AF46346"/>
    <w:rsid w:val="7B0F5EBF"/>
    <w:rsid w:val="7B130FB9"/>
    <w:rsid w:val="7B31593D"/>
    <w:rsid w:val="7BD71E38"/>
    <w:rsid w:val="7BF64EDE"/>
    <w:rsid w:val="7C380720"/>
    <w:rsid w:val="7C400C1E"/>
    <w:rsid w:val="7C516860"/>
    <w:rsid w:val="7D356F88"/>
    <w:rsid w:val="7D8212F8"/>
    <w:rsid w:val="7DBA4C24"/>
    <w:rsid w:val="7DD11708"/>
    <w:rsid w:val="7DEE4A4F"/>
    <w:rsid w:val="7E2F41F3"/>
    <w:rsid w:val="7E8F22D9"/>
    <w:rsid w:val="7EAE6230"/>
    <w:rsid w:val="7EBD579E"/>
    <w:rsid w:val="7EC167BD"/>
    <w:rsid w:val="7F272D9E"/>
    <w:rsid w:val="7FE230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nhideWhenUsed="0"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iPriority="0" w:semiHidden="0" w:name="Body Text First Indent 2"/>
    <w:lsdException w:uiPriority="99" w:name="Note Heading"/>
    <w:lsdException w:uiPriority="99"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4"/>
    <w:qFormat/>
    <w:uiPriority w:val="9"/>
    <w:pPr>
      <w:keepNext/>
      <w:keepLines/>
      <w:spacing w:before="260" w:after="260" w:line="416" w:lineRule="auto"/>
      <w:outlineLvl w:val="1"/>
    </w:pPr>
    <w:rPr>
      <w:rFonts w:ascii="Cambria" w:hAnsi="Cambria"/>
      <w:b/>
      <w:bCs/>
      <w:sz w:val="32"/>
      <w:szCs w:val="32"/>
    </w:rPr>
  </w:style>
  <w:style w:type="paragraph" w:styleId="4">
    <w:name w:val="heading 4"/>
    <w:basedOn w:val="1"/>
    <w:next w:val="1"/>
    <w:qFormat/>
    <w:uiPriority w:val="0"/>
    <w:pPr>
      <w:keepNext/>
      <w:keepLines/>
      <w:widowControl/>
      <w:spacing w:before="120" w:after="120" w:line="360" w:lineRule="auto"/>
      <w:jc w:val="center"/>
      <w:outlineLvl w:val="3"/>
    </w:pPr>
    <w:rPr>
      <w:rFonts w:ascii="Arial" w:hAnsi="Arial" w:eastAsia="黑体"/>
      <w:kern w:val="0"/>
      <w:sz w:val="28"/>
      <w:szCs w:val="20"/>
    </w:rPr>
  </w:style>
  <w:style w:type="paragraph" w:styleId="5">
    <w:name w:val="heading 5"/>
    <w:basedOn w:val="1"/>
    <w:next w:val="6"/>
    <w:link w:val="35"/>
    <w:qFormat/>
    <w:uiPriority w:val="9"/>
    <w:pPr>
      <w:keepNext/>
      <w:keepLines/>
      <w:spacing w:before="280" w:after="290" w:line="376" w:lineRule="auto"/>
      <w:outlineLvl w:val="4"/>
    </w:pPr>
    <w:rPr>
      <w:b/>
      <w:bCs/>
      <w:sz w:val="28"/>
      <w:szCs w:val="28"/>
    </w:rPr>
  </w:style>
  <w:style w:type="paragraph" w:styleId="7">
    <w:name w:val="heading 8"/>
    <w:basedOn w:val="1"/>
    <w:next w:val="1"/>
    <w:link w:val="36"/>
    <w:qFormat/>
    <w:uiPriority w:val="9"/>
    <w:pPr>
      <w:keepNext/>
      <w:keepLines/>
      <w:spacing w:before="240" w:after="64" w:line="320" w:lineRule="auto"/>
      <w:outlineLvl w:val="7"/>
    </w:pPr>
    <w:rPr>
      <w:rFonts w:ascii="等线 Light" w:hAnsi="等线 Light" w:eastAsia="等线 Light"/>
      <w:sz w:val="24"/>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qFormat/>
    <w:uiPriority w:val="0"/>
    <w:pPr>
      <w:ind w:firstLine="420"/>
    </w:pPr>
    <w:rPr>
      <w:szCs w:val="20"/>
    </w:rPr>
  </w:style>
  <w:style w:type="paragraph" w:styleId="8">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9">
    <w:name w:val="annotation text"/>
    <w:basedOn w:val="1"/>
    <w:link w:val="37"/>
    <w:qFormat/>
    <w:uiPriority w:val="0"/>
    <w:pPr>
      <w:jc w:val="left"/>
    </w:pPr>
  </w:style>
  <w:style w:type="paragraph" w:styleId="10">
    <w:name w:val="Body Text 3"/>
    <w:basedOn w:val="1"/>
    <w:link w:val="38"/>
    <w:unhideWhenUsed/>
    <w:qFormat/>
    <w:uiPriority w:val="99"/>
    <w:pPr>
      <w:spacing w:after="120"/>
    </w:pPr>
    <w:rPr>
      <w:sz w:val="16"/>
      <w:szCs w:val="16"/>
    </w:rPr>
  </w:style>
  <w:style w:type="paragraph" w:styleId="11">
    <w:name w:val="Body Text"/>
    <w:basedOn w:val="1"/>
    <w:next w:val="12"/>
    <w:link w:val="39"/>
    <w:unhideWhenUsed/>
    <w:qFormat/>
    <w:uiPriority w:val="0"/>
    <w:pPr>
      <w:spacing w:after="120"/>
    </w:pPr>
  </w:style>
  <w:style w:type="paragraph" w:styleId="12">
    <w:name w:val="Body Text First Indent 2"/>
    <w:basedOn w:val="1"/>
    <w:next w:val="13"/>
    <w:link w:val="46"/>
    <w:unhideWhenUsed/>
    <w:qFormat/>
    <w:uiPriority w:val="0"/>
    <w:pPr>
      <w:spacing w:after="120"/>
      <w:ind w:left="420" w:leftChars="200" w:firstLine="420" w:firstLineChars="200"/>
    </w:pPr>
    <w:rPr>
      <w:rFonts w:ascii="宋体"/>
      <w:sz w:val="34"/>
    </w:rPr>
  </w:style>
  <w:style w:type="paragraph" w:styleId="13">
    <w:name w:val="Body Text First Indent"/>
    <w:basedOn w:val="11"/>
    <w:next w:val="1"/>
    <w:qFormat/>
    <w:uiPriority w:val="0"/>
    <w:pPr>
      <w:ind w:firstLine="420" w:firstLineChars="100"/>
    </w:pPr>
    <w:rPr>
      <w:rFonts w:ascii="宋体"/>
    </w:rPr>
  </w:style>
  <w:style w:type="paragraph" w:styleId="14">
    <w:name w:val="Body Text Indent"/>
    <w:basedOn w:val="1"/>
    <w:link w:val="40"/>
    <w:qFormat/>
    <w:uiPriority w:val="0"/>
    <w:pPr>
      <w:ind w:firstLine="830" w:firstLineChars="352"/>
    </w:pPr>
    <w:rPr>
      <w:rFonts w:ascii="仿宋_GB2312" w:eastAsia="仿宋_GB2312"/>
      <w:kern w:val="0"/>
      <w:sz w:val="32"/>
      <w:szCs w:val="20"/>
    </w:rPr>
  </w:style>
  <w:style w:type="paragraph" w:styleId="15">
    <w:name w:val="List 2"/>
    <w:basedOn w:val="1"/>
    <w:unhideWhenUsed/>
    <w:qFormat/>
    <w:uiPriority w:val="99"/>
    <w:pPr>
      <w:ind w:left="100" w:leftChars="200" w:hanging="200" w:hangingChars="200"/>
      <w:contextualSpacing/>
    </w:pPr>
  </w:style>
  <w:style w:type="paragraph" w:styleId="16">
    <w:name w:val="Plain Text"/>
    <w:basedOn w:val="1"/>
    <w:next w:val="4"/>
    <w:link w:val="41"/>
    <w:qFormat/>
    <w:uiPriority w:val="0"/>
    <w:rPr>
      <w:rFonts w:ascii="宋体" w:hAnsi="Courier New"/>
      <w:kern w:val="0"/>
      <w:sz w:val="20"/>
      <w:szCs w:val="21"/>
    </w:rPr>
  </w:style>
  <w:style w:type="paragraph" w:styleId="17">
    <w:name w:val="Date"/>
    <w:basedOn w:val="1"/>
    <w:next w:val="1"/>
    <w:link w:val="42"/>
    <w:unhideWhenUsed/>
    <w:qFormat/>
    <w:uiPriority w:val="99"/>
    <w:pPr>
      <w:ind w:left="100" w:leftChars="2500"/>
    </w:pPr>
  </w:style>
  <w:style w:type="paragraph" w:styleId="18">
    <w:name w:val="Body Text Indent 2"/>
    <w:basedOn w:val="1"/>
    <w:qFormat/>
    <w:uiPriority w:val="0"/>
    <w:pPr>
      <w:spacing w:line="240" w:lineRule="atLeast"/>
      <w:ind w:firstLine="560"/>
    </w:pPr>
    <w:rPr>
      <w:sz w:val="28"/>
    </w:rPr>
  </w:style>
  <w:style w:type="paragraph" w:styleId="19">
    <w:name w:val="Balloon Text"/>
    <w:basedOn w:val="1"/>
    <w:semiHidden/>
    <w:qFormat/>
    <w:uiPriority w:val="0"/>
    <w:rPr>
      <w:sz w:val="18"/>
      <w:szCs w:val="18"/>
    </w:rPr>
  </w:style>
  <w:style w:type="paragraph" w:styleId="20">
    <w:name w:val="footer"/>
    <w:basedOn w:val="1"/>
    <w:link w:val="43"/>
    <w:unhideWhenUsed/>
    <w:qFormat/>
    <w:uiPriority w:val="99"/>
    <w:pPr>
      <w:tabs>
        <w:tab w:val="center" w:pos="4153"/>
        <w:tab w:val="right" w:pos="8306"/>
      </w:tabs>
      <w:snapToGrid w:val="0"/>
      <w:jc w:val="left"/>
    </w:pPr>
    <w:rPr>
      <w:kern w:val="0"/>
      <w:sz w:val="18"/>
      <w:szCs w:val="18"/>
    </w:rPr>
  </w:style>
  <w:style w:type="paragraph" w:styleId="21">
    <w:name w:val="header"/>
    <w:basedOn w:val="1"/>
    <w:link w:val="44"/>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unhideWhenUsed/>
    <w:qFormat/>
    <w:uiPriority w:val="39"/>
  </w:style>
  <w:style w:type="paragraph" w:styleId="23">
    <w:name w:val="toc 2"/>
    <w:basedOn w:val="1"/>
    <w:next w:val="1"/>
    <w:unhideWhenUsed/>
    <w:qFormat/>
    <w:uiPriority w:val="39"/>
    <w:pPr>
      <w:tabs>
        <w:tab w:val="right" w:leader="dot" w:pos="8296"/>
      </w:tabs>
      <w:ind w:left="420" w:leftChars="200"/>
    </w:pPr>
  </w:style>
  <w:style w:type="paragraph" w:styleId="24">
    <w:name w:val="Normal (Web)"/>
    <w:basedOn w:val="1"/>
    <w:unhideWhenUsed/>
    <w:qFormat/>
    <w:uiPriority w:val="99"/>
    <w:rPr>
      <w:rFonts w:ascii="Calibri" w:hAnsi="Calibri"/>
      <w:kern w:val="0"/>
      <w:sz w:val="24"/>
    </w:rPr>
  </w:style>
  <w:style w:type="paragraph" w:styleId="25">
    <w:name w:val="Title"/>
    <w:basedOn w:val="1"/>
    <w:next w:val="1"/>
    <w:qFormat/>
    <w:uiPriority w:val="0"/>
    <w:pPr>
      <w:spacing w:before="240" w:after="60" w:line="400" w:lineRule="exact"/>
      <w:ind w:firstLine="1044" w:firstLineChars="200"/>
      <w:jc w:val="center"/>
      <w:outlineLvl w:val="0"/>
    </w:pPr>
    <w:rPr>
      <w:rFonts w:ascii="Cambria" w:hAnsi="Cambria"/>
      <w:b/>
      <w:bCs/>
      <w:sz w:val="32"/>
      <w:szCs w:val="32"/>
    </w:rPr>
  </w:style>
  <w:style w:type="paragraph" w:styleId="26">
    <w:name w:val="annotation subject"/>
    <w:basedOn w:val="9"/>
    <w:next w:val="9"/>
    <w:link w:val="45"/>
    <w:qFormat/>
    <w:uiPriority w:val="99"/>
    <w:rPr>
      <w:b/>
      <w:bCs/>
    </w:rPr>
  </w:style>
  <w:style w:type="table" w:styleId="28">
    <w:name w:val="Table Grid"/>
    <w:basedOn w:val="2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0">
    <w:name w:val="endnote reference"/>
    <w:unhideWhenUsed/>
    <w:qFormat/>
    <w:uiPriority w:val="99"/>
    <w:rPr>
      <w:vertAlign w:val="superscript"/>
    </w:rPr>
  </w:style>
  <w:style w:type="character" w:styleId="31">
    <w:name w:val="Hyperlink"/>
    <w:unhideWhenUsed/>
    <w:qFormat/>
    <w:uiPriority w:val="99"/>
    <w:rPr>
      <w:color w:val="0000FF"/>
      <w:u w:val="single"/>
    </w:rPr>
  </w:style>
  <w:style w:type="character" w:styleId="32">
    <w:name w:val="annotation reference"/>
    <w:qFormat/>
    <w:uiPriority w:val="0"/>
    <w:rPr>
      <w:sz w:val="21"/>
      <w:szCs w:val="21"/>
    </w:rPr>
  </w:style>
  <w:style w:type="character" w:customStyle="1" w:styleId="33">
    <w:name w:val="标题 1 Char"/>
    <w:link w:val="2"/>
    <w:qFormat/>
    <w:uiPriority w:val="9"/>
    <w:rPr>
      <w:b/>
      <w:bCs/>
      <w:kern w:val="44"/>
      <w:sz w:val="44"/>
      <w:szCs w:val="44"/>
    </w:rPr>
  </w:style>
  <w:style w:type="character" w:customStyle="1" w:styleId="34">
    <w:name w:val="标题 2 Char1"/>
    <w:link w:val="3"/>
    <w:qFormat/>
    <w:uiPriority w:val="9"/>
    <w:rPr>
      <w:rFonts w:ascii="Cambria" w:hAnsi="Cambria" w:eastAsia="宋体" w:cs="Times New Roman"/>
      <w:b/>
      <w:bCs/>
      <w:kern w:val="2"/>
      <w:sz w:val="32"/>
      <w:szCs w:val="32"/>
    </w:rPr>
  </w:style>
  <w:style w:type="character" w:customStyle="1" w:styleId="35">
    <w:name w:val="标题 5 Char"/>
    <w:link w:val="5"/>
    <w:semiHidden/>
    <w:qFormat/>
    <w:uiPriority w:val="9"/>
    <w:rPr>
      <w:rFonts w:ascii="Times New Roman" w:hAnsi="Times New Roman"/>
      <w:b/>
      <w:bCs/>
      <w:kern w:val="2"/>
      <w:sz w:val="28"/>
      <w:szCs w:val="28"/>
    </w:rPr>
  </w:style>
  <w:style w:type="character" w:customStyle="1" w:styleId="36">
    <w:name w:val="标题 8 Char1"/>
    <w:link w:val="7"/>
    <w:semiHidden/>
    <w:qFormat/>
    <w:uiPriority w:val="9"/>
    <w:rPr>
      <w:rFonts w:ascii="等线 Light" w:hAnsi="等线 Light" w:eastAsia="等线 Light" w:cs="Times New Roman"/>
      <w:kern w:val="2"/>
      <w:sz w:val="24"/>
      <w:szCs w:val="24"/>
    </w:rPr>
  </w:style>
  <w:style w:type="character" w:customStyle="1" w:styleId="37">
    <w:name w:val="批注文字 Char1"/>
    <w:link w:val="9"/>
    <w:qFormat/>
    <w:uiPriority w:val="0"/>
    <w:rPr>
      <w:rFonts w:ascii="Times New Roman" w:hAnsi="Times New Roman"/>
      <w:kern w:val="2"/>
      <w:sz w:val="21"/>
      <w:szCs w:val="24"/>
    </w:rPr>
  </w:style>
  <w:style w:type="character" w:customStyle="1" w:styleId="38">
    <w:name w:val="正文文本 3 Char"/>
    <w:link w:val="10"/>
    <w:semiHidden/>
    <w:qFormat/>
    <w:uiPriority w:val="99"/>
    <w:rPr>
      <w:kern w:val="2"/>
      <w:sz w:val="16"/>
      <w:szCs w:val="16"/>
    </w:rPr>
  </w:style>
  <w:style w:type="character" w:customStyle="1" w:styleId="39">
    <w:name w:val="正文文本 Char1"/>
    <w:link w:val="11"/>
    <w:qFormat/>
    <w:uiPriority w:val="0"/>
    <w:rPr>
      <w:rFonts w:ascii="Times New Roman" w:hAnsi="Times New Roman"/>
      <w:kern w:val="2"/>
      <w:sz w:val="21"/>
      <w:szCs w:val="24"/>
    </w:rPr>
  </w:style>
  <w:style w:type="character" w:customStyle="1" w:styleId="40">
    <w:name w:val="正文文本缩进 Char"/>
    <w:link w:val="14"/>
    <w:qFormat/>
    <w:uiPriority w:val="0"/>
    <w:rPr>
      <w:rFonts w:ascii="仿宋_GB2312" w:hAnsi="Times New Roman" w:eastAsia="仿宋_GB2312" w:cs="Times New Roman"/>
      <w:sz w:val="32"/>
      <w:szCs w:val="20"/>
    </w:rPr>
  </w:style>
  <w:style w:type="character" w:customStyle="1" w:styleId="41">
    <w:name w:val="纯文本 Char1"/>
    <w:link w:val="16"/>
    <w:qFormat/>
    <w:uiPriority w:val="0"/>
    <w:rPr>
      <w:rFonts w:ascii="宋体" w:hAnsi="Courier New" w:eastAsia="宋体" w:cs="Courier New"/>
      <w:szCs w:val="21"/>
    </w:rPr>
  </w:style>
  <w:style w:type="character" w:customStyle="1" w:styleId="42">
    <w:name w:val="日期 Char"/>
    <w:link w:val="17"/>
    <w:semiHidden/>
    <w:qFormat/>
    <w:uiPriority w:val="99"/>
    <w:rPr>
      <w:rFonts w:ascii="Times New Roman" w:hAnsi="Times New Roman"/>
      <w:kern w:val="2"/>
      <w:sz w:val="21"/>
      <w:szCs w:val="24"/>
    </w:rPr>
  </w:style>
  <w:style w:type="character" w:customStyle="1" w:styleId="43">
    <w:name w:val="页脚 Char"/>
    <w:link w:val="20"/>
    <w:qFormat/>
    <w:uiPriority w:val="99"/>
    <w:rPr>
      <w:sz w:val="18"/>
      <w:szCs w:val="18"/>
    </w:rPr>
  </w:style>
  <w:style w:type="character" w:customStyle="1" w:styleId="44">
    <w:name w:val="页眉 Char"/>
    <w:link w:val="21"/>
    <w:qFormat/>
    <w:uiPriority w:val="99"/>
    <w:rPr>
      <w:sz w:val="18"/>
      <w:szCs w:val="18"/>
    </w:rPr>
  </w:style>
  <w:style w:type="character" w:customStyle="1" w:styleId="45">
    <w:name w:val="批注主题 Char"/>
    <w:link w:val="26"/>
    <w:qFormat/>
    <w:uiPriority w:val="99"/>
    <w:rPr>
      <w:rFonts w:ascii="Times New Roman" w:hAnsi="Times New Roman"/>
      <w:b/>
      <w:bCs/>
      <w:kern w:val="2"/>
      <w:sz w:val="21"/>
      <w:szCs w:val="24"/>
    </w:rPr>
  </w:style>
  <w:style w:type="character" w:customStyle="1" w:styleId="46">
    <w:name w:val="正文首行缩进 2 Char"/>
    <w:link w:val="12"/>
    <w:semiHidden/>
    <w:qFormat/>
    <w:uiPriority w:val="0"/>
    <w:rPr>
      <w:rFonts w:ascii="宋体" w:hAnsi="Times New Roman" w:eastAsia="宋体" w:cs="Times New Roman"/>
      <w:sz w:val="34"/>
      <w:szCs w:val="24"/>
    </w:rPr>
  </w:style>
  <w:style w:type="character" w:customStyle="1" w:styleId="47">
    <w:name w:val="NormalCharacter1"/>
    <w:semiHidden/>
    <w:qFormat/>
    <w:uiPriority w:val="0"/>
    <w:rPr>
      <w:kern w:val="2"/>
      <w:sz w:val="21"/>
      <w:szCs w:val="24"/>
      <w:lang w:val="en-US" w:eastAsia="zh-CN" w:bidi="ar-SA"/>
    </w:rPr>
  </w:style>
  <w:style w:type="character" w:customStyle="1" w:styleId="48">
    <w:name w:val="正文文本 Char"/>
    <w:qFormat/>
    <w:uiPriority w:val="0"/>
    <w:rPr>
      <w:rFonts w:ascii="Times New Roman" w:hAnsi="Times New Roman"/>
      <w:kern w:val="2"/>
      <w:sz w:val="21"/>
      <w:szCs w:val="24"/>
    </w:rPr>
  </w:style>
  <w:style w:type="character" w:customStyle="1" w:styleId="49">
    <w:name w:val="标题 1 字符1"/>
    <w:qFormat/>
    <w:uiPriority w:val="0"/>
    <w:rPr>
      <w:b/>
      <w:bCs/>
      <w:kern w:val="44"/>
      <w:sz w:val="44"/>
      <w:szCs w:val="44"/>
    </w:rPr>
  </w:style>
  <w:style w:type="character" w:customStyle="1" w:styleId="50">
    <w:name w:val="textcontents"/>
    <w:qFormat/>
    <w:uiPriority w:val="0"/>
  </w:style>
  <w:style w:type="character" w:customStyle="1" w:styleId="51">
    <w:name w:val="纯文本 字符2"/>
    <w:qFormat/>
    <w:uiPriority w:val="0"/>
    <w:rPr>
      <w:rFonts w:ascii="宋体" w:hAnsi="Courier New" w:eastAsia="宋体" w:cs="Courier New"/>
      <w:szCs w:val="21"/>
    </w:rPr>
  </w:style>
  <w:style w:type="character" w:customStyle="1" w:styleId="52">
    <w:name w:val="批注文字 字符1"/>
    <w:qFormat/>
    <w:uiPriority w:val="0"/>
    <w:rPr>
      <w:rFonts w:ascii="Times New Roman" w:hAnsi="Times New Roman"/>
      <w:kern w:val="2"/>
      <w:sz w:val="21"/>
      <w:szCs w:val="24"/>
    </w:rPr>
  </w:style>
  <w:style w:type="character" w:customStyle="1" w:styleId="53">
    <w:name w:val="纯文本 Char"/>
    <w:qFormat/>
    <w:uiPriority w:val="0"/>
    <w:rPr>
      <w:rFonts w:ascii="宋体" w:hAnsi="Courier New" w:eastAsia="宋体" w:cs="Courier New"/>
      <w:szCs w:val="21"/>
    </w:rPr>
  </w:style>
  <w:style w:type="character" w:customStyle="1" w:styleId="54">
    <w:name w:val="批注文字 Char"/>
    <w:qFormat/>
    <w:uiPriority w:val="0"/>
    <w:rPr>
      <w:rFonts w:ascii="Times New Roman" w:hAnsi="Times New Roman"/>
      <w:kern w:val="2"/>
      <w:sz w:val="21"/>
      <w:szCs w:val="24"/>
    </w:rPr>
  </w:style>
  <w:style w:type="character" w:customStyle="1" w:styleId="55">
    <w:name w:val="正文2 Char Char"/>
    <w:link w:val="56"/>
    <w:qFormat/>
    <w:uiPriority w:val="0"/>
    <w:rPr>
      <w:kern w:val="2"/>
      <w:sz w:val="24"/>
    </w:rPr>
  </w:style>
  <w:style w:type="paragraph" w:customStyle="1" w:styleId="56">
    <w:name w:val="正文2"/>
    <w:basedOn w:val="1"/>
    <w:link w:val="55"/>
    <w:qFormat/>
    <w:uiPriority w:val="0"/>
    <w:pPr>
      <w:adjustRightInd w:val="0"/>
      <w:spacing w:before="156" w:line="360" w:lineRule="auto"/>
      <w:ind w:firstLine="510" w:firstLineChars="200"/>
    </w:pPr>
    <w:rPr>
      <w:sz w:val="24"/>
      <w:szCs w:val="20"/>
    </w:rPr>
  </w:style>
  <w:style w:type="character" w:customStyle="1" w:styleId="57">
    <w:name w:val="批注文字 字符"/>
    <w:qFormat/>
    <w:uiPriority w:val="0"/>
    <w:rPr>
      <w:rFonts w:ascii="Times New Roman" w:hAnsi="Times New Roman"/>
      <w:kern w:val="2"/>
      <w:sz w:val="21"/>
      <w:szCs w:val="24"/>
    </w:rPr>
  </w:style>
  <w:style w:type="character" w:customStyle="1" w:styleId="58">
    <w:name w:val="纯文本 字符1"/>
    <w:qFormat/>
    <w:uiPriority w:val="0"/>
    <w:rPr>
      <w:rFonts w:ascii="宋体" w:hAnsi="Courier New"/>
    </w:rPr>
  </w:style>
  <w:style w:type="character" w:customStyle="1" w:styleId="59">
    <w:name w:val="批注文字 Char2"/>
    <w:qFormat/>
    <w:uiPriority w:val="0"/>
    <w:rPr>
      <w:rFonts w:ascii="Times New Roman" w:hAnsi="Times New Roman"/>
      <w:kern w:val="2"/>
      <w:sz w:val="21"/>
      <w:szCs w:val="24"/>
    </w:rPr>
  </w:style>
  <w:style w:type="character" w:customStyle="1" w:styleId="60">
    <w:name w:val="纯文本 字符"/>
    <w:qFormat/>
    <w:uiPriority w:val="0"/>
    <w:rPr>
      <w:rFonts w:ascii="宋体" w:hAnsi="Courier New" w:eastAsia="宋体" w:cs="Courier New"/>
      <w:szCs w:val="21"/>
    </w:rPr>
  </w:style>
  <w:style w:type="character" w:customStyle="1" w:styleId="61">
    <w:name w:val="apple-style-span"/>
    <w:qFormat/>
    <w:uiPriority w:val="0"/>
  </w:style>
  <w:style w:type="character" w:customStyle="1" w:styleId="62">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3">
    <w:name w:val="标题 2 Char"/>
    <w:qFormat/>
    <w:uiPriority w:val="9"/>
    <w:rPr>
      <w:rFonts w:ascii="Cambria" w:hAnsi="Cambria" w:eastAsia="宋体" w:cs="Times New Roman"/>
      <w:b/>
      <w:bCs/>
      <w:kern w:val="2"/>
      <w:sz w:val="32"/>
      <w:szCs w:val="32"/>
    </w:rPr>
  </w:style>
  <w:style w:type="character" w:customStyle="1" w:styleId="64">
    <w:name w:val="标题 8 Char"/>
    <w:qFormat/>
    <w:uiPriority w:val="0"/>
    <w:rPr>
      <w:rFonts w:ascii="Arial" w:hAnsi="Arial" w:eastAsia="黑体"/>
      <w:kern w:val="2"/>
      <w:sz w:val="24"/>
      <w:szCs w:val="24"/>
    </w:rPr>
  </w:style>
  <w:style w:type="character" w:customStyle="1" w:styleId="65">
    <w:name w:val="正文文本 字符"/>
    <w:qFormat/>
    <w:uiPriority w:val="0"/>
    <w:rPr>
      <w:rFonts w:ascii="Times New Roman" w:hAnsi="Times New Roman"/>
      <w:kern w:val="2"/>
      <w:sz w:val="21"/>
      <w:szCs w:val="24"/>
    </w:rPr>
  </w:style>
  <w:style w:type="paragraph" w:customStyle="1" w:styleId="66">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67">
    <w:name w:val="列出段落1"/>
    <w:basedOn w:val="1"/>
    <w:qFormat/>
    <w:uiPriority w:val="34"/>
    <w:pPr>
      <w:ind w:firstLine="420" w:firstLineChars="200"/>
    </w:pPr>
  </w:style>
  <w:style w:type="paragraph" w:customStyle="1" w:styleId="68">
    <w:name w:val="默认段落字体 Para Char Char Char Char Char Char Char Char Char1 Char Char Char Char"/>
    <w:basedOn w:val="1"/>
    <w:qFormat/>
    <w:uiPriority w:val="0"/>
    <w:rPr>
      <w:rFonts w:ascii="Tahoma" w:hAnsi="Tahoma"/>
      <w:sz w:val="24"/>
      <w:szCs w:val="20"/>
    </w:rPr>
  </w:style>
  <w:style w:type="paragraph" w:customStyle="1" w:styleId="69">
    <w:name w:val="列出段落11"/>
    <w:basedOn w:val="1"/>
    <w:qFormat/>
    <w:uiPriority w:val="34"/>
    <w:pPr>
      <w:ind w:firstLine="420" w:firstLineChars="200"/>
    </w:pPr>
  </w:style>
  <w:style w:type="paragraph" w:customStyle="1" w:styleId="70">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71">
    <w:name w:val="Table Paragraph"/>
    <w:basedOn w:val="1"/>
    <w:qFormat/>
    <w:uiPriority w:val="1"/>
    <w:pPr>
      <w:jc w:val="left"/>
    </w:pPr>
    <w:rPr>
      <w:rFonts w:ascii="Calibri" w:hAnsi="Calibri"/>
      <w:kern w:val="0"/>
      <w:sz w:val="22"/>
      <w:szCs w:val="22"/>
      <w:lang w:eastAsia="en-US"/>
    </w:rPr>
  </w:style>
  <w:style w:type="paragraph" w:customStyle="1" w:styleId="72">
    <w:name w:val="_Style 71"/>
    <w:unhideWhenUsed/>
    <w:qFormat/>
    <w:uiPriority w:val="99"/>
    <w:rPr>
      <w:rFonts w:ascii="Times New Roman" w:hAnsi="Times New Roman" w:eastAsia="宋体" w:cs="Times New Roman"/>
      <w:kern w:val="2"/>
      <w:sz w:val="21"/>
      <w:szCs w:val="24"/>
      <w:lang w:val="en-US" w:eastAsia="zh-CN" w:bidi="ar-SA"/>
    </w:rPr>
  </w:style>
  <w:style w:type="paragraph" w:customStyle="1" w:styleId="73">
    <w:name w:val="表格文字"/>
    <w:basedOn w:val="1"/>
    <w:qFormat/>
    <w:uiPriority w:val="99"/>
    <w:pPr>
      <w:spacing w:before="25" w:after="25"/>
    </w:pPr>
    <w:rPr>
      <w:rFonts w:ascii="Calibri" w:hAnsi="Calibri"/>
      <w:bCs/>
      <w:spacing w:val="10"/>
      <w:sz w:val="24"/>
    </w:rPr>
  </w:style>
  <w:style w:type="paragraph" w:customStyle="1" w:styleId="74">
    <w:name w:val="正文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5">
    <w:name w:val="正文文本1"/>
    <w:basedOn w:val="1"/>
    <w:qFormat/>
    <w:uiPriority w:val="0"/>
    <w:rPr>
      <w:rFonts w:ascii="楷体_GB2312" w:hAnsi="Arial" w:eastAsia="楷体_GB2312"/>
      <w:sz w:val="32"/>
      <w:szCs w:val="32"/>
    </w:rPr>
  </w:style>
  <w:style w:type="paragraph" w:customStyle="1" w:styleId="76">
    <w:name w:val="修订1"/>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1626B8-21F8-4318-82E9-9A3ECB932C59}">
  <ds:schemaRefs/>
</ds:datastoreItem>
</file>

<file path=docProps/app.xml><?xml version="1.0" encoding="utf-8"?>
<Properties xmlns="http://schemas.openxmlformats.org/officeDocument/2006/extended-properties" xmlns:vt="http://schemas.openxmlformats.org/officeDocument/2006/docPropsVTypes">
  <Template>Normal</Template>
  <Pages>81</Pages>
  <Words>44414</Words>
  <Characters>46596</Characters>
  <Lines>394</Lines>
  <Paragraphs>111</Paragraphs>
  <TotalTime>2</TotalTime>
  <ScaleCrop>false</ScaleCrop>
  <LinksUpToDate>false</LinksUpToDate>
  <CharactersWithSpaces>53183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2025-11-28T04:12:00Z</dcterms:created>
  <dc:creator>唐冰</dc:creator>
  <cp:lastModifiedBy>加斯科因</cp:lastModifiedBy>
  <cp:lastPrinted>2024-03-21T02:07:00Z</cp:lastPrinted>
  <dcterms:modified xsi:type="dcterms:W3CDTF">2025-12-15T08:53:53Z</dcterms:modified>
  <dc:title>竞争性谈判文件规范</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E651B3705BFA46308B52DF7A006D5527_13</vt:lpwstr>
  </property>
  <property fmtid="{D5CDD505-2E9C-101B-9397-08002B2CF9AE}" pid="4" name="KSOTemplateDocerSaveRecord">
    <vt:lpwstr>eyJoZGlkIjoiZDQyM2ZlMTc5NzMwMzI4ZWRlMTgxYzZjMzBiN2VlZDMiLCJ1c2VySWQiOiI3NTg4MTk3OTcifQ==</vt:lpwstr>
  </property>
</Properties>
</file>