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B8290">
      <w:pPr>
        <w:jc w:val="center"/>
        <w:rPr>
          <w:rFonts w:ascii="宋体" w:hAnsi="宋体" w:cs="宋体"/>
          <w:b/>
          <w:color w:val="auto"/>
          <w:sz w:val="60"/>
          <w:szCs w:val="60"/>
          <w:highlight w:val="none"/>
        </w:rPr>
      </w:pPr>
      <w:r>
        <w:rPr>
          <w:rFonts w:hint="eastAsia"/>
          <w:color w:val="auto"/>
          <w:sz w:val="20"/>
          <w:szCs w:val="30"/>
          <w:highlight w:val="none"/>
          <w:u w:val="single"/>
        </w:rPr>
        <w:drawing>
          <wp:anchor distT="0" distB="0" distL="114300" distR="114300" simplePos="0" relativeHeight="251663360" behindDoc="0" locked="0" layoutInCell="1" allowOverlap="1">
            <wp:simplePos x="0" y="0"/>
            <wp:positionH relativeFrom="column">
              <wp:posOffset>2211070</wp:posOffset>
            </wp:positionH>
            <wp:positionV relativeFrom="paragraph">
              <wp:posOffset>-205105</wp:posOffset>
            </wp:positionV>
            <wp:extent cx="825500" cy="708660"/>
            <wp:effectExtent l="0" t="0" r="0" b="15240"/>
            <wp:wrapNone/>
            <wp:docPr id="7" name="图片 6" descr="卓联工程管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卓联工程管理"/>
                    <pic:cNvPicPr>
                      <a:picLocks noChangeAspect="1"/>
                    </pic:cNvPicPr>
                  </pic:nvPicPr>
                  <pic:blipFill>
                    <a:blip r:embed="rId18"/>
                    <a:srcRect l="25574" r="24583" b="30399"/>
                    <a:stretch>
                      <a:fillRect/>
                    </a:stretch>
                  </pic:blipFill>
                  <pic:spPr>
                    <a:xfrm>
                      <a:off x="0" y="0"/>
                      <a:ext cx="825500" cy="708660"/>
                    </a:xfrm>
                    <a:prstGeom prst="rect">
                      <a:avLst/>
                    </a:prstGeom>
                    <a:noFill/>
                    <a:ln>
                      <a:noFill/>
                    </a:ln>
                  </pic:spPr>
                </pic:pic>
              </a:graphicData>
            </a:graphic>
          </wp:anchor>
        </w:drawing>
      </w:r>
    </w:p>
    <w:p w14:paraId="78F6A18F">
      <w:pPr>
        <w:jc w:val="distribute"/>
        <w:rPr>
          <w:rFonts w:ascii="宋体" w:hAnsi="宋体" w:cs="宋体"/>
          <w:b/>
          <w:color w:val="auto"/>
          <w:sz w:val="60"/>
          <w:szCs w:val="60"/>
          <w:highlight w:val="none"/>
        </w:rPr>
      </w:pPr>
      <w:r>
        <w:rPr>
          <w:rFonts w:hint="eastAsia" w:ascii="宋体" w:hAnsi="宋体" w:cs="宋体"/>
          <w:b/>
          <w:color w:val="auto"/>
          <w:sz w:val="60"/>
          <w:szCs w:val="60"/>
          <w:highlight w:val="none"/>
        </w:rPr>
        <w:t>广西卓联工程管理有限公司</w:t>
      </w:r>
    </w:p>
    <w:p w14:paraId="4EDDA3FE">
      <w:pPr>
        <w:spacing w:line="360" w:lineRule="auto"/>
        <w:jc w:val="distribute"/>
        <w:rPr>
          <w:rFonts w:ascii="宋体" w:hAnsi="宋体" w:cs="宋体"/>
          <w:color w:val="auto"/>
          <w:sz w:val="44"/>
          <w:szCs w:val="44"/>
          <w:highlight w:val="none"/>
          <w:u w:val="single"/>
        </w:rPr>
      </w:pPr>
      <w:r>
        <w:rPr>
          <w:rFonts w:hint="eastAsia" w:ascii="宋体" w:hAnsi="宋体" w:cs="宋体"/>
          <w:b/>
          <w:bCs/>
          <w:color w:val="auto"/>
          <w:sz w:val="28"/>
          <w:szCs w:val="28"/>
          <w:highlight w:val="none"/>
          <w:u w:val="single"/>
        </w:rPr>
        <w:t>Guangxi Zhuolian Engineering Management Co., Ltd.</w:t>
      </w:r>
    </w:p>
    <w:p w14:paraId="19FD4677">
      <w:pPr>
        <w:snapToGrid w:val="0"/>
        <w:spacing w:before="120" w:beforeLines="50" w:line="360" w:lineRule="auto"/>
        <w:jc w:val="center"/>
        <w:rPr>
          <w:rFonts w:ascii="宋体" w:hAnsi="宋体" w:cs="宋体"/>
          <w:color w:val="auto"/>
          <w:sz w:val="72"/>
          <w:szCs w:val="72"/>
          <w:highlight w:val="none"/>
        </w:rPr>
      </w:pPr>
    </w:p>
    <w:p w14:paraId="69934DF8">
      <w:pPr>
        <w:snapToGrid w:val="0"/>
        <w:spacing w:before="120" w:beforeLines="50" w:line="360" w:lineRule="auto"/>
        <w:jc w:val="center"/>
        <w:rPr>
          <w:rFonts w:ascii="宋体" w:hAnsi="宋体" w:cs="宋体"/>
          <w:color w:val="auto"/>
          <w:sz w:val="84"/>
          <w:szCs w:val="84"/>
          <w:highlight w:val="none"/>
        </w:rPr>
      </w:pPr>
      <w:r>
        <w:rPr>
          <w:rFonts w:hint="eastAsia" w:ascii="宋体" w:hAnsi="宋体" w:cs="宋体"/>
          <w:color w:val="auto"/>
          <w:sz w:val="84"/>
          <w:szCs w:val="84"/>
          <w:highlight w:val="none"/>
        </w:rPr>
        <w:t>招 标 文 件</w:t>
      </w:r>
    </w:p>
    <w:p w14:paraId="4E2A0952">
      <w:pPr>
        <w:pStyle w:val="11"/>
        <w:snapToGrid w:val="0"/>
        <w:spacing w:line="360" w:lineRule="auto"/>
        <w:ind w:firstLine="1977" w:firstLineChars="691"/>
        <w:rPr>
          <w:rFonts w:hAnsi="宋体" w:cs="宋体"/>
          <w:b/>
          <w:bCs/>
          <w:color w:val="auto"/>
          <w:w w:val="95"/>
          <w:sz w:val="30"/>
          <w:szCs w:val="30"/>
          <w:highlight w:val="none"/>
        </w:rPr>
      </w:pPr>
    </w:p>
    <w:p w14:paraId="25B72F18">
      <w:pPr>
        <w:pStyle w:val="5"/>
        <w:rPr>
          <w:color w:val="auto"/>
          <w:highlight w:val="none"/>
        </w:rPr>
      </w:pPr>
    </w:p>
    <w:p w14:paraId="62D8F0FB">
      <w:pPr>
        <w:pStyle w:val="11"/>
        <w:snapToGrid w:val="0"/>
        <w:spacing w:line="600" w:lineRule="exact"/>
        <w:ind w:left="1340" w:hanging="1335" w:hangingChars="500"/>
        <w:rPr>
          <w:rFonts w:hAnsi="宋体" w:cs="宋体"/>
          <w:b/>
          <w:bCs/>
          <w:color w:val="auto"/>
          <w:w w:val="95"/>
          <w:sz w:val="28"/>
          <w:szCs w:val="28"/>
          <w:highlight w:val="none"/>
        </w:rPr>
      </w:pPr>
      <w:r>
        <w:rPr>
          <w:rFonts w:hint="eastAsia" w:hAnsi="宋体" w:cs="宋体"/>
          <w:b/>
          <w:bCs/>
          <w:color w:val="auto"/>
          <w:w w:val="95"/>
          <w:sz w:val="28"/>
          <w:szCs w:val="28"/>
          <w:highlight w:val="none"/>
        </w:rPr>
        <w:t>项目名称：自然资源厅数据服务基地食堂食材配送服务采购</w:t>
      </w:r>
    </w:p>
    <w:p w14:paraId="3C8EC2F1">
      <w:pPr>
        <w:spacing w:line="600" w:lineRule="exact"/>
        <w:rPr>
          <w:rFonts w:hAnsi="宋体" w:cs="宋体"/>
          <w:b/>
          <w:bCs/>
          <w:color w:val="auto"/>
          <w:w w:val="95"/>
          <w:sz w:val="28"/>
          <w:szCs w:val="28"/>
          <w:highlight w:val="none"/>
        </w:rPr>
      </w:pPr>
      <w:r>
        <w:rPr>
          <w:rFonts w:hint="eastAsia" w:hAnsi="宋体" w:cs="宋体"/>
          <w:b/>
          <w:bCs/>
          <w:color w:val="auto"/>
          <w:w w:val="95"/>
          <w:sz w:val="28"/>
          <w:szCs w:val="28"/>
          <w:highlight w:val="none"/>
        </w:rPr>
        <w:t>项目编号：GXZC2025-G3-003377-ZLGC</w:t>
      </w:r>
    </w:p>
    <w:p w14:paraId="44884DED">
      <w:pPr>
        <w:widowControl/>
        <w:spacing w:line="600" w:lineRule="exact"/>
        <w:jc w:val="left"/>
        <w:rPr>
          <w:rFonts w:hAnsi="宋体" w:cs="宋体"/>
          <w:b/>
          <w:bCs/>
          <w:color w:val="auto"/>
          <w:w w:val="95"/>
          <w:sz w:val="28"/>
          <w:szCs w:val="28"/>
          <w:highlight w:val="none"/>
        </w:rPr>
      </w:pPr>
      <w:r>
        <w:rPr>
          <w:rFonts w:hint="eastAsia" w:ascii="宋体" w:hAnsi="宋体" w:cs="宋体"/>
          <w:b/>
          <w:bCs/>
          <w:color w:val="auto"/>
          <w:w w:val="95"/>
          <w:sz w:val="28"/>
          <w:szCs w:val="28"/>
          <w:highlight w:val="none"/>
        </w:rPr>
        <w:t>采购计划</w:t>
      </w:r>
      <w:r>
        <w:rPr>
          <w:rFonts w:hint="eastAsia" w:hAnsi="宋体" w:cs="宋体"/>
          <w:b/>
          <w:bCs/>
          <w:color w:val="auto"/>
          <w:w w:val="95"/>
          <w:sz w:val="28"/>
          <w:szCs w:val="28"/>
          <w:highlight w:val="none"/>
        </w:rPr>
        <w:t>文号：</w:t>
      </w:r>
      <w:r>
        <w:rPr>
          <w:rFonts w:hint="eastAsia" w:ascii="宋体" w:hAnsi="宋体" w:cs="宋体"/>
          <w:b/>
          <w:bCs/>
          <w:color w:val="auto"/>
          <w:w w:val="95"/>
          <w:sz w:val="28"/>
          <w:szCs w:val="28"/>
          <w:highlight w:val="none"/>
        </w:rPr>
        <w:t>广西政采[2025]19409号-001、广西政采[2025]19409号-002、广西政采[2025]19409号-003</w:t>
      </w:r>
    </w:p>
    <w:p w14:paraId="045C16FB">
      <w:pPr>
        <w:widowControl/>
        <w:jc w:val="left"/>
        <w:rPr>
          <w:color w:val="auto"/>
          <w:highlight w:val="none"/>
        </w:rPr>
      </w:pPr>
    </w:p>
    <w:p w14:paraId="488265CA">
      <w:pPr>
        <w:spacing w:line="360" w:lineRule="auto"/>
        <w:rPr>
          <w:rFonts w:ascii="宋体" w:hAnsi="宋体" w:cs="宋体"/>
          <w:b/>
          <w:bCs/>
          <w:color w:val="auto"/>
          <w:w w:val="95"/>
          <w:sz w:val="30"/>
          <w:szCs w:val="30"/>
          <w:highlight w:val="none"/>
        </w:rPr>
      </w:pPr>
      <w:r>
        <w:rPr>
          <w:rFonts w:hint="eastAsia" w:ascii="宋体" w:hAnsi="宋体" w:cs="宋体"/>
          <w:b/>
          <w:bCs/>
          <w:color w:val="auto"/>
          <w:w w:val="95"/>
          <w:sz w:val="30"/>
          <w:szCs w:val="30"/>
          <w:highlight w:val="none"/>
        </w:rPr>
        <w:t xml:space="preserve"> </w:t>
      </w:r>
    </w:p>
    <w:p w14:paraId="4CECABBD">
      <w:pPr>
        <w:pStyle w:val="11"/>
        <w:snapToGrid w:val="0"/>
        <w:spacing w:line="360" w:lineRule="auto"/>
        <w:ind w:firstLine="1977" w:firstLineChars="691"/>
        <w:rPr>
          <w:rFonts w:hAnsi="宋体" w:cs="宋体"/>
          <w:b/>
          <w:bCs/>
          <w:color w:val="auto"/>
          <w:w w:val="95"/>
          <w:sz w:val="30"/>
          <w:szCs w:val="30"/>
          <w:highlight w:val="none"/>
        </w:rPr>
      </w:pPr>
    </w:p>
    <w:p w14:paraId="71D34F6F">
      <w:pPr>
        <w:pStyle w:val="5"/>
        <w:rPr>
          <w:color w:val="auto"/>
          <w:highlight w:val="none"/>
        </w:rPr>
      </w:pPr>
    </w:p>
    <w:p w14:paraId="7480E9D5">
      <w:pPr>
        <w:pStyle w:val="11"/>
        <w:snapToGrid w:val="0"/>
        <w:spacing w:line="360" w:lineRule="auto"/>
        <w:ind w:firstLine="1414" w:firstLineChars="494"/>
        <w:rPr>
          <w:rFonts w:hAnsi="宋体" w:cs="宋体"/>
          <w:b/>
          <w:bCs/>
          <w:color w:val="auto"/>
          <w:w w:val="95"/>
          <w:sz w:val="30"/>
          <w:szCs w:val="30"/>
          <w:highlight w:val="none"/>
        </w:rPr>
      </w:pPr>
      <w:r>
        <w:rPr>
          <w:rFonts w:hint="eastAsia" w:hAnsi="宋体" w:cs="宋体"/>
          <w:b/>
          <w:bCs/>
          <w:color w:val="auto"/>
          <w:w w:val="95"/>
          <w:sz w:val="30"/>
          <w:szCs w:val="30"/>
          <w:highlight w:val="none"/>
        </w:rPr>
        <w:t>采 购 人：广西壮族自治区自然资源厅机关服务中心</w:t>
      </w:r>
    </w:p>
    <w:p w14:paraId="336A7D3B">
      <w:pPr>
        <w:pStyle w:val="11"/>
        <w:snapToGrid w:val="0"/>
        <w:spacing w:line="360" w:lineRule="auto"/>
        <w:ind w:firstLine="1414" w:firstLineChars="494"/>
        <w:rPr>
          <w:rFonts w:hAnsi="宋体" w:cs="宋体"/>
          <w:b/>
          <w:bCs/>
          <w:color w:val="auto"/>
          <w:w w:val="95"/>
          <w:sz w:val="30"/>
          <w:szCs w:val="30"/>
          <w:highlight w:val="none"/>
        </w:rPr>
      </w:pPr>
    </w:p>
    <w:p w14:paraId="346EA17A">
      <w:pPr>
        <w:pStyle w:val="11"/>
        <w:snapToGrid w:val="0"/>
        <w:spacing w:line="360" w:lineRule="auto"/>
        <w:ind w:firstLine="1414" w:firstLineChars="494"/>
        <w:rPr>
          <w:rFonts w:hAnsi="宋体" w:cs="宋体"/>
          <w:b/>
          <w:bCs/>
          <w:color w:val="auto"/>
          <w:w w:val="95"/>
          <w:sz w:val="30"/>
          <w:szCs w:val="30"/>
          <w:highlight w:val="none"/>
        </w:rPr>
      </w:pPr>
      <w:r>
        <w:rPr>
          <w:rFonts w:hint="eastAsia" w:hAnsi="宋体" w:cs="宋体"/>
          <w:b/>
          <w:bCs/>
          <w:color w:val="auto"/>
          <w:w w:val="95"/>
          <w:sz w:val="30"/>
          <w:szCs w:val="30"/>
          <w:highlight w:val="none"/>
        </w:rPr>
        <w:t>采购代理机构：广西卓联工程管理有限公司</w:t>
      </w:r>
    </w:p>
    <w:p w14:paraId="2A16D5A8">
      <w:pPr>
        <w:pStyle w:val="11"/>
        <w:snapToGrid w:val="0"/>
        <w:spacing w:line="360" w:lineRule="auto"/>
        <w:jc w:val="center"/>
        <w:rPr>
          <w:rFonts w:hAnsi="宋体" w:cs="宋体"/>
          <w:b/>
          <w:bCs/>
          <w:color w:val="auto"/>
          <w:w w:val="95"/>
          <w:sz w:val="30"/>
          <w:szCs w:val="30"/>
          <w:highlight w:val="none"/>
        </w:rPr>
        <w:sectPr>
          <w:footerReference r:id="rId6" w:type="first"/>
          <w:headerReference r:id="rId3" w:type="default"/>
          <w:footerReference r:id="rId4" w:type="default"/>
          <w:footerReference r:id="rId5" w:type="even"/>
          <w:pgSz w:w="11906" w:h="16838"/>
          <w:pgMar w:top="1440" w:right="1797" w:bottom="1440" w:left="1797" w:header="851" w:footer="992" w:gutter="0"/>
          <w:pgNumType w:start="0"/>
          <w:cols w:space="720" w:num="1"/>
          <w:docGrid w:linePitch="312" w:charSpace="0"/>
        </w:sectPr>
      </w:pPr>
      <w:r>
        <w:rPr>
          <w:rFonts w:hint="eastAsia" w:hAnsi="宋体" w:cs="宋体"/>
          <w:b/>
          <w:bCs/>
          <w:color w:val="auto"/>
          <w:w w:val="95"/>
          <w:sz w:val="30"/>
          <w:szCs w:val="30"/>
          <w:highlight w:val="none"/>
        </w:rPr>
        <w:t>2025年</w:t>
      </w:r>
      <w:r>
        <w:rPr>
          <w:rFonts w:hint="eastAsia" w:hAnsi="宋体" w:cs="宋体"/>
          <w:b/>
          <w:bCs/>
          <w:color w:val="auto"/>
          <w:w w:val="95"/>
          <w:sz w:val="30"/>
          <w:szCs w:val="30"/>
          <w:highlight w:val="none"/>
          <w:lang w:val="en-US" w:eastAsia="zh-CN"/>
        </w:rPr>
        <w:t>12</w:t>
      </w:r>
      <w:r>
        <w:rPr>
          <w:rFonts w:hint="eastAsia" w:hAnsi="宋体" w:cs="宋体"/>
          <w:b/>
          <w:bCs/>
          <w:color w:val="auto"/>
          <w:w w:val="95"/>
          <w:sz w:val="30"/>
          <w:szCs w:val="30"/>
          <w:highlight w:val="none"/>
        </w:rPr>
        <w:t>月</w:t>
      </w:r>
      <w:r>
        <w:rPr>
          <w:rFonts w:hint="eastAsia" w:hAnsi="宋体" w:cs="宋体"/>
          <w:b/>
          <w:bCs/>
          <w:color w:val="auto"/>
          <w:w w:val="95"/>
          <w:sz w:val="30"/>
          <w:szCs w:val="30"/>
          <w:highlight w:val="none"/>
          <w:lang w:val="en-US" w:eastAsia="zh-CN"/>
        </w:rPr>
        <w:t>4</w:t>
      </w:r>
      <w:r>
        <w:rPr>
          <w:rFonts w:hint="eastAsia" w:hAnsi="宋体" w:cs="宋体"/>
          <w:b/>
          <w:bCs/>
          <w:color w:val="auto"/>
          <w:w w:val="95"/>
          <w:sz w:val="30"/>
          <w:szCs w:val="30"/>
          <w:highlight w:val="none"/>
        </w:rPr>
        <w:t>日</w:t>
      </w:r>
    </w:p>
    <w:p w14:paraId="01C6BE34">
      <w:pPr>
        <w:pStyle w:val="5"/>
        <w:rPr>
          <w:color w:val="auto"/>
          <w:highlight w:val="none"/>
        </w:rPr>
      </w:pPr>
    </w:p>
    <w:p w14:paraId="068624F4">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4DAF22F7">
      <w:pPr>
        <w:pStyle w:val="15"/>
        <w:tabs>
          <w:tab w:val="right" w:leader="dot" w:pos="8312"/>
          <w:tab w:val="clear" w:pos="8398"/>
        </w:tabs>
        <w:rPr>
          <w:rFonts w:cs="宋体"/>
          <w:color w:val="auto"/>
          <w:highlight w:val="none"/>
        </w:rPr>
      </w:pPr>
      <w:r>
        <w:rPr>
          <w:rFonts w:hint="eastAsia" w:cs="宋体"/>
          <w:b w:val="0"/>
          <w:color w:val="auto"/>
          <w:highlight w:val="none"/>
        </w:rPr>
        <w:fldChar w:fldCharType="begin"/>
      </w:r>
      <w:r>
        <w:rPr>
          <w:rFonts w:hint="eastAsia" w:cs="宋体"/>
          <w:b w:val="0"/>
          <w:color w:val="auto"/>
          <w:highlight w:val="none"/>
        </w:rPr>
        <w:instrText xml:space="preserve"> TOC \o "1-2" \h \z \u </w:instrText>
      </w:r>
      <w:r>
        <w:rPr>
          <w:rFonts w:hint="eastAsia" w:cs="宋体"/>
          <w:b w:val="0"/>
          <w:color w:val="auto"/>
          <w:highlight w:val="none"/>
        </w:rPr>
        <w:fldChar w:fldCharType="separate"/>
      </w:r>
      <w:r>
        <w:rPr>
          <w:color w:val="auto"/>
          <w:highlight w:val="none"/>
        </w:rPr>
        <w:fldChar w:fldCharType="begin"/>
      </w:r>
      <w:r>
        <w:rPr>
          <w:color w:val="auto"/>
          <w:highlight w:val="none"/>
        </w:rPr>
        <w:instrText xml:space="preserve"> HYPERLINK \l "_Toc15079" </w:instrText>
      </w:r>
      <w:r>
        <w:rPr>
          <w:color w:val="auto"/>
          <w:highlight w:val="none"/>
        </w:rPr>
        <w:fldChar w:fldCharType="separate"/>
      </w:r>
      <w:r>
        <w:rPr>
          <w:rFonts w:hint="eastAsia" w:cs="宋体"/>
          <w:color w:val="auto"/>
          <w:highlight w:val="none"/>
        </w:rPr>
        <w:t>第一章 招标公告</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_Toc15079 \h </w:instrText>
      </w:r>
      <w:r>
        <w:rPr>
          <w:rFonts w:hint="eastAsia" w:cs="宋体"/>
          <w:color w:val="auto"/>
          <w:highlight w:val="none"/>
        </w:rPr>
        <w:fldChar w:fldCharType="separate"/>
      </w:r>
      <w:r>
        <w:rPr>
          <w:rFonts w:hint="eastAsia" w:cs="宋体"/>
          <w:color w:val="auto"/>
          <w:highlight w:val="none"/>
        </w:rPr>
        <w:t>2</w:t>
      </w:r>
      <w:r>
        <w:rPr>
          <w:rFonts w:hint="eastAsia" w:cs="宋体"/>
          <w:color w:val="auto"/>
          <w:highlight w:val="none"/>
        </w:rPr>
        <w:fldChar w:fldCharType="end"/>
      </w:r>
      <w:r>
        <w:rPr>
          <w:rFonts w:cs="宋体"/>
          <w:color w:val="auto"/>
          <w:highlight w:val="none"/>
        </w:rPr>
        <w:fldChar w:fldCharType="end"/>
      </w:r>
    </w:p>
    <w:p w14:paraId="60A3FEF9">
      <w:pPr>
        <w:pStyle w:val="15"/>
        <w:tabs>
          <w:tab w:val="right" w:leader="dot" w:pos="8312"/>
          <w:tab w:val="clear" w:pos="8398"/>
        </w:tabs>
        <w:ind w:firstLine="241"/>
        <w:rPr>
          <w:rFonts w:cs="宋体"/>
          <w:color w:val="auto"/>
          <w:highlight w:val="none"/>
        </w:rPr>
      </w:pPr>
      <w:r>
        <w:rPr>
          <w:color w:val="auto"/>
          <w:highlight w:val="none"/>
        </w:rPr>
        <w:fldChar w:fldCharType="begin"/>
      </w:r>
      <w:r>
        <w:rPr>
          <w:color w:val="auto"/>
          <w:highlight w:val="none"/>
        </w:rPr>
        <w:instrText xml:space="preserve"> HYPERLINK \l "_Toc15901" </w:instrText>
      </w:r>
      <w:r>
        <w:rPr>
          <w:color w:val="auto"/>
          <w:highlight w:val="none"/>
        </w:rPr>
        <w:fldChar w:fldCharType="separate"/>
      </w:r>
      <w:r>
        <w:rPr>
          <w:rFonts w:hint="eastAsia" w:cs="宋体"/>
          <w:color w:val="auto"/>
          <w:highlight w:val="none"/>
        </w:rPr>
        <w:t>第二章 采购需求</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_Toc15901 \h </w:instrText>
      </w:r>
      <w:r>
        <w:rPr>
          <w:rFonts w:hint="eastAsia" w:cs="宋体"/>
          <w:color w:val="auto"/>
          <w:highlight w:val="none"/>
        </w:rPr>
        <w:fldChar w:fldCharType="separate"/>
      </w:r>
      <w:r>
        <w:rPr>
          <w:rFonts w:hint="eastAsia" w:cs="宋体"/>
          <w:color w:val="auto"/>
          <w:highlight w:val="none"/>
        </w:rPr>
        <w:t>5</w:t>
      </w:r>
      <w:r>
        <w:rPr>
          <w:rFonts w:hint="eastAsia" w:cs="宋体"/>
          <w:color w:val="auto"/>
          <w:highlight w:val="none"/>
        </w:rPr>
        <w:fldChar w:fldCharType="end"/>
      </w:r>
      <w:r>
        <w:rPr>
          <w:rFonts w:cs="宋体"/>
          <w:color w:val="auto"/>
          <w:highlight w:val="none"/>
        </w:rPr>
        <w:fldChar w:fldCharType="end"/>
      </w:r>
    </w:p>
    <w:p w14:paraId="06CF03CF">
      <w:pPr>
        <w:pStyle w:val="15"/>
        <w:tabs>
          <w:tab w:val="right" w:leader="dot" w:pos="8312"/>
          <w:tab w:val="clear" w:pos="8398"/>
        </w:tabs>
        <w:ind w:firstLine="241"/>
        <w:rPr>
          <w:rFonts w:cs="宋体"/>
          <w:color w:val="auto"/>
          <w:highlight w:val="none"/>
        </w:rPr>
      </w:pPr>
      <w:r>
        <w:rPr>
          <w:color w:val="auto"/>
          <w:highlight w:val="none"/>
        </w:rPr>
        <w:fldChar w:fldCharType="begin"/>
      </w:r>
      <w:r>
        <w:rPr>
          <w:color w:val="auto"/>
          <w:highlight w:val="none"/>
        </w:rPr>
        <w:instrText xml:space="preserve"> HYPERLINK \l "_Toc12046" </w:instrText>
      </w:r>
      <w:r>
        <w:rPr>
          <w:color w:val="auto"/>
          <w:highlight w:val="none"/>
        </w:rPr>
        <w:fldChar w:fldCharType="separate"/>
      </w:r>
      <w:r>
        <w:rPr>
          <w:rFonts w:hint="eastAsia" w:cs="宋体"/>
          <w:color w:val="auto"/>
          <w:highlight w:val="none"/>
        </w:rPr>
        <w:t>第三章 投标人须知</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_Toc12046 \h </w:instrText>
      </w:r>
      <w:r>
        <w:rPr>
          <w:rFonts w:hint="eastAsia" w:cs="宋体"/>
          <w:color w:val="auto"/>
          <w:highlight w:val="none"/>
        </w:rPr>
        <w:fldChar w:fldCharType="separate"/>
      </w:r>
      <w:r>
        <w:rPr>
          <w:rFonts w:hint="eastAsia" w:cs="宋体"/>
          <w:color w:val="auto"/>
          <w:highlight w:val="none"/>
        </w:rPr>
        <w:t>15</w:t>
      </w:r>
      <w:r>
        <w:rPr>
          <w:rFonts w:hint="eastAsia" w:cs="宋体"/>
          <w:color w:val="auto"/>
          <w:highlight w:val="none"/>
        </w:rPr>
        <w:fldChar w:fldCharType="end"/>
      </w:r>
      <w:r>
        <w:rPr>
          <w:rFonts w:cs="宋体"/>
          <w:color w:val="auto"/>
          <w:highlight w:val="none"/>
        </w:rPr>
        <w:fldChar w:fldCharType="end"/>
      </w:r>
    </w:p>
    <w:p w14:paraId="521B8DBA">
      <w:pPr>
        <w:pStyle w:val="15"/>
        <w:tabs>
          <w:tab w:val="right" w:leader="dot" w:pos="8312"/>
          <w:tab w:val="clear" w:pos="8398"/>
        </w:tabs>
        <w:ind w:firstLine="241"/>
        <w:rPr>
          <w:rFonts w:cs="宋体"/>
          <w:color w:val="auto"/>
          <w:highlight w:val="none"/>
        </w:rPr>
      </w:pPr>
      <w:r>
        <w:rPr>
          <w:color w:val="auto"/>
          <w:highlight w:val="none"/>
        </w:rPr>
        <w:fldChar w:fldCharType="begin"/>
      </w:r>
      <w:r>
        <w:rPr>
          <w:color w:val="auto"/>
          <w:highlight w:val="none"/>
        </w:rPr>
        <w:instrText xml:space="preserve"> HYPERLINK \l "_Toc10844" </w:instrText>
      </w:r>
      <w:r>
        <w:rPr>
          <w:color w:val="auto"/>
          <w:highlight w:val="none"/>
        </w:rPr>
        <w:fldChar w:fldCharType="separate"/>
      </w:r>
      <w:r>
        <w:rPr>
          <w:rFonts w:hint="eastAsia" w:cs="宋体"/>
          <w:color w:val="auto"/>
          <w:highlight w:val="none"/>
        </w:rPr>
        <w:t>第四章 评标方法及评标标准</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_Toc10844 \h </w:instrText>
      </w:r>
      <w:r>
        <w:rPr>
          <w:rFonts w:hint="eastAsia" w:cs="宋体"/>
          <w:color w:val="auto"/>
          <w:highlight w:val="none"/>
        </w:rPr>
        <w:fldChar w:fldCharType="separate"/>
      </w:r>
      <w:r>
        <w:rPr>
          <w:rFonts w:hint="eastAsia" w:cs="宋体"/>
          <w:color w:val="auto"/>
          <w:highlight w:val="none"/>
        </w:rPr>
        <w:t>34</w:t>
      </w:r>
      <w:r>
        <w:rPr>
          <w:rFonts w:hint="eastAsia" w:cs="宋体"/>
          <w:color w:val="auto"/>
          <w:highlight w:val="none"/>
        </w:rPr>
        <w:fldChar w:fldCharType="end"/>
      </w:r>
      <w:r>
        <w:rPr>
          <w:rFonts w:cs="宋体"/>
          <w:color w:val="auto"/>
          <w:highlight w:val="none"/>
        </w:rPr>
        <w:fldChar w:fldCharType="end"/>
      </w:r>
    </w:p>
    <w:p w14:paraId="4F082E8E">
      <w:pPr>
        <w:pStyle w:val="15"/>
        <w:tabs>
          <w:tab w:val="right" w:leader="dot" w:pos="8312"/>
          <w:tab w:val="clear" w:pos="8398"/>
        </w:tabs>
        <w:ind w:firstLine="241"/>
        <w:rPr>
          <w:rFonts w:cs="宋体"/>
          <w:color w:val="auto"/>
          <w:highlight w:val="none"/>
        </w:rPr>
      </w:pPr>
      <w:r>
        <w:rPr>
          <w:color w:val="auto"/>
          <w:highlight w:val="none"/>
        </w:rPr>
        <w:fldChar w:fldCharType="begin"/>
      </w:r>
      <w:r>
        <w:rPr>
          <w:color w:val="auto"/>
          <w:highlight w:val="none"/>
        </w:rPr>
        <w:instrText xml:space="preserve"> HYPERLINK \l "_Toc9082" </w:instrText>
      </w:r>
      <w:r>
        <w:rPr>
          <w:color w:val="auto"/>
          <w:highlight w:val="none"/>
        </w:rPr>
        <w:fldChar w:fldCharType="separate"/>
      </w:r>
      <w:r>
        <w:rPr>
          <w:rFonts w:hint="eastAsia" w:cs="宋体"/>
          <w:color w:val="auto"/>
          <w:highlight w:val="none"/>
        </w:rPr>
        <w:t>第五章 拟签订的合同文本</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_Toc9082 \h </w:instrText>
      </w:r>
      <w:r>
        <w:rPr>
          <w:rFonts w:hint="eastAsia" w:cs="宋体"/>
          <w:color w:val="auto"/>
          <w:highlight w:val="none"/>
        </w:rPr>
        <w:fldChar w:fldCharType="separate"/>
      </w:r>
      <w:r>
        <w:rPr>
          <w:rFonts w:hint="eastAsia" w:cs="宋体"/>
          <w:color w:val="auto"/>
          <w:highlight w:val="none"/>
        </w:rPr>
        <w:t>43</w:t>
      </w:r>
      <w:r>
        <w:rPr>
          <w:rFonts w:hint="eastAsia" w:cs="宋体"/>
          <w:color w:val="auto"/>
          <w:highlight w:val="none"/>
        </w:rPr>
        <w:fldChar w:fldCharType="end"/>
      </w:r>
      <w:r>
        <w:rPr>
          <w:rFonts w:cs="宋体"/>
          <w:color w:val="auto"/>
          <w:highlight w:val="none"/>
        </w:rPr>
        <w:fldChar w:fldCharType="end"/>
      </w:r>
    </w:p>
    <w:p w14:paraId="5508E518">
      <w:pPr>
        <w:pStyle w:val="15"/>
        <w:tabs>
          <w:tab w:val="right" w:leader="dot" w:pos="8312"/>
          <w:tab w:val="clear" w:pos="8398"/>
        </w:tabs>
        <w:ind w:firstLine="241"/>
        <w:rPr>
          <w:rFonts w:cs="宋体"/>
          <w:color w:val="auto"/>
          <w:highlight w:val="none"/>
        </w:rPr>
      </w:pPr>
      <w:r>
        <w:rPr>
          <w:color w:val="auto"/>
          <w:highlight w:val="none"/>
        </w:rPr>
        <w:fldChar w:fldCharType="begin"/>
      </w:r>
      <w:r>
        <w:rPr>
          <w:color w:val="auto"/>
          <w:highlight w:val="none"/>
        </w:rPr>
        <w:instrText xml:space="preserve"> HYPERLINK \l "_Toc31465" </w:instrText>
      </w:r>
      <w:r>
        <w:rPr>
          <w:color w:val="auto"/>
          <w:highlight w:val="none"/>
        </w:rPr>
        <w:fldChar w:fldCharType="separate"/>
      </w:r>
      <w:r>
        <w:rPr>
          <w:rFonts w:hint="eastAsia" w:cs="宋体"/>
          <w:color w:val="auto"/>
          <w:highlight w:val="none"/>
        </w:rPr>
        <w:t>第六章 投标文件格式</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_Toc31465 \h </w:instrText>
      </w:r>
      <w:r>
        <w:rPr>
          <w:rFonts w:hint="eastAsia" w:cs="宋体"/>
          <w:color w:val="auto"/>
          <w:highlight w:val="none"/>
        </w:rPr>
        <w:fldChar w:fldCharType="separate"/>
      </w:r>
      <w:r>
        <w:rPr>
          <w:rFonts w:hint="eastAsia" w:cs="宋体"/>
          <w:color w:val="auto"/>
          <w:highlight w:val="none"/>
        </w:rPr>
        <w:t>50</w:t>
      </w:r>
      <w:r>
        <w:rPr>
          <w:rFonts w:hint="eastAsia" w:cs="宋体"/>
          <w:color w:val="auto"/>
          <w:highlight w:val="none"/>
        </w:rPr>
        <w:fldChar w:fldCharType="end"/>
      </w:r>
      <w:r>
        <w:rPr>
          <w:rFonts w:cs="宋体"/>
          <w:color w:val="auto"/>
          <w:highlight w:val="none"/>
        </w:rPr>
        <w:fldChar w:fldCharType="end"/>
      </w:r>
    </w:p>
    <w:p w14:paraId="1ED5115E">
      <w:pPr>
        <w:pStyle w:val="15"/>
        <w:tabs>
          <w:tab w:val="right" w:leader="dot" w:pos="8312"/>
          <w:tab w:val="clear" w:pos="8398"/>
        </w:tabs>
        <w:ind w:firstLine="241"/>
        <w:rPr>
          <w:rFonts w:cs="宋体"/>
          <w:color w:val="auto"/>
          <w:highlight w:val="none"/>
        </w:rPr>
      </w:pPr>
      <w:r>
        <w:rPr>
          <w:color w:val="auto"/>
          <w:highlight w:val="none"/>
        </w:rPr>
        <w:fldChar w:fldCharType="begin"/>
      </w:r>
      <w:r>
        <w:rPr>
          <w:color w:val="auto"/>
          <w:highlight w:val="none"/>
        </w:rPr>
        <w:instrText xml:space="preserve"> HYPERLINK \l "_Toc5987" </w:instrText>
      </w:r>
      <w:r>
        <w:rPr>
          <w:color w:val="auto"/>
          <w:highlight w:val="none"/>
        </w:rPr>
        <w:fldChar w:fldCharType="separate"/>
      </w:r>
      <w:r>
        <w:rPr>
          <w:rFonts w:hint="eastAsia" w:cs="宋体"/>
          <w:color w:val="auto"/>
          <w:highlight w:val="none"/>
        </w:rPr>
        <w:t>第七章 质疑、投诉证明材料格式</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_Toc5987 \h </w:instrText>
      </w:r>
      <w:r>
        <w:rPr>
          <w:rFonts w:hint="eastAsia" w:cs="宋体"/>
          <w:color w:val="auto"/>
          <w:highlight w:val="none"/>
        </w:rPr>
        <w:fldChar w:fldCharType="separate"/>
      </w:r>
      <w:r>
        <w:rPr>
          <w:rFonts w:hint="eastAsia" w:cs="宋体"/>
          <w:color w:val="auto"/>
          <w:highlight w:val="none"/>
        </w:rPr>
        <w:t>77</w:t>
      </w:r>
      <w:r>
        <w:rPr>
          <w:rFonts w:hint="eastAsia" w:cs="宋体"/>
          <w:color w:val="auto"/>
          <w:highlight w:val="none"/>
        </w:rPr>
        <w:fldChar w:fldCharType="end"/>
      </w:r>
      <w:r>
        <w:rPr>
          <w:rFonts w:cs="宋体"/>
          <w:color w:val="auto"/>
          <w:highlight w:val="none"/>
        </w:rPr>
        <w:fldChar w:fldCharType="end"/>
      </w:r>
    </w:p>
    <w:p w14:paraId="5BC5C544">
      <w:pPr>
        <w:spacing w:before="120" w:beforeLines="50" w:line="480" w:lineRule="exact"/>
        <w:rPr>
          <w:rFonts w:ascii="宋体" w:hAnsi="宋体" w:cs="宋体"/>
          <w:color w:val="auto"/>
          <w:sz w:val="24"/>
          <w:highlight w:val="none"/>
        </w:rPr>
      </w:pPr>
      <w:r>
        <w:rPr>
          <w:rFonts w:hint="eastAsia" w:ascii="宋体" w:hAnsi="宋体" w:cs="宋体"/>
          <w:color w:val="auto"/>
          <w:highlight w:val="none"/>
        </w:rPr>
        <w:fldChar w:fldCharType="end"/>
      </w:r>
    </w:p>
    <w:p w14:paraId="58BDC92C">
      <w:pPr>
        <w:spacing w:before="120" w:beforeLines="50" w:line="480" w:lineRule="exact"/>
        <w:rPr>
          <w:rFonts w:ascii="宋体" w:hAnsi="宋体" w:cs="宋体"/>
          <w:color w:val="auto"/>
          <w:sz w:val="30"/>
          <w:highlight w:val="none"/>
        </w:rPr>
      </w:pPr>
    </w:p>
    <w:p w14:paraId="42C11B5D">
      <w:pPr>
        <w:rPr>
          <w:rFonts w:ascii="宋体" w:hAnsi="宋体" w:cs="宋体"/>
          <w:color w:val="auto"/>
          <w:highlight w:val="none"/>
        </w:rPr>
      </w:pPr>
    </w:p>
    <w:p w14:paraId="397D666D">
      <w:pPr>
        <w:spacing w:before="120" w:beforeLines="50" w:line="480" w:lineRule="exact"/>
        <w:rPr>
          <w:rFonts w:ascii="宋体" w:hAnsi="宋体" w:cs="宋体"/>
          <w:color w:val="auto"/>
          <w:sz w:val="30"/>
          <w:highlight w:val="none"/>
        </w:rPr>
      </w:pPr>
    </w:p>
    <w:p w14:paraId="517FEB6A">
      <w:pPr>
        <w:spacing w:before="120" w:beforeLines="50" w:line="480" w:lineRule="exact"/>
        <w:rPr>
          <w:rFonts w:ascii="宋体" w:hAnsi="宋体" w:cs="宋体"/>
          <w:color w:val="auto"/>
          <w:sz w:val="30"/>
          <w:highlight w:val="none"/>
        </w:rPr>
      </w:pPr>
    </w:p>
    <w:p w14:paraId="37F265FE">
      <w:pPr>
        <w:pStyle w:val="9"/>
        <w:rPr>
          <w:rFonts w:ascii="宋体" w:hAnsi="宋体" w:cs="宋体"/>
          <w:b/>
          <w:bCs/>
          <w:color w:val="auto"/>
          <w:highlight w:val="none"/>
        </w:rPr>
      </w:pPr>
      <w:bookmarkStart w:id="0" w:name="_Toc254970489"/>
      <w:bookmarkStart w:id="1" w:name="_Toc254970630"/>
    </w:p>
    <w:p w14:paraId="2EB260D8">
      <w:pPr>
        <w:pStyle w:val="2"/>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b w:val="0"/>
          <w:bCs w:val="0"/>
          <w:color w:val="auto"/>
          <w:highlight w:val="none"/>
        </w:rPr>
        <w:sectPr>
          <w:footerReference r:id="rId7" w:type="default"/>
          <w:pgSz w:w="11906" w:h="16838"/>
          <w:pgMar w:top="1440" w:right="1797" w:bottom="1440" w:left="1797" w:header="851" w:footer="992" w:gutter="0"/>
          <w:pgNumType w:start="1"/>
          <w:cols w:space="720" w:num="1"/>
          <w:docGrid w:linePitch="312" w:charSpace="0"/>
        </w:sectPr>
      </w:pPr>
    </w:p>
    <w:p w14:paraId="766C4B50">
      <w:pPr>
        <w:pStyle w:val="2"/>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auto"/>
          <w:highlight w:val="none"/>
        </w:rPr>
      </w:pPr>
      <w:bookmarkStart w:id="2" w:name="_Toc18937"/>
      <w:bookmarkStart w:id="3" w:name="_Toc15079"/>
      <w:r>
        <w:rPr>
          <w:rFonts w:hint="eastAsia" w:ascii="宋体" w:hAnsi="宋体" w:cs="宋体"/>
          <w:color w:val="auto"/>
          <w:highlight w:val="none"/>
        </w:rPr>
        <w:t>第一章</w:t>
      </w:r>
      <w:bookmarkEnd w:id="0"/>
      <w:bookmarkEnd w:id="1"/>
      <w:bookmarkStart w:id="4" w:name="_Toc35393789"/>
      <w:bookmarkStart w:id="5" w:name="_Toc28359001"/>
      <w:r>
        <w:rPr>
          <w:rFonts w:hint="eastAsia" w:ascii="宋体" w:hAnsi="宋体" w:cs="宋体"/>
          <w:color w:val="auto"/>
          <w:highlight w:val="none"/>
        </w:rPr>
        <w:t xml:space="preserve"> 招标公告</w:t>
      </w:r>
      <w:bookmarkEnd w:id="2"/>
      <w:bookmarkEnd w:id="3"/>
      <w:bookmarkEnd w:id="4"/>
      <w:bookmarkEnd w:id="5"/>
    </w:p>
    <w:p w14:paraId="63BEA9E8">
      <w:pPr>
        <w:jc w:val="center"/>
        <w:rPr>
          <w:rFonts w:ascii="宋体" w:hAnsi="宋体" w:cs="宋体"/>
          <w:b/>
          <w:bCs/>
          <w:color w:val="auto"/>
          <w:kern w:val="44"/>
          <w:sz w:val="32"/>
          <w:szCs w:val="32"/>
          <w:highlight w:val="none"/>
        </w:rPr>
      </w:pPr>
      <w:bookmarkStart w:id="6" w:name="_Toc17743"/>
      <w:bookmarkStart w:id="7" w:name="_Toc3512"/>
      <w:r>
        <w:rPr>
          <w:rFonts w:hint="eastAsia" w:ascii="宋体" w:hAnsi="宋体" w:cs="宋体"/>
          <w:b/>
          <w:bCs/>
          <w:color w:val="auto"/>
          <w:kern w:val="44"/>
          <w:sz w:val="32"/>
          <w:szCs w:val="32"/>
          <w:highlight w:val="none"/>
        </w:rPr>
        <w:t>广西卓联工程管理有限公司关于自然资源厅数据服务基地食堂食材配送服务采购（项目编号：GXZC2025-G3-003377-ZLGC）</w:t>
      </w:r>
      <w:bookmarkEnd w:id="6"/>
      <w:bookmarkEnd w:id="7"/>
      <w:bookmarkStart w:id="8" w:name="_Toc19188"/>
      <w:bookmarkStart w:id="9" w:name="_Toc4339"/>
      <w:r>
        <w:rPr>
          <w:rFonts w:hint="eastAsia" w:ascii="宋体" w:hAnsi="宋体" w:cs="宋体"/>
          <w:b/>
          <w:bCs/>
          <w:color w:val="auto"/>
          <w:kern w:val="44"/>
          <w:sz w:val="32"/>
          <w:szCs w:val="32"/>
          <w:highlight w:val="none"/>
        </w:rPr>
        <w:t>招标公告</w:t>
      </w:r>
      <w:bookmarkEnd w:id="8"/>
      <w:bookmarkEnd w:id="9"/>
    </w:p>
    <w:p w14:paraId="31E238BD">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2794265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自然资源厅数据服务基地食堂食材配送服务采购</w:t>
      </w:r>
      <w:r>
        <w:rPr>
          <w:rFonts w:hint="eastAsia" w:ascii="宋体" w:hAnsi="宋体" w:cs="宋体"/>
          <w:color w:val="auto"/>
          <w:szCs w:val="21"/>
          <w:highlight w:val="none"/>
          <w:u w:val="none"/>
        </w:rPr>
        <w:t>的</w:t>
      </w:r>
      <w:r>
        <w:rPr>
          <w:rFonts w:hint="eastAsia" w:ascii="宋体" w:hAnsi="宋体" w:cs="宋体"/>
          <w:color w:val="auto"/>
          <w:szCs w:val="21"/>
          <w:highlight w:val="none"/>
        </w:rPr>
        <w:t>潜在投标人应在广西政府采购云平台（https：//www.gcy.zfcg.gxzf.gov.cn/）获取（下载）招标文件，并于</w:t>
      </w:r>
      <w:r>
        <w:rPr>
          <w:rFonts w:hint="eastAsia" w:ascii="宋体" w:hAnsi="宋体" w:cs="宋体"/>
          <w:bCs/>
          <w:color w:val="auto"/>
          <w:szCs w:val="21"/>
          <w:highlight w:val="none"/>
        </w:rPr>
        <w:t>2025年</w:t>
      </w:r>
      <w:r>
        <w:rPr>
          <w:rFonts w:hint="eastAsia" w:ascii="宋体" w:hAnsi="宋体" w:cs="宋体"/>
          <w:bCs/>
          <w:color w:val="auto"/>
          <w:szCs w:val="21"/>
          <w:highlight w:val="none"/>
          <w:lang w:val="en-US" w:eastAsia="zh-CN"/>
        </w:rPr>
        <w:t>12</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26</w:t>
      </w:r>
      <w:r>
        <w:rPr>
          <w:rFonts w:hint="eastAsia" w:ascii="宋体" w:hAnsi="宋体" w:cs="宋体"/>
          <w:bCs/>
          <w:color w:val="auto"/>
          <w:szCs w:val="21"/>
          <w:highlight w:val="none"/>
        </w:rPr>
        <w:t>日9时30分（北京时间）前递交投标文件</w:t>
      </w:r>
      <w:r>
        <w:rPr>
          <w:rFonts w:hint="eastAsia" w:ascii="宋体" w:hAnsi="宋体" w:cs="宋体"/>
          <w:color w:val="auto"/>
          <w:szCs w:val="21"/>
          <w:highlight w:val="none"/>
        </w:rPr>
        <w:t>。</w:t>
      </w:r>
    </w:p>
    <w:p w14:paraId="4052D115">
      <w:pPr>
        <w:spacing w:line="360" w:lineRule="auto"/>
        <w:rPr>
          <w:rFonts w:ascii="宋体" w:hAnsi="宋体" w:cs="宋体"/>
          <w:b/>
          <w:bCs/>
          <w:color w:val="auto"/>
          <w:sz w:val="24"/>
          <w:highlight w:val="none"/>
        </w:rPr>
      </w:pPr>
      <w:bookmarkStart w:id="10" w:name="_Toc28359002"/>
      <w:bookmarkStart w:id="11" w:name="_Toc35393621"/>
      <w:bookmarkStart w:id="12" w:name="_Toc28359079"/>
      <w:bookmarkStart w:id="13" w:name="_Toc35393790"/>
      <w:bookmarkStart w:id="14" w:name="_Hlk24379207"/>
      <w:r>
        <w:rPr>
          <w:rFonts w:hint="eastAsia" w:ascii="宋体" w:hAnsi="宋体" w:cs="宋体"/>
          <w:b/>
          <w:bCs/>
          <w:color w:val="auto"/>
          <w:sz w:val="24"/>
          <w:highlight w:val="none"/>
        </w:rPr>
        <w:t>一、项目基本情况</w:t>
      </w:r>
      <w:bookmarkEnd w:id="10"/>
      <w:bookmarkEnd w:id="11"/>
      <w:bookmarkEnd w:id="12"/>
      <w:bookmarkEnd w:id="13"/>
    </w:p>
    <w:p w14:paraId="6FB456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项目编号：GXZC2025-G3-003377-ZLGC</w:t>
      </w:r>
    </w:p>
    <w:p w14:paraId="630A60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项目名称：</w:t>
      </w:r>
      <w:bookmarkEnd w:id="14"/>
      <w:r>
        <w:rPr>
          <w:rFonts w:hint="eastAsia" w:ascii="宋体" w:hAnsi="宋体" w:cs="宋体"/>
          <w:color w:val="auto"/>
          <w:szCs w:val="21"/>
          <w:highlight w:val="none"/>
        </w:rPr>
        <w:t>自然资源厅数据服务基地食堂食材配送服务采购</w:t>
      </w:r>
    </w:p>
    <w:p w14:paraId="3F96C4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预算金额（元）：8100000.00</w:t>
      </w:r>
    </w:p>
    <w:p w14:paraId="4324CE2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w:t>
      </w:r>
    </w:p>
    <w:p w14:paraId="30E7C8ED">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标项名称：自然资源厅数据服务基地食堂食材配送服务采购</w:t>
      </w:r>
    </w:p>
    <w:p w14:paraId="58DA8F44">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数量：1</w:t>
      </w:r>
    </w:p>
    <w:p w14:paraId="742F02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预算金额：8100000.00</w:t>
      </w:r>
    </w:p>
    <w:p w14:paraId="4F147D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简要规格描述或项目基本概况介绍、用途：</w:t>
      </w:r>
    </w:p>
    <w:tbl>
      <w:tblPr>
        <w:tblStyle w:val="19"/>
        <w:tblW w:w="0" w:type="auto"/>
        <w:tblInd w:w="51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0"/>
        <w:gridCol w:w="1615"/>
        <w:gridCol w:w="911"/>
        <w:gridCol w:w="6227"/>
      </w:tblGrid>
      <w:tr w14:paraId="416F98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80" w:type="dxa"/>
            <w:tcBorders>
              <w:top w:val="single" w:color="auto" w:sz="4" w:space="0"/>
              <w:left w:val="single" w:color="auto" w:sz="4" w:space="0"/>
              <w:bottom w:val="single" w:color="auto" w:sz="4" w:space="0"/>
              <w:right w:val="single" w:color="auto" w:sz="4" w:space="0"/>
            </w:tcBorders>
            <w:vAlign w:val="center"/>
          </w:tcPr>
          <w:p w14:paraId="762F5A2F">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序号</w:t>
            </w:r>
          </w:p>
        </w:tc>
        <w:tc>
          <w:tcPr>
            <w:tcW w:w="1615" w:type="dxa"/>
            <w:tcBorders>
              <w:top w:val="single" w:color="auto" w:sz="4" w:space="0"/>
              <w:left w:val="single" w:color="auto" w:sz="4" w:space="0"/>
              <w:bottom w:val="single" w:color="auto" w:sz="4" w:space="0"/>
              <w:right w:val="single" w:color="auto" w:sz="4" w:space="0"/>
            </w:tcBorders>
            <w:vAlign w:val="center"/>
          </w:tcPr>
          <w:p w14:paraId="65DE3E3B">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标的的名称</w:t>
            </w:r>
          </w:p>
        </w:tc>
        <w:tc>
          <w:tcPr>
            <w:tcW w:w="911" w:type="dxa"/>
            <w:tcBorders>
              <w:top w:val="single" w:color="auto" w:sz="4" w:space="0"/>
              <w:left w:val="single" w:color="auto" w:sz="4" w:space="0"/>
              <w:bottom w:val="single" w:color="auto" w:sz="4" w:space="0"/>
              <w:right w:val="single" w:color="auto" w:sz="4" w:space="0"/>
            </w:tcBorders>
            <w:vAlign w:val="center"/>
          </w:tcPr>
          <w:p w14:paraId="6F38565E">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数量及单位</w:t>
            </w:r>
          </w:p>
        </w:tc>
        <w:tc>
          <w:tcPr>
            <w:tcW w:w="6227" w:type="dxa"/>
            <w:tcBorders>
              <w:top w:val="single" w:color="auto" w:sz="4" w:space="0"/>
              <w:left w:val="single" w:color="auto" w:sz="4" w:space="0"/>
              <w:bottom w:val="single" w:color="auto" w:sz="4" w:space="0"/>
              <w:right w:val="single" w:color="auto" w:sz="4" w:space="0"/>
            </w:tcBorders>
            <w:vAlign w:val="center"/>
          </w:tcPr>
          <w:p w14:paraId="3AD7B58B">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简要技术需求或者服务要求</w:t>
            </w:r>
          </w:p>
        </w:tc>
      </w:tr>
      <w:tr w14:paraId="30C00C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22" w:hRule="atLeast"/>
        </w:trPr>
        <w:tc>
          <w:tcPr>
            <w:tcW w:w="480" w:type="dxa"/>
            <w:tcBorders>
              <w:top w:val="single" w:color="auto" w:sz="4" w:space="0"/>
              <w:left w:val="single" w:color="auto" w:sz="4" w:space="0"/>
              <w:bottom w:val="single" w:color="auto" w:sz="4" w:space="0"/>
              <w:right w:val="single" w:color="auto" w:sz="4" w:space="0"/>
            </w:tcBorders>
            <w:vAlign w:val="center"/>
          </w:tcPr>
          <w:p w14:paraId="033C40D4">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w:t>
            </w:r>
          </w:p>
        </w:tc>
        <w:tc>
          <w:tcPr>
            <w:tcW w:w="1615" w:type="dxa"/>
            <w:tcBorders>
              <w:top w:val="single" w:color="auto" w:sz="4" w:space="0"/>
              <w:left w:val="single" w:color="auto" w:sz="4" w:space="0"/>
              <w:bottom w:val="single" w:color="auto" w:sz="4" w:space="0"/>
              <w:right w:val="single" w:color="auto" w:sz="4" w:space="0"/>
            </w:tcBorders>
            <w:vAlign w:val="center"/>
          </w:tcPr>
          <w:p w14:paraId="62B2588A">
            <w:pPr>
              <w:snapToGrid w:val="0"/>
              <w:spacing w:line="400" w:lineRule="exact"/>
              <w:jc w:val="center"/>
              <w:rPr>
                <w:rFonts w:ascii="宋体" w:hAnsi="宋体"/>
                <w:color w:val="auto"/>
                <w:szCs w:val="21"/>
                <w:highlight w:val="none"/>
              </w:rPr>
            </w:pPr>
            <w:r>
              <w:rPr>
                <w:rFonts w:hint="eastAsia" w:ascii="宋体" w:hAnsi="宋体" w:cs="宋体"/>
                <w:color w:val="auto"/>
                <w:szCs w:val="21"/>
                <w:highlight w:val="none"/>
              </w:rPr>
              <w:t>自然资源厅数据服务基地食堂食材配送服务采购</w:t>
            </w:r>
          </w:p>
        </w:tc>
        <w:tc>
          <w:tcPr>
            <w:tcW w:w="911" w:type="dxa"/>
            <w:tcBorders>
              <w:top w:val="single" w:color="auto" w:sz="4" w:space="0"/>
              <w:left w:val="single" w:color="auto" w:sz="4" w:space="0"/>
              <w:bottom w:val="single" w:color="auto" w:sz="4" w:space="0"/>
              <w:right w:val="single" w:color="auto" w:sz="4" w:space="0"/>
            </w:tcBorders>
            <w:vAlign w:val="center"/>
          </w:tcPr>
          <w:p w14:paraId="18C4792C">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1项</w:t>
            </w:r>
          </w:p>
        </w:tc>
        <w:tc>
          <w:tcPr>
            <w:tcW w:w="6227" w:type="dxa"/>
            <w:tcBorders>
              <w:top w:val="single" w:color="auto" w:sz="4" w:space="0"/>
              <w:left w:val="single" w:color="auto" w:sz="4" w:space="0"/>
              <w:bottom w:val="single" w:color="auto" w:sz="4" w:space="0"/>
              <w:right w:val="single" w:color="auto" w:sz="4" w:space="0"/>
            </w:tcBorders>
            <w:vAlign w:val="center"/>
          </w:tcPr>
          <w:p w14:paraId="69D5B4F4">
            <w:pPr>
              <w:spacing w:line="380" w:lineRule="exact"/>
              <w:jc w:val="left"/>
              <w:rPr>
                <w:rFonts w:ascii="宋体" w:hAnsi="宋体"/>
                <w:color w:val="auto"/>
                <w:szCs w:val="21"/>
                <w:highlight w:val="none"/>
              </w:rPr>
            </w:pPr>
            <w:r>
              <w:rPr>
                <w:rFonts w:hint="eastAsia" w:ascii="宋体" w:hAnsi="宋体"/>
                <w:color w:val="auto"/>
                <w:szCs w:val="21"/>
                <w:highlight w:val="none"/>
              </w:rPr>
              <w:t>为采购人单位提供日均约300-600人的食材及配送服务（不含扶贫物资采购），具体详见采购文件第二章采购需求。</w:t>
            </w:r>
          </w:p>
        </w:tc>
      </w:tr>
    </w:tbl>
    <w:p w14:paraId="6DF381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最高限价（如有）：8100000.00元</w:t>
      </w:r>
    </w:p>
    <w:p w14:paraId="717CEE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合同履约期限：</w:t>
      </w:r>
      <w:r>
        <w:rPr>
          <w:rFonts w:hint="eastAsia" w:ascii="宋体" w:hAnsi="宋体"/>
          <w:color w:val="auto"/>
          <w:szCs w:val="21"/>
          <w:highlight w:val="none"/>
        </w:rPr>
        <w:t>自签订合同之日起3年（具体以签订合同时间为准）</w:t>
      </w:r>
      <w:r>
        <w:rPr>
          <w:rFonts w:hint="eastAsia" w:ascii="宋体" w:hAnsi="宋体" w:cs="宋体"/>
          <w:color w:val="auto"/>
          <w:szCs w:val="21"/>
          <w:highlight w:val="none"/>
        </w:rPr>
        <w:t>。</w:t>
      </w:r>
    </w:p>
    <w:p w14:paraId="4D8D1F63">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本标项（否）接受联合体投标。</w:t>
      </w:r>
    </w:p>
    <w:p w14:paraId="29EF6932">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备注：/。</w:t>
      </w:r>
    </w:p>
    <w:p w14:paraId="0694B880">
      <w:pPr>
        <w:spacing w:line="360" w:lineRule="auto"/>
        <w:rPr>
          <w:rFonts w:ascii="宋体" w:hAnsi="宋体" w:cs="宋体"/>
          <w:b/>
          <w:bCs/>
          <w:color w:val="auto"/>
          <w:sz w:val="24"/>
          <w:highlight w:val="none"/>
        </w:rPr>
      </w:pPr>
      <w:bookmarkStart w:id="15" w:name="_Toc35393622"/>
      <w:bookmarkStart w:id="16" w:name="_Toc35393791"/>
      <w:bookmarkStart w:id="17" w:name="_Toc28359080"/>
      <w:bookmarkStart w:id="18" w:name="_Toc28359003"/>
      <w:r>
        <w:rPr>
          <w:rFonts w:hint="eastAsia" w:ascii="宋体" w:hAnsi="宋体" w:cs="宋体"/>
          <w:b/>
          <w:bCs/>
          <w:color w:val="auto"/>
          <w:sz w:val="24"/>
          <w:highlight w:val="none"/>
        </w:rPr>
        <w:t>二、申请人的资格要求：</w:t>
      </w:r>
      <w:bookmarkEnd w:id="15"/>
      <w:bookmarkEnd w:id="16"/>
      <w:bookmarkEnd w:id="17"/>
      <w:bookmarkEnd w:id="18"/>
    </w:p>
    <w:p w14:paraId="36D8BC97">
      <w:pPr>
        <w:spacing w:line="360" w:lineRule="auto"/>
        <w:ind w:firstLine="420" w:firstLineChars="200"/>
        <w:rPr>
          <w:rFonts w:ascii="宋体" w:hAnsi="宋体" w:cs="宋体"/>
          <w:color w:val="auto"/>
          <w:szCs w:val="21"/>
          <w:highlight w:val="none"/>
        </w:rPr>
      </w:pPr>
      <w:bookmarkStart w:id="19" w:name="_Hlk51746371"/>
      <w:r>
        <w:rPr>
          <w:rFonts w:hint="eastAsia" w:ascii="宋体" w:hAnsi="宋体" w:cs="宋体"/>
          <w:color w:val="auto"/>
          <w:szCs w:val="21"/>
          <w:highlight w:val="none"/>
        </w:rPr>
        <w:t>1.满足《中华人民共和国政府采购法》第二十二条规定；</w:t>
      </w:r>
    </w:p>
    <w:p w14:paraId="4155E475">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2.</w:t>
      </w:r>
      <w:r>
        <w:rPr>
          <w:rFonts w:hint="eastAsia" w:ascii="宋体" w:hAnsi="宋体"/>
          <w:color w:val="auto"/>
          <w:szCs w:val="21"/>
          <w:highlight w:val="none"/>
        </w:rPr>
        <w:t>落实政府采购政策需满足的资格要求：</w:t>
      </w:r>
      <w:r>
        <w:rPr>
          <w:rFonts w:hint="eastAsia"/>
          <w:color w:val="auto"/>
          <w:highlight w:val="none"/>
        </w:rPr>
        <w:t>本项目专门面向小微企业采购的项目（投标人应为小微企业或监狱企业或残疾人福利单位）</w:t>
      </w:r>
      <w:r>
        <w:rPr>
          <w:rFonts w:hint="eastAsia" w:ascii="宋体" w:hAnsi="宋体"/>
          <w:color w:val="auto"/>
          <w:szCs w:val="21"/>
          <w:highlight w:val="none"/>
        </w:rPr>
        <w:t>。</w:t>
      </w:r>
    </w:p>
    <w:p w14:paraId="14AEEFD7">
      <w:pPr>
        <w:spacing w:line="312"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3.本项目的特定资格要求：</w:t>
      </w:r>
      <w:r>
        <w:rPr>
          <w:rFonts w:hint="eastAsia" w:ascii="宋体" w:hAnsi="宋体" w:cs="Arial"/>
          <w:color w:val="auto"/>
          <w:szCs w:val="21"/>
          <w:highlight w:val="none"/>
        </w:rPr>
        <w:t>投标人具有有效期内的《食品经营许可证》</w:t>
      </w:r>
      <w:r>
        <w:rPr>
          <w:rFonts w:hint="eastAsia" w:ascii="宋体" w:hAnsi="宋体" w:cs="宋体"/>
          <w:color w:val="auto"/>
          <w:kern w:val="0"/>
          <w:szCs w:val="21"/>
          <w:highlight w:val="none"/>
        </w:rPr>
        <w:t>；</w:t>
      </w:r>
    </w:p>
    <w:p w14:paraId="414D5FA6">
      <w:pPr>
        <w:spacing w:line="312"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4.本项目的特定条件：无；</w:t>
      </w:r>
    </w:p>
    <w:p w14:paraId="455A9334">
      <w:pPr>
        <w:spacing w:line="312" w:lineRule="auto"/>
        <w:ind w:firstLine="420" w:firstLineChars="200"/>
        <w:jc w:val="left"/>
        <w:rPr>
          <w:rFonts w:ascii="宋体" w:hAnsi="宋体" w:cs="Arial"/>
          <w:color w:val="auto"/>
          <w:szCs w:val="21"/>
          <w:highlight w:val="none"/>
        </w:rPr>
      </w:pPr>
      <w:r>
        <w:rPr>
          <w:rFonts w:hint="eastAsia" w:ascii="宋体" w:hAnsi="宋体" w:cs="宋体"/>
          <w:color w:val="auto"/>
          <w:kern w:val="0"/>
          <w:szCs w:val="21"/>
          <w:highlight w:val="none"/>
        </w:rPr>
        <w:t>5.单位负责人为同一人或者存在直接控股、管理关系的不同供应商，不得参加同一合同项下的政府采购活动。为本项</w:t>
      </w:r>
      <w:r>
        <w:rPr>
          <w:rFonts w:ascii="宋体" w:hAnsi="宋体" w:cs="Arial"/>
          <w:color w:val="auto"/>
          <w:szCs w:val="21"/>
          <w:highlight w:val="none"/>
        </w:rPr>
        <w:t>目提供过整体设计、规范编制或者项目管理、监理、检测等服务的供应商，不得再参加本项目上述服务以外的其他采购活动</w:t>
      </w:r>
      <w:r>
        <w:rPr>
          <w:rFonts w:hint="eastAsia" w:ascii="宋体" w:hAnsi="宋体" w:cs="Arial"/>
          <w:color w:val="auto"/>
          <w:szCs w:val="21"/>
          <w:highlight w:val="none"/>
        </w:rPr>
        <w:t>；</w:t>
      </w:r>
    </w:p>
    <w:p w14:paraId="30DEAD00">
      <w:pPr>
        <w:spacing w:line="360" w:lineRule="auto"/>
        <w:ind w:firstLine="420" w:firstLineChars="200"/>
        <w:rPr>
          <w:rFonts w:ascii="宋体" w:hAnsi="宋体" w:cs="宋体"/>
          <w:color w:val="auto"/>
          <w:highlight w:val="none"/>
        </w:rPr>
      </w:pPr>
      <w:r>
        <w:rPr>
          <w:rFonts w:ascii="宋体" w:hAnsi="宋体" w:cs="Arial"/>
          <w:color w:val="auto"/>
          <w:szCs w:val="21"/>
          <w:highlight w:val="none"/>
        </w:rPr>
        <w:t>6.对在“信用中国”网站</w:t>
      </w:r>
      <w:r>
        <w:rPr>
          <w:rFonts w:hint="eastAsia" w:ascii="宋体" w:hAnsi="宋体" w:cs="Arial"/>
          <w:color w:val="auto"/>
          <w:szCs w:val="21"/>
          <w:highlight w:val="none"/>
        </w:rPr>
        <w:t>（</w:t>
      </w:r>
      <w:r>
        <w:rPr>
          <w:rFonts w:ascii="宋体" w:hAnsi="宋体" w:cs="Arial"/>
          <w:color w:val="auto"/>
          <w:szCs w:val="21"/>
          <w:highlight w:val="none"/>
        </w:rPr>
        <w:t>www.creditchina.gov.cn</w:t>
      </w:r>
      <w:r>
        <w:rPr>
          <w:rFonts w:hint="eastAsia" w:ascii="宋体" w:hAnsi="宋体" w:cs="Arial"/>
          <w:color w:val="auto"/>
          <w:szCs w:val="21"/>
          <w:highlight w:val="none"/>
        </w:rPr>
        <w:t>）</w:t>
      </w:r>
      <w:r>
        <w:rPr>
          <w:rFonts w:ascii="宋体" w:hAnsi="宋体" w:cs="Arial"/>
          <w:color w:val="auto"/>
          <w:szCs w:val="21"/>
          <w:highlight w:val="none"/>
        </w:rPr>
        <w:t xml:space="preserve"> 、中国政府采购网</w:t>
      </w:r>
      <w:r>
        <w:rPr>
          <w:rFonts w:hint="eastAsia" w:ascii="宋体" w:hAnsi="宋体" w:cs="Arial"/>
          <w:color w:val="auto"/>
          <w:szCs w:val="21"/>
          <w:highlight w:val="none"/>
        </w:rPr>
        <w:t>（</w:t>
      </w:r>
      <w:r>
        <w:rPr>
          <w:rFonts w:ascii="宋体" w:hAnsi="宋体" w:cs="Arial"/>
          <w:color w:val="auto"/>
          <w:szCs w:val="21"/>
          <w:highlight w:val="none"/>
        </w:rPr>
        <w:t>www.ccgp.gov.cn</w:t>
      </w:r>
      <w:r>
        <w:rPr>
          <w:rFonts w:hint="eastAsia" w:ascii="宋体" w:hAnsi="宋体" w:cs="Arial"/>
          <w:color w:val="auto"/>
          <w:szCs w:val="21"/>
          <w:highlight w:val="none"/>
        </w:rPr>
        <w:t>）</w:t>
      </w:r>
      <w:r>
        <w:rPr>
          <w:rFonts w:ascii="宋体" w:hAnsi="宋体" w:cs="Arial"/>
          <w:color w:val="auto"/>
          <w:szCs w:val="21"/>
          <w:highlight w:val="none"/>
        </w:rPr>
        <w:t>被列入失信被执行人、</w:t>
      </w:r>
      <w:r>
        <w:rPr>
          <w:rFonts w:hint="eastAsia" w:ascii="宋体" w:hAnsi="宋体" w:cs="Arial"/>
          <w:color w:val="auto"/>
          <w:szCs w:val="21"/>
          <w:highlight w:val="none"/>
        </w:rPr>
        <w:t>重大税收违法失信主体</w:t>
      </w:r>
      <w:r>
        <w:rPr>
          <w:rFonts w:ascii="宋体" w:hAnsi="宋体" w:cs="Arial"/>
          <w:color w:val="auto"/>
          <w:szCs w:val="21"/>
          <w:highlight w:val="none"/>
        </w:rPr>
        <w:t>、政府采购严重违法失信行为记录名单及其他不符合《中华人民共和国政府采购法》第二十二条规定条件的供应商，不得参与政府采购活动</w:t>
      </w:r>
      <w:r>
        <w:rPr>
          <w:rFonts w:hint="eastAsia" w:ascii="宋体" w:hAnsi="宋体"/>
          <w:color w:val="auto"/>
          <w:szCs w:val="21"/>
          <w:highlight w:val="none"/>
        </w:rPr>
        <w:t>。</w:t>
      </w:r>
    </w:p>
    <w:bookmarkEnd w:id="19"/>
    <w:p w14:paraId="3966B4BF">
      <w:pPr>
        <w:spacing w:line="312" w:lineRule="auto"/>
        <w:ind w:firstLine="482" w:firstLineChars="200"/>
        <w:jc w:val="left"/>
        <w:rPr>
          <w:rFonts w:ascii="宋体" w:hAnsi="宋体" w:cs="宋体"/>
          <w:b/>
          <w:bCs/>
          <w:color w:val="auto"/>
          <w:sz w:val="24"/>
          <w:highlight w:val="none"/>
        </w:rPr>
      </w:pPr>
      <w:bookmarkStart w:id="20" w:name="_Toc35393792"/>
      <w:bookmarkStart w:id="21" w:name="_Toc28359004"/>
      <w:bookmarkStart w:id="22" w:name="_Toc28359081"/>
      <w:bookmarkStart w:id="23" w:name="_Toc35393623"/>
      <w:r>
        <w:rPr>
          <w:rFonts w:hint="eastAsia" w:ascii="宋体" w:hAnsi="宋体" w:cs="宋体"/>
          <w:b/>
          <w:bCs/>
          <w:color w:val="auto"/>
          <w:sz w:val="24"/>
          <w:highlight w:val="none"/>
        </w:rPr>
        <w:t>三、获取招标文件</w:t>
      </w:r>
      <w:bookmarkEnd w:id="20"/>
      <w:bookmarkEnd w:id="21"/>
      <w:bookmarkEnd w:id="22"/>
      <w:bookmarkEnd w:id="23"/>
    </w:p>
    <w:p w14:paraId="6EFA19AB">
      <w:pPr>
        <w:spacing w:line="312"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时间：2025年</w:t>
      </w:r>
      <w:r>
        <w:rPr>
          <w:rFonts w:hint="eastAsia" w:ascii="宋体" w:hAnsi="宋体" w:cs="宋体"/>
          <w:color w:val="auto"/>
          <w:kern w:val="0"/>
          <w:szCs w:val="21"/>
          <w:highlight w:val="none"/>
          <w:lang w:val="en-US" w:eastAsia="zh-CN"/>
        </w:rPr>
        <w:t>12</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日至2025年</w:t>
      </w:r>
      <w:r>
        <w:rPr>
          <w:rFonts w:hint="eastAsia" w:ascii="宋体" w:hAnsi="宋体" w:cs="宋体"/>
          <w:color w:val="auto"/>
          <w:kern w:val="0"/>
          <w:szCs w:val="21"/>
          <w:highlight w:val="none"/>
          <w:lang w:val="en-US" w:eastAsia="zh-CN"/>
        </w:rPr>
        <w:t>12</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11</w:t>
      </w:r>
      <w:r>
        <w:rPr>
          <w:rFonts w:hint="eastAsia" w:ascii="宋体" w:hAnsi="宋体" w:cs="宋体"/>
          <w:color w:val="auto"/>
          <w:kern w:val="0"/>
          <w:szCs w:val="21"/>
          <w:highlight w:val="none"/>
        </w:rPr>
        <w:t>日，每天上午00：00-12：00；下午12：00-23：59（北京时间，法定节假日除外）。</w:t>
      </w:r>
    </w:p>
    <w:p w14:paraId="7CBEC93A">
      <w:pPr>
        <w:spacing w:line="312"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地点</w:t>
      </w:r>
      <w:r>
        <w:rPr>
          <w:color w:val="auto"/>
          <w:highlight w:val="none"/>
        </w:rPr>
        <w:t>（网址）</w:t>
      </w:r>
      <w:r>
        <w:rPr>
          <w:rFonts w:hint="eastAsia" w:ascii="宋体" w:hAnsi="宋体" w:cs="宋体"/>
          <w:color w:val="auto"/>
          <w:kern w:val="0"/>
          <w:szCs w:val="21"/>
          <w:highlight w:val="none"/>
        </w:rPr>
        <w:t>：广西政府采购云平台（https：//www.gcy.zfcg.gxzf.gov.cn/）</w:t>
      </w:r>
    </w:p>
    <w:p w14:paraId="5EDE16BE">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获取方式:网上下载。本项目不提供纸质文件，潜在供应商需在广西政府采购云平台（https://www.gcy.zfcg.gxzf.gov.cn/）-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w:t>
      </w:r>
    </w:p>
    <w:p w14:paraId="62159222">
      <w:pPr>
        <w:pStyle w:val="9"/>
        <w:ind w:firstLine="420" w:firstLineChars="200"/>
        <w:rPr>
          <w:rFonts w:ascii="宋体" w:hAnsi="宋体" w:cs="宋体"/>
          <w:color w:val="auto"/>
          <w:kern w:val="0"/>
          <w:szCs w:val="21"/>
          <w:highlight w:val="none"/>
        </w:rPr>
      </w:pPr>
      <w:r>
        <w:rPr>
          <w:color w:val="auto"/>
          <w:highlight w:val="none"/>
        </w:rPr>
        <w:t>售价（元）：</w:t>
      </w:r>
      <w:r>
        <w:rPr>
          <w:rFonts w:hint="eastAsia"/>
          <w:color w:val="auto"/>
          <w:highlight w:val="none"/>
        </w:rPr>
        <w:t>0</w:t>
      </w:r>
      <w:r>
        <w:rPr>
          <w:rFonts w:hint="eastAsia" w:ascii="宋体" w:hAnsi="宋体" w:cs="宋体"/>
          <w:color w:val="auto"/>
          <w:kern w:val="0"/>
          <w:szCs w:val="21"/>
          <w:highlight w:val="none"/>
        </w:rPr>
        <w:t>。</w:t>
      </w:r>
    </w:p>
    <w:p w14:paraId="3BA16603">
      <w:pPr>
        <w:spacing w:line="360" w:lineRule="auto"/>
        <w:rPr>
          <w:rFonts w:ascii="宋体" w:hAnsi="宋体" w:cs="宋体"/>
          <w:b/>
          <w:bCs/>
          <w:color w:val="auto"/>
          <w:sz w:val="24"/>
          <w:highlight w:val="none"/>
        </w:rPr>
      </w:pPr>
      <w:bookmarkStart w:id="24" w:name="_Toc28359082"/>
      <w:bookmarkStart w:id="25" w:name="_Toc28359005"/>
      <w:bookmarkStart w:id="26" w:name="_Toc35393624"/>
      <w:bookmarkStart w:id="27" w:name="_Toc35393793"/>
      <w:r>
        <w:rPr>
          <w:rFonts w:hint="eastAsia" w:ascii="宋体" w:hAnsi="宋体" w:cs="宋体"/>
          <w:b/>
          <w:bCs/>
          <w:color w:val="auto"/>
          <w:sz w:val="24"/>
          <w:highlight w:val="none"/>
        </w:rPr>
        <w:t>四、提交投标文件</w:t>
      </w:r>
      <w:bookmarkEnd w:id="24"/>
      <w:bookmarkEnd w:id="25"/>
      <w:r>
        <w:rPr>
          <w:rFonts w:hint="eastAsia" w:ascii="宋体" w:hAnsi="宋体" w:cs="宋体"/>
          <w:b/>
          <w:bCs/>
          <w:color w:val="auto"/>
          <w:sz w:val="24"/>
          <w:highlight w:val="none"/>
        </w:rPr>
        <w:t>截止时间、开标时间和地点</w:t>
      </w:r>
      <w:bookmarkEnd w:id="26"/>
      <w:bookmarkEnd w:id="27"/>
    </w:p>
    <w:p w14:paraId="0B57AD70">
      <w:pPr>
        <w:spacing w:line="312" w:lineRule="auto"/>
        <w:ind w:firstLine="420" w:firstLineChars="200"/>
        <w:jc w:val="left"/>
        <w:rPr>
          <w:rFonts w:ascii="宋体" w:hAnsi="宋体" w:cs="宋体"/>
          <w:color w:val="auto"/>
          <w:kern w:val="0"/>
          <w:szCs w:val="21"/>
          <w:highlight w:val="none"/>
        </w:rPr>
      </w:pPr>
      <w:bookmarkStart w:id="28" w:name="_Toc28359084"/>
      <w:bookmarkStart w:id="29" w:name="_Toc35393794"/>
      <w:bookmarkStart w:id="30" w:name="_Toc28359007"/>
      <w:bookmarkStart w:id="31" w:name="_Toc35393625"/>
      <w:r>
        <w:rPr>
          <w:rFonts w:hint="eastAsia" w:ascii="宋体" w:hAnsi="宋体" w:cs="宋体"/>
          <w:color w:val="auto"/>
          <w:kern w:val="0"/>
          <w:szCs w:val="21"/>
          <w:highlight w:val="none"/>
        </w:rPr>
        <w:t>提交投标文件截止时间：2025年</w:t>
      </w:r>
      <w:r>
        <w:rPr>
          <w:rFonts w:hint="eastAsia" w:ascii="宋体" w:hAnsi="宋体" w:cs="宋体"/>
          <w:color w:val="auto"/>
          <w:kern w:val="0"/>
          <w:szCs w:val="21"/>
          <w:highlight w:val="none"/>
          <w:lang w:val="en-US" w:eastAsia="zh-CN"/>
        </w:rPr>
        <w:t>12</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26</w:t>
      </w:r>
      <w:r>
        <w:rPr>
          <w:rFonts w:hint="eastAsia" w:ascii="宋体" w:hAnsi="宋体" w:cs="宋体"/>
          <w:color w:val="auto"/>
          <w:kern w:val="0"/>
          <w:szCs w:val="21"/>
          <w:highlight w:val="none"/>
        </w:rPr>
        <w:t>日</w:t>
      </w:r>
      <w:r>
        <w:rPr>
          <w:rFonts w:hint="eastAsia" w:ascii="宋体" w:hAnsi="宋体" w:cs="宋体"/>
          <w:bCs/>
          <w:color w:val="auto"/>
          <w:szCs w:val="21"/>
          <w:highlight w:val="none"/>
        </w:rPr>
        <w:t>9时30分</w:t>
      </w:r>
      <w:r>
        <w:rPr>
          <w:rFonts w:hint="eastAsia" w:ascii="宋体" w:hAnsi="宋体" w:cs="宋体"/>
          <w:color w:val="auto"/>
          <w:kern w:val="0"/>
          <w:szCs w:val="21"/>
          <w:highlight w:val="none"/>
        </w:rPr>
        <w:t>（北京时间）</w:t>
      </w:r>
    </w:p>
    <w:p w14:paraId="0292015C">
      <w:pPr>
        <w:spacing w:line="312"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投标地点（网址）：请登录广西政府采购云平台投标客户端投标</w:t>
      </w:r>
    </w:p>
    <w:p w14:paraId="59837545">
      <w:pPr>
        <w:spacing w:line="312"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开标时间：2025年</w:t>
      </w:r>
      <w:r>
        <w:rPr>
          <w:rFonts w:hint="eastAsia" w:ascii="宋体" w:hAnsi="宋体" w:cs="宋体"/>
          <w:color w:val="auto"/>
          <w:kern w:val="0"/>
          <w:szCs w:val="21"/>
          <w:highlight w:val="none"/>
          <w:lang w:val="en-US" w:eastAsia="zh-CN"/>
        </w:rPr>
        <w:t>12</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26</w:t>
      </w:r>
      <w:r>
        <w:rPr>
          <w:rFonts w:hint="eastAsia" w:ascii="宋体" w:hAnsi="宋体" w:cs="宋体"/>
          <w:color w:val="auto"/>
          <w:kern w:val="0"/>
          <w:szCs w:val="21"/>
          <w:highlight w:val="none"/>
        </w:rPr>
        <w:t>日</w:t>
      </w:r>
      <w:r>
        <w:rPr>
          <w:rFonts w:hint="eastAsia" w:ascii="宋体" w:hAnsi="宋体" w:cs="宋体"/>
          <w:bCs/>
          <w:color w:val="auto"/>
          <w:szCs w:val="21"/>
          <w:highlight w:val="none"/>
        </w:rPr>
        <w:t>9时30分</w:t>
      </w:r>
    </w:p>
    <w:p w14:paraId="5B5C00D7">
      <w:pPr>
        <w:spacing w:line="312"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开标地点：</w:t>
      </w:r>
      <w:r>
        <w:rPr>
          <w:rFonts w:hint="eastAsia" w:ascii="宋体" w:hAnsi="宋体"/>
          <w:color w:val="auto"/>
          <w:szCs w:val="21"/>
          <w:highlight w:val="none"/>
        </w:rPr>
        <w:t>广西政府采购云平台（https://www.gcy.zfcg.gxzf.gov.cn/）</w:t>
      </w:r>
      <w:r>
        <w:rPr>
          <w:rFonts w:hint="eastAsia" w:ascii="宋体" w:hAnsi="宋体" w:cs="宋体"/>
          <w:color w:val="auto"/>
          <w:kern w:val="0"/>
          <w:szCs w:val="21"/>
          <w:highlight w:val="none"/>
        </w:rPr>
        <w:t>。</w:t>
      </w:r>
    </w:p>
    <w:p w14:paraId="286AA428">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五、公告期限</w:t>
      </w:r>
      <w:bookmarkEnd w:id="28"/>
      <w:bookmarkEnd w:id="29"/>
      <w:bookmarkEnd w:id="30"/>
      <w:bookmarkEnd w:id="31"/>
    </w:p>
    <w:p w14:paraId="3DC4AE5C">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251287A9">
      <w:pPr>
        <w:spacing w:line="360" w:lineRule="auto"/>
        <w:rPr>
          <w:rFonts w:ascii="宋体" w:hAnsi="宋体" w:cs="宋体"/>
          <w:b/>
          <w:bCs/>
          <w:color w:val="auto"/>
          <w:sz w:val="24"/>
          <w:highlight w:val="none"/>
        </w:rPr>
      </w:pPr>
      <w:bookmarkStart w:id="32" w:name="_Toc35393626"/>
      <w:bookmarkStart w:id="33" w:name="_Toc35393795"/>
      <w:r>
        <w:rPr>
          <w:rFonts w:hint="eastAsia" w:ascii="宋体" w:hAnsi="宋体" w:cs="宋体"/>
          <w:b/>
          <w:bCs/>
          <w:color w:val="auto"/>
          <w:sz w:val="24"/>
          <w:highlight w:val="none"/>
        </w:rPr>
        <w:t>六、其他补充事宜</w:t>
      </w:r>
      <w:bookmarkEnd w:id="32"/>
      <w:bookmarkEnd w:id="33"/>
    </w:p>
    <w:p w14:paraId="6DFF1B33">
      <w:pPr>
        <w:spacing w:line="360" w:lineRule="auto"/>
        <w:ind w:firstLine="420" w:firstLineChars="200"/>
        <w:rPr>
          <w:rFonts w:ascii="宋体" w:hAnsi="宋体" w:cs="宋体"/>
          <w:color w:val="auto"/>
          <w:kern w:val="0"/>
          <w:szCs w:val="21"/>
          <w:highlight w:val="none"/>
        </w:rPr>
      </w:pPr>
      <w:bookmarkStart w:id="34" w:name="_Hlk37429674"/>
      <w:r>
        <w:rPr>
          <w:rFonts w:hint="eastAsia" w:ascii="宋体" w:hAnsi="宋体" w:cs="宋体"/>
          <w:color w:val="auto"/>
          <w:kern w:val="0"/>
          <w:szCs w:val="21"/>
          <w:highlight w:val="none"/>
        </w:rPr>
        <w:t>1. 投标保证金：</w:t>
      </w:r>
      <w:r>
        <w:rPr>
          <w:rFonts w:hint="eastAsia" w:ascii="宋体" w:hAnsi="宋体" w:cs="宋体"/>
          <w:b/>
          <w:bCs/>
          <w:color w:val="auto"/>
          <w:szCs w:val="21"/>
          <w:highlight w:val="none"/>
        </w:rPr>
        <w:t>¥</w:t>
      </w:r>
      <w:r>
        <w:rPr>
          <w:rFonts w:ascii="宋体" w:hAnsi="宋体" w:cs="宋体"/>
          <w:b/>
          <w:bCs/>
          <w:color w:val="auto"/>
          <w:szCs w:val="21"/>
          <w:highlight w:val="none"/>
        </w:rPr>
        <w:t>40</w:t>
      </w:r>
      <w:r>
        <w:rPr>
          <w:rFonts w:hint="eastAsia" w:ascii="宋体" w:hAnsi="宋体" w:cs="宋体"/>
          <w:b/>
          <w:bCs/>
          <w:color w:val="auto"/>
          <w:szCs w:val="21"/>
          <w:highlight w:val="none"/>
        </w:rPr>
        <w:t>0</w:t>
      </w:r>
      <w:r>
        <w:rPr>
          <w:rFonts w:ascii="宋体" w:hAnsi="宋体" w:cs="宋体"/>
          <w:b/>
          <w:bCs/>
          <w:color w:val="auto"/>
          <w:szCs w:val="21"/>
          <w:highlight w:val="none"/>
        </w:rPr>
        <w:t>00.00元</w:t>
      </w:r>
      <w:r>
        <w:rPr>
          <w:rFonts w:hint="eastAsia" w:ascii="宋体" w:hAnsi="宋体"/>
          <w:color w:val="auto"/>
          <w:highlight w:val="none"/>
        </w:rPr>
        <w:t>（必须足额交纳）</w:t>
      </w:r>
      <w:r>
        <w:rPr>
          <w:rFonts w:hint="eastAsia" w:ascii="宋体" w:hAnsi="宋体" w:cs="宋体"/>
          <w:color w:val="auto"/>
          <w:kern w:val="0"/>
          <w:szCs w:val="21"/>
          <w:highlight w:val="none"/>
        </w:rPr>
        <w:t>。</w:t>
      </w:r>
    </w:p>
    <w:p w14:paraId="2FB612C1">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2.网上查询地址：中国政府采购网（http://www.ccgp.gov.cn/）、广西政府采购网（http://www.ccgp-guangxi.gov.cn/）、广西壮族自治区公共资源交易中心（http://gxggzy.gxzf.gov.cn）。</w:t>
      </w:r>
    </w:p>
    <w:p w14:paraId="20381CE5">
      <w:pPr>
        <w:spacing w:line="360" w:lineRule="auto"/>
        <w:ind w:left="399" w:leftChars="190"/>
        <w:jc w:val="left"/>
        <w:rPr>
          <w:rFonts w:ascii="宋体" w:hAnsi="宋体" w:cs="宋体"/>
          <w:color w:val="auto"/>
          <w:kern w:val="0"/>
          <w:szCs w:val="21"/>
          <w:highlight w:val="none"/>
        </w:rPr>
      </w:pPr>
      <w:r>
        <w:rPr>
          <w:rFonts w:hint="eastAsia" w:ascii="宋体" w:hAnsi="宋体" w:cs="宋体"/>
          <w:color w:val="auto"/>
          <w:kern w:val="0"/>
          <w:szCs w:val="21"/>
          <w:highlight w:val="none"/>
        </w:rPr>
        <w:t>采购意向公开链接：http://www.ccgp-guangxi.gov.cn/site/detail?categoryCode=ZcyAnnouncement&amp;parentId=66485&amp;articleId=3G8f0ikvKLG3p1y3Ol9Jrw==</w:t>
      </w:r>
    </w:p>
    <w:p w14:paraId="5ECC6C5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3.本项目需要落实的政府采购政策：</w:t>
      </w:r>
    </w:p>
    <w:p w14:paraId="1BCD609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483DE48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1D98827C">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4F6E7480">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5C1408C3">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3F4F38AB">
      <w:pPr>
        <w:widowControl/>
        <w:spacing w:line="360" w:lineRule="auto"/>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4.投标注意事项：</w:t>
      </w:r>
    </w:p>
    <w:p w14:paraId="6D3AC58B">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本项目为全流程电子化采购项目，通过广西政府采购云平台（https：//www.gcy.zfcg.gxzf.gov.cn/）实行在线电子投标，投标人应先安装“广西政府采购云平台电子投标客户端”（请自行前往广西政府采购云平台进行下载），并按照本项目招标文件和广西政府采购云平台的要求编制、加密后在投标截止时间前通过网络上传至广西政府采购云平台（加密的电子投标文件是指后缀名为“jmbs”的文件），投标人在广西政府采购云平台提交电子投标文件时，请填写参加远程开标活动经办人联系方式。投标人登录广西政府采购云平台，依次进入“服务中心-项目采购-操作流程-电子招投标-政府采购项目电子交易管理操作指南-供应商”查看电子投标具体操作流程。</w:t>
      </w:r>
    </w:p>
    <w:p w14:paraId="2AED83F3">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（2）未进行网上注册并办理数字证书（CA 认证）的投标人将无法参与本项目政府采购活动，投标人应当在投标截止时间前，完成电子交易平台上的CA 数字证书办理及投标文件的提交（投标人可登录“广西政府采购网”，依次进入“办事服务-下载专区”或者登陆广西政府采购云平台，依次进入“服务中心-入驻与配置”中查看CA 数字证书办理操作流程）。</w:t>
      </w:r>
    </w:p>
    <w:p w14:paraId="642DAA7B">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 证书在线解密：投标人投标时，需凭制作投标文件时用来加密的有效数字证书（CA认证）登录广西政府采购云平台电子开标大厅现场按规定时间对加密的投标文件进行解密，否则后果自负。</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注：1）为确保网上操作合法、有效和安全，请投标人确保在电子投标过程中能够对相关数据电文进行加密和使用电子签章，妥善保管CA 数字证书并使用有效的CA 数字证书参与整个招标活动。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0C4A8EBB">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投标人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bookmarkEnd w:id="34"/>
    <w:p w14:paraId="43FE5D3C">
      <w:pPr>
        <w:spacing w:line="360" w:lineRule="auto"/>
        <w:rPr>
          <w:rFonts w:ascii="宋体" w:hAnsi="宋体" w:cs="宋体"/>
          <w:b/>
          <w:bCs/>
          <w:color w:val="auto"/>
          <w:sz w:val="24"/>
          <w:highlight w:val="none"/>
        </w:rPr>
      </w:pPr>
      <w:bookmarkStart w:id="35" w:name="_Toc35393796"/>
      <w:bookmarkStart w:id="36" w:name="_Toc28359008"/>
      <w:bookmarkStart w:id="37" w:name="_Toc28359085"/>
      <w:bookmarkStart w:id="38" w:name="_Toc35393627"/>
      <w:r>
        <w:rPr>
          <w:rFonts w:hint="eastAsia" w:ascii="宋体" w:hAnsi="宋体" w:cs="宋体"/>
          <w:b/>
          <w:bCs/>
          <w:color w:val="auto"/>
          <w:sz w:val="24"/>
          <w:highlight w:val="none"/>
        </w:rPr>
        <w:t>七、对本次招标提出询问，请按以下方式联系。</w:t>
      </w:r>
      <w:bookmarkEnd w:id="35"/>
      <w:bookmarkEnd w:id="36"/>
      <w:bookmarkEnd w:id="37"/>
      <w:bookmarkEnd w:id="38"/>
    </w:p>
    <w:p w14:paraId="742F28AB">
      <w:pPr>
        <w:spacing w:line="360" w:lineRule="exact"/>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1.采购人信息</w:t>
      </w:r>
    </w:p>
    <w:p w14:paraId="76BB069C">
      <w:pPr>
        <w:spacing w:line="360" w:lineRule="exact"/>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名称：广西壮族自治区自然资源厅机关服务中心</w:t>
      </w:r>
    </w:p>
    <w:p w14:paraId="3FC10CD6">
      <w:pPr>
        <w:spacing w:line="360" w:lineRule="exact"/>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 xml:space="preserve">地址：广西南宁市青秀区中新路2号 </w:t>
      </w:r>
    </w:p>
    <w:p w14:paraId="0AFAABE2">
      <w:pPr>
        <w:spacing w:line="360" w:lineRule="exact"/>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联系人：汤恳正   联系方式：</w:t>
      </w:r>
      <w:bookmarkStart w:id="39" w:name="_Toc28359009"/>
      <w:bookmarkStart w:id="40" w:name="_Toc28359086"/>
      <w:r>
        <w:rPr>
          <w:rFonts w:hint="eastAsia" w:ascii="宋体" w:hAnsi="宋体" w:cs="宋体"/>
          <w:color w:val="auto"/>
          <w:szCs w:val="21"/>
          <w:highlight w:val="none"/>
        </w:rPr>
        <w:t xml:space="preserve">0771-5388470 </w:t>
      </w:r>
    </w:p>
    <w:bookmarkEnd w:id="39"/>
    <w:bookmarkEnd w:id="40"/>
    <w:p w14:paraId="1E6E0409">
      <w:pPr>
        <w:spacing w:line="360" w:lineRule="exact"/>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2.采购代理机构信息</w:t>
      </w:r>
    </w:p>
    <w:p w14:paraId="4EA45D25">
      <w:pPr>
        <w:spacing w:line="360" w:lineRule="exact"/>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名称：广西卓联工程管理有限公司</w:t>
      </w:r>
    </w:p>
    <w:p w14:paraId="1E0AABCC">
      <w:pPr>
        <w:spacing w:line="360" w:lineRule="exact"/>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highlight w:val="none"/>
          <w:lang w:val="zh-TW"/>
        </w:rPr>
        <w:t>南宁市青秀区民主路3号维也纳酒店5楼502室</w:t>
      </w:r>
    </w:p>
    <w:p w14:paraId="51C5ED88">
      <w:pPr>
        <w:spacing w:line="360" w:lineRule="exact"/>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联系方式：</w:t>
      </w:r>
      <w:bookmarkStart w:id="41" w:name="_Toc28359087"/>
      <w:bookmarkStart w:id="42" w:name="_Toc28359010"/>
      <w:r>
        <w:rPr>
          <w:rFonts w:hint="eastAsia" w:ascii="宋体" w:hAnsi="宋体" w:cs="宋体"/>
          <w:color w:val="auto"/>
          <w:szCs w:val="21"/>
          <w:highlight w:val="none"/>
        </w:rPr>
        <w:t>0771-5665536</w:t>
      </w:r>
    </w:p>
    <w:p w14:paraId="4582C43D">
      <w:pPr>
        <w:spacing w:line="360" w:lineRule="exact"/>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3.项目联系方式</w:t>
      </w:r>
      <w:bookmarkEnd w:id="41"/>
      <w:bookmarkEnd w:id="42"/>
    </w:p>
    <w:p w14:paraId="6C0DE86C">
      <w:pPr>
        <w:spacing w:line="360" w:lineRule="exact"/>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项目联系人：</w:t>
      </w:r>
      <w:r>
        <w:rPr>
          <w:rFonts w:hint="eastAsia" w:ascii="宋体" w:hAnsi="宋体" w:cs="宋体"/>
          <w:color w:val="auto"/>
          <w:kern w:val="0"/>
          <w:szCs w:val="21"/>
          <w:highlight w:val="none"/>
          <w:shd w:val="clear" w:color="auto" w:fill="FFFFFF"/>
          <w:lang w:bidi="ar"/>
        </w:rPr>
        <w:t>何翠秀、范敬海、任成芳、陆茂全、陈巧玲、黄建湖、郭缘缘</w:t>
      </w:r>
      <w:r>
        <w:rPr>
          <w:rFonts w:hint="eastAsia" w:ascii="宋体" w:hAnsi="宋体" w:cs="宋体"/>
          <w:color w:val="auto"/>
          <w:szCs w:val="21"/>
          <w:highlight w:val="none"/>
        </w:rPr>
        <w:t xml:space="preserve">    </w:t>
      </w:r>
    </w:p>
    <w:p w14:paraId="5EFDD0E5">
      <w:pPr>
        <w:spacing w:line="360" w:lineRule="exact"/>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电话：0771-5665536</w:t>
      </w:r>
    </w:p>
    <w:p w14:paraId="04942B08">
      <w:pPr>
        <w:snapToGrid w:val="0"/>
        <w:spacing w:line="380" w:lineRule="exact"/>
        <w:ind w:left="238"/>
        <w:jc w:val="right"/>
        <w:rPr>
          <w:rFonts w:ascii="宋体" w:hAnsi="宋体" w:cs="宋体"/>
          <w:color w:val="auto"/>
          <w:highlight w:val="none"/>
        </w:rPr>
      </w:pPr>
      <w:r>
        <w:rPr>
          <w:rFonts w:hint="eastAsia" w:ascii="宋体" w:hAnsi="宋体" w:cs="宋体"/>
          <w:color w:val="auto"/>
          <w:highlight w:val="none"/>
        </w:rPr>
        <w:t>广西卓联工程管理有限公司</w:t>
      </w:r>
    </w:p>
    <w:p w14:paraId="77DCE4EC">
      <w:pPr>
        <w:snapToGrid w:val="0"/>
        <w:spacing w:line="380" w:lineRule="exact"/>
        <w:ind w:left="238"/>
        <w:jc w:val="center"/>
        <w:rPr>
          <w:rFonts w:ascii="宋体" w:hAnsi="宋体" w:cs="宋体"/>
          <w:color w:val="auto"/>
          <w:highlight w:val="none"/>
        </w:rPr>
      </w:pPr>
      <w:r>
        <w:rPr>
          <w:rFonts w:hint="eastAsia" w:ascii="宋体" w:hAnsi="宋体" w:cs="宋体"/>
          <w:color w:val="auto"/>
          <w:highlight w:val="none"/>
        </w:rPr>
        <w:t xml:space="preserve">                                                                   2025年</w:t>
      </w:r>
      <w:r>
        <w:rPr>
          <w:rFonts w:hint="eastAsia" w:ascii="宋体" w:hAnsi="宋体" w:cs="宋体"/>
          <w:color w:val="auto"/>
          <w:highlight w:val="none"/>
          <w:lang w:val="en-US" w:eastAsia="zh-CN"/>
        </w:rPr>
        <w:t>12</w:t>
      </w:r>
      <w:r>
        <w:rPr>
          <w:rFonts w:hint="eastAsia" w:ascii="宋体" w:hAnsi="宋体" w:cs="宋体"/>
          <w:color w:val="auto"/>
          <w:highlight w:val="none"/>
        </w:rPr>
        <w:t>月</w:t>
      </w:r>
      <w:r>
        <w:rPr>
          <w:rFonts w:hint="eastAsia" w:ascii="宋体" w:hAnsi="宋体" w:cs="宋体"/>
          <w:color w:val="auto"/>
          <w:highlight w:val="none"/>
          <w:lang w:val="en-US" w:eastAsia="zh-CN"/>
        </w:rPr>
        <w:t>4</w:t>
      </w:r>
      <w:bookmarkStart w:id="189" w:name="_GoBack"/>
      <w:bookmarkEnd w:id="189"/>
      <w:r>
        <w:rPr>
          <w:rFonts w:hint="eastAsia" w:ascii="宋体" w:hAnsi="宋体" w:cs="宋体"/>
          <w:color w:val="auto"/>
          <w:highlight w:val="none"/>
        </w:rPr>
        <w:t>日</w:t>
      </w:r>
    </w:p>
    <w:p w14:paraId="68700AD8">
      <w:pPr>
        <w:rPr>
          <w:color w:val="auto"/>
          <w:highlight w:val="none"/>
        </w:rPr>
      </w:pPr>
      <w:bookmarkStart w:id="43" w:name="_Toc15901"/>
      <w:bookmarkStart w:id="44" w:name="_Toc3598"/>
    </w:p>
    <w:p w14:paraId="2D4045FE">
      <w:pPr>
        <w:pStyle w:val="2"/>
        <w:spacing w:line="600" w:lineRule="exact"/>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第二章  采购需求</w:t>
      </w:r>
      <w:bookmarkEnd w:id="43"/>
      <w:bookmarkEnd w:id="44"/>
    </w:p>
    <w:p w14:paraId="78EB7D7F">
      <w:pPr>
        <w:spacing w:line="360" w:lineRule="auto"/>
        <w:jc w:val="left"/>
        <w:rPr>
          <w:rFonts w:ascii="宋体" w:hAnsi="宋体" w:cs="宋体"/>
          <w:b/>
          <w:color w:val="auto"/>
          <w:szCs w:val="21"/>
          <w:highlight w:val="none"/>
        </w:rPr>
      </w:pPr>
      <w:bookmarkStart w:id="45" w:name="_Toc254970631"/>
      <w:bookmarkStart w:id="46" w:name="_Toc254970490"/>
      <w:r>
        <w:rPr>
          <w:rFonts w:hint="eastAsia" w:ascii="宋体" w:hAnsi="宋体" w:cs="宋体"/>
          <w:b/>
          <w:color w:val="auto"/>
          <w:szCs w:val="21"/>
          <w:highlight w:val="none"/>
        </w:rPr>
        <w:t>说明：</w:t>
      </w:r>
    </w:p>
    <w:p w14:paraId="3A11C237">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1.为落实政府采购政策需满足的要求（根据项目实际情况填写内容）</w:t>
      </w:r>
    </w:p>
    <w:p w14:paraId="0335941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w:t>
      </w:r>
      <w:r>
        <w:rPr>
          <w:rFonts w:hint="eastAsia"/>
          <w:color w:val="auto"/>
          <w:highlight w:val="none"/>
        </w:rPr>
        <w:t>《广西壮族自治区财政厅关于贯彻落实政府采购支持中小企业发展政策的通知》（桂财采〔2022〕31号）</w:t>
      </w:r>
      <w:r>
        <w:rPr>
          <w:rFonts w:hint="eastAsia" w:ascii="宋体" w:hAnsi="宋体" w:cs="宋体"/>
          <w:color w:val="auto"/>
          <w:szCs w:val="21"/>
          <w:highlight w:val="none"/>
        </w:rPr>
        <w:t>的规定</w:t>
      </w:r>
      <w:r>
        <w:rPr>
          <w:rFonts w:hint="eastAsia"/>
          <w:color w:val="auto"/>
          <w:highlight w:val="none"/>
        </w:rPr>
        <w:t>、《广西壮族自治区财政厅关于持续优化政府采购营商环境推动高质量发展的通知》（桂财采〔2024〕55号）</w:t>
      </w:r>
      <w:r>
        <w:rPr>
          <w:rFonts w:hint="eastAsia" w:ascii="宋体" w:hAnsi="宋体" w:cs="宋体"/>
          <w:color w:val="auto"/>
          <w:szCs w:val="21"/>
          <w:highlight w:val="none"/>
        </w:rPr>
        <w:t>的规定。</w:t>
      </w:r>
    </w:p>
    <w:p w14:paraId="6747EB73">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复印件（加盖投标人电子公章），否则投标文件作无效处理。如本项目包含的货物属于品目清单内非标注“★”的产品时，应优先采购，具体详见“第四章 评标方法和评标标准”。</w:t>
      </w:r>
    </w:p>
    <w:p w14:paraId="41676B3D">
      <w:pPr>
        <w:spacing w:line="360" w:lineRule="auto"/>
        <w:ind w:firstLine="426" w:firstLineChars="202"/>
        <w:jc w:val="left"/>
        <w:rPr>
          <w:rFonts w:ascii="宋体" w:hAnsi="宋体" w:cs="宋体"/>
          <w:b/>
          <w:bCs/>
          <w:color w:val="auto"/>
          <w:szCs w:val="21"/>
          <w:highlight w:val="none"/>
        </w:rPr>
      </w:pPr>
      <w:r>
        <w:rPr>
          <w:rFonts w:hint="eastAsia" w:ascii="宋体" w:hAnsi="宋体" w:cs="宋体"/>
          <w:b/>
          <w:bCs/>
          <w:color w:val="auto"/>
          <w:szCs w:val="21"/>
          <w:highlight w:val="none"/>
        </w:rPr>
        <w:t>（3）根据《关于调整网络安全专用产品安全管理有关事项的公告》（国家互联网信息办公室工业和信息化部公安部财政部国家认证认可监督管理委员会公告2023年第1号)的规定，采购标的中包含列入《网络关键设备和网络安全专用产品目录》的网络安全专用产品，供应商应当按照《信息安全技术网络安全专用产品安全技术要求》等相关国家标准的强制性要求，提供由具备资格的机构安全认证合格或者安全检测符合要求证明材料（加盖供应商电子公章），否则响应无效。</w:t>
      </w:r>
    </w:p>
    <w:p w14:paraId="31E275C9">
      <w:pPr>
        <w:spacing w:line="360" w:lineRule="auto"/>
        <w:ind w:firstLine="426" w:firstLineChars="202"/>
        <w:jc w:val="left"/>
        <w:rPr>
          <w:rFonts w:ascii="宋体" w:hAnsi="宋体" w:cs="宋体"/>
          <w:b/>
          <w:bCs/>
          <w:color w:val="auto"/>
          <w:szCs w:val="21"/>
          <w:highlight w:val="none"/>
        </w:rPr>
      </w:pPr>
      <w:r>
        <w:rPr>
          <w:rFonts w:hint="eastAsia" w:ascii="宋体" w:hAnsi="宋体" w:cs="宋体"/>
          <w:b/>
          <w:bCs/>
          <w:color w:val="auto"/>
          <w:szCs w:val="21"/>
          <w:highlight w:val="none"/>
        </w:rPr>
        <w:t>（4）根据国家市场监督管理总局《关于发布强制性产品认证且录描述与界定表的公告》(2023年第36号)中《强制性产品认证目录描述与界定表》(2023年修订)的界定，本项目采购范围包含强制性产品认证目录内产品的，根据《强制性产品认证管理规定》2009年7月3日国家质量监督检验检疫总局令第117号公布，根据2022年9月29日国家市场监督管理总局令第61号修订第十条：“列入目录产品的生产者或者销售者、进口商(以下统称认证委托人)应当委托经国家认监委指定的认证机构(以下简称认证机构)对其生产、销售或者进口的产品进行认证。”规定，生产厂家应当进行强制性认证，投标人必须在投标文件中提供强制性认证证书（加盖投标人公章（或电子签章）），否则投标文件作无效处理。”</w:t>
      </w:r>
    </w:p>
    <w:p w14:paraId="10B14EE0">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2.“实质性要求”是指招标文件中已经指明不满足则投标无效的条款，或者不能负偏离的条款，或者采购需求中带“▲”的条款。</w:t>
      </w:r>
    </w:p>
    <w:p w14:paraId="4F1B3BDE">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3.投标人必须自行为其投标产品侵犯他人的知识产权或者专利成果的行为承担相应法律责任。</w:t>
      </w:r>
    </w:p>
    <w:p w14:paraId="6FD0C56B">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4.本项目采购所属标的行业：其他未列明行业。</w:t>
      </w:r>
    </w:p>
    <w:p w14:paraId="6B6BE02D">
      <w:pPr>
        <w:spacing w:line="360" w:lineRule="auto"/>
        <w:ind w:firstLine="426" w:firstLineChars="202"/>
        <w:jc w:val="left"/>
        <w:rPr>
          <w:rFonts w:ascii="宋体" w:hAnsi="宋体" w:cs="宋体"/>
          <w:b/>
          <w:bCs/>
          <w:color w:val="auto"/>
          <w:szCs w:val="21"/>
          <w:highlight w:val="none"/>
        </w:rPr>
      </w:pPr>
      <w:r>
        <w:rPr>
          <w:rFonts w:hint="eastAsia" w:ascii="宋体" w:hAnsi="宋体" w:cs="宋体"/>
          <w:b/>
          <w:bCs/>
          <w:color w:val="auto"/>
          <w:szCs w:val="21"/>
          <w:highlight w:val="none"/>
        </w:rPr>
        <w:t>5.采购预算：8100000.00元</w:t>
      </w:r>
    </w:p>
    <w:p w14:paraId="7079248A">
      <w:pPr>
        <w:spacing w:line="360" w:lineRule="exact"/>
        <w:ind w:left="-10" w:leftChars="-5" w:right="2" w:rightChars="1" w:firstLine="422" w:firstLineChars="200"/>
        <w:jc w:val="left"/>
        <w:rPr>
          <w:rFonts w:ascii="宋体" w:hAnsi="宋体" w:cs="宋体"/>
          <w:b/>
          <w:color w:val="auto"/>
          <w:szCs w:val="21"/>
          <w:highlight w:val="none"/>
        </w:rPr>
      </w:pPr>
    </w:p>
    <w:p w14:paraId="302EA313">
      <w:pPr>
        <w:spacing w:line="360" w:lineRule="exact"/>
        <w:ind w:left="0" w:leftChars="0" w:right="2" w:rightChars="1" w:firstLine="0" w:firstLineChars="0"/>
        <w:jc w:val="left"/>
        <w:rPr>
          <w:rFonts w:ascii="宋体" w:hAnsi="宋体" w:cs="宋体"/>
          <w:b/>
          <w:color w:val="auto"/>
          <w:szCs w:val="21"/>
          <w:highlight w:val="none"/>
        </w:rPr>
      </w:pPr>
    </w:p>
    <w:tbl>
      <w:tblPr>
        <w:tblStyle w:val="19"/>
        <w:tblW w:w="96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9"/>
        <w:gridCol w:w="1132"/>
        <w:gridCol w:w="110"/>
        <w:gridCol w:w="750"/>
        <w:gridCol w:w="6896"/>
      </w:tblGrid>
      <w:tr w14:paraId="2C298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9637" w:type="dxa"/>
            <w:gridSpan w:val="5"/>
            <w:vAlign w:val="center"/>
          </w:tcPr>
          <w:p w14:paraId="72729E9B">
            <w:pPr>
              <w:pStyle w:val="9"/>
              <w:spacing w:line="400" w:lineRule="exact"/>
              <w:rPr>
                <w:rFonts w:ascii="宋体" w:hAnsi="宋体" w:cs="宋体"/>
                <w:color w:val="auto"/>
                <w:szCs w:val="21"/>
                <w:highlight w:val="none"/>
              </w:rPr>
            </w:pPr>
            <w:r>
              <w:rPr>
                <w:rFonts w:hint="eastAsia" w:ascii="宋体" w:hAnsi="宋体"/>
                <w:b/>
                <w:color w:val="auto"/>
                <w:szCs w:val="21"/>
                <w:highlight w:val="none"/>
              </w:rPr>
              <w:t>一、项目要求及技术需求表</w:t>
            </w:r>
          </w:p>
        </w:tc>
      </w:tr>
      <w:bookmarkEnd w:id="45"/>
      <w:bookmarkEnd w:id="46"/>
      <w:tr w14:paraId="5ADE5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749" w:type="dxa"/>
            <w:vAlign w:val="center"/>
          </w:tcPr>
          <w:p w14:paraId="1170F27E">
            <w:pPr>
              <w:tabs>
                <w:tab w:val="left" w:pos="180"/>
                <w:tab w:val="left" w:pos="1620"/>
              </w:tabs>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132" w:type="dxa"/>
            <w:vAlign w:val="center"/>
          </w:tcPr>
          <w:p w14:paraId="4128E28F">
            <w:pPr>
              <w:tabs>
                <w:tab w:val="left" w:pos="180"/>
                <w:tab w:val="left" w:pos="1620"/>
              </w:tabs>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标项名称</w:t>
            </w:r>
          </w:p>
        </w:tc>
        <w:tc>
          <w:tcPr>
            <w:tcW w:w="860" w:type="dxa"/>
            <w:gridSpan w:val="2"/>
          </w:tcPr>
          <w:p w14:paraId="418E9391">
            <w:pPr>
              <w:tabs>
                <w:tab w:val="left" w:pos="180"/>
                <w:tab w:val="left" w:pos="1620"/>
              </w:tabs>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数量及</w:t>
            </w:r>
          </w:p>
          <w:p w14:paraId="47C09269">
            <w:pPr>
              <w:tabs>
                <w:tab w:val="left" w:pos="180"/>
                <w:tab w:val="left" w:pos="1620"/>
              </w:tabs>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6896" w:type="dxa"/>
            <w:vAlign w:val="center"/>
          </w:tcPr>
          <w:p w14:paraId="552436D4">
            <w:pPr>
              <w:tabs>
                <w:tab w:val="left" w:pos="180"/>
                <w:tab w:val="left" w:pos="1620"/>
              </w:tabs>
              <w:spacing w:line="400" w:lineRule="exact"/>
              <w:jc w:val="center"/>
              <w:rPr>
                <w:rFonts w:ascii="宋体" w:hAnsi="宋体" w:cs="宋体"/>
                <w:color w:val="auto"/>
                <w:szCs w:val="21"/>
                <w:highlight w:val="none"/>
              </w:rPr>
            </w:pPr>
            <w:r>
              <w:rPr>
                <w:rFonts w:hint="eastAsia" w:ascii="宋体" w:hAnsi="宋体"/>
                <w:color w:val="auto"/>
                <w:szCs w:val="21"/>
                <w:highlight w:val="none"/>
              </w:rPr>
              <w:t>服务内容及技术要求</w:t>
            </w:r>
          </w:p>
        </w:tc>
      </w:tr>
      <w:tr w14:paraId="0AB2B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749" w:type="dxa"/>
            <w:vAlign w:val="center"/>
          </w:tcPr>
          <w:p w14:paraId="5045DE43">
            <w:pPr>
              <w:tabs>
                <w:tab w:val="left" w:pos="180"/>
                <w:tab w:val="left" w:pos="1620"/>
              </w:tabs>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132" w:type="dxa"/>
            <w:vAlign w:val="center"/>
          </w:tcPr>
          <w:p w14:paraId="1E37537B">
            <w:pPr>
              <w:tabs>
                <w:tab w:val="left" w:pos="180"/>
                <w:tab w:val="left" w:pos="1620"/>
              </w:tabs>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自然资源厅数据服务基地食堂食材配送服务采购</w:t>
            </w:r>
          </w:p>
        </w:tc>
        <w:tc>
          <w:tcPr>
            <w:tcW w:w="860" w:type="dxa"/>
            <w:gridSpan w:val="2"/>
            <w:vAlign w:val="center"/>
          </w:tcPr>
          <w:p w14:paraId="4C5874C0">
            <w:pPr>
              <w:pStyle w:val="9"/>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6896" w:type="dxa"/>
            <w:shd w:val="clear" w:color="auto" w:fill="auto"/>
            <w:vAlign w:val="center"/>
          </w:tcPr>
          <w:p w14:paraId="4C131735">
            <w:pPr>
              <w:spacing w:line="400" w:lineRule="exact"/>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为采购人单位提供日均约300-600人的食材及配送服务（不含扶贫物资采购），具体采购及配送需求如下：</w:t>
            </w:r>
          </w:p>
          <w:p w14:paraId="65A741E4">
            <w:pPr>
              <w:spacing w:line="400" w:lineRule="exact"/>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（一）供应食材的种类应包括但不限于：各类蔬菜、瓜果、冷鲜肉、鲜肉、冻品、水产品、禽类、蛋类、干货调料、调味品、豆制品、乳（奶）制品、米、面、油等食堂用食材。</w:t>
            </w:r>
          </w:p>
          <w:p w14:paraId="57B07594">
            <w:pPr>
              <w:spacing w:line="400" w:lineRule="exact"/>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（二）投标人应具有有效期内的食品经营许可证和营业执照（许可项目范围内）。</w:t>
            </w:r>
          </w:p>
          <w:p w14:paraId="0EB29CAD">
            <w:pPr>
              <w:spacing w:line="400" w:lineRule="exact"/>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（三）投标人应提供能够清晰反映其能力的相对固定的工作场所、办公设备、办公环境、人员及车辆的图片资料以及相关文字说明。</w:t>
            </w:r>
          </w:p>
          <w:p w14:paraId="2CC1DBE5">
            <w:pPr>
              <w:spacing w:line="400" w:lineRule="exact"/>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（四）投标人应有相对固定的进货渠道，有完善的货物来源记录，从业人员需具有健康证，并且年审有效。</w:t>
            </w:r>
          </w:p>
          <w:p w14:paraId="04F6F82C">
            <w:pPr>
              <w:spacing w:line="400" w:lineRule="exact"/>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五）投标人具备较强的供货和配送能力、良好的企业信誉及售后服务能力，遵纪守法、诚信明礼，经营管理中无食品违纪违法不良记录，企业没有处于被勒令停业、财产被接管、冻结、重组、关闭、破产等状态。</w:t>
            </w:r>
          </w:p>
          <w:p w14:paraId="330A4F6B">
            <w:pPr>
              <w:spacing w:line="400" w:lineRule="exact"/>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（六）投标人应定期向采购人反映采购食品的卫生质量情况。如有问题或怀疑有其它异常情况，应及时向采购单位报告。</w:t>
            </w:r>
          </w:p>
          <w:p w14:paraId="7F22FA03">
            <w:pPr>
              <w:spacing w:line="400" w:lineRule="exact"/>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（七）中标人必须自觉接受采购单位的监督，并做到热情周到，耐心细致，有问必答。</w:t>
            </w:r>
          </w:p>
          <w:p w14:paraId="168DCAC4">
            <w:pPr>
              <w:spacing w:line="400" w:lineRule="exact"/>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（八）中标人的人员及车辆进入采购单位时必须服从物业管理人员管理，人员仅限食堂相关区域活动，车辆严禁超载、超速行驶，并停放在规定区域。</w:t>
            </w:r>
          </w:p>
          <w:p w14:paraId="3F2C8FF5">
            <w:pPr>
              <w:spacing w:line="400" w:lineRule="exact"/>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（九）食品安全要求</w:t>
            </w:r>
          </w:p>
          <w:p w14:paraId="47414EBB">
            <w:pPr>
              <w:spacing w:line="400" w:lineRule="exact"/>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1.投标人应保证所提供的食材必须是合格安全的食材，必须符合国家有关卫生标准和规定。因食材质量问题发生的食物中毒等事故，由其承担经济赔偿责任及其他法律责任。</w:t>
            </w:r>
          </w:p>
          <w:p w14:paraId="337FF800">
            <w:pPr>
              <w:spacing w:line="400" w:lineRule="exact"/>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2.如采购预包装食材时，食材必须有“三名”(厂名、品名、产地名)“二期”(生产日期、保质期或保存期)。</w:t>
            </w:r>
          </w:p>
          <w:p w14:paraId="5A80B1CF">
            <w:pPr>
              <w:spacing w:line="400" w:lineRule="exact"/>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3.所提供的食材应是从南宁市主要大型农贸市场或其他合法途径采购回来的。</w:t>
            </w:r>
          </w:p>
          <w:p w14:paraId="31B5DCD9">
            <w:pPr>
              <w:spacing w:line="400" w:lineRule="exact"/>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（十）送货要求</w:t>
            </w:r>
          </w:p>
          <w:p w14:paraId="65573777">
            <w:pPr>
              <w:spacing w:line="400" w:lineRule="exact"/>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1.采购人每天下午18:00前将下一天确定食材的种类和数量发至中标人。</w:t>
            </w:r>
          </w:p>
          <w:p w14:paraId="6BE5C69E">
            <w:pPr>
              <w:spacing w:line="400" w:lineRule="exact"/>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2.中标人在工作日每天早上9点前将采购的新鲜食材按需求配送至单位。中标人未经允许，不得随意更改配送计划，确因客观原因无法满足需求的，应尽快与采购人协商，经允许后方可更换品种。</w:t>
            </w:r>
          </w:p>
          <w:p w14:paraId="11053565">
            <w:pPr>
              <w:spacing w:line="400" w:lineRule="exact"/>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3.中标人必须为本项目配备专门的人员和车辆，要求车辆车况良好，具备密封及制冷系统，司机必须持健康合格证及相应车辆有效行驶证。确保食材运送途中不受污染，不变质。</w:t>
            </w:r>
          </w:p>
          <w:p w14:paraId="6787225F">
            <w:pPr>
              <w:spacing w:line="400" w:lineRule="exact"/>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4.中标人在运送途中应遵守交通规则，运送途中发生的任何事故均与采购人无关，自行承担责任。</w:t>
            </w:r>
          </w:p>
          <w:p w14:paraId="0D0147C6">
            <w:pPr>
              <w:spacing w:line="400" w:lineRule="exact"/>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5.送货时应向采购单位提交送货单及相关材料，送货单应含食材的种类、数量、单价、总价及采购地址或生产商等相关信息）。采购人有权组织食堂委员会对食材的数量、质量、价格进行</w:t>
            </w:r>
            <w:bookmarkStart w:id="47" w:name="OLE_LINK20"/>
            <w:bookmarkStart w:id="48" w:name="OLE_LINK18"/>
            <w:bookmarkStart w:id="49" w:name="OLE_LINK19"/>
            <w:r>
              <w:rPr>
                <w:rFonts w:hint="eastAsia" w:ascii="新宋体" w:hAnsi="新宋体" w:eastAsia="新宋体" w:cs="新宋体"/>
                <w:color w:val="auto"/>
                <w:szCs w:val="21"/>
                <w:highlight w:val="none"/>
              </w:rPr>
              <w:t>随机抽查</w:t>
            </w:r>
            <w:bookmarkEnd w:id="47"/>
            <w:bookmarkEnd w:id="48"/>
            <w:bookmarkEnd w:id="49"/>
            <w:r>
              <w:rPr>
                <w:rFonts w:hint="eastAsia" w:ascii="新宋体" w:hAnsi="新宋体" w:eastAsia="新宋体" w:cs="新宋体"/>
                <w:color w:val="auto"/>
                <w:szCs w:val="21"/>
                <w:highlight w:val="none"/>
              </w:rPr>
              <w:t>，准确无误后，双方在送货单上签字确认后方可生效。</w:t>
            </w:r>
          </w:p>
          <w:p w14:paraId="64D465A3">
            <w:pPr>
              <w:spacing w:line="400" w:lineRule="exact"/>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6.验收过程中，食堂委员会对中标人所提供的食材提出异议或因食材变质及其他食品安全问题需要补采更换食材时，中标人需在3小时内完成补采更换。</w:t>
            </w:r>
          </w:p>
          <w:p w14:paraId="141741C5">
            <w:pPr>
              <w:spacing w:line="400" w:lineRule="exact"/>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（十一）食材验收标准（详见附件一）</w:t>
            </w:r>
          </w:p>
          <w:p w14:paraId="2CA4DE2C">
            <w:pPr>
              <w:spacing w:line="400" w:lineRule="exact"/>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1.每次送货时，采购人有权组织食堂委员会相关人员对食材的数量、质量进行随机抽查。</w:t>
            </w:r>
          </w:p>
          <w:p w14:paraId="705DF140">
            <w:pPr>
              <w:spacing w:line="400" w:lineRule="exact"/>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2.米面类：颗粒均匀整齐、无碎米，米粒有光泽、无糠米、坏米，无杂物、无虫害、无霉点、无破袋，禁止提供转基因食品、化学调料食品、三无产品和假货。</w:t>
            </w:r>
          </w:p>
          <w:p w14:paraId="5354FD30">
            <w:pPr>
              <w:spacing w:line="400" w:lineRule="exact"/>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3.油类：具有正常植物油的色泽，透明度、气味，无焦愁、酸败及其他异味，外包装产品信息清晰可见。</w:t>
            </w:r>
          </w:p>
          <w:p w14:paraId="1038112C">
            <w:pPr>
              <w:spacing w:line="400" w:lineRule="exact"/>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4.肉禽类：有当天屠宰证明材料，且肉禽类无异味、无酸败味。具有新鲜肉色光泽，无变灰、变绿现象，肌肉弹性结实，禁止提供有寄生虫、注水肉类。</w:t>
            </w:r>
          </w:p>
          <w:p w14:paraId="455FD9E7">
            <w:pPr>
              <w:spacing w:line="400" w:lineRule="exact"/>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5.蛋类：新鲜品质好，蛋壳应清洁完整，无裂纹，无破损。</w:t>
            </w:r>
          </w:p>
          <w:p w14:paraId="1777EDB8">
            <w:pPr>
              <w:spacing w:line="400" w:lineRule="exact"/>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6.水产品类：水产品在保证新鲜度的基础上，生猛鲜活，鳞片完整，个体均匀，体表有光泽</w:t>
            </w:r>
            <w:bookmarkStart w:id="50" w:name="OLE_LINK103"/>
            <w:bookmarkStart w:id="51" w:name="OLE_LINK104"/>
            <w:r>
              <w:rPr>
                <w:rFonts w:hint="eastAsia" w:ascii="新宋体" w:hAnsi="新宋体" w:eastAsia="新宋体" w:cs="新宋体"/>
                <w:color w:val="auto"/>
                <w:szCs w:val="21"/>
                <w:highlight w:val="none"/>
              </w:rPr>
              <w:t>，鳞片完整，不易脱落，肌肉密实有弹性，无异味。</w:t>
            </w:r>
          </w:p>
          <w:p w14:paraId="79D11B86">
            <w:pPr>
              <w:spacing w:line="400" w:lineRule="exact"/>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7.冻品类：原包装要有</w:t>
            </w:r>
            <w:bookmarkStart w:id="52" w:name="OLE_LINK81"/>
            <w:bookmarkStart w:id="53" w:name="OLE_LINK80"/>
            <w:r>
              <w:rPr>
                <w:rFonts w:hint="eastAsia" w:ascii="新宋体" w:hAnsi="新宋体" w:eastAsia="新宋体" w:cs="新宋体"/>
                <w:color w:val="auto"/>
                <w:szCs w:val="21"/>
                <w:highlight w:val="none"/>
              </w:rPr>
              <w:t>“</w:t>
            </w:r>
            <w:r>
              <w:rPr>
                <w:rFonts w:ascii="新宋体" w:hAnsi="新宋体" w:eastAsia="新宋体" w:cs="新宋体"/>
                <w:color w:val="auto"/>
                <w:szCs w:val="21"/>
                <w:highlight w:val="none"/>
              </w:rPr>
              <w:t>SC”</w:t>
            </w:r>
            <w:bookmarkEnd w:id="52"/>
            <w:bookmarkEnd w:id="53"/>
            <w:r>
              <w:rPr>
                <w:rFonts w:hint="eastAsia" w:ascii="新宋体" w:hAnsi="新宋体" w:eastAsia="新宋体" w:cs="新宋体"/>
                <w:color w:val="auto"/>
                <w:szCs w:val="21"/>
                <w:highlight w:val="none"/>
              </w:rPr>
              <w:t>编码</w:t>
            </w:r>
            <w:bookmarkEnd w:id="50"/>
            <w:bookmarkEnd w:id="51"/>
            <w:r>
              <w:rPr>
                <w:rFonts w:hint="eastAsia" w:ascii="新宋体" w:hAnsi="新宋体" w:eastAsia="新宋体" w:cs="新宋体"/>
                <w:color w:val="auto"/>
                <w:szCs w:val="21"/>
                <w:highlight w:val="none"/>
              </w:rPr>
              <w:t>，包装上食品新鲜标注清晰，生产日期不早于供货期6个月且在保质期内。</w:t>
            </w:r>
          </w:p>
          <w:p w14:paraId="456B47CF">
            <w:pPr>
              <w:spacing w:line="400" w:lineRule="exact"/>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8.蔬菜、瓜果类：应季新鲜，无农药残留，具备自有的正常颜色，有光泽，熟嫩程度适中，具有蔬菜瓜果应有的清香气味，无腐败等异味，无大片枯萎、损伤、变色、虫害等现象。</w:t>
            </w:r>
          </w:p>
          <w:p w14:paraId="40C0CB8A">
            <w:pPr>
              <w:spacing w:line="400" w:lineRule="exact"/>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9.乳（奶）制品、干货、调料等预包装食材：外包装必须有清晰可见的“三名”(厂名、品名、产地名)、“二期”(生产日期、保质期或保存期)及原材料、主要配方等详细信息。</w:t>
            </w:r>
          </w:p>
          <w:p w14:paraId="7EF1AEF8">
            <w:pPr>
              <w:spacing w:line="400" w:lineRule="exact"/>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10.其他未列入验收标准的食材，根据现场情况另行确定是否合格。</w:t>
            </w:r>
          </w:p>
        </w:tc>
      </w:tr>
      <w:tr w14:paraId="5719CD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37" w:type="dxa"/>
            <w:gridSpan w:val="5"/>
            <w:tcBorders>
              <w:top w:val="single" w:color="auto" w:sz="4" w:space="0"/>
              <w:left w:val="single" w:color="auto" w:sz="4" w:space="0"/>
              <w:bottom w:val="single" w:color="auto" w:sz="4" w:space="0"/>
              <w:right w:val="single" w:color="auto" w:sz="4" w:space="0"/>
            </w:tcBorders>
          </w:tcPr>
          <w:p w14:paraId="4076B267">
            <w:pPr>
              <w:spacing w:line="400" w:lineRule="exact"/>
              <w:rPr>
                <w:rFonts w:ascii="宋体" w:hAnsi="宋体" w:cs="宋体"/>
                <w:b/>
                <w:bCs/>
                <w:color w:val="auto"/>
                <w:szCs w:val="21"/>
                <w:highlight w:val="none"/>
              </w:rPr>
            </w:pPr>
            <w:r>
              <w:rPr>
                <w:rFonts w:hint="eastAsia" w:ascii="宋体" w:hAnsi="宋体" w:cs="宋体"/>
                <w:b/>
                <w:color w:val="auto"/>
                <w:szCs w:val="21"/>
                <w:highlight w:val="none"/>
              </w:rPr>
              <w:t>二、商务要求</w:t>
            </w:r>
          </w:p>
        </w:tc>
      </w:tr>
      <w:tr w14:paraId="7F2A78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1" w:type="dxa"/>
            <w:gridSpan w:val="3"/>
            <w:tcBorders>
              <w:top w:val="single" w:color="auto" w:sz="4" w:space="0"/>
              <w:left w:val="single" w:color="auto" w:sz="4" w:space="0"/>
              <w:bottom w:val="single" w:color="auto" w:sz="4" w:space="0"/>
              <w:right w:val="single" w:color="auto" w:sz="4" w:space="0"/>
            </w:tcBorders>
            <w:vAlign w:val="center"/>
          </w:tcPr>
          <w:p w14:paraId="1EB39C16">
            <w:pPr>
              <w:spacing w:line="380" w:lineRule="exact"/>
              <w:rPr>
                <w:rFonts w:ascii="宋体" w:hAnsi="宋体"/>
                <w:b/>
                <w:color w:val="auto"/>
                <w:szCs w:val="21"/>
                <w:highlight w:val="none"/>
              </w:rPr>
            </w:pPr>
            <w:r>
              <w:rPr>
                <w:rFonts w:hint="eastAsia" w:ascii="宋体" w:hAnsi="宋体"/>
                <w:color w:val="auto"/>
                <w:szCs w:val="21"/>
                <w:highlight w:val="none"/>
              </w:rPr>
              <w:t>▲</w:t>
            </w:r>
            <w:r>
              <w:rPr>
                <w:rFonts w:hint="eastAsia" w:hAnsi="宋体"/>
                <w:color w:val="auto"/>
                <w:szCs w:val="21"/>
                <w:highlight w:val="none"/>
              </w:rPr>
              <w:t>服务期限</w:t>
            </w:r>
            <w:r>
              <w:rPr>
                <w:rFonts w:hint="eastAsia" w:ascii="宋体" w:hAnsi="宋体" w:cs="宋体"/>
                <w:color w:val="auto"/>
                <w:szCs w:val="21"/>
                <w:highlight w:val="none"/>
              </w:rPr>
              <w:t>和地点</w:t>
            </w:r>
          </w:p>
        </w:tc>
        <w:tc>
          <w:tcPr>
            <w:tcW w:w="7646" w:type="dxa"/>
            <w:gridSpan w:val="2"/>
            <w:tcBorders>
              <w:top w:val="single" w:color="auto" w:sz="4" w:space="0"/>
              <w:left w:val="single" w:color="auto" w:sz="4" w:space="0"/>
              <w:bottom w:val="single" w:color="auto" w:sz="4" w:space="0"/>
              <w:right w:val="single" w:color="auto" w:sz="4" w:space="0"/>
            </w:tcBorders>
            <w:vAlign w:val="center"/>
          </w:tcPr>
          <w:p w14:paraId="1AF34300">
            <w:pPr>
              <w:spacing w:line="380" w:lineRule="exact"/>
              <w:ind w:left="315" w:hanging="315" w:hangingChars="150"/>
              <w:rPr>
                <w:rFonts w:ascii="宋体" w:hAnsi="宋体"/>
                <w:color w:val="auto"/>
                <w:szCs w:val="21"/>
                <w:highlight w:val="none"/>
              </w:rPr>
            </w:pPr>
            <w:r>
              <w:rPr>
                <w:rFonts w:hint="eastAsia" w:ascii="宋体" w:hAnsi="宋体"/>
                <w:color w:val="auto"/>
                <w:szCs w:val="21"/>
                <w:highlight w:val="none"/>
              </w:rPr>
              <w:t>1、服务期限：自签订合同之日起3年（具体以签订合同时间为准）。</w:t>
            </w:r>
          </w:p>
          <w:p w14:paraId="151A4811">
            <w:pPr>
              <w:spacing w:line="380" w:lineRule="exact"/>
              <w:rPr>
                <w:rFonts w:ascii="宋体" w:hAnsi="宋体"/>
                <w:b/>
                <w:color w:val="auto"/>
                <w:szCs w:val="21"/>
                <w:highlight w:val="none"/>
              </w:rPr>
            </w:pPr>
            <w:r>
              <w:rPr>
                <w:rFonts w:hint="eastAsia" w:ascii="宋体" w:hAnsi="宋体"/>
                <w:color w:val="auto"/>
                <w:szCs w:val="21"/>
                <w:highlight w:val="none"/>
              </w:rPr>
              <w:t>2、服务地点：</w:t>
            </w:r>
            <w:r>
              <w:rPr>
                <w:rFonts w:hint="eastAsia" w:ascii="宋体" w:hAnsi="宋体"/>
                <w:color w:val="auto"/>
                <w:highlight w:val="none"/>
              </w:rPr>
              <w:t>广西壮族自治区内采购人指定地点</w:t>
            </w:r>
            <w:r>
              <w:rPr>
                <w:rFonts w:hint="eastAsia" w:ascii="宋体" w:hAnsi="宋体"/>
                <w:color w:val="auto"/>
                <w:szCs w:val="21"/>
                <w:highlight w:val="none"/>
              </w:rPr>
              <w:t>。</w:t>
            </w:r>
          </w:p>
        </w:tc>
      </w:tr>
      <w:tr w14:paraId="1DDC4F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1" w:type="dxa"/>
            <w:gridSpan w:val="3"/>
            <w:tcBorders>
              <w:top w:val="single" w:color="auto" w:sz="4" w:space="0"/>
              <w:left w:val="single" w:color="auto" w:sz="4" w:space="0"/>
              <w:bottom w:val="single" w:color="auto" w:sz="4" w:space="0"/>
              <w:right w:val="single" w:color="auto" w:sz="4" w:space="0"/>
            </w:tcBorders>
            <w:vAlign w:val="center"/>
          </w:tcPr>
          <w:p w14:paraId="35433E98">
            <w:pPr>
              <w:spacing w:line="380" w:lineRule="exact"/>
              <w:rPr>
                <w:rFonts w:ascii="宋体" w:hAnsi="宋体"/>
                <w:color w:val="auto"/>
                <w:szCs w:val="21"/>
                <w:highlight w:val="none"/>
              </w:rPr>
            </w:pPr>
            <w:r>
              <w:rPr>
                <w:rFonts w:hint="eastAsia" w:ascii="宋体" w:hAnsi="宋体"/>
                <w:color w:val="auto"/>
                <w:highlight w:val="none"/>
              </w:rPr>
              <w:t>▲合同签订时间</w:t>
            </w:r>
          </w:p>
        </w:tc>
        <w:tc>
          <w:tcPr>
            <w:tcW w:w="7646" w:type="dxa"/>
            <w:gridSpan w:val="2"/>
            <w:tcBorders>
              <w:top w:val="single" w:color="auto" w:sz="4" w:space="0"/>
              <w:left w:val="single" w:color="auto" w:sz="4" w:space="0"/>
              <w:bottom w:val="single" w:color="auto" w:sz="4" w:space="0"/>
              <w:right w:val="single" w:color="auto" w:sz="4" w:space="0"/>
            </w:tcBorders>
            <w:vAlign w:val="center"/>
          </w:tcPr>
          <w:p w14:paraId="0900AD33">
            <w:pPr>
              <w:spacing w:line="380" w:lineRule="exact"/>
              <w:rPr>
                <w:rFonts w:ascii="宋体" w:hAnsi="宋体"/>
                <w:color w:val="auto"/>
                <w:szCs w:val="21"/>
                <w:highlight w:val="none"/>
              </w:rPr>
            </w:pPr>
            <w:r>
              <w:rPr>
                <w:rFonts w:hint="eastAsia" w:hAnsi="宋体"/>
                <w:color w:val="auto"/>
                <w:highlight w:val="none"/>
              </w:rPr>
              <w:t>自中标通知书发出之日起10个工作日内。</w:t>
            </w:r>
          </w:p>
        </w:tc>
      </w:tr>
      <w:tr w14:paraId="232925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1" w:type="dxa"/>
            <w:gridSpan w:val="3"/>
            <w:tcBorders>
              <w:top w:val="single" w:color="auto" w:sz="4" w:space="0"/>
              <w:left w:val="single" w:color="auto" w:sz="4" w:space="0"/>
              <w:bottom w:val="single" w:color="auto" w:sz="4" w:space="0"/>
              <w:right w:val="single" w:color="auto" w:sz="4" w:space="0"/>
            </w:tcBorders>
            <w:vAlign w:val="center"/>
          </w:tcPr>
          <w:p w14:paraId="44C4D418">
            <w:pPr>
              <w:spacing w:line="380" w:lineRule="exact"/>
              <w:rPr>
                <w:rFonts w:ascii="宋体" w:hAnsi="宋体"/>
                <w:b/>
                <w:color w:val="auto"/>
                <w:szCs w:val="21"/>
                <w:highlight w:val="none"/>
              </w:rPr>
            </w:pPr>
            <w:r>
              <w:rPr>
                <w:rFonts w:hint="eastAsia" w:ascii="宋体" w:hAnsi="宋体"/>
                <w:color w:val="auto"/>
                <w:szCs w:val="21"/>
                <w:highlight w:val="none"/>
              </w:rPr>
              <w:t>▲付款条件</w:t>
            </w:r>
          </w:p>
        </w:tc>
        <w:tc>
          <w:tcPr>
            <w:tcW w:w="7646" w:type="dxa"/>
            <w:gridSpan w:val="2"/>
            <w:tcBorders>
              <w:top w:val="single" w:color="auto" w:sz="4" w:space="0"/>
              <w:left w:val="single" w:color="auto" w:sz="4" w:space="0"/>
              <w:bottom w:val="single" w:color="auto" w:sz="4" w:space="0"/>
              <w:right w:val="single" w:color="auto" w:sz="4" w:space="0"/>
            </w:tcBorders>
            <w:vAlign w:val="center"/>
          </w:tcPr>
          <w:p w14:paraId="4BC222BE">
            <w:pPr>
              <w:spacing w:line="380" w:lineRule="exact"/>
              <w:rPr>
                <w:rFonts w:ascii="宋体" w:hAnsi="宋体"/>
                <w:color w:val="auto"/>
                <w:szCs w:val="21"/>
                <w:highlight w:val="none"/>
              </w:rPr>
            </w:pPr>
            <w:r>
              <w:rPr>
                <w:rFonts w:hint="eastAsia" w:ascii="宋体" w:hAnsi="宋体"/>
                <w:color w:val="auto"/>
                <w:szCs w:val="21"/>
                <w:highlight w:val="none"/>
              </w:rPr>
              <w:t>1、本项目无预付款；</w:t>
            </w:r>
          </w:p>
          <w:p w14:paraId="50DC797F">
            <w:pPr>
              <w:spacing w:line="380" w:lineRule="exact"/>
              <w:rPr>
                <w:color w:val="auto"/>
                <w:highlight w:val="none"/>
              </w:rPr>
            </w:pPr>
            <w:r>
              <w:rPr>
                <w:rFonts w:hint="eastAsia" w:ascii="宋体" w:hAnsi="宋体"/>
                <w:color w:val="auto"/>
                <w:szCs w:val="21"/>
                <w:highlight w:val="none"/>
              </w:rPr>
              <w:t>2、每月的服务费由中标人于次月第10个工作日前将正规发票送至采购单位处，采购单位收到正式发票后于</w:t>
            </w:r>
            <w:r>
              <w:rPr>
                <w:rFonts w:ascii="宋体" w:hAnsi="宋体"/>
                <w:color w:val="auto"/>
                <w:szCs w:val="21"/>
                <w:highlight w:val="none"/>
              </w:rPr>
              <w:t>15</w:t>
            </w:r>
            <w:r>
              <w:rPr>
                <w:rFonts w:hint="eastAsia" w:ascii="宋体" w:hAnsi="宋体"/>
                <w:color w:val="auto"/>
                <w:szCs w:val="21"/>
                <w:highlight w:val="none"/>
              </w:rPr>
              <w:t>日内付清，</w:t>
            </w:r>
            <w:r>
              <w:rPr>
                <w:rFonts w:hint="eastAsia" w:ascii="新宋体" w:hAnsi="新宋体" w:eastAsia="新宋体" w:cs="新宋体"/>
                <w:color w:val="auto"/>
                <w:szCs w:val="21"/>
                <w:highlight w:val="none"/>
              </w:rPr>
              <w:t>其他特殊情况另行商定</w:t>
            </w:r>
            <w:r>
              <w:rPr>
                <w:rFonts w:hint="eastAsia" w:ascii="宋体" w:hAnsi="宋体"/>
                <w:color w:val="auto"/>
                <w:szCs w:val="21"/>
                <w:highlight w:val="none"/>
              </w:rPr>
              <w:t>。</w:t>
            </w:r>
            <w:r>
              <w:rPr>
                <w:rFonts w:ascii="宋体" w:hAnsi="宋体"/>
                <w:color w:val="auto"/>
                <w:szCs w:val="21"/>
                <w:highlight w:val="none"/>
              </w:rPr>
              <w:t xml:space="preserve"> </w:t>
            </w:r>
          </w:p>
        </w:tc>
      </w:tr>
      <w:tr w14:paraId="28877F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1" w:type="dxa"/>
            <w:gridSpan w:val="3"/>
            <w:tcBorders>
              <w:top w:val="single" w:color="auto" w:sz="4" w:space="0"/>
              <w:left w:val="single" w:color="auto" w:sz="4" w:space="0"/>
              <w:bottom w:val="single" w:color="auto" w:sz="4" w:space="0"/>
              <w:right w:val="single" w:color="auto" w:sz="4" w:space="0"/>
            </w:tcBorders>
            <w:vAlign w:val="center"/>
          </w:tcPr>
          <w:p w14:paraId="41AB899E">
            <w:pPr>
              <w:spacing w:line="380" w:lineRule="exact"/>
              <w:rPr>
                <w:rFonts w:ascii="宋体" w:hAnsi="宋体"/>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投标报价要求</w:t>
            </w:r>
          </w:p>
        </w:tc>
        <w:tc>
          <w:tcPr>
            <w:tcW w:w="7646" w:type="dxa"/>
            <w:gridSpan w:val="2"/>
            <w:tcBorders>
              <w:top w:val="single" w:color="auto" w:sz="4" w:space="0"/>
              <w:left w:val="single" w:color="auto" w:sz="4" w:space="0"/>
              <w:bottom w:val="single" w:color="auto" w:sz="4" w:space="0"/>
              <w:right w:val="single" w:color="auto" w:sz="4" w:space="0"/>
            </w:tcBorders>
            <w:vAlign w:val="center"/>
          </w:tcPr>
          <w:p w14:paraId="739E8191">
            <w:pPr>
              <w:spacing w:line="38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1、完成本项目所有内容的整体预估价。</w:t>
            </w:r>
          </w:p>
          <w:p w14:paraId="1F5BAFED">
            <w:pPr>
              <w:spacing w:line="38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2、所提供食材的自身价格以及包装、运输、搬运、加工、检验检测、人员、售后服务等相关费用。</w:t>
            </w:r>
          </w:p>
          <w:p w14:paraId="633250D0">
            <w:pPr>
              <w:spacing w:line="38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3、本项目食堂的燃气费用、招标代理服务费、必要的保险费用和各项税金。</w:t>
            </w:r>
          </w:p>
          <w:p w14:paraId="7CC929F0">
            <w:pPr>
              <w:spacing w:line="380" w:lineRule="exact"/>
              <w:rPr>
                <w:rFonts w:ascii="宋体" w:hAnsi="宋体"/>
                <w:color w:val="auto"/>
                <w:szCs w:val="21"/>
                <w:highlight w:val="none"/>
              </w:rPr>
            </w:pPr>
            <w:r>
              <w:rPr>
                <w:rFonts w:hint="eastAsia" w:ascii="新宋体" w:hAnsi="新宋体" w:eastAsia="新宋体" w:cs="新宋体"/>
                <w:color w:val="auto"/>
                <w:szCs w:val="21"/>
                <w:highlight w:val="none"/>
              </w:rPr>
              <w:t>4、确定中标人并签订合同后，每月按实际提供的食材结算费用</w:t>
            </w:r>
            <w:r>
              <w:rPr>
                <w:rFonts w:hint="eastAsia" w:hAnsi="宋体"/>
                <w:color w:val="auto"/>
                <w:highlight w:val="none"/>
              </w:rPr>
              <w:t>。</w:t>
            </w:r>
          </w:p>
        </w:tc>
      </w:tr>
      <w:tr w14:paraId="525894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1" w:type="dxa"/>
            <w:gridSpan w:val="3"/>
            <w:tcBorders>
              <w:top w:val="single" w:color="auto" w:sz="4" w:space="0"/>
              <w:left w:val="single" w:color="auto" w:sz="4" w:space="0"/>
              <w:bottom w:val="single" w:color="auto" w:sz="4" w:space="0"/>
              <w:right w:val="single" w:color="auto" w:sz="4" w:space="0"/>
            </w:tcBorders>
            <w:vAlign w:val="center"/>
          </w:tcPr>
          <w:p w14:paraId="1C89D0DA">
            <w:pPr>
              <w:spacing w:line="380" w:lineRule="exact"/>
              <w:jc w:val="center"/>
              <w:rPr>
                <w:rFonts w:ascii="宋体" w:hAnsi="宋体"/>
                <w:color w:val="auto"/>
                <w:szCs w:val="21"/>
                <w:highlight w:val="none"/>
              </w:rPr>
            </w:pPr>
            <w:r>
              <w:rPr>
                <w:rFonts w:hint="eastAsia" w:ascii="宋体" w:hAnsi="宋体"/>
                <w:color w:val="auto"/>
                <w:szCs w:val="21"/>
                <w:highlight w:val="none"/>
              </w:rPr>
              <w:t>其他要求</w:t>
            </w:r>
          </w:p>
        </w:tc>
        <w:tc>
          <w:tcPr>
            <w:tcW w:w="7646" w:type="dxa"/>
            <w:gridSpan w:val="2"/>
            <w:tcBorders>
              <w:top w:val="single" w:color="auto" w:sz="4" w:space="0"/>
              <w:left w:val="single" w:color="auto" w:sz="4" w:space="0"/>
              <w:bottom w:val="single" w:color="auto" w:sz="4" w:space="0"/>
              <w:right w:val="single" w:color="auto" w:sz="4" w:space="0"/>
            </w:tcBorders>
            <w:vAlign w:val="center"/>
          </w:tcPr>
          <w:p w14:paraId="56E3FD55">
            <w:pPr>
              <w:spacing w:line="38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▲1、配送要求：</w:t>
            </w:r>
          </w:p>
          <w:p w14:paraId="14AEAAA8">
            <w:pPr>
              <w:spacing w:line="380" w:lineRule="exact"/>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1）食品配送采购，按照采购人的具体要求，将采购人需要的食品在规定时间内保质保量配送到指定地点。服从采购人的监督、协调、指导与管理。凡是《食品安全法》禁止经营的食品一律不得采购和使用，严禁配送“三无”食品、有毒、有害、过期、变质、假冒伪劣等不合格食品。具体采购量以实际中标数量为准。中标人应负责货物的供应、包装、运输、交货以及售后服务等工作。</w:t>
            </w:r>
          </w:p>
          <w:p w14:paraId="7E28366C">
            <w:pPr>
              <w:spacing w:line="380" w:lineRule="exact"/>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（2）送货要求</w:t>
            </w:r>
          </w:p>
          <w:p w14:paraId="43AB3AB2">
            <w:pPr>
              <w:spacing w:line="380" w:lineRule="exact"/>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1）一般供货要求：中标人必须按照采购人通知的时间、数量、品种、品质要求及商定的价格准时送货，经验收合格后签字确认。中标人不能以任何理由推托配送任务。</w:t>
            </w:r>
          </w:p>
          <w:p w14:paraId="0FB961DB">
            <w:pPr>
              <w:spacing w:line="380" w:lineRule="exact"/>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2）紧急供货要求：在收到采购人发出紧急供货通知后，中标人应在采购人规定的时间内完成当次现场供货。</w:t>
            </w:r>
          </w:p>
          <w:p w14:paraId="6E9D77EE">
            <w:pPr>
              <w:spacing w:line="380" w:lineRule="exact"/>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（3）产品验收</w:t>
            </w:r>
          </w:p>
          <w:p w14:paraId="17D78041">
            <w:pPr>
              <w:spacing w:line="380" w:lineRule="exact"/>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1）产品的验收工作由采购人和中标人共同进行。中标人提供的产品须经过采购方验收人员的感官检验、外观检验和试用检验，若产品外观、包装、形式不符合要求、感官检验不能达到食品卫生要求，当即拒收，中标人需在3小时内更换不合格产品。</w:t>
            </w:r>
          </w:p>
          <w:p w14:paraId="06CC3F6A">
            <w:pPr>
              <w:spacing w:line="380" w:lineRule="exact"/>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2）验收工作的一般程序：根据采购清单的具体要求，对所购产品进行清点、外观检查以及对产品的各项指标和性能进行实测，并逐项记录。检测结束后，验收人员在验收单上签字。对未能通过验收的，一律退货、更换直至验收合格。</w:t>
            </w:r>
          </w:p>
          <w:p w14:paraId="1445D46C">
            <w:pPr>
              <w:spacing w:line="380" w:lineRule="exact"/>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3）食堂委员会将不定期对食材配送服务过程中的各环节进行满意度调查，调查内容包括食材来源新鲜度，菜品搭配比例、食材配送报价等方面内容。当调查满意度达不到60%时，采购人要求承包企业立即整改；第二次调查满意度仍达不到60%的，对承包企业进行严重警告并要求责成整改；第三次调查满意度达不到60%的，采购人将撤销承包企业的经营管理权力，并终止合同。</w:t>
            </w:r>
          </w:p>
          <w:p w14:paraId="37C12027">
            <w:pPr>
              <w:spacing w:line="38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2、报价方式：</w:t>
            </w:r>
          </w:p>
          <w:p w14:paraId="2FD2D1F7">
            <w:pPr>
              <w:spacing w:line="380" w:lineRule="exact"/>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（1）投标报价采用下浮系数报价，采购单价=基准单价×（1-下浮系数）。</w:t>
            </w:r>
          </w:p>
          <w:p w14:paraId="7666B57B">
            <w:pPr>
              <w:spacing w:line="380" w:lineRule="exact"/>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（2）投标报价结合市场价格、成本及自身条件、市场风险考虑报出综合的下浮系数。</w:t>
            </w:r>
          </w:p>
          <w:p w14:paraId="1BC31F9C">
            <w:pPr>
              <w:spacing w:line="380" w:lineRule="exact"/>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3）市场价格由投标人根据南宁市淡村农贸市场价格（含配送服务价格）为基准报出市场价，采购人将对投标人所报价格（由采购人派出一名代表）以南宁市淡村农贸市场为主，每月进行考察询价。所询综合价格作为到下一次询价期间的配送供应价，按南宁市淡村农贸市场综合价格（即基准单价）*（1-下浮系数）计算确定中标人最终配送的结算价格（如市场价格涨幅超过10%，中标人须书面告知采购人，经采购人对南宁市淡村农贸市场价格进行核实，审批同意后方可实行）。</w:t>
            </w:r>
          </w:p>
          <w:p w14:paraId="266EFEBE">
            <w:pPr>
              <w:spacing w:line="38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3、报价说明</w:t>
            </w:r>
          </w:p>
          <w:p w14:paraId="3CD1095A">
            <w:pPr>
              <w:spacing w:line="380" w:lineRule="exact"/>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（1）本项目采用下浮系数报价，采购人按月与中标人结算合同款项，食材结算价=食材合计价×（1-中标下浮系数）。</w:t>
            </w:r>
          </w:p>
          <w:p w14:paraId="175F3BB7">
            <w:pPr>
              <w:spacing w:line="380" w:lineRule="exact"/>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例如：本月食材合计价为10万元整，中标人下浮系数报价为10%，食材的结算价=10万元×（1-10%）=9万元整。</w:t>
            </w:r>
          </w:p>
          <w:p w14:paraId="6ED41358">
            <w:pPr>
              <w:spacing w:line="380" w:lineRule="exact"/>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（2）有效报价范围为：0%≤投标人下浮系数报价≤100%。</w:t>
            </w:r>
          </w:p>
        </w:tc>
      </w:tr>
    </w:tbl>
    <w:p w14:paraId="381807BA">
      <w:pPr>
        <w:pStyle w:val="29"/>
        <w:ind w:firstLine="422"/>
        <w:rPr>
          <w:rFonts w:ascii="宋体" w:hAnsi="宋体" w:cs="宋体"/>
          <w:b/>
          <w:color w:val="auto"/>
          <w:szCs w:val="21"/>
          <w:highlight w:val="none"/>
        </w:rPr>
      </w:pPr>
      <w:bookmarkStart w:id="54" w:name="_Toc27593"/>
      <w:r>
        <w:rPr>
          <w:rFonts w:hint="eastAsia" w:ascii="宋体" w:hAnsi="宋体" w:cs="宋体"/>
          <w:b/>
          <w:color w:val="auto"/>
          <w:szCs w:val="21"/>
          <w:highlight w:val="none"/>
        </w:rPr>
        <w:br w:type="page"/>
      </w:r>
    </w:p>
    <w:p w14:paraId="38067942">
      <w:pPr>
        <w:spacing w:line="440" w:lineRule="exact"/>
        <w:rPr>
          <w:b/>
          <w:bCs/>
          <w:color w:val="auto"/>
          <w:highlight w:val="none"/>
        </w:rPr>
      </w:pPr>
      <w:r>
        <w:rPr>
          <w:rFonts w:hint="eastAsia"/>
          <w:b/>
          <w:bCs/>
          <w:color w:val="auto"/>
          <w:highlight w:val="none"/>
        </w:rPr>
        <w:t xml:space="preserve">附件一：                 </w:t>
      </w:r>
    </w:p>
    <w:p w14:paraId="5FFDE008">
      <w:pPr>
        <w:spacing w:line="440" w:lineRule="exact"/>
        <w:rPr>
          <w:b/>
          <w:color w:val="auto"/>
          <w:highlight w:val="none"/>
        </w:rPr>
      </w:pPr>
      <w:bookmarkStart w:id="55" w:name="OLE_LINK26"/>
      <w:bookmarkStart w:id="56" w:name="OLE_LINK25"/>
      <w:bookmarkStart w:id="57" w:name="OLE_LINK21"/>
      <w:bookmarkStart w:id="58" w:name="OLE_LINK30"/>
      <w:bookmarkStart w:id="59" w:name="OLE_LINK22"/>
      <w:bookmarkStart w:id="60" w:name="OLE_LINK29"/>
      <w:r>
        <w:rPr>
          <w:rFonts w:hint="eastAsia"/>
          <w:b/>
          <w:color w:val="auto"/>
          <w:highlight w:val="none"/>
        </w:rPr>
        <w:t>《</w:t>
      </w:r>
      <w:bookmarkStart w:id="61" w:name="OLE_LINK28"/>
      <w:bookmarkStart w:id="62" w:name="OLE_LINK27"/>
      <w:r>
        <w:rPr>
          <w:rFonts w:hint="eastAsia"/>
          <w:b/>
          <w:color w:val="auto"/>
          <w:highlight w:val="none"/>
        </w:rPr>
        <w:t>各</w:t>
      </w:r>
      <w:bookmarkStart w:id="63" w:name="OLE_LINK23"/>
      <w:bookmarkStart w:id="64" w:name="OLE_LINK24"/>
      <w:r>
        <w:rPr>
          <w:rFonts w:hint="eastAsia"/>
          <w:b/>
          <w:color w:val="auto"/>
          <w:highlight w:val="none"/>
        </w:rPr>
        <w:t>类原料感官品质验收标准</w:t>
      </w:r>
      <w:bookmarkEnd w:id="55"/>
      <w:bookmarkEnd w:id="56"/>
      <w:bookmarkEnd w:id="61"/>
      <w:bookmarkEnd w:id="62"/>
      <w:r>
        <w:rPr>
          <w:rFonts w:hint="eastAsia"/>
          <w:b/>
          <w:color w:val="auto"/>
          <w:highlight w:val="none"/>
        </w:rPr>
        <w:t>》</w:t>
      </w:r>
    </w:p>
    <w:bookmarkEnd w:id="57"/>
    <w:bookmarkEnd w:id="58"/>
    <w:bookmarkEnd w:id="59"/>
    <w:bookmarkEnd w:id="60"/>
    <w:p w14:paraId="159D710F">
      <w:pPr>
        <w:spacing w:line="440" w:lineRule="exact"/>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一、鲜肉类（猪肉、牛肉</w:t>
      </w:r>
      <w:bookmarkEnd w:id="63"/>
      <w:bookmarkEnd w:id="64"/>
      <w:r>
        <w:rPr>
          <w:rFonts w:hint="eastAsia" w:ascii="新宋体" w:hAnsi="新宋体" w:eastAsia="新宋体" w:cs="新宋体"/>
          <w:b/>
          <w:bCs/>
          <w:color w:val="auto"/>
          <w:szCs w:val="21"/>
          <w:highlight w:val="none"/>
        </w:rPr>
        <w:t>、羊肉等）</w:t>
      </w:r>
    </w:p>
    <w:p w14:paraId="695710BB">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无异味、无酸败味。新鲜肉的肌肉色泽呈鲜红色，有光泽，肥肉部分接近白色，肌肉有弹性且结实，用手指压下，手指的凹陷处可马上恢复，用手背触摸肉质，若有黏手感觉，说明肉没注水。猪肉无牛肉般鲜红。</w:t>
      </w:r>
    </w:p>
    <w:p w14:paraId="228156C1">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羊肉：整羊（去头、去内脏、去蹄），不要公羊，单只重13-15kg。</w:t>
      </w:r>
    </w:p>
    <w:p w14:paraId="4138E77B">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猪肺：无淤血、无破损、弹性好。</w:t>
      </w:r>
    </w:p>
    <w:p w14:paraId="04216345">
      <w:pPr>
        <w:spacing w:line="440" w:lineRule="exact"/>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二、家禽类（含蛋类）</w:t>
      </w:r>
    </w:p>
    <w:p w14:paraId="3D532ACC">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新鲜的家禽肉肌肉色泽呈淡黄红色，肌肉有弹性且结实，无腥臭味、不黏滑、皮肤光滑。骨髓色泽呈鲜红色，变灰、变绿为品质不佳。凡出现肉淤血、骨折、露骨、脱皮等现象拒收货。</w:t>
      </w:r>
    </w:p>
    <w:p w14:paraId="1FD89E95">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鸡：鸡体内应有小蛋花存在的为合格品，鸡大腿内侧用刀切开后无明显水迹。单只光鸡重为1.15-1.4kg。</w:t>
      </w:r>
    </w:p>
    <w:p w14:paraId="0E701BB8">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鸭：鸭肉皮色泽略呈肉白色，大腿内侧用刀切开后无明显水迹。单只光鸭重为1.75-2kg。</w:t>
      </w:r>
    </w:p>
    <w:p w14:paraId="6CED37FC">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鲜蛋：正常鲜蛋的蛋壳应清洁完整，无裂纹，灯光透视呈微红色，气室小，看不见蛋黄或略见阴影于中心。打开后蛋黄膜不破裂、凸起、完整并带有韧性，蛋黄蛋白分明，颜色鲜艳。</w:t>
      </w:r>
    </w:p>
    <w:p w14:paraId="48A5C2BA">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皮蛋（松花蛋）：蛋壳完整，涂料均匀。手振摇时无响声及活动感，有弹性。剥壳后，蛋白为茶色胶冻状，蛋白表面常有松针状的结晶或花纹似松花，蛋黄分为黑绿、土黄、灰绿、橙黄等彩色层。</w:t>
      </w:r>
    </w:p>
    <w:p w14:paraId="59B1C6F0">
      <w:pPr>
        <w:spacing w:line="440" w:lineRule="exact"/>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三、河鲜类</w:t>
      </w:r>
    </w:p>
    <w:p w14:paraId="23711E5B">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1.鱼类：体表有光泽，鳞片完整、不易脱落，黏液无混浊，肌肉组织致密、有弹性；鳃丝清晰，色鲜红或暗红，无异臭味；眼球饱满，角膜透明或稍有浑浊；肛门紧缩或稍有凸出。</w:t>
      </w:r>
    </w:p>
    <w:p w14:paraId="5A4FD55C">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感观鉴别：神态—在水中游动自如、反映敏捷。体态—无伤残、无畸形、无病害。体表—鳞片完整无损、表面无异物、无皮下出血现象及红色鱼鳞。</w:t>
      </w:r>
    </w:p>
    <w:p w14:paraId="43FF0CEB">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劣质品：（1）行动迟缓、反肚、慌乱、狂游的鱼表明已接近死亡或已有病害。（2）有红色鱼鳞之鱼；显示鱼受缺氧（多因太过拥挤）所损害，它可能只能有较短寿命，须挑出拒收。（塘角鱼单体重0.125-0.15kg、鲶鱼单体重1-1.2kg,体表呈淡黄色，草鱼单体重1.5-2.0kg,禾花鱼大小要均匀。）</w:t>
      </w:r>
    </w:p>
    <w:p w14:paraId="60F796DC">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2.虾类</w:t>
      </w:r>
    </w:p>
    <w:p w14:paraId="69EF4B26">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感官鉴别：个大均匀、活蹦乱跳（或能活动）、无黑头。</w:t>
      </w:r>
    </w:p>
    <w:p w14:paraId="34A21B84">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劣质品：河虾生命力较强，离水后尚能成活一段时间，若虾身弯曲、不能活动或虾身发白，表明已死。河虾不可太大，一般30条一斤，因为河虾头大、肉身小。成活率要达98%以上。</w:t>
      </w:r>
    </w:p>
    <w:p w14:paraId="010DE1FE">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3.蟹类：体肥、甲壳色泽正常，腹部洁白，雌蟹有膏时，头胸甲棘尖，反面透黄色，螯及蟹脚有力，单体重0.25-0.35kg。</w:t>
      </w:r>
    </w:p>
    <w:p w14:paraId="3A634EB9">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4.贝类：外壳具固有色泽、平时微张口、受惊闭合，斧足与触管伸缩灵活，具固有气味。</w:t>
      </w:r>
    </w:p>
    <w:p w14:paraId="32C1A909">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5.盐渍海产类：主要产品为海蜇、海带类，而海蜇又分为海蜇头（蜇身口腕部加工的成品）和海蜇皮（上身全部加工的成品）。感官鉴别：质地—坚实而韧性，手指甲掐之可破、脆嫩；气味—轻腥气、盐味；色泽—有光泽；清洁度—无污物和泥浆；海带节要小节。</w:t>
      </w:r>
    </w:p>
    <w:p w14:paraId="61592A25">
      <w:pPr>
        <w:spacing w:line="440" w:lineRule="exact"/>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四、冰鲜鱼类</w:t>
      </w:r>
    </w:p>
    <w:p w14:paraId="706A3DF3">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冰鲜鱼是指已死但还新鲜，并以碎冰或冰水来保持其鲜度的鱼。感官鉴别：皮肤—类金属、光泽哑色的表面显示其已不新鲜；眼睛—饱满明亮、清晰且完整、瞳孔黑、角膜清澈；鳃—鲜红色或血红色、含粘液且没有粘泥；肛门—内收或平整，不突出，不破肛；体外粘液—透明或水白；肉质—坚实且富有弹性，轻按下鱼肉后，手指的凹陷处可马上恢复；气味—温和的海水味或鲜海藻味，无氯味腐臭味；体表鱼鳞完整、无破损。（鱿鱼：手感结实，肉身质厚。带鱼：规格为中带或大带。金丝鱼：单体重0.15—0.2kg。沙展鱼：大小要均匀，1市斤约10-15条。）</w:t>
      </w:r>
    </w:p>
    <w:p w14:paraId="2CC229BA">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劣质品：鱼体出现破肛现象，大多是自行分解所致而非机性损伤。</w:t>
      </w:r>
    </w:p>
    <w:p w14:paraId="1C047DAD">
      <w:pPr>
        <w:spacing w:line="440" w:lineRule="exact"/>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五、冰鱼家禽类（鸡翅、鸡尖）</w:t>
      </w:r>
    </w:p>
    <w:p w14:paraId="7A60643C">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原料包装要有“</w:t>
      </w:r>
      <w:r>
        <w:rPr>
          <w:rFonts w:ascii="新宋体" w:hAnsi="新宋体" w:eastAsia="新宋体" w:cs="新宋体"/>
          <w:color w:val="auto"/>
          <w:szCs w:val="21"/>
          <w:highlight w:val="none"/>
        </w:rPr>
        <w:t>SC</w:t>
      </w:r>
      <w:r>
        <w:rPr>
          <w:rFonts w:hint="eastAsia" w:ascii="新宋体" w:hAnsi="新宋体" w:eastAsia="新宋体" w:cs="新宋体"/>
          <w:color w:val="auto"/>
          <w:szCs w:val="21"/>
          <w:highlight w:val="none"/>
        </w:rPr>
        <w:t>”编码。进口原料的外包装要有中文标识。无淤血、色泽光亮、无毛。鸡翅单体重0.1-0.15kg。</w:t>
      </w:r>
    </w:p>
    <w:p w14:paraId="462DFB6A">
      <w:pPr>
        <w:spacing w:line="440" w:lineRule="exact"/>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六、蔬菜类</w:t>
      </w:r>
    </w:p>
    <w:p w14:paraId="561E9E54">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各种蔬菜都具有本品种固有的颜色，有光泽，显示蔬菜的成熟度及鲜嫩程度；多数蔬菜具有清香、甘辛香、甜酸香等气味，不应有腐败味和其他异味；多数蔬菜滋味甘淡、甜酸、清爽鲜美，少数具有辛酸、苦涩的特殊味道；多数蔬菜具有新鲜的状态，如蔫萎、干枯、损伤、变色、病变、虫害侵蚀等，则为异常形态，还有的蔬菜人为地使用了激素物质会长成畸形。</w:t>
      </w:r>
    </w:p>
    <w:p w14:paraId="5C22235F">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1.根茎类：茎部不老化，个体均匀，外表圆滑，未发芽、变色。不良品质：叶子发黄、变软、长芽、损伤、出水。</w:t>
      </w:r>
    </w:p>
    <w:p w14:paraId="429D5874">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莲藕：无泥、无伤、无水印。用刀切开后腹部无泥、无异味。</w:t>
      </w:r>
    </w:p>
    <w:p w14:paraId="723B7020">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莴笋：留叶不超过四层，表皮无腐烂，体直。</w:t>
      </w:r>
    </w:p>
    <w:p w14:paraId="49794C86">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洋葱：无老皮层，手指压有结实感。</w:t>
      </w:r>
    </w:p>
    <w:p w14:paraId="7CD484A7">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白萝卜：个体均匀，无黑心、空心；单体重0.4kg以上。</w:t>
      </w:r>
    </w:p>
    <w:p w14:paraId="2CAE0CF0">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芋头：表皮无凹凸、无泥块、泥浆；切开后肉质密实，无虫害，无腐败；单体重0.75-1.5kg。</w:t>
      </w:r>
    </w:p>
    <w:p w14:paraId="23AC7D1F">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土豆：单体重0.25-0.4kg。</w:t>
      </w:r>
    </w:p>
    <w:p w14:paraId="6A466549">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竹笋：体型为圆锥状，颜色为白色为佳，单棵重4kg以上。</w:t>
      </w:r>
    </w:p>
    <w:p w14:paraId="60DC94E3">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西芹：体型大为佳，单棵重1kg以上。</w:t>
      </w:r>
    </w:p>
    <w:p w14:paraId="29CBD6EE">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2.叶菜类：色泽鲜亮，切口不变色，叶片挺而不干枯、不发黄；质地脆嫩、坚挺。球形叶菜坚实、无老邦。不良品质：叶黄、水伤腐烂、有泥土、有虫及虫眼。</w:t>
      </w:r>
    </w:p>
    <w:p w14:paraId="040D78FA">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3.花果类：允许果形有轻微缺点，但不得变形、过熟。不良品质：变色、变软、擦伤、枯萎。</w:t>
      </w:r>
    </w:p>
    <w:p w14:paraId="5BDF0F51">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青瓜：体型略直，无异型，表皮无擦伤。</w:t>
      </w:r>
    </w:p>
    <w:p w14:paraId="25FD03DA">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节瓜：表皮无擦伤，个体均匀，无空心，手掂有重量感。</w:t>
      </w:r>
    </w:p>
    <w:p w14:paraId="7CE95A7F">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4.菇菌类：外形饱满，个体均匀，无异味，不发霉、变黑。</w:t>
      </w:r>
    </w:p>
    <w:p w14:paraId="661F6115">
      <w:pPr>
        <w:spacing w:line="440" w:lineRule="exact"/>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七、水果类</w:t>
      </w:r>
    </w:p>
    <w:p w14:paraId="2C85C80C">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1.柑橘类：果实结实、有弹性，手掂有重量感，果形完整、果肉酸甜清香，有色泽、无疤痕、不萎缩、不变色、不挤压变形，柚类无褐斑、黑点；单果重100-150克。</w:t>
      </w:r>
    </w:p>
    <w:p w14:paraId="05844DDB">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（1）橘子：果实扁圆，果皮松软易剥、色泽浅黄、金黄至金红色；果肉酸甜清香，单果重100-150克。劣质品：果皮萎缩、变形，霉烂有褐斑。</w:t>
      </w:r>
    </w:p>
    <w:p w14:paraId="67730DBB">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（2）金橘：果实小呈椭圆，果皮细薄，果肉多汁，香气浓郁。劣质品：腐烂、挤压开裂、果皮干皱。</w:t>
      </w:r>
    </w:p>
    <w:p w14:paraId="2CE07A15">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2.苹果类（蛇果、青苹果、红富士、黄金帅等）：结实多汁、有光泽，表面光滑，无压伤、疤痕，不干皱、腐烂；单果重175-200克。</w:t>
      </w:r>
    </w:p>
    <w:p w14:paraId="4D1D7204">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3.梨类（鸭梨、啤梨、水晶梨、雪梨、贡梨、香梨等）：结实、甜而多汁，个体均匀、不变色、不干皱，无压伤；单果重175-200克。</w:t>
      </w:r>
    </w:p>
    <w:p w14:paraId="4500D4CC">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4.水蜜桃：果皮粉红带绒毛，不过熟略硬，果肉香甜爽滑多汁。劣质品：有压伤，开裂出水，变软过熟，腐烂；单体重175-200克。</w:t>
      </w:r>
    </w:p>
    <w:p w14:paraId="386CCBAB">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5.浆果类（提子、葡萄、奇异果、猕猴桃、草莓）：果实结实饱满，多汁甘甜，大小均匀，无压伤，无失水干缩，无过熟。</w:t>
      </w:r>
    </w:p>
    <w:p w14:paraId="62415473">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6.瓜类（哈密瓜、香瓜、木瓜、西瓜等）：果形完整，结实、无开裂、无压伤。</w:t>
      </w:r>
    </w:p>
    <w:p w14:paraId="2BC7704C">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（1）哈密瓜：果皮黄绿、绿白或金黄，厚而粗糙，带有凸起纹路，果形椭圆，果肉甜香多汁、爽滑。劣质品：有疤痕、压伤、出现黑斑，瓜身变软（过熟）。</w:t>
      </w:r>
    </w:p>
    <w:p w14:paraId="1200AC77">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（2）西瓜：果形完整、有光泽，带暗条纹品种花纹要清晰，汁多爽甜，无开裂、发软，有疤痕、斑点；颜色暗红，过熟口感不好；过生肉粉红的味酸。</w:t>
      </w:r>
    </w:p>
    <w:p w14:paraId="5DD30256">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7.热带水果类</w:t>
      </w:r>
    </w:p>
    <w:p w14:paraId="43B4DCB9">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（1）火龙果：表皮鲜红，叶片鲜绿，结实而有弹性，果肉白、有黑色种子，口味淡甜。劣质品：叶片发黄、干皱、颜色黯淡，表皮开裂、变软，果柄腐烂。</w:t>
      </w:r>
    </w:p>
    <w:p w14:paraId="0EB02A56">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（2）枇杷：果实尖圆、色橙红，结实有弹性，果肉甜香。劣质品：腐烂、变软、疤痕。</w:t>
      </w:r>
    </w:p>
    <w:p w14:paraId="4D427D18">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（3）芒果：果粒大小均匀，果皮光滑细腻，果肉幼滑甜香。劣质品：表皮发黑或有黑斑，失水萎缩，果柄处腐烂。</w:t>
      </w:r>
    </w:p>
    <w:p w14:paraId="75C65EA7">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（4）香蕉：果实象牙状，未成熟青绿色、成熟后鲜黄色，软糯香甜。无表皮发黑，果柄腐烂，压伤、冻伤。单果重150-200克。</w:t>
      </w:r>
    </w:p>
    <w:p w14:paraId="2C23C23C">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（5）龙眼：果实小而圆，果皮浅咖啡色，果肉甜、多汁；无表皮发黑，爆裂、出水。</w:t>
      </w:r>
    </w:p>
    <w:p w14:paraId="02942CF2">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（6）荔枝：果实心形，色泽鲜红带绿，口感结实有弹性，香甜美味，脆嫩多汁，无爆裂。</w:t>
      </w:r>
    </w:p>
    <w:p w14:paraId="318D512B">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（7）杨桃：果实呈星形，色浅绿，成熟后金黄色，表皮有光泽，果肉晶莹，口味酸甜。劣质品：表面有黑斑、疤痕、外伤、边缘变色发黑。单果重0.2-0.8kg。</w:t>
      </w:r>
    </w:p>
    <w:p w14:paraId="596D64C7">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（8）柠檬（酸柠檬）：表皮光滑，个体均匀；手撕开果后有浆状物呈出。</w:t>
      </w:r>
    </w:p>
    <w:p w14:paraId="21091F4A">
      <w:pPr>
        <w:spacing w:line="440" w:lineRule="exact"/>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八、粮油类</w:t>
      </w:r>
    </w:p>
    <w:p w14:paraId="08A04BE4">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1.大米</w:t>
      </w:r>
    </w:p>
    <w:p w14:paraId="4F626DA7">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（1）大米的粒型要均匀整齐，无碎米。</w:t>
      </w:r>
    </w:p>
    <w:p w14:paraId="71F1D073">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（2）大米的腹白及米粒有光泽，手摸时有光滑感。</w:t>
      </w:r>
    </w:p>
    <w:p w14:paraId="5A3D07A9">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（3）无米糠米、未脱皮的完整糙米。</w:t>
      </w:r>
    </w:p>
    <w:p w14:paraId="1ED5B20E">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（4）没有杂物、虫害、无霉点和霉味，无破袋。</w:t>
      </w:r>
    </w:p>
    <w:p w14:paraId="2A08EE90">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（5）产品保质期剩余一半以上。</w:t>
      </w:r>
    </w:p>
    <w:p w14:paraId="591D8BC2">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2.食用油（调和油）</w:t>
      </w:r>
    </w:p>
    <w:p w14:paraId="1D29F615">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具有正常植物油的色泽、透明度、气味和滋味，无焦臭、酸败及其他异味。</w:t>
      </w:r>
    </w:p>
    <w:p w14:paraId="3AFA897B">
      <w:pPr>
        <w:spacing w:line="440" w:lineRule="exact"/>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九、调味品类</w:t>
      </w:r>
    </w:p>
    <w:p w14:paraId="394F8394">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（1）包装完整，无破瓶或破袋，无发霉腐败现象。</w:t>
      </w:r>
    </w:p>
    <w:p w14:paraId="0649A58B">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（2）产品保质期剩余一半以上。</w:t>
      </w:r>
    </w:p>
    <w:p w14:paraId="0A31AC3C">
      <w:pPr>
        <w:spacing w:line="440" w:lineRule="exact"/>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十、乳品类</w:t>
      </w:r>
    </w:p>
    <w:p w14:paraId="6B4157BE">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（1）包装完整，外包装无鼓涨无破损，无发霉腐败现象。</w:t>
      </w:r>
    </w:p>
    <w:p w14:paraId="03A6F3D2">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（2）产品保质期剩余一半以上。</w:t>
      </w:r>
    </w:p>
    <w:p w14:paraId="30C1F6C8">
      <w:pPr>
        <w:pStyle w:val="29"/>
        <w:rPr>
          <w:rFonts w:hAnsi="宋体"/>
          <w:color w:val="auto"/>
          <w:highlight w:val="none"/>
        </w:rPr>
      </w:pPr>
      <w:r>
        <w:rPr>
          <w:rFonts w:hAnsi="宋体"/>
          <w:color w:val="auto"/>
          <w:highlight w:val="none"/>
        </w:rPr>
        <w:t xml:space="preserve"> </w:t>
      </w:r>
    </w:p>
    <w:p w14:paraId="66073655">
      <w:pPr>
        <w:pStyle w:val="29"/>
        <w:rPr>
          <w:rFonts w:hAnsi="宋体"/>
          <w:color w:val="auto"/>
          <w:highlight w:val="none"/>
        </w:rPr>
      </w:pPr>
    </w:p>
    <w:p w14:paraId="58095907">
      <w:pPr>
        <w:pStyle w:val="29"/>
        <w:rPr>
          <w:rFonts w:hAnsi="宋体"/>
          <w:color w:val="auto"/>
          <w:highlight w:val="none"/>
        </w:rPr>
      </w:pPr>
    </w:p>
    <w:p w14:paraId="1A9DEBF8">
      <w:pPr>
        <w:pStyle w:val="29"/>
        <w:rPr>
          <w:rFonts w:hAnsi="宋体"/>
          <w:color w:val="auto"/>
          <w:highlight w:val="none"/>
        </w:rPr>
      </w:pPr>
    </w:p>
    <w:p w14:paraId="7A3D985D">
      <w:pPr>
        <w:pStyle w:val="29"/>
        <w:rPr>
          <w:rFonts w:hAnsi="宋体"/>
          <w:color w:val="auto"/>
          <w:highlight w:val="none"/>
        </w:rPr>
      </w:pPr>
    </w:p>
    <w:p w14:paraId="70DE9F8E">
      <w:pPr>
        <w:pStyle w:val="29"/>
        <w:rPr>
          <w:rFonts w:hAnsi="宋体"/>
          <w:color w:val="auto"/>
          <w:highlight w:val="none"/>
        </w:rPr>
      </w:pPr>
    </w:p>
    <w:p w14:paraId="0429FD45">
      <w:pPr>
        <w:pStyle w:val="29"/>
        <w:rPr>
          <w:rFonts w:hAnsi="宋体"/>
          <w:color w:val="auto"/>
          <w:highlight w:val="none"/>
        </w:rPr>
      </w:pPr>
    </w:p>
    <w:p w14:paraId="06B51274">
      <w:pPr>
        <w:pStyle w:val="29"/>
        <w:rPr>
          <w:rFonts w:hAnsi="宋体"/>
          <w:color w:val="auto"/>
          <w:highlight w:val="none"/>
        </w:rPr>
      </w:pPr>
    </w:p>
    <w:p w14:paraId="02B2D2FD">
      <w:pPr>
        <w:pStyle w:val="29"/>
        <w:rPr>
          <w:rFonts w:hAnsi="宋体"/>
          <w:color w:val="auto"/>
          <w:highlight w:val="none"/>
        </w:rPr>
      </w:pPr>
    </w:p>
    <w:p w14:paraId="406B263A">
      <w:pPr>
        <w:pStyle w:val="29"/>
        <w:rPr>
          <w:rFonts w:hAnsi="宋体"/>
          <w:color w:val="auto"/>
          <w:highlight w:val="none"/>
        </w:rPr>
      </w:pPr>
    </w:p>
    <w:p w14:paraId="65DE3AFD">
      <w:pPr>
        <w:pStyle w:val="29"/>
        <w:rPr>
          <w:rFonts w:hAnsi="宋体"/>
          <w:color w:val="auto"/>
          <w:highlight w:val="none"/>
        </w:rPr>
      </w:pPr>
    </w:p>
    <w:p w14:paraId="3552CD74">
      <w:pPr>
        <w:pStyle w:val="29"/>
        <w:rPr>
          <w:rFonts w:hAnsi="宋体"/>
          <w:color w:val="auto"/>
          <w:highlight w:val="none"/>
        </w:rPr>
      </w:pPr>
    </w:p>
    <w:p w14:paraId="625D297B">
      <w:pPr>
        <w:pStyle w:val="29"/>
        <w:rPr>
          <w:rFonts w:hAnsi="宋体"/>
          <w:color w:val="auto"/>
          <w:highlight w:val="none"/>
        </w:rPr>
      </w:pPr>
    </w:p>
    <w:p w14:paraId="578621D7">
      <w:pPr>
        <w:pStyle w:val="29"/>
        <w:rPr>
          <w:rFonts w:hAnsi="宋体"/>
          <w:color w:val="auto"/>
          <w:highlight w:val="none"/>
        </w:rPr>
      </w:pPr>
    </w:p>
    <w:p w14:paraId="48ECA224">
      <w:pPr>
        <w:pStyle w:val="29"/>
        <w:rPr>
          <w:rFonts w:hAnsi="宋体"/>
          <w:color w:val="auto"/>
          <w:highlight w:val="none"/>
        </w:rPr>
      </w:pPr>
    </w:p>
    <w:p w14:paraId="680A949E">
      <w:pPr>
        <w:pStyle w:val="29"/>
        <w:rPr>
          <w:rFonts w:hAnsi="宋体"/>
          <w:color w:val="auto"/>
          <w:highlight w:val="none"/>
        </w:rPr>
      </w:pPr>
    </w:p>
    <w:p w14:paraId="176476CA">
      <w:pPr>
        <w:pStyle w:val="29"/>
        <w:rPr>
          <w:rFonts w:hAnsi="宋体"/>
          <w:color w:val="auto"/>
          <w:highlight w:val="none"/>
        </w:rPr>
      </w:pPr>
    </w:p>
    <w:p w14:paraId="4DDD89A1">
      <w:pPr>
        <w:pStyle w:val="29"/>
        <w:rPr>
          <w:rFonts w:hAnsi="宋体"/>
          <w:color w:val="auto"/>
          <w:highlight w:val="none"/>
        </w:rPr>
      </w:pPr>
    </w:p>
    <w:p w14:paraId="0B2187E3">
      <w:pPr>
        <w:pStyle w:val="29"/>
        <w:rPr>
          <w:rFonts w:hAnsi="宋体"/>
          <w:color w:val="auto"/>
          <w:highlight w:val="none"/>
        </w:rPr>
      </w:pPr>
    </w:p>
    <w:p w14:paraId="6ED17CC6">
      <w:pPr>
        <w:pStyle w:val="29"/>
        <w:rPr>
          <w:rFonts w:hAnsi="宋体"/>
          <w:color w:val="auto"/>
          <w:highlight w:val="none"/>
        </w:rPr>
      </w:pPr>
    </w:p>
    <w:p w14:paraId="2DE46391">
      <w:pPr>
        <w:pStyle w:val="29"/>
        <w:rPr>
          <w:rFonts w:hAnsi="宋体"/>
          <w:color w:val="auto"/>
          <w:highlight w:val="none"/>
        </w:rPr>
      </w:pPr>
    </w:p>
    <w:p w14:paraId="5AA31000">
      <w:pPr>
        <w:pStyle w:val="29"/>
        <w:rPr>
          <w:rFonts w:hAnsi="宋体"/>
          <w:color w:val="auto"/>
          <w:highlight w:val="none"/>
        </w:rPr>
      </w:pPr>
    </w:p>
    <w:p w14:paraId="316EC3FA">
      <w:pPr>
        <w:pStyle w:val="29"/>
        <w:rPr>
          <w:rFonts w:hAnsi="宋体"/>
          <w:color w:val="auto"/>
          <w:highlight w:val="none"/>
        </w:rPr>
      </w:pPr>
    </w:p>
    <w:p w14:paraId="527DD1C1">
      <w:pPr>
        <w:pStyle w:val="29"/>
        <w:rPr>
          <w:rFonts w:hAnsi="宋体"/>
          <w:color w:val="auto"/>
          <w:highlight w:val="none"/>
        </w:rPr>
      </w:pPr>
    </w:p>
    <w:p w14:paraId="52176245">
      <w:pPr>
        <w:pStyle w:val="29"/>
        <w:rPr>
          <w:rFonts w:hAnsi="宋体"/>
          <w:color w:val="auto"/>
          <w:highlight w:val="none"/>
        </w:rPr>
      </w:pPr>
    </w:p>
    <w:p w14:paraId="7367AB91">
      <w:pPr>
        <w:pStyle w:val="29"/>
        <w:rPr>
          <w:rFonts w:hAnsi="宋体"/>
          <w:color w:val="auto"/>
          <w:highlight w:val="none"/>
        </w:rPr>
      </w:pPr>
    </w:p>
    <w:p w14:paraId="19FCD99B">
      <w:pPr>
        <w:pStyle w:val="29"/>
        <w:rPr>
          <w:rFonts w:hAnsi="宋体"/>
          <w:color w:val="auto"/>
          <w:highlight w:val="none"/>
        </w:rPr>
      </w:pPr>
    </w:p>
    <w:p w14:paraId="23A5ACEF">
      <w:pPr>
        <w:pStyle w:val="29"/>
        <w:rPr>
          <w:rFonts w:hAnsi="宋体"/>
          <w:color w:val="auto"/>
          <w:highlight w:val="none"/>
        </w:rPr>
      </w:pPr>
    </w:p>
    <w:p w14:paraId="3BE59BF7">
      <w:pPr>
        <w:pStyle w:val="29"/>
        <w:rPr>
          <w:rFonts w:hAnsi="宋体"/>
          <w:color w:val="auto"/>
          <w:highlight w:val="none"/>
        </w:rPr>
      </w:pPr>
    </w:p>
    <w:p w14:paraId="659D9B8E">
      <w:pPr>
        <w:pStyle w:val="29"/>
        <w:rPr>
          <w:rFonts w:hAnsi="宋体"/>
          <w:color w:val="auto"/>
          <w:highlight w:val="none"/>
        </w:rPr>
      </w:pPr>
    </w:p>
    <w:p w14:paraId="3B0E67CD">
      <w:pPr>
        <w:pStyle w:val="29"/>
        <w:rPr>
          <w:rFonts w:hAnsi="宋体"/>
          <w:color w:val="auto"/>
          <w:highlight w:val="none"/>
        </w:rPr>
      </w:pPr>
    </w:p>
    <w:p w14:paraId="33C566DF">
      <w:pPr>
        <w:pStyle w:val="29"/>
        <w:rPr>
          <w:rFonts w:hAnsi="宋体"/>
          <w:color w:val="auto"/>
          <w:highlight w:val="none"/>
        </w:rPr>
      </w:pPr>
    </w:p>
    <w:p w14:paraId="00A26149">
      <w:pPr>
        <w:pStyle w:val="11"/>
        <w:jc w:val="left"/>
        <w:rPr>
          <w:rFonts w:ascii="Arial Unicode MS" w:hAnsi="Arial Unicode MS" w:eastAsia="Arial Unicode MS" w:cs="Arial Unicode MS"/>
          <w:color w:val="auto"/>
          <w:sz w:val="32"/>
          <w:szCs w:val="32"/>
          <w:highlight w:val="none"/>
        </w:rPr>
      </w:pPr>
      <w:r>
        <w:rPr>
          <w:rFonts w:hint="eastAsia" w:ascii="微软雅黑" w:hAnsi="微软雅黑" w:eastAsia="微软雅黑" w:cs="微软雅黑"/>
          <w:color w:val="auto"/>
          <w:sz w:val="32"/>
          <w:szCs w:val="32"/>
          <w:highlight w:val="none"/>
        </w:rPr>
        <w:t>附件</w:t>
      </w:r>
      <w:r>
        <w:rPr>
          <w:rFonts w:hint="eastAsia" w:ascii="Arial Unicode MS" w:hAnsi="Arial Unicode MS" w:eastAsia="Arial Unicode MS" w:cs="Arial Unicode MS"/>
          <w:color w:val="auto"/>
          <w:sz w:val="32"/>
          <w:szCs w:val="32"/>
          <w:highlight w:val="none"/>
        </w:rPr>
        <w:t>1</w:t>
      </w:r>
      <w:r>
        <w:rPr>
          <w:rFonts w:hint="eastAsia" w:ascii="微软雅黑" w:hAnsi="微软雅黑" w:eastAsia="微软雅黑" w:cs="微软雅黑"/>
          <w:color w:val="auto"/>
          <w:sz w:val="32"/>
          <w:szCs w:val="32"/>
          <w:highlight w:val="none"/>
        </w:rPr>
        <w:t>：</w:t>
      </w:r>
    </w:p>
    <w:p w14:paraId="241D7147">
      <w:pPr>
        <w:spacing w:line="528" w:lineRule="exact"/>
        <w:ind w:left="1871"/>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19"/>
        <w:tblW w:w="8996" w:type="dxa"/>
        <w:tblInd w:w="250" w:type="dxa"/>
        <w:tblLayout w:type="fixed"/>
        <w:tblCellMar>
          <w:top w:w="0" w:type="dxa"/>
          <w:left w:w="108" w:type="dxa"/>
          <w:bottom w:w="0" w:type="dxa"/>
          <w:right w:w="108" w:type="dxa"/>
        </w:tblCellMar>
      </w:tblPr>
      <w:tblGrid>
        <w:gridCol w:w="1918"/>
        <w:gridCol w:w="1559"/>
        <w:gridCol w:w="1029"/>
        <w:gridCol w:w="1825"/>
        <w:gridCol w:w="1622"/>
        <w:gridCol w:w="1043"/>
      </w:tblGrid>
      <w:tr w14:paraId="12C4B2BD">
        <w:tblPrEx>
          <w:tblCellMar>
            <w:top w:w="0" w:type="dxa"/>
            <w:left w:w="108" w:type="dxa"/>
            <w:bottom w:w="0" w:type="dxa"/>
            <w:right w:w="108" w:type="dxa"/>
          </w:tblCellMar>
        </w:tblPrEx>
        <w:trPr>
          <w:trHeight w:val="881" w:hRule="atLeast"/>
        </w:trPr>
        <w:tc>
          <w:tcPr>
            <w:tcW w:w="1918" w:type="dxa"/>
            <w:tcBorders>
              <w:top w:val="single" w:color="auto" w:sz="4" w:space="0"/>
              <w:left w:val="single" w:color="auto" w:sz="4" w:space="0"/>
              <w:bottom w:val="single" w:color="auto" w:sz="4" w:space="0"/>
              <w:right w:val="single" w:color="auto" w:sz="4" w:space="0"/>
            </w:tcBorders>
            <w:vAlign w:val="center"/>
          </w:tcPr>
          <w:p w14:paraId="7432E110">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559" w:type="dxa"/>
            <w:tcBorders>
              <w:top w:val="single" w:color="auto" w:sz="4" w:space="0"/>
              <w:left w:val="nil"/>
              <w:bottom w:val="single" w:color="auto" w:sz="4" w:space="0"/>
              <w:right w:val="single" w:color="auto" w:sz="4" w:space="0"/>
            </w:tcBorders>
            <w:vAlign w:val="center"/>
          </w:tcPr>
          <w:p w14:paraId="46987337">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1029" w:type="dxa"/>
            <w:tcBorders>
              <w:top w:val="single" w:color="auto" w:sz="4" w:space="0"/>
              <w:left w:val="nil"/>
              <w:bottom w:val="single" w:color="auto" w:sz="4" w:space="0"/>
              <w:right w:val="single" w:color="auto" w:sz="4" w:space="0"/>
            </w:tcBorders>
            <w:vAlign w:val="center"/>
          </w:tcPr>
          <w:p w14:paraId="4F8B05E8">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25" w:type="dxa"/>
            <w:tcBorders>
              <w:top w:val="single" w:color="auto" w:sz="4" w:space="0"/>
              <w:left w:val="nil"/>
              <w:bottom w:val="single" w:color="auto" w:sz="4" w:space="0"/>
              <w:right w:val="single" w:color="auto" w:sz="4" w:space="0"/>
            </w:tcBorders>
            <w:vAlign w:val="center"/>
          </w:tcPr>
          <w:p w14:paraId="7D78BD41">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622" w:type="dxa"/>
            <w:tcBorders>
              <w:top w:val="single" w:color="auto" w:sz="4" w:space="0"/>
              <w:left w:val="nil"/>
              <w:bottom w:val="single" w:color="auto" w:sz="4" w:space="0"/>
              <w:right w:val="single" w:color="auto" w:sz="4" w:space="0"/>
            </w:tcBorders>
            <w:vAlign w:val="center"/>
          </w:tcPr>
          <w:p w14:paraId="4EDFFA19">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043" w:type="dxa"/>
            <w:tcBorders>
              <w:top w:val="single" w:color="auto" w:sz="4" w:space="0"/>
              <w:left w:val="nil"/>
              <w:bottom w:val="single" w:color="auto" w:sz="4" w:space="0"/>
              <w:right w:val="single" w:color="auto" w:sz="4" w:space="0"/>
            </w:tcBorders>
            <w:vAlign w:val="center"/>
          </w:tcPr>
          <w:p w14:paraId="78614D0A">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323B7BAD">
        <w:tblPrEx>
          <w:tblCellMar>
            <w:top w:w="0" w:type="dxa"/>
            <w:left w:w="108" w:type="dxa"/>
            <w:bottom w:w="0" w:type="dxa"/>
            <w:right w:w="108" w:type="dxa"/>
          </w:tblCellMar>
        </w:tblPrEx>
        <w:trPr>
          <w:trHeight w:val="339" w:hRule="atLeast"/>
        </w:trPr>
        <w:tc>
          <w:tcPr>
            <w:tcW w:w="1918" w:type="dxa"/>
            <w:tcBorders>
              <w:top w:val="nil"/>
              <w:left w:val="single" w:color="auto" w:sz="4" w:space="0"/>
              <w:bottom w:val="single" w:color="auto" w:sz="4" w:space="0"/>
              <w:right w:val="single" w:color="auto" w:sz="4" w:space="0"/>
            </w:tcBorders>
            <w:vAlign w:val="center"/>
          </w:tcPr>
          <w:p w14:paraId="00A91F26">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559" w:type="dxa"/>
            <w:tcBorders>
              <w:top w:val="nil"/>
              <w:left w:val="nil"/>
              <w:bottom w:val="single" w:color="auto" w:sz="4" w:space="0"/>
              <w:right w:val="single" w:color="auto" w:sz="4" w:space="0"/>
            </w:tcBorders>
            <w:vAlign w:val="center"/>
          </w:tcPr>
          <w:p w14:paraId="32FD3BB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29" w:type="dxa"/>
            <w:tcBorders>
              <w:top w:val="nil"/>
              <w:left w:val="nil"/>
              <w:bottom w:val="single" w:color="auto" w:sz="4" w:space="0"/>
              <w:right w:val="single" w:color="auto" w:sz="4" w:space="0"/>
            </w:tcBorders>
            <w:vAlign w:val="center"/>
          </w:tcPr>
          <w:p w14:paraId="1F7E641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25" w:type="dxa"/>
            <w:tcBorders>
              <w:top w:val="nil"/>
              <w:left w:val="nil"/>
              <w:bottom w:val="single" w:color="auto" w:sz="4" w:space="0"/>
              <w:right w:val="single" w:color="auto" w:sz="4" w:space="0"/>
            </w:tcBorders>
            <w:vAlign w:val="center"/>
          </w:tcPr>
          <w:p w14:paraId="3EB3760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622" w:type="dxa"/>
            <w:tcBorders>
              <w:top w:val="nil"/>
              <w:left w:val="nil"/>
              <w:bottom w:val="single" w:color="auto" w:sz="4" w:space="0"/>
              <w:right w:val="single" w:color="auto" w:sz="4" w:space="0"/>
            </w:tcBorders>
            <w:vAlign w:val="center"/>
          </w:tcPr>
          <w:p w14:paraId="6234290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043" w:type="dxa"/>
            <w:tcBorders>
              <w:top w:val="nil"/>
              <w:left w:val="nil"/>
              <w:bottom w:val="single" w:color="auto" w:sz="4" w:space="0"/>
              <w:right w:val="single" w:color="auto" w:sz="4" w:space="0"/>
            </w:tcBorders>
            <w:vAlign w:val="center"/>
          </w:tcPr>
          <w:p w14:paraId="0B4C820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3747651B">
        <w:tblPrEx>
          <w:tblCellMar>
            <w:top w:w="0" w:type="dxa"/>
            <w:left w:w="108" w:type="dxa"/>
            <w:bottom w:w="0" w:type="dxa"/>
            <w:right w:w="108" w:type="dxa"/>
          </w:tblCellMar>
        </w:tblPrEx>
        <w:trPr>
          <w:trHeight w:val="339" w:hRule="atLeast"/>
        </w:trPr>
        <w:tc>
          <w:tcPr>
            <w:tcW w:w="1918" w:type="dxa"/>
            <w:vMerge w:val="restart"/>
            <w:tcBorders>
              <w:top w:val="nil"/>
              <w:left w:val="single" w:color="auto" w:sz="4" w:space="0"/>
              <w:bottom w:val="single" w:color="auto" w:sz="4" w:space="0"/>
              <w:right w:val="single" w:color="auto" w:sz="4" w:space="0"/>
            </w:tcBorders>
            <w:vAlign w:val="center"/>
          </w:tcPr>
          <w:p w14:paraId="561FEA6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559" w:type="dxa"/>
            <w:tcBorders>
              <w:top w:val="nil"/>
              <w:left w:val="nil"/>
              <w:bottom w:val="single" w:color="auto" w:sz="4" w:space="0"/>
              <w:right w:val="single" w:color="auto" w:sz="4" w:space="0"/>
            </w:tcBorders>
            <w:vAlign w:val="center"/>
          </w:tcPr>
          <w:p w14:paraId="62D6959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29" w:type="dxa"/>
            <w:tcBorders>
              <w:top w:val="nil"/>
              <w:left w:val="nil"/>
              <w:bottom w:val="single" w:color="auto" w:sz="4" w:space="0"/>
              <w:right w:val="single" w:color="auto" w:sz="4" w:space="0"/>
            </w:tcBorders>
            <w:vAlign w:val="center"/>
          </w:tcPr>
          <w:p w14:paraId="2F00D3F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25" w:type="dxa"/>
            <w:tcBorders>
              <w:top w:val="nil"/>
              <w:left w:val="nil"/>
              <w:bottom w:val="single" w:color="auto" w:sz="4" w:space="0"/>
              <w:right w:val="single" w:color="auto" w:sz="4" w:space="0"/>
            </w:tcBorders>
            <w:vAlign w:val="center"/>
          </w:tcPr>
          <w:p w14:paraId="0C14995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22" w:type="dxa"/>
            <w:tcBorders>
              <w:top w:val="nil"/>
              <w:left w:val="nil"/>
              <w:bottom w:val="single" w:color="auto" w:sz="4" w:space="0"/>
              <w:right w:val="single" w:color="auto" w:sz="4" w:space="0"/>
            </w:tcBorders>
            <w:vAlign w:val="center"/>
          </w:tcPr>
          <w:p w14:paraId="4AE7A6E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43" w:type="dxa"/>
            <w:tcBorders>
              <w:top w:val="nil"/>
              <w:left w:val="nil"/>
              <w:bottom w:val="single" w:color="auto" w:sz="4" w:space="0"/>
              <w:right w:val="single" w:color="auto" w:sz="4" w:space="0"/>
            </w:tcBorders>
            <w:vAlign w:val="center"/>
          </w:tcPr>
          <w:p w14:paraId="4266E1B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62A2B1F4">
        <w:tblPrEx>
          <w:tblCellMar>
            <w:top w:w="0" w:type="dxa"/>
            <w:left w:w="108" w:type="dxa"/>
            <w:bottom w:w="0" w:type="dxa"/>
            <w:right w:w="108" w:type="dxa"/>
          </w:tblCellMar>
        </w:tblPrEx>
        <w:trPr>
          <w:trHeight w:val="339" w:hRule="atLeast"/>
        </w:trPr>
        <w:tc>
          <w:tcPr>
            <w:tcW w:w="1918" w:type="dxa"/>
            <w:vMerge w:val="continue"/>
            <w:tcBorders>
              <w:top w:val="nil"/>
              <w:left w:val="single" w:color="auto" w:sz="4" w:space="0"/>
              <w:bottom w:val="single" w:color="auto" w:sz="4" w:space="0"/>
              <w:right w:val="single" w:color="auto" w:sz="4" w:space="0"/>
            </w:tcBorders>
            <w:vAlign w:val="center"/>
          </w:tcPr>
          <w:p w14:paraId="36BE08B1">
            <w:pPr>
              <w:widowControl/>
              <w:jc w:val="left"/>
              <w:rPr>
                <w:rFonts w:ascii="仿宋_GB2312" w:hAnsi="仿宋" w:eastAsia="仿宋_GB2312" w:cs="宋体"/>
                <w:b/>
                <w:bCs/>
                <w:color w:val="auto"/>
                <w:kern w:val="0"/>
                <w:sz w:val="18"/>
                <w:szCs w:val="18"/>
                <w:highlight w:val="none"/>
              </w:rPr>
            </w:pPr>
          </w:p>
        </w:tc>
        <w:tc>
          <w:tcPr>
            <w:tcW w:w="1559" w:type="dxa"/>
            <w:tcBorders>
              <w:top w:val="nil"/>
              <w:left w:val="nil"/>
              <w:bottom w:val="single" w:color="auto" w:sz="4" w:space="0"/>
              <w:right w:val="single" w:color="auto" w:sz="4" w:space="0"/>
            </w:tcBorders>
            <w:vAlign w:val="center"/>
          </w:tcPr>
          <w:p w14:paraId="67A39D6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29" w:type="dxa"/>
            <w:tcBorders>
              <w:top w:val="nil"/>
              <w:left w:val="nil"/>
              <w:bottom w:val="single" w:color="auto" w:sz="4" w:space="0"/>
              <w:right w:val="single" w:color="auto" w:sz="4" w:space="0"/>
            </w:tcBorders>
            <w:vAlign w:val="center"/>
          </w:tcPr>
          <w:p w14:paraId="53A9669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25" w:type="dxa"/>
            <w:tcBorders>
              <w:top w:val="nil"/>
              <w:left w:val="nil"/>
              <w:bottom w:val="single" w:color="auto" w:sz="4" w:space="0"/>
              <w:right w:val="single" w:color="auto" w:sz="4" w:space="0"/>
            </w:tcBorders>
            <w:vAlign w:val="center"/>
          </w:tcPr>
          <w:p w14:paraId="71DB245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622" w:type="dxa"/>
            <w:tcBorders>
              <w:top w:val="nil"/>
              <w:left w:val="nil"/>
              <w:bottom w:val="single" w:color="auto" w:sz="4" w:space="0"/>
              <w:right w:val="single" w:color="auto" w:sz="4" w:space="0"/>
            </w:tcBorders>
            <w:vAlign w:val="center"/>
          </w:tcPr>
          <w:p w14:paraId="4AB38F6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043" w:type="dxa"/>
            <w:tcBorders>
              <w:top w:val="nil"/>
              <w:left w:val="nil"/>
              <w:bottom w:val="single" w:color="auto" w:sz="4" w:space="0"/>
              <w:right w:val="single" w:color="auto" w:sz="4" w:space="0"/>
            </w:tcBorders>
            <w:vAlign w:val="center"/>
          </w:tcPr>
          <w:p w14:paraId="58A3FD0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637C4518">
        <w:tblPrEx>
          <w:tblCellMar>
            <w:top w:w="0" w:type="dxa"/>
            <w:left w:w="108" w:type="dxa"/>
            <w:bottom w:w="0" w:type="dxa"/>
            <w:right w:w="108" w:type="dxa"/>
          </w:tblCellMar>
        </w:tblPrEx>
        <w:trPr>
          <w:trHeight w:val="339" w:hRule="atLeast"/>
        </w:trPr>
        <w:tc>
          <w:tcPr>
            <w:tcW w:w="1918" w:type="dxa"/>
            <w:vMerge w:val="restart"/>
            <w:tcBorders>
              <w:top w:val="nil"/>
              <w:left w:val="single" w:color="auto" w:sz="4" w:space="0"/>
              <w:bottom w:val="single" w:color="auto" w:sz="4" w:space="0"/>
              <w:right w:val="single" w:color="auto" w:sz="4" w:space="0"/>
            </w:tcBorders>
            <w:vAlign w:val="center"/>
          </w:tcPr>
          <w:p w14:paraId="1621CF9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559" w:type="dxa"/>
            <w:tcBorders>
              <w:top w:val="nil"/>
              <w:left w:val="nil"/>
              <w:bottom w:val="single" w:color="auto" w:sz="4" w:space="0"/>
              <w:right w:val="single" w:color="auto" w:sz="4" w:space="0"/>
            </w:tcBorders>
            <w:vAlign w:val="center"/>
          </w:tcPr>
          <w:p w14:paraId="77ED28A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29" w:type="dxa"/>
            <w:tcBorders>
              <w:top w:val="nil"/>
              <w:left w:val="nil"/>
              <w:bottom w:val="single" w:color="auto" w:sz="4" w:space="0"/>
              <w:right w:val="single" w:color="auto" w:sz="4" w:space="0"/>
            </w:tcBorders>
            <w:vAlign w:val="center"/>
          </w:tcPr>
          <w:p w14:paraId="08F2E2B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25" w:type="dxa"/>
            <w:tcBorders>
              <w:top w:val="nil"/>
              <w:left w:val="nil"/>
              <w:bottom w:val="single" w:color="auto" w:sz="4" w:space="0"/>
              <w:right w:val="single" w:color="auto" w:sz="4" w:space="0"/>
            </w:tcBorders>
            <w:vAlign w:val="center"/>
          </w:tcPr>
          <w:p w14:paraId="77B25B4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622" w:type="dxa"/>
            <w:tcBorders>
              <w:top w:val="nil"/>
              <w:left w:val="nil"/>
              <w:bottom w:val="single" w:color="auto" w:sz="4" w:space="0"/>
              <w:right w:val="single" w:color="auto" w:sz="4" w:space="0"/>
            </w:tcBorders>
            <w:vAlign w:val="center"/>
          </w:tcPr>
          <w:p w14:paraId="2E3E21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043" w:type="dxa"/>
            <w:tcBorders>
              <w:top w:val="nil"/>
              <w:left w:val="nil"/>
              <w:bottom w:val="single" w:color="auto" w:sz="4" w:space="0"/>
              <w:right w:val="single" w:color="auto" w:sz="4" w:space="0"/>
            </w:tcBorders>
            <w:vAlign w:val="center"/>
          </w:tcPr>
          <w:p w14:paraId="6185AA7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4D8333C0">
        <w:tblPrEx>
          <w:tblCellMar>
            <w:top w:w="0" w:type="dxa"/>
            <w:left w:w="108" w:type="dxa"/>
            <w:bottom w:w="0" w:type="dxa"/>
            <w:right w:w="108" w:type="dxa"/>
          </w:tblCellMar>
        </w:tblPrEx>
        <w:trPr>
          <w:trHeight w:val="339" w:hRule="atLeast"/>
        </w:trPr>
        <w:tc>
          <w:tcPr>
            <w:tcW w:w="1918" w:type="dxa"/>
            <w:vMerge w:val="continue"/>
            <w:tcBorders>
              <w:top w:val="nil"/>
              <w:left w:val="single" w:color="auto" w:sz="4" w:space="0"/>
              <w:bottom w:val="single" w:color="auto" w:sz="4" w:space="0"/>
              <w:right w:val="single" w:color="auto" w:sz="4" w:space="0"/>
            </w:tcBorders>
            <w:vAlign w:val="center"/>
          </w:tcPr>
          <w:p w14:paraId="538CD707">
            <w:pPr>
              <w:widowControl/>
              <w:jc w:val="left"/>
              <w:rPr>
                <w:rFonts w:ascii="仿宋_GB2312" w:hAnsi="仿宋" w:eastAsia="仿宋_GB2312" w:cs="宋体"/>
                <w:b/>
                <w:bCs/>
                <w:color w:val="auto"/>
                <w:kern w:val="0"/>
                <w:sz w:val="18"/>
                <w:szCs w:val="18"/>
                <w:highlight w:val="none"/>
              </w:rPr>
            </w:pPr>
          </w:p>
        </w:tc>
        <w:tc>
          <w:tcPr>
            <w:tcW w:w="1559" w:type="dxa"/>
            <w:tcBorders>
              <w:top w:val="nil"/>
              <w:left w:val="nil"/>
              <w:bottom w:val="single" w:color="auto" w:sz="4" w:space="0"/>
              <w:right w:val="single" w:color="auto" w:sz="4" w:space="0"/>
            </w:tcBorders>
            <w:vAlign w:val="center"/>
          </w:tcPr>
          <w:p w14:paraId="2114AC3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29" w:type="dxa"/>
            <w:tcBorders>
              <w:top w:val="nil"/>
              <w:left w:val="nil"/>
              <w:bottom w:val="single" w:color="auto" w:sz="4" w:space="0"/>
              <w:right w:val="single" w:color="auto" w:sz="4" w:space="0"/>
            </w:tcBorders>
            <w:vAlign w:val="center"/>
          </w:tcPr>
          <w:p w14:paraId="19A3191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25" w:type="dxa"/>
            <w:tcBorders>
              <w:top w:val="nil"/>
              <w:left w:val="nil"/>
              <w:bottom w:val="single" w:color="auto" w:sz="4" w:space="0"/>
              <w:right w:val="single" w:color="auto" w:sz="4" w:space="0"/>
            </w:tcBorders>
            <w:vAlign w:val="center"/>
          </w:tcPr>
          <w:p w14:paraId="5230935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622" w:type="dxa"/>
            <w:tcBorders>
              <w:top w:val="nil"/>
              <w:left w:val="nil"/>
              <w:bottom w:val="single" w:color="auto" w:sz="4" w:space="0"/>
              <w:right w:val="single" w:color="auto" w:sz="4" w:space="0"/>
            </w:tcBorders>
            <w:vAlign w:val="center"/>
          </w:tcPr>
          <w:p w14:paraId="10BA370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043" w:type="dxa"/>
            <w:tcBorders>
              <w:top w:val="nil"/>
              <w:left w:val="nil"/>
              <w:bottom w:val="single" w:color="auto" w:sz="4" w:space="0"/>
              <w:right w:val="single" w:color="auto" w:sz="4" w:space="0"/>
            </w:tcBorders>
            <w:vAlign w:val="center"/>
          </w:tcPr>
          <w:p w14:paraId="091DE8C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4A8E4896">
        <w:tblPrEx>
          <w:tblCellMar>
            <w:top w:w="0" w:type="dxa"/>
            <w:left w:w="108" w:type="dxa"/>
            <w:bottom w:w="0" w:type="dxa"/>
            <w:right w:w="108" w:type="dxa"/>
          </w:tblCellMar>
        </w:tblPrEx>
        <w:trPr>
          <w:trHeight w:val="339" w:hRule="atLeast"/>
        </w:trPr>
        <w:tc>
          <w:tcPr>
            <w:tcW w:w="1918" w:type="dxa"/>
            <w:vMerge w:val="restart"/>
            <w:tcBorders>
              <w:top w:val="nil"/>
              <w:left w:val="single" w:color="auto" w:sz="4" w:space="0"/>
              <w:bottom w:val="single" w:color="auto" w:sz="4" w:space="0"/>
              <w:right w:val="single" w:color="auto" w:sz="4" w:space="0"/>
            </w:tcBorders>
            <w:vAlign w:val="center"/>
          </w:tcPr>
          <w:p w14:paraId="6E92478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559" w:type="dxa"/>
            <w:tcBorders>
              <w:top w:val="nil"/>
              <w:left w:val="nil"/>
              <w:bottom w:val="single" w:color="auto" w:sz="4" w:space="0"/>
              <w:right w:val="single" w:color="auto" w:sz="4" w:space="0"/>
            </w:tcBorders>
            <w:vAlign w:val="center"/>
          </w:tcPr>
          <w:p w14:paraId="68F0B93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29" w:type="dxa"/>
            <w:tcBorders>
              <w:top w:val="nil"/>
              <w:left w:val="nil"/>
              <w:bottom w:val="single" w:color="auto" w:sz="4" w:space="0"/>
              <w:right w:val="single" w:color="auto" w:sz="4" w:space="0"/>
            </w:tcBorders>
            <w:vAlign w:val="center"/>
          </w:tcPr>
          <w:p w14:paraId="4082FA5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25" w:type="dxa"/>
            <w:tcBorders>
              <w:top w:val="nil"/>
              <w:left w:val="nil"/>
              <w:bottom w:val="single" w:color="auto" w:sz="4" w:space="0"/>
              <w:right w:val="single" w:color="auto" w:sz="4" w:space="0"/>
            </w:tcBorders>
            <w:vAlign w:val="center"/>
          </w:tcPr>
          <w:p w14:paraId="2FB4ECA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622" w:type="dxa"/>
            <w:tcBorders>
              <w:top w:val="nil"/>
              <w:left w:val="nil"/>
              <w:bottom w:val="single" w:color="auto" w:sz="4" w:space="0"/>
              <w:right w:val="single" w:color="auto" w:sz="4" w:space="0"/>
            </w:tcBorders>
            <w:vAlign w:val="center"/>
          </w:tcPr>
          <w:p w14:paraId="7ABD06E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043" w:type="dxa"/>
            <w:tcBorders>
              <w:top w:val="nil"/>
              <w:left w:val="nil"/>
              <w:bottom w:val="single" w:color="auto" w:sz="4" w:space="0"/>
              <w:right w:val="single" w:color="auto" w:sz="4" w:space="0"/>
            </w:tcBorders>
            <w:vAlign w:val="center"/>
          </w:tcPr>
          <w:p w14:paraId="64C758E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0ABA181D">
        <w:tblPrEx>
          <w:tblCellMar>
            <w:top w:w="0" w:type="dxa"/>
            <w:left w:w="108" w:type="dxa"/>
            <w:bottom w:w="0" w:type="dxa"/>
            <w:right w:w="108" w:type="dxa"/>
          </w:tblCellMar>
        </w:tblPrEx>
        <w:trPr>
          <w:trHeight w:val="339" w:hRule="atLeast"/>
        </w:trPr>
        <w:tc>
          <w:tcPr>
            <w:tcW w:w="1918" w:type="dxa"/>
            <w:vMerge w:val="continue"/>
            <w:tcBorders>
              <w:top w:val="nil"/>
              <w:left w:val="single" w:color="auto" w:sz="4" w:space="0"/>
              <w:bottom w:val="single" w:color="auto" w:sz="4" w:space="0"/>
              <w:right w:val="single" w:color="auto" w:sz="4" w:space="0"/>
            </w:tcBorders>
            <w:vAlign w:val="center"/>
          </w:tcPr>
          <w:p w14:paraId="74ED6438">
            <w:pPr>
              <w:widowControl/>
              <w:jc w:val="left"/>
              <w:rPr>
                <w:rFonts w:ascii="仿宋_GB2312" w:hAnsi="仿宋" w:eastAsia="仿宋_GB2312" w:cs="宋体"/>
                <w:b/>
                <w:bCs/>
                <w:color w:val="auto"/>
                <w:kern w:val="0"/>
                <w:sz w:val="18"/>
                <w:szCs w:val="18"/>
                <w:highlight w:val="none"/>
              </w:rPr>
            </w:pPr>
          </w:p>
        </w:tc>
        <w:tc>
          <w:tcPr>
            <w:tcW w:w="1559" w:type="dxa"/>
            <w:tcBorders>
              <w:top w:val="nil"/>
              <w:left w:val="nil"/>
              <w:bottom w:val="single" w:color="auto" w:sz="4" w:space="0"/>
              <w:right w:val="single" w:color="auto" w:sz="4" w:space="0"/>
            </w:tcBorders>
            <w:vAlign w:val="center"/>
          </w:tcPr>
          <w:p w14:paraId="11FED5B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29" w:type="dxa"/>
            <w:tcBorders>
              <w:top w:val="nil"/>
              <w:left w:val="nil"/>
              <w:bottom w:val="single" w:color="auto" w:sz="4" w:space="0"/>
              <w:right w:val="single" w:color="auto" w:sz="4" w:space="0"/>
            </w:tcBorders>
            <w:vAlign w:val="center"/>
          </w:tcPr>
          <w:p w14:paraId="76B08FE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25" w:type="dxa"/>
            <w:tcBorders>
              <w:top w:val="nil"/>
              <w:left w:val="nil"/>
              <w:bottom w:val="single" w:color="auto" w:sz="4" w:space="0"/>
              <w:right w:val="single" w:color="auto" w:sz="4" w:space="0"/>
            </w:tcBorders>
            <w:vAlign w:val="center"/>
          </w:tcPr>
          <w:p w14:paraId="0C5EDDF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622" w:type="dxa"/>
            <w:tcBorders>
              <w:top w:val="nil"/>
              <w:left w:val="nil"/>
              <w:bottom w:val="single" w:color="auto" w:sz="4" w:space="0"/>
              <w:right w:val="single" w:color="auto" w:sz="4" w:space="0"/>
            </w:tcBorders>
            <w:vAlign w:val="center"/>
          </w:tcPr>
          <w:p w14:paraId="747124F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043" w:type="dxa"/>
            <w:tcBorders>
              <w:top w:val="nil"/>
              <w:left w:val="nil"/>
              <w:bottom w:val="single" w:color="auto" w:sz="4" w:space="0"/>
              <w:right w:val="single" w:color="auto" w:sz="4" w:space="0"/>
            </w:tcBorders>
            <w:vAlign w:val="center"/>
          </w:tcPr>
          <w:p w14:paraId="65D3082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49AFCBAE">
        <w:tblPrEx>
          <w:tblCellMar>
            <w:top w:w="0" w:type="dxa"/>
            <w:left w:w="108" w:type="dxa"/>
            <w:bottom w:w="0" w:type="dxa"/>
            <w:right w:w="108" w:type="dxa"/>
          </w:tblCellMar>
        </w:tblPrEx>
        <w:trPr>
          <w:trHeight w:val="339" w:hRule="atLeast"/>
        </w:trPr>
        <w:tc>
          <w:tcPr>
            <w:tcW w:w="1918" w:type="dxa"/>
            <w:vMerge w:val="restart"/>
            <w:tcBorders>
              <w:top w:val="nil"/>
              <w:left w:val="single" w:color="auto" w:sz="4" w:space="0"/>
              <w:bottom w:val="single" w:color="auto" w:sz="4" w:space="0"/>
              <w:right w:val="single" w:color="auto" w:sz="4" w:space="0"/>
            </w:tcBorders>
            <w:vAlign w:val="center"/>
          </w:tcPr>
          <w:p w14:paraId="156B4FC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559" w:type="dxa"/>
            <w:tcBorders>
              <w:top w:val="nil"/>
              <w:left w:val="nil"/>
              <w:bottom w:val="single" w:color="auto" w:sz="4" w:space="0"/>
              <w:right w:val="single" w:color="auto" w:sz="4" w:space="0"/>
            </w:tcBorders>
            <w:vAlign w:val="center"/>
          </w:tcPr>
          <w:p w14:paraId="42C5CE4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29" w:type="dxa"/>
            <w:tcBorders>
              <w:top w:val="nil"/>
              <w:left w:val="nil"/>
              <w:bottom w:val="single" w:color="auto" w:sz="4" w:space="0"/>
              <w:right w:val="single" w:color="auto" w:sz="4" w:space="0"/>
            </w:tcBorders>
            <w:vAlign w:val="center"/>
          </w:tcPr>
          <w:p w14:paraId="3B35CDE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25" w:type="dxa"/>
            <w:tcBorders>
              <w:top w:val="nil"/>
              <w:left w:val="nil"/>
              <w:bottom w:val="single" w:color="auto" w:sz="4" w:space="0"/>
              <w:right w:val="single" w:color="auto" w:sz="4" w:space="0"/>
            </w:tcBorders>
            <w:vAlign w:val="center"/>
          </w:tcPr>
          <w:p w14:paraId="2ECFEE6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622" w:type="dxa"/>
            <w:tcBorders>
              <w:top w:val="nil"/>
              <w:left w:val="nil"/>
              <w:bottom w:val="single" w:color="auto" w:sz="4" w:space="0"/>
              <w:right w:val="single" w:color="auto" w:sz="4" w:space="0"/>
            </w:tcBorders>
            <w:vAlign w:val="center"/>
          </w:tcPr>
          <w:p w14:paraId="5CBCA4B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043" w:type="dxa"/>
            <w:tcBorders>
              <w:top w:val="nil"/>
              <w:left w:val="nil"/>
              <w:bottom w:val="single" w:color="auto" w:sz="4" w:space="0"/>
              <w:right w:val="single" w:color="auto" w:sz="4" w:space="0"/>
            </w:tcBorders>
            <w:vAlign w:val="center"/>
          </w:tcPr>
          <w:p w14:paraId="30EF345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7AA8C0F">
        <w:tblPrEx>
          <w:tblCellMar>
            <w:top w:w="0" w:type="dxa"/>
            <w:left w:w="108" w:type="dxa"/>
            <w:bottom w:w="0" w:type="dxa"/>
            <w:right w:w="108" w:type="dxa"/>
          </w:tblCellMar>
        </w:tblPrEx>
        <w:trPr>
          <w:trHeight w:val="339" w:hRule="atLeast"/>
        </w:trPr>
        <w:tc>
          <w:tcPr>
            <w:tcW w:w="1918" w:type="dxa"/>
            <w:vMerge w:val="continue"/>
            <w:tcBorders>
              <w:top w:val="nil"/>
              <w:left w:val="single" w:color="auto" w:sz="4" w:space="0"/>
              <w:bottom w:val="single" w:color="auto" w:sz="4" w:space="0"/>
              <w:right w:val="single" w:color="auto" w:sz="4" w:space="0"/>
            </w:tcBorders>
            <w:vAlign w:val="center"/>
          </w:tcPr>
          <w:p w14:paraId="5336E0E3">
            <w:pPr>
              <w:widowControl/>
              <w:jc w:val="left"/>
              <w:rPr>
                <w:rFonts w:ascii="仿宋_GB2312" w:hAnsi="仿宋" w:eastAsia="仿宋_GB2312" w:cs="宋体"/>
                <w:b/>
                <w:bCs/>
                <w:color w:val="auto"/>
                <w:kern w:val="0"/>
                <w:sz w:val="18"/>
                <w:szCs w:val="18"/>
                <w:highlight w:val="none"/>
              </w:rPr>
            </w:pPr>
          </w:p>
        </w:tc>
        <w:tc>
          <w:tcPr>
            <w:tcW w:w="1559" w:type="dxa"/>
            <w:tcBorders>
              <w:top w:val="nil"/>
              <w:left w:val="nil"/>
              <w:bottom w:val="single" w:color="auto" w:sz="4" w:space="0"/>
              <w:right w:val="single" w:color="auto" w:sz="4" w:space="0"/>
            </w:tcBorders>
            <w:vAlign w:val="center"/>
          </w:tcPr>
          <w:p w14:paraId="42755C1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29" w:type="dxa"/>
            <w:tcBorders>
              <w:top w:val="nil"/>
              <w:left w:val="nil"/>
              <w:bottom w:val="single" w:color="auto" w:sz="4" w:space="0"/>
              <w:right w:val="single" w:color="auto" w:sz="4" w:space="0"/>
            </w:tcBorders>
            <w:vAlign w:val="center"/>
          </w:tcPr>
          <w:p w14:paraId="3441C02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25" w:type="dxa"/>
            <w:tcBorders>
              <w:top w:val="nil"/>
              <w:left w:val="nil"/>
              <w:bottom w:val="single" w:color="auto" w:sz="4" w:space="0"/>
              <w:right w:val="single" w:color="auto" w:sz="4" w:space="0"/>
            </w:tcBorders>
            <w:vAlign w:val="center"/>
          </w:tcPr>
          <w:p w14:paraId="54B4503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622" w:type="dxa"/>
            <w:tcBorders>
              <w:top w:val="nil"/>
              <w:left w:val="nil"/>
              <w:bottom w:val="single" w:color="auto" w:sz="4" w:space="0"/>
              <w:right w:val="single" w:color="auto" w:sz="4" w:space="0"/>
            </w:tcBorders>
            <w:vAlign w:val="center"/>
          </w:tcPr>
          <w:p w14:paraId="516DDD5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043" w:type="dxa"/>
            <w:tcBorders>
              <w:top w:val="nil"/>
              <w:left w:val="nil"/>
              <w:bottom w:val="single" w:color="auto" w:sz="4" w:space="0"/>
              <w:right w:val="single" w:color="auto" w:sz="4" w:space="0"/>
            </w:tcBorders>
            <w:vAlign w:val="center"/>
          </w:tcPr>
          <w:p w14:paraId="027E16A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9B74DEE">
        <w:tblPrEx>
          <w:tblCellMar>
            <w:top w:w="0" w:type="dxa"/>
            <w:left w:w="108" w:type="dxa"/>
            <w:bottom w:w="0" w:type="dxa"/>
            <w:right w:w="108" w:type="dxa"/>
          </w:tblCellMar>
        </w:tblPrEx>
        <w:trPr>
          <w:trHeight w:val="339" w:hRule="atLeast"/>
        </w:trPr>
        <w:tc>
          <w:tcPr>
            <w:tcW w:w="1918" w:type="dxa"/>
            <w:vMerge w:val="restart"/>
            <w:tcBorders>
              <w:top w:val="nil"/>
              <w:left w:val="single" w:color="auto" w:sz="4" w:space="0"/>
              <w:bottom w:val="single" w:color="auto" w:sz="4" w:space="0"/>
              <w:right w:val="single" w:color="auto" w:sz="4" w:space="0"/>
            </w:tcBorders>
            <w:vAlign w:val="center"/>
          </w:tcPr>
          <w:p w14:paraId="46ED55E5">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559" w:type="dxa"/>
            <w:tcBorders>
              <w:top w:val="nil"/>
              <w:left w:val="nil"/>
              <w:bottom w:val="single" w:color="auto" w:sz="4" w:space="0"/>
              <w:right w:val="single" w:color="auto" w:sz="4" w:space="0"/>
            </w:tcBorders>
            <w:vAlign w:val="center"/>
          </w:tcPr>
          <w:p w14:paraId="4B790EB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29" w:type="dxa"/>
            <w:tcBorders>
              <w:top w:val="nil"/>
              <w:left w:val="nil"/>
              <w:bottom w:val="single" w:color="auto" w:sz="4" w:space="0"/>
              <w:right w:val="single" w:color="auto" w:sz="4" w:space="0"/>
            </w:tcBorders>
            <w:vAlign w:val="center"/>
          </w:tcPr>
          <w:p w14:paraId="78E121D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25" w:type="dxa"/>
            <w:tcBorders>
              <w:top w:val="nil"/>
              <w:left w:val="nil"/>
              <w:bottom w:val="single" w:color="auto" w:sz="4" w:space="0"/>
              <w:right w:val="single" w:color="auto" w:sz="4" w:space="0"/>
            </w:tcBorders>
            <w:vAlign w:val="center"/>
          </w:tcPr>
          <w:p w14:paraId="4EEAE3C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22" w:type="dxa"/>
            <w:tcBorders>
              <w:top w:val="nil"/>
              <w:left w:val="nil"/>
              <w:bottom w:val="single" w:color="auto" w:sz="4" w:space="0"/>
              <w:right w:val="single" w:color="auto" w:sz="4" w:space="0"/>
            </w:tcBorders>
            <w:vAlign w:val="center"/>
          </w:tcPr>
          <w:p w14:paraId="18BEDDB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43" w:type="dxa"/>
            <w:tcBorders>
              <w:top w:val="nil"/>
              <w:left w:val="nil"/>
              <w:bottom w:val="single" w:color="auto" w:sz="4" w:space="0"/>
              <w:right w:val="single" w:color="auto" w:sz="4" w:space="0"/>
            </w:tcBorders>
            <w:vAlign w:val="center"/>
          </w:tcPr>
          <w:p w14:paraId="3D029B2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7994D21">
        <w:tblPrEx>
          <w:tblCellMar>
            <w:top w:w="0" w:type="dxa"/>
            <w:left w:w="108" w:type="dxa"/>
            <w:bottom w:w="0" w:type="dxa"/>
            <w:right w:w="108" w:type="dxa"/>
          </w:tblCellMar>
        </w:tblPrEx>
        <w:trPr>
          <w:trHeight w:val="339" w:hRule="atLeast"/>
        </w:trPr>
        <w:tc>
          <w:tcPr>
            <w:tcW w:w="1918" w:type="dxa"/>
            <w:vMerge w:val="continue"/>
            <w:tcBorders>
              <w:top w:val="nil"/>
              <w:left w:val="single" w:color="auto" w:sz="4" w:space="0"/>
              <w:bottom w:val="single" w:color="auto" w:sz="4" w:space="0"/>
              <w:right w:val="single" w:color="auto" w:sz="4" w:space="0"/>
            </w:tcBorders>
            <w:vAlign w:val="center"/>
          </w:tcPr>
          <w:p w14:paraId="2E40C0CF">
            <w:pPr>
              <w:widowControl/>
              <w:jc w:val="left"/>
              <w:rPr>
                <w:rFonts w:ascii="仿宋_GB2312" w:hAnsi="仿宋" w:eastAsia="仿宋_GB2312" w:cs="宋体"/>
                <w:b/>
                <w:bCs/>
                <w:color w:val="auto"/>
                <w:kern w:val="0"/>
                <w:sz w:val="18"/>
                <w:szCs w:val="18"/>
                <w:highlight w:val="none"/>
              </w:rPr>
            </w:pPr>
          </w:p>
        </w:tc>
        <w:tc>
          <w:tcPr>
            <w:tcW w:w="1559" w:type="dxa"/>
            <w:tcBorders>
              <w:top w:val="nil"/>
              <w:left w:val="nil"/>
              <w:bottom w:val="single" w:color="auto" w:sz="4" w:space="0"/>
              <w:right w:val="single" w:color="auto" w:sz="4" w:space="0"/>
            </w:tcBorders>
            <w:vAlign w:val="center"/>
          </w:tcPr>
          <w:p w14:paraId="09CA8EB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29" w:type="dxa"/>
            <w:tcBorders>
              <w:top w:val="nil"/>
              <w:left w:val="nil"/>
              <w:bottom w:val="single" w:color="auto" w:sz="4" w:space="0"/>
              <w:right w:val="single" w:color="auto" w:sz="4" w:space="0"/>
            </w:tcBorders>
            <w:vAlign w:val="center"/>
          </w:tcPr>
          <w:p w14:paraId="1A566FA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25" w:type="dxa"/>
            <w:tcBorders>
              <w:top w:val="nil"/>
              <w:left w:val="nil"/>
              <w:bottom w:val="single" w:color="auto" w:sz="4" w:space="0"/>
              <w:right w:val="single" w:color="auto" w:sz="4" w:space="0"/>
            </w:tcBorders>
            <w:vAlign w:val="center"/>
          </w:tcPr>
          <w:p w14:paraId="066CC24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622" w:type="dxa"/>
            <w:tcBorders>
              <w:top w:val="nil"/>
              <w:left w:val="nil"/>
              <w:bottom w:val="single" w:color="auto" w:sz="4" w:space="0"/>
              <w:right w:val="single" w:color="auto" w:sz="4" w:space="0"/>
            </w:tcBorders>
            <w:vAlign w:val="center"/>
          </w:tcPr>
          <w:p w14:paraId="53F2C1C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043" w:type="dxa"/>
            <w:tcBorders>
              <w:top w:val="nil"/>
              <w:left w:val="nil"/>
              <w:bottom w:val="single" w:color="auto" w:sz="4" w:space="0"/>
              <w:right w:val="single" w:color="auto" w:sz="4" w:space="0"/>
            </w:tcBorders>
            <w:vAlign w:val="center"/>
          </w:tcPr>
          <w:p w14:paraId="5365C02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283962CC">
        <w:tblPrEx>
          <w:tblCellMar>
            <w:top w:w="0" w:type="dxa"/>
            <w:left w:w="108" w:type="dxa"/>
            <w:bottom w:w="0" w:type="dxa"/>
            <w:right w:w="108" w:type="dxa"/>
          </w:tblCellMar>
        </w:tblPrEx>
        <w:trPr>
          <w:trHeight w:val="339" w:hRule="atLeast"/>
        </w:trPr>
        <w:tc>
          <w:tcPr>
            <w:tcW w:w="1918" w:type="dxa"/>
            <w:vMerge w:val="restart"/>
            <w:tcBorders>
              <w:top w:val="nil"/>
              <w:left w:val="single" w:color="auto" w:sz="4" w:space="0"/>
              <w:bottom w:val="single" w:color="auto" w:sz="4" w:space="0"/>
              <w:right w:val="single" w:color="auto" w:sz="4" w:space="0"/>
            </w:tcBorders>
            <w:vAlign w:val="center"/>
          </w:tcPr>
          <w:p w14:paraId="4F03924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559" w:type="dxa"/>
            <w:tcBorders>
              <w:top w:val="nil"/>
              <w:left w:val="nil"/>
              <w:bottom w:val="single" w:color="auto" w:sz="4" w:space="0"/>
              <w:right w:val="single" w:color="auto" w:sz="4" w:space="0"/>
            </w:tcBorders>
            <w:vAlign w:val="center"/>
          </w:tcPr>
          <w:p w14:paraId="53965DE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29" w:type="dxa"/>
            <w:tcBorders>
              <w:top w:val="nil"/>
              <w:left w:val="nil"/>
              <w:bottom w:val="single" w:color="auto" w:sz="4" w:space="0"/>
              <w:right w:val="single" w:color="auto" w:sz="4" w:space="0"/>
            </w:tcBorders>
            <w:vAlign w:val="center"/>
          </w:tcPr>
          <w:p w14:paraId="023A168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25" w:type="dxa"/>
            <w:tcBorders>
              <w:top w:val="nil"/>
              <w:left w:val="nil"/>
              <w:bottom w:val="single" w:color="auto" w:sz="4" w:space="0"/>
              <w:right w:val="single" w:color="auto" w:sz="4" w:space="0"/>
            </w:tcBorders>
            <w:vAlign w:val="center"/>
          </w:tcPr>
          <w:p w14:paraId="2AC047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622" w:type="dxa"/>
            <w:tcBorders>
              <w:top w:val="nil"/>
              <w:left w:val="nil"/>
              <w:bottom w:val="single" w:color="auto" w:sz="4" w:space="0"/>
              <w:right w:val="single" w:color="auto" w:sz="4" w:space="0"/>
            </w:tcBorders>
            <w:vAlign w:val="center"/>
          </w:tcPr>
          <w:p w14:paraId="103D244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043" w:type="dxa"/>
            <w:tcBorders>
              <w:top w:val="nil"/>
              <w:left w:val="nil"/>
              <w:bottom w:val="single" w:color="auto" w:sz="4" w:space="0"/>
              <w:right w:val="single" w:color="auto" w:sz="4" w:space="0"/>
            </w:tcBorders>
            <w:vAlign w:val="center"/>
          </w:tcPr>
          <w:p w14:paraId="0C52B25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76D25DBB">
        <w:tblPrEx>
          <w:tblCellMar>
            <w:top w:w="0" w:type="dxa"/>
            <w:left w:w="108" w:type="dxa"/>
            <w:bottom w:w="0" w:type="dxa"/>
            <w:right w:w="108" w:type="dxa"/>
          </w:tblCellMar>
        </w:tblPrEx>
        <w:trPr>
          <w:trHeight w:val="339" w:hRule="atLeast"/>
        </w:trPr>
        <w:tc>
          <w:tcPr>
            <w:tcW w:w="1918" w:type="dxa"/>
            <w:vMerge w:val="continue"/>
            <w:tcBorders>
              <w:top w:val="nil"/>
              <w:left w:val="single" w:color="auto" w:sz="4" w:space="0"/>
              <w:bottom w:val="single" w:color="auto" w:sz="4" w:space="0"/>
              <w:right w:val="single" w:color="auto" w:sz="4" w:space="0"/>
            </w:tcBorders>
            <w:vAlign w:val="center"/>
          </w:tcPr>
          <w:p w14:paraId="21A50D8F">
            <w:pPr>
              <w:widowControl/>
              <w:jc w:val="left"/>
              <w:rPr>
                <w:rFonts w:ascii="仿宋_GB2312" w:hAnsi="仿宋" w:eastAsia="仿宋_GB2312" w:cs="宋体"/>
                <w:b/>
                <w:bCs/>
                <w:color w:val="auto"/>
                <w:kern w:val="0"/>
                <w:sz w:val="18"/>
                <w:szCs w:val="18"/>
                <w:highlight w:val="none"/>
              </w:rPr>
            </w:pPr>
          </w:p>
        </w:tc>
        <w:tc>
          <w:tcPr>
            <w:tcW w:w="1559" w:type="dxa"/>
            <w:tcBorders>
              <w:top w:val="nil"/>
              <w:left w:val="nil"/>
              <w:bottom w:val="single" w:color="auto" w:sz="4" w:space="0"/>
              <w:right w:val="single" w:color="auto" w:sz="4" w:space="0"/>
            </w:tcBorders>
            <w:vAlign w:val="center"/>
          </w:tcPr>
          <w:p w14:paraId="0C1A606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29" w:type="dxa"/>
            <w:tcBorders>
              <w:top w:val="nil"/>
              <w:left w:val="nil"/>
              <w:bottom w:val="single" w:color="auto" w:sz="4" w:space="0"/>
              <w:right w:val="single" w:color="auto" w:sz="4" w:space="0"/>
            </w:tcBorders>
            <w:vAlign w:val="center"/>
          </w:tcPr>
          <w:p w14:paraId="5B1BD80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25" w:type="dxa"/>
            <w:tcBorders>
              <w:top w:val="nil"/>
              <w:left w:val="nil"/>
              <w:bottom w:val="single" w:color="auto" w:sz="4" w:space="0"/>
              <w:right w:val="single" w:color="auto" w:sz="4" w:space="0"/>
            </w:tcBorders>
            <w:vAlign w:val="center"/>
          </w:tcPr>
          <w:p w14:paraId="02CE06C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622" w:type="dxa"/>
            <w:tcBorders>
              <w:top w:val="nil"/>
              <w:left w:val="nil"/>
              <w:bottom w:val="single" w:color="auto" w:sz="4" w:space="0"/>
              <w:right w:val="single" w:color="auto" w:sz="4" w:space="0"/>
            </w:tcBorders>
            <w:vAlign w:val="center"/>
          </w:tcPr>
          <w:p w14:paraId="1756B5C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043" w:type="dxa"/>
            <w:tcBorders>
              <w:top w:val="nil"/>
              <w:left w:val="nil"/>
              <w:bottom w:val="single" w:color="auto" w:sz="4" w:space="0"/>
              <w:right w:val="single" w:color="auto" w:sz="4" w:space="0"/>
            </w:tcBorders>
            <w:vAlign w:val="center"/>
          </w:tcPr>
          <w:p w14:paraId="083FC2A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CC718C1">
        <w:tblPrEx>
          <w:tblCellMar>
            <w:top w:w="0" w:type="dxa"/>
            <w:left w:w="108" w:type="dxa"/>
            <w:bottom w:w="0" w:type="dxa"/>
            <w:right w:w="108" w:type="dxa"/>
          </w:tblCellMar>
        </w:tblPrEx>
        <w:trPr>
          <w:trHeight w:val="339" w:hRule="atLeast"/>
        </w:trPr>
        <w:tc>
          <w:tcPr>
            <w:tcW w:w="1918" w:type="dxa"/>
            <w:vMerge w:val="restart"/>
            <w:tcBorders>
              <w:top w:val="nil"/>
              <w:left w:val="single" w:color="auto" w:sz="4" w:space="0"/>
              <w:bottom w:val="single" w:color="auto" w:sz="4" w:space="0"/>
              <w:right w:val="single" w:color="auto" w:sz="4" w:space="0"/>
            </w:tcBorders>
            <w:vAlign w:val="center"/>
          </w:tcPr>
          <w:p w14:paraId="32E827D2">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559" w:type="dxa"/>
            <w:tcBorders>
              <w:top w:val="nil"/>
              <w:left w:val="nil"/>
              <w:bottom w:val="single" w:color="auto" w:sz="4" w:space="0"/>
              <w:right w:val="single" w:color="auto" w:sz="4" w:space="0"/>
            </w:tcBorders>
            <w:vAlign w:val="center"/>
          </w:tcPr>
          <w:p w14:paraId="1A8E6C2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29" w:type="dxa"/>
            <w:tcBorders>
              <w:top w:val="nil"/>
              <w:left w:val="nil"/>
              <w:bottom w:val="single" w:color="auto" w:sz="4" w:space="0"/>
              <w:right w:val="single" w:color="auto" w:sz="4" w:space="0"/>
            </w:tcBorders>
            <w:vAlign w:val="center"/>
          </w:tcPr>
          <w:p w14:paraId="7E8B4E8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25" w:type="dxa"/>
            <w:tcBorders>
              <w:top w:val="nil"/>
              <w:left w:val="nil"/>
              <w:bottom w:val="single" w:color="auto" w:sz="4" w:space="0"/>
              <w:right w:val="single" w:color="auto" w:sz="4" w:space="0"/>
            </w:tcBorders>
            <w:vAlign w:val="center"/>
          </w:tcPr>
          <w:p w14:paraId="4A5CDD3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22" w:type="dxa"/>
            <w:tcBorders>
              <w:top w:val="nil"/>
              <w:left w:val="nil"/>
              <w:bottom w:val="single" w:color="auto" w:sz="4" w:space="0"/>
              <w:right w:val="single" w:color="auto" w:sz="4" w:space="0"/>
            </w:tcBorders>
            <w:vAlign w:val="center"/>
          </w:tcPr>
          <w:p w14:paraId="3E2335D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43" w:type="dxa"/>
            <w:tcBorders>
              <w:top w:val="nil"/>
              <w:left w:val="nil"/>
              <w:bottom w:val="single" w:color="auto" w:sz="4" w:space="0"/>
              <w:right w:val="single" w:color="auto" w:sz="4" w:space="0"/>
            </w:tcBorders>
            <w:vAlign w:val="center"/>
          </w:tcPr>
          <w:p w14:paraId="6047B54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33A5306D">
        <w:tblPrEx>
          <w:tblCellMar>
            <w:top w:w="0" w:type="dxa"/>
            <w:left w:w="108" w:type="dxa"/>
            <w:bottom w:w="0" w:type="dxa"/>
            <w:right w:w="108" w:type="dxa"/>
          </w:tblCellMar>
        </w:tblPrEx>
        <w:trPr>
          <w:trHeight w:val="339" w:hRule="atLeast"/>
        </w:trPr>
        <w:tc>
          <w:tcPr>
            <w:tcW w:w="1918" w:type="dxa"/>
            <w:vMerge w:val="continue"/>
            <w:tcBorders>
              <w:top w:val="nil"/>
              <w:left w:val="single" w:color="auto" w:sz="4" w:space="0"/>
              <w:bottom w:val="single" w:color="auto" w:sz="4" w:space="0"/>
              <w:right w:val="single" w:color="auto" w:sz="4" w:space="0"/>
            </w:tcBorders>
            <w:vAlign w:val="center"/>
          </w:tcPr>
          <w:p w14:paraId="1BF87613">
            <w:pPr>
              <w:widowControl/>
              <w:jc w:val="left"/>
              <w:rPr>
                <w:rFonts w:ascii="仿宋_GB2312" w:hAnsi="仿宋" w:eastAsia="仿宋_GB2312" w:cs="宋体"/>
                <w:b/>
                <w:bCs/>
                <w:color w:val="auto"/>
                <w:kern w:val="0"/>
                <w:sz w:val="18"/>
                <w:szCs w:val="18"/>
                <w:highlight w:val="none"/>
              </w:rPr>
            </w:pPr>
          </w:p>
        </w:tc>
        <w:tc>
          <w:tcPr>
            <w:tcW w:w="1559" w:type="dxa"/>
            <w:tcBorders>
              <w:top w:val="nil"/>
              <w:left w:val="nil"/>
              <w:bottom w:val="single" w:color="auto" w:sz="4" w:space="0"/>
              <w:right w:val="single" w:color="auto" w:sz="4" w:space="0"/>
            </w:tcBorders>
            <w:vAlign w:val="center"/>
          </w:tcPr>
          <w:p w14:paraId="708FBBC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29" w:type="dxa"/>
            <w:tcBorders>
              <w:top w:val="nil"/>
              <w:left w:val="nil"/>
              <w:bottom w:val="single" w:color="auto" w:sz="4" w:space="0"/>
              <w:right w:val="single" w:color="auto" w:sz="4" w:space="0"/>
            </w:tcBorders>
            <w:vAlign w:val="center"/>
          </w:tcPr>
          <w:p w14:paraId="782355C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25" w:type="dxa"/>
            <w:tcBorders>
              <w:top w:val="nil"/>
              <w:left w:val="nil"/>
              <w:bottom w:val="single" w:color="auto" w:sz="4" w:space="0"/>
              <w:right w:val="single" w:color="auto" w:sz="4" w:space="0"/>
            </w:tcBorders>
            <w:vAlign w:val="center"/>
          </w:tcPr>
          <w:p w14:paraId="2BF7BA4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622" w:type="dxa"/>
            <w:tcBorders>
              <w:top w:val="nil"/>
              <w:left w:val="nil"/>
              <w:bottom w:val="single" w:color="auto" w:sz="4" w:space="0"/>
              <w:right w:val="single" w:color="auto" w:sz="4" w:space="0"/>
            </w:tcBorders>
            <w:vAlign w:val="center"/>
          </w:tcPr>
          <w:p w14:paraId="55F2A70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43" w:type="dxa"/>
            <w:tcBorders>
              <w:top w:val="nil"/>
              <w:left w:val="nil"/>
              <w:bottom w:val="single" w:color="auto" w:sz="4" w:space="0"/>
              <w:right w:val="single" w:color="auto" w:sz="4" w:space="0"/>
            </w:tcBorders>
            <w:vAlign w:val="center"/>
          </w:tcPr>
          <w:p w14:paraId="6CF5E0E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12B2F14">
        <w:tblPrEx>
          <w:tblCellMar>
            <w:top w:w="0" w:type="dxa"/>
            <w:left w:w="108" w:type="dxa"/>
            <w:bottom w:w="0" w:type="dxa"/>
            <w:right w:w="108" w:type="dxa"/>
          </w:tblCellMar>
        </w:tblPrEx>
        <w:trPr>
          <w:trHeight w:val="339" w:hRule="atLeast"/>
        </w:trPr>
        <w:tc>
          <w:tcPr>
            <w:tcW w:w="1918" w:type="dxa"/>
            <w:vMerge w:val="restart"/>
            <w:tcBorders>
              <w:top w:val="nil"/>
              <w:left w:val="single" w:color="auto" w:sz="4" w:space="0"/>
              <w:bottom w:val="single" w:color="auto" w:sz="4" w:space="0"/>
              <w:right w:val="single" w:color="auto" w:sz="4" w:space="0"/>
            </w:tcBorders>
            <w:vAlign w:val="center"/>
          </w:tcPr>
          <w:p w14:paraId="4BF899A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559" w:type="dxa"/>
            <w:tcBorders>
              <w:top w:val="nil"/>
              <w:left w:val="nil"/>
              <w:bottom w:val="single" w:color="auto" w:sz="4" w:space="0"/>
              <w:right w:val="single" w:color="auto" w:sz="4" w:space="0"/>
            </w:tcBorders>
            <w:vAlign w:val="center"/>
          </w:tcPr>
          <w:p w14:paraId="3566A7F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29" w:type="dxa"/>
            <w:tcBorders>
              <w:top w:val="nil"/>
              <w:left w:val="nil"/>
              <w:bottom w:val="single" w:color="auto" w:sz="4" w:space="0"/>
              <w:right w:val="single" w:color="auto" w:sz="4" w:space="0"/>
            </w:tcBorders>
            <w:vAlign w:val="center"/>
          </w:tcPr>
          <w:p w14:paraId="69DBDF0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25" w:type="dxa"/>
            <w:tcBorders>
              <w:top w:val="nil"/>
              <w:left w:val="nil"/>
              <w:bottom w:val="single" w:color="auto" w:sz="4" w:space="0"/>
              <w:right w:val="single" w:color="auto" w:sz="4" w:space="0"/>
            </w:tcBorders>
            <w:vAlign w:val="center"/>
          </w:tcPr>
          <w:p w14:paraId="20B4DC6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22" w:type="dxa"/>
            <w:tcBorders>
              <w:top w:val="nil"/>
              <w:left w:val="nil"/>
              <w:bottom w:val="single" w:color="auto" w:sz="4" w:space="0"/>
              <w:right w:val="single" w:color="auto" w:sz="4" w:space="0"/>
            </w:tcBorders>
            <w:vAlign w:val="center"/>
          </w:tcPr>
          <w:p w14:paraId="191BC76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43" w:type="dxa"/>
            <w:tcBorders>
              <w:top w:val="nil"/>
              <w:left w:val="nil"/>
              <w:bottom w:val="single" w:color="auto" w:sz="4" w:space="0"/>
              <w:right w:val="single" w:color="auto" w:sz="4" w:space="0"/>
            </w:tcBorders>
            <w:vAlign w:val="center"/>
          </w:tcPr>
          <w:p w14:paraId="2A8FF41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4B3F3F8">
        <w:tblPrEx>
          <w:tblCellMar>
            <w:top w:w="0" w:type="dxa"/>
            <w:left w:w="108" w:type="dxa"/>
            <w:bottom w:w="0" w:type="dxa"/>
            <w:right w:w="108" w:type="dxa"/>
          </w:tblCellMar>
        </w:tblPrEx>
        <w:trPr>
          <w:trHeight w:val="339" w:hRule="atLeast"/>
        </w:trPr>
        <w:tc>
          <w:tcPr>
            <w:tcW w:w="1918" w:type="dxa"/>
            <w:vMerge w:val="continue"/>
            <w:tcBorders>
              <w:top w:val="nil"/>
              <w:left w:val="single" w:color="auto" w:sz="4" w:space="0"/>
              <w:bottom w:val="single" w:color="auto" w:sz="4" w:space="0"/>
              <w:right w:val="single" w:color="auto" w:sz="4" w:space="0"/>
            </w:tcBorders>
            <w:vAlign w:val="center"/>
          </w:tcPr>
          <w:p w14:paraId="746398D5">
            <w:pPr>
              <w:widowControl/>
              <w:jc w:val="left"/>
              <w:rPr>
                <w:rFonts w:ascii="仿宋_GB2312" w:hAnsi="仿宋" w:eastAsia="仿宋_GB2312" w:cs="宋体"/>
                <w:b/>
                <w:bCs/>
                <w:color w:val="auto"/>
                <w:kern w:val="0"/>
                <w:sz w:val="18"/>
                <w:szCs w:val="18"/>
                <w:highlight w:val="none"/>
              </w:rPr>
            </w:pPr>
          </w:p>
        </w:tc>
        <w:tc>
          <w:tcPr>
            <w:tcW w:w="1559" w:type="dxa"/>
            <w:tcBorders>
              <w:top w:val="nil"/>
              <w:left w:val="nil"/>
              <w:bottom w:val="single" w:color="auto" w:sz="4" w:space="0"/>
              <w:right w:val="single" w:color="auto" w:sz="4" w:space="0"/>
            </w:tcBorders>
            <w:vAlign w:val="center"/>
          </w:tcPr>
          <w:p w14:paraId="6546BFA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29" w:type="dxa"/>
            <w:tcBorders>
              <w:top w:val="nil"/>
              <w:left w:val="nil"/>
              <w:bottom w:val="single" w:color="auto" w:sz="4" w:space="0"/>
              <w:right w:val="single" w:color="auto" w:sz="4" w:space="0"/>
            </w:tcBorders>
            <w:vAlign w:val="center"/>
          </w:tcPr>
          <w:p w14:paraId="14FCC1F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25" w:type="dxa"/>
            <w:tcBorders>
              <w:top w:val="nil"/>
              <w:left w:val="nil"/>
              <w:bottom w:val="single" w:color="auto" w:sz="4" w:space="0"/>
              <w:right w:val="single" w:color="auto" w:sz="4" w:space="0"/>
            </w:tcBorders>
            <w:vAlign w:val="center"/>
          </w:tcPr>
          <w:p w14:paraId="096D408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622" w:type="dxa"/>
            <w:tcBorders>
              <w:top w:val="nil"/>
              <w:left w:val="nil"/>
              <w:bottom w:val="single" w:color="auto" w:sz="4" w:space="0"/>
              <w:right w:val="single" w:color="auto" w:sz="4" w:space="0"/>
            </w:tcBorders>
            <w:vAlign w:val="center"/>
          </w:tcPr>
          <w:p w14:paraId="04C11CE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43" w:type="dxa"/>
            <w:tcBorders>
              <w:top w:val="nil"/>
              <w:left w:val="nil"/>
              <w:bottom w:val="single" w:color="auto" w:sz="4" w:space="0"/>
              <w:right w:val="single" w:color="auto" w:sz="4" w:space="0"/>
            </w:tcBorders>
            <w:vAlign w:val="center"/>
          </w:tcPr>
          <w:p w14:paraId="0C4912C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5E85F8C">
        <w:tblPrEx>
          <w:tblCellMar>
            <w:top w:w="0" w:type="dxa"/>
            <w:left w:w="108" w:type="dxa"/>
            <w:bottom w:w="0" w:type="dxa"/>
            <w:right w:w="108" w:type="dxa"/>
          </w:tblCellMar>
        </w:tblPrEx>
        <w:trPr>
          <w:trHeight w:val="339" w:hRule="atLeast"/>
        </w:trPr>
        <w:tc>
          <w:tcPr>
            <w:tcW w:w="1918" w:type="dxa"/>
            <w:vMerge w:val="restart"/>
            <w:tcBorders>
              <w:top w:val="nil"/>
              <w:left w:val="single" w:color="auto" w:sz="4" w:space="0"/>
              <w:bottom w:val="single" w:color="auto" w:sz="4" w:space="0"/>
              <w:right w:val="single" w:color="auto" w:sz="4" w:space="0"/>
            </w:tcBorders>
            <w:vAlign w:val="center"/>
          </w:tcPr>
          <w:p w14:paraId="61ECF26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559" w:type="dxa"/>
            <w:tcBorders>
              <w:top w:val="nil"/>
              <w:left w:val="nil"/>
              <w:bottom w:val="single" w:color="auto" w:sz="4" w:space="0"/>
              <w:right w:val="single" w:color="auto" w:sz="4" w:space="0"/>
            </w:tcBorders>
            <w:vAlign w:val="center"/>
          </w:tcPr>
          <w:p w14:paraId="1D4B111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29" w:type="dxa"/>
            <w:tcBorders>
              <w:top w:val="nil"/>
              <w:left w:val="nil"/>
              <w:bottom w:val="single" w:color="auto" w:sz="4" w:space="0"/>
              <w:right w:val="single" w:color="auto" w:sz="4" w:space="0"/>
            </w:tcBorders>
            <w:vAlign w:val="center"/>
          </w:tcPr>
          <w:p w14:paraId="2270F0F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25" w:type="dxa"/>
            <w:tcBorders>
              <w:top w:val="nil"/>
              <w:left w:val="nil"/>
              <w:bottom w:val="single" w:color="auto" w:sz="4" w:space="0"/>
              <w:right w:val="single" w:color="auto" w:sz="4" w:space="0"/>
            </w:tcBorders>
            <w:vAlign w:val="center"/>
          </w:tcPr>
          <w:p w14:paraId="3525902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22" w:type="dxa"/>
            <w:tcBorders>
              <w:top w:val="nil"/>
              <w:left w:val="nil"/>
              <w:bottom w:val="single" w:color="auto" w:sz="4" w:space="0"/>
              <w:right w:val="single" w:color="auto" w:sz="4" w:space="0"/>
            </w:tcBorders>
            <w:vAlign w:val="center"/>
          </w:tcPr>
          <w:p w14:paraId="071A6E2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43" w:type="dxa"/>
            <w:tcBorders>
              <w:top w:val="nil"/>
              <w:left w:val="nil"/>
              <w:bottom w:val="single" w:color="auto" w:sz="4" w:space="0"/>
              <w:right w:val="single" w:color="auto" w:sz="4" w:space="0"/>
            </w:tcBorders>
            <w:vAlign w:val="center"/>
          </w:tcPr>
          <w:p w14:paraId="6F97BC6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74D5BF0">
        <w:tblPrEx>
          <w:tblCellMar>
            <w:top w:w="0" w:type="dxa"/>
            <w:left w:w="108" w:type="dxa"/>
            <w:bottom w:w="0" w:type="dxa"/>
            <w:right w:w="108" w:type="dxa"/>
          </w:tblCellMar>
        </w:tblPrEx>
        <w:trPr>
          <w:trHeight w:val="339" w:hRule="atLeast"/>
        </w:trPr>
        <w:tc>
          <w:tcPr>
            <w:tcW w:w="1918" w:type="dxa"/>
            <w:vMerge w:val="continue"/>
            <w:tcBorders>
              <w:top w:val="nil"/>
              <w:left w:val="single" w:color="auto" w:sz="4" w:space="0"/>
              <w:bottom w:val="single" w:color="auto" w:sz="4" w:space="0"/>
              <w:right w:val="single" w:color="auto" w:sz="4" w:space="0"/>
            </w:tcBorders>
            <w:vAlign w:val="center"/>
          </w:tcPr>
          <w:p w14:paraId="4156FE91">
            <w:pPr>
              <w:widowControl/>
              <w:jc w:val="left"/>
              <w:rPr>
                <w:rFonts w:ascii="仿宋_GB2312" w:hAnsi="仿宋" w:eastAsia="仿宋_GB2312" w:cs="宋体"/>
                <w:b/>
                <w:bCs/>
                <w:color w:val="auto"/>
                <w:kern w:val="0"/>
                <w:sz w:val="18"/>
                <w:szCs w:val="18"/>
                <w:highlight w:val="none"/>
              </w:rPr>
            </w:pPr>
          </w:p>
        </w:tc>
        <w:tc>
          <w:tcPr>
            <w:tcW w:w="1559" w:type="dxa"/>
            <w:tcBorders>
              <w:top w:val="nil"/>
              <w:left w:val="nil"/>
              <w:bottom w:val="single" w:color="auto" w:sz="4" w:space="0"/>
              <w:right w:val="single" w:color="auto" w:sz="4" w:space="0"/>
            </w:tcBorders>
            <w:vAlign w:val="center"/>
          </w:tcPr>
          <w:p w14:paraId="1357FF2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29" w:type="dxa"/>
            <w:tcBorders>
              <w:top w:val="nil"/>
              <w:left w:val="nil"/>
              <w:bottom w:val="single" w:color="auto" w:sz="4" w:space="0"/>
              <w:right w:val="single" w:color="auto" w:sz="4" w:space="0"/>
            </w:tcBorders>
            <w:vAlign w:val="center"/>
          </w:tcPr>
          <w:p w14:paraId="0F123E7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25" w:type="dxa"/>
            <w:tcBorders>
              <w:top w:val="nil"/>
              <w:left w:val="nil"/>
              <w:bottom w:val="single" w:color="auto" w:sz="4" w:space="0"/>
              <w:right w:val="single" w:color="auto" w:sz="4" w:space="0"/>
            </w:tcBorders>
            <w:vAlign w:val="center"/>
          </w:tcPr>
          <w:p w14:paraId="775F3C0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622" w:type="dxa"/>
            <w:tcBorders>
              <w:top w:val="nil"/>
              <w:left w:val="nil"/>
              <w:bottom w:val="single" w:color="auto" w:sz="4" w:space="0"/>
              <w:right w:val="single" w:color="auto" w:sz="4" w:space="0"/>
            </w:tcBorders>
            <w:vAlign w:val="center"/>
          </w:tcPr>
          <w:p w14:paraId="6B3DE32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43" w:type="dxa"/>
            <w:tcBorders>
              <w:top w:val="nil"/>
              <w:left w:val="nil"/>
              <w:bottom w:val="single" w:color="auto" w:sz="4" w:space="0"/>
              <w:right w:val="single" w:color="auto" w:sz="4" w:space="0"/>
            </w:tcBorders>
            <w:vAlign w:val="center"/>
          </w:tcPr>
          <w:p w14:paraId="62DA520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83EA9FA">
        <w:tblPrEx>
          <w:tblCellMar>
            <w:top w:w="0" w:type="dxa"/>
            <w:left w:w="108" w:type="dxa"/>
            <w:bottom w:w="0" w:type="dxa"/>
            <w:right w:w="108" w:type="dxa"/>
          </w:tblCellMar>
        </w:tblPrEx>
        <w:trPr>
          <w:trHeight w:val="339" w:hRule="atLeast"/>
        </w:trPr>
        <w:tc>
          <w:tcPr>
            <w:tcW w:w="1918" w:type="dxa"/>
            <w:vMerge w:val="restart"/>
            <w:tcBorders>
              <w:top w:val="nil"/>
              <w:left w:val="single" w:color="auto" w:sz="4" w:space="0"/>
              <w:bottom w:val="single" w:color="auto" w:sz="4" w:space="0"/>
              <w:right w:val="single" w:color="auto" w:sz="4" w:space="0"/>
            </w:tcBorders>
            <w:vAlign w:val="center"/>
          </w:tcPr>
          <w:p w14:paraId="48366F3B">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559" w:type="dxa"/>
            <w:tcBorders>
              <w:top w:val="nil"/>
              <w:left w:val="nil"/>
              <w:bottom w:val="single" w:color="auto" w:sz="4" w:space="0"/>
              <w:right w:val="single" w:color="auto" w:sz="4" w:space="0"/>
            </w:tcBorders>
            <w:vAlign w:val="center"/>
          </w:tcPr>
          <w:p w14:paraId="3208076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29" w:type="dxa"/>
            <w:tcBorders>
              <w:top w:val="nil"/>
              <w:left w:val="nil"/>
              <w:bottom w:val="single" w:color="auto" w:sz="4" w:space="0"/>
              <w:right w:val="single" w:color="auto" w:sz="4" w:space="0"/>
            </w:tcBorders>
            <w:vAlign w:val="center"/>
          </w:tcPr>
          <w:p w14:paraId="56E2250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25" w:type="dxa"/>
            <w:tcBorders>
              <w:top w:val="nil"/>
              <w:left w:val="nil"/>
              <w:bottom w:val="single" w:color="auto" w:sz="4" w:space="0"/>
              <w:right w:val="single" w:color="auto" w:sz="4" w:space="0"/>
            </w:tcBorders>
            <w:vAlign w:val="center"/>
          </w:tcPr>
          <w:p w14:paraId="100F885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622" w:type="dxa"/>
            <w:tcBorders>
              <w:top w:val="nil"/>
              <w:left w:val="nil"/>
              <w:bottom w:val="single" w:color="auto" w:sz="4" w:space="0"/>
              <w:right w:val="single" w:color="auto" w:sz="4" w:space="0"/>
            </w:tcBorders>
            <w:vAlign w:val="center"/>
          </w:tcPr>
          <w:p w14:paraId="3BE68C6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43" w:type="dxa"/>
            <w:tcBorders>
              <w:top w:val="nil"/>
              <w:left w:val="nil"/>
              <w:bottom w:val="single" w:color="auto" w:sz="4" w:space="0"/>
              <w:right w:val="single" w:color="auto" w:sz="4" w:space="0"/>
            </w:tcBorders>
            <w:vAlign w:val="center"/>
          </w:tcPr>
          <w:p w14:paraId="59A6626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1FC075E">
        <w:tblPrEx>
          <w:tblCellMar>
            <w:top w:w="0" w:type="dxa"/>
            <w:left w:w="108" w:type="dxa"/>
            <w:bottom w:w="0" w:type="dxa"/>
            <w:right w:w="108" w:type="dxa"/>
          </w:tblCellMar>
        </w:tblPrEx>
        <w:trPr>
          <w:trHeight w:val="339" w:hRule="atLeast"/>
        </w:trPr>
        <w:tc>
          <w:tcPr>
            <w:tcW w:w="1918" w:type="dxa"/>
            <w:vMerge w:val="continue"/>
            <w:tcBorders>
              <w:top w:val="nil"/>
              <w:left w:val="single" w:color="auto" w:sz="4" w:space="0"/>
              <w:bottom w:val="single" w:color="auto" w:sz="4" w:space="0"/>
              <w:right w:val="single" w:color="auto" w:sz="4" w:space="0"/>
            </w:tcBorders>
            <w:vAlign w:val="center"/>
          </w:tcPr>
          <w:p w14:paraId="460CF183">
            <w:pPr>
              <w:widowControl/>
              <w:jc w:val="left"/>
              <w:rPr>
                <w:rFonts w:ascii="仿宋_GB2312" w:hAnsi="仿宋" w:eastAsia="仿宋_GB2312" w:cs="宋体"/>
                <w:b/>
                <w:bCs/>
                <w:color w:val="auto"/>
                <w:kern w:val="0"/>
                <w:sz w:val="18"/>
                <w:szCs w:val="18"/>
                <w:highlight w:val="none"/>
              </w:rPr>
            </w:pPr>
          </w:p>
        </w:tc>
        <w:tc>
          <w:tcPr>
            <w:tcW w:w="1559" w:type="dxa"/>
            <w:tcBorders>
              <w:top w:val="nil"/>
              <w:left w:val="nil"/>
              <w:bottom w:val="single" w:color="auto" w:sz="4" w:space="0"/>
              <w:right w:val="single" w:color="auto" w:sz="4" w:space="0"/>
            </w:tcBorders>
            <w:vAlign w:val="center"/>
          </w:tcPr>
          <w:p w14:paraId="7D30935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29" w:type="dxa"/>
            <w:tcBorders>
              <w:top w:val="nil"/>
              <w:left w:val="nil"/>
              <w:bottom w:val="single" w:color="auto" w:sz="4" w:space="0"/>
              <w:right w:val="single" w:color="auto" w:sz="4" w:space="0"/>
            </w:tcBorders>
            <w:vAlign w:val="center"/>
          </w:tcPr>
          <w:p w14:paraId="43C9CBF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25" w:type="dxa"/>
            <w:tcBorders>
              <w:top w:val="nil"/>
              <w:left w:val="nil"/>
              <w:bottom w:val="single" w:color="auto" w:sz="4" w:space="0"/>
              <w:right w:val="single" w:color="auto" w:sz="4" w:space="0"/>
            </w:tcBorders>
            <w:vAlign w:val="center"/>
          </w:tcPr>
          <w:p w14:paraId="42056F5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622" w:type="dxa"/>
            <w:tcBorders>
              <w:top w:val="nil"/>
              <w:left w:val="nil"/>
              <w:bottom w:val="single" w:color="auto" w:sz="4" w:space="0"/>
              <w:right w:val="single" w:color="auto" w:sz="4" w:space="0"/>
            </w:tcBorders>
            <w:vAlign w:val="center"/>
          </w:tcPr>
          <w:p w14:paraId="4C51273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043" w:type="dxa"/>
            <w:tcBorders>
              <w:top w:val="nil"/>
              <w:left w:val="nil"/>
              <w:bottom w:val="single" w:color="auto" w:sz="4" w:space="0"/>
              <w:right w:val="single" w:color="auto" w:sz="4" w:space="0"/>
            </w:tcBorders>
            <w:vAlign w:val="center"/>
          </w:tcPr>
          <w:p w14:paraId="3F2B27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FB31668">
        <w:tblPrEx>
          <w:tblCellMar>
            <w:top w:w="0" w:type="dxa"/>
            <w:left w:w="108" w:type="dxa"/>
            <w:bottom w:w="0" w:type="dxa"/>
            <w:right w:w="108" w:type="dxa"/>
          </w:tblCellMar>
        </w:tblPrEx>
        <w:trPr>
          <w:trHeight w:val="339" w:hRule="atLeast"/>
        </w:trPr>
        <w:tc>
          <w:tcPr>
            <w:tcW w:w="1918" w:type="dxa"/>
            <w:vMerge w:val="restart"/>
            <w:tcBorders>
              <w:top w:val="nil"/>
              <w:left w:val="single" w:color="auto" w:sz="4" w:space="0"/>
              <w:bottom w:val="single" w:color="auto" w:sz="4" w:space="0"/>
              <w:right w:val="single" w:color="auto" w:sz="4" w:space="0"/>
            </w:tcBorders>
            <w:vAlign w:val="center"/>
          </w:tcPr>
          <w:p w14:paraId="2F5CDD16">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559" w:type="dxa"/>
            <w:tcBorders>
              <w:top w:val="nil"/>
              <w:left w:val="nil"/>
              <w:bottom w:val="single" w:color="auto" w:sz="4" w:space="0"/>
              <w:right w:val="single" w:color="auto" w:sz="4" w:space="0"/>
            </w:tcBorders>
            <w:vAlign w:val="center"/>
          </w:tcPr>
          <w:p w14:paraId="5539CD7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29" w:type="dxa"/>
            <w:tcBorders>
              <w:top w:val="nil"/>
              <w:left w:val="nil"/>
              <w:bottom w:val="single" w:color="auto" w:sz="4" w:space="0"/>
              <w:right w:val="single" w:color="auto" w:sz="4" w:space="0"/>
            </w:tcBorders>
            <w:vAlign w:val="center"/>
          </w:tcPr>
          <w:p w14:paraId="51B0B81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25" w:type="dxa"/>
            <w:tcBorders>
              <w:top w:val="nil"/>
              <w:left w:val="nil"/>
              <w:bottom w:val="single" w:color="auto" w:sz="4" w:space="0"/>
              <w:right w:val="single" w:color="auto" w:sz="4" w:space="0"/>
            </w:tcBorders>
            <w:vAlign w:val="center"/>
          </w:tcPr>
          <w:p w14:paraId="6B780CD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22" w:type="dxa"/>
            <w:tcBorders>
              <w:top w:val="nil"/>
              <w:left w:val="nil"/>
              <w:bottom w:val="single" w:color="auto" w:sz="4" w:space="0"/>
              <w:right w:val="single" w:color="auto" w:sz="4" w:space="0"/>
            </w:tcBorders>
            <w:vAlign w:val="center"/>
          </w:tcPr>
          <w:p w14:paraId="345DF61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43" w:type="dxa"/>
            <w:tcBorders>
              <w:top w:val="nil"/>
              <w:left w:val="nil"/>
              <w:bottom w:val="single" w:color="auto" w:sz="4" w:space="0"/>
              <w:right w:val="single" w:color="auto" w:sz="4" w:space="0"/>
            </w:tcBorders>
            <w:vAlign w:val="center"/>
          </w:tcPr>
          <w:p w14:paraId="435E7C4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B266ADC">
        <w:tblPrEx>
          <w:tblCellMar>
            <w:top w:w="0" w:type="dxa"/>
            <w:left w:w="108" w:type="dxa"/>
            <w:bottom w:w="0" w:type="dxa"/>
            <w:right w:w="108" w:type="dxa"/>
          </w:tblCellMar>
        </w:tblPrEx>
        <w:trPr>
          <w:trHeight w:val="339" w:hRule="atLeast"/>
        </w:trPr>
        <w:tc>
          <w:tcPr>
            <w:tcW w:w="1918" w:type="dxa"/>
            <w:vMerge w:val="continue"/>
            <w:tcBorders>
              <w:top w:val="nil"/>
              <w:left w:val="single" w:color="auto" w:sz="4" w:space="0"/>
              <w:bottom w:val="single" w:color="auto" w:sz="4" w:space="0"/>
              <w:right w:val="single" w:color="auto" w:sz="4" w:space="0"/>
            </w:tcBorders>
            <w:vAlign w:val="center"/>
          </w:tcPr>
          <w:p w14:paraId="3F2CA837">
            <w:pPr>
              <w:widowControl/>
              <w:jc w:val="left"/>
              <w:rPr>
                <w:rFonts w:ascii="仿宋_GB2312" w:hAnsi="仿宋" w:eastAsia="仿宋_GB2312" w:cs="宋体"/>
                <w:b/>
                <w:bCs/>
                <w:color w:val="auto"/>
                <w:kern w:val="0"/>
                <w:sz w:val="18"/>
                <w:szCs w:val="18"/>
                <w:highlight w:val="none"/>
              </w:rPr>
            </w:pPr>
          </w:p>
        </w:tc>
        <w:tc>
          <w:tcPr>
            <w:tcW w:w="1559" w:type="dxa"/>
            <w:tcBorders>
              <w:top w:val="nil"/>
              <w:left w:val="nil"/>
              <w:bottom w:val="single" w:color="auto" w:sz="4" w:space="0"/>
              <w:right w:val="single" w:color="auto" w:sz="4" w:space="0"/>
            </w:tcBorders>
            <w:vAlign w:val="center"/>
          </w:tcPr>
          <w:p w14:paraId="473CFC1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29" w:type="dxa"/>
            <w:tcBorders>
              <w:top w:val="nil"/>
              <w:left w:val="nil"/>
              <w:bottom w:val="single" w:color="auto" w:sz="4" w:space="0"/>
              <w:right w:val="single" w:color="auto" w:sz="4" w:space="0"/>
            </w:tcBorders>
            <w:vAlign w:val="center"/>
          </w:tcPr>
          <w:p w14:paraId="5CAEC10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25" w:type="dxa"/>
            <w:tcBorders>
              <w:top w:val="nil"/>
              <w:left w:val="nil"/>
              <w:bottom w:val="single" w:color="auto" w:sz="4" w:space="0"/>
              <w:right w:val="single" w:color="auto" w:sz="4" w:space="0"/>
            </w:tcBorders>
            <w:vAlign w:val="center"/>
          </w:tcPr>
          <w:p w14:paraId="1B09497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622" w:type="dxa"/>
            <w:tcBorders>
              <w:top w:val="nil"/>
              <w:left w:val="nil"/>
              <w:bottom w:val="single" w:color="auto" w:sz="4" w:space="0"/>
              <w:right w:val="single" w:color="auto" w:sz="4" w:space="0"/>
            </w:tcBorders>
            <w:vAlign w:val="center"/>
          </w:tcPr>
          <w:p w14:paraId="4CE3D55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043" w:type="dxa"/>
            <w:tcBorders>
              <w:top w:val="nil"/>
              <w:left w:val="nil"/>
              <w:bottom w:val="single" w:color="auto" w:sz="4" w:space="0"/>
              <w:right w:val="single" w:color="auto" w:sz="4" w:space="0"/>
            </w:tcBorders>
            <w:vAlign w:val="center"/>
          </w:tcPr>
          <w:p w14:paraId="736D595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5DEDB717">
        <w:tblPrEx>
          <w:tblCellMar>
            <w:top w:w="0" w:type="dxa"/>
            <w:left w:w="108" w:type="dxa"/>
            <w:bottom w:w="0" w:type="dxa"/>
            <w:right w:w="108" w:type="dxa"/>
          </w:tblCellMar>
        </w:tblPrEx>
        <w:trPr>
          <w:trHeight w:val="339" w:hRule="atLeast"/>
        </w:trPr>
        <w:tc>
          <w:tcPr>
            <w:tcW w:w="1918" w:type="dxa"/>
            <w:vMerge w:val="restart"/>
            <w:tcBorders>
              <w:top w:val="nil"/>
              <w:left w:val="single" w:color="auto" w:sz="4" w:space="0"/>
              <w:bottom w:val="single" w:color="auto" w:sz="4" w:space="0"/>
              <w:right w:val="single" w:color="auto" w:sz="4" w:space="0"/>
            </w:tcBorders>
            <w:vAlign w:val="center"/>
          </w:tcPr>
          <w:p w14:paraId="6CE61452">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559" w:type="dxa"/>
            <w:tcBorders>
              <w:top w:val="nil"/>
              <w:left w:val="nil"/>
              <w:bottom w:val="single" w:color="auto" w:sz="4" w:space="0"/>
              <w:right w:val="single" w:color="auto" w:sz="4" w:space="0"/>
            </w:tcBorders>
            <w:vAlign w:val="center"/>
          </w:tcPr>
          <w:p w14:paraId="03B6066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29" w:type="dxa"/>
            <w:tcBorders>
              <w:top w:val="nil"/>
              <w:left w:val="nil"/>
              <w:bottom w:val="single" w:color="auto" w:sz="4" w:space="0"/>
              <w:right w:val="single" w:color="auto" w:sz="4" w:space="0"/>
            </w:tcBorders>
            <w:vAlign w:val="center"/>
          </w:tcPr>
          <w:p w14:paraId="5CC6FCF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25" w:type="dxa"/>
            <w:tcBorders>
              <w:top w:val="nil"/>
              <w:left w:val="nil"/>
              <w:bottom w:val="single" w:color="auto" w:sz="4" w:space="0"/>
              <w:right w:val="single" w:color="auto" w:sz="4" w:space="0"/>
            </w:tcBorders>
            <w:vAlign w:val="center"/>
          </w:tcPr>
          <w:p w14:paraId="7088DFF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622" w:type="dxa"/>
            <w:tcBorders>
              <w:top w:val="nil"/>
              <w:left w:val="nil"/>
              <w:bottom w:val="single" w:color="auto" w:sz="4" w:space="0"/>
              <w:right w:val="single" w:color="auto" w:sz="4" w:space="0"/>
            </w:tcBorders>
            <w:vAlign w:val="center"/>
          </w:tcPr>
          <w:p w14:paraId="27C2A7B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043" w:type="dxa"/>
            <w:tcBorders>
              <w:top w:val="nil"/>
              <w:left w:val="nil"/>
              <w:bottom w:val="single" w:color="auto" w:sz="4" w:space="0"/>
              <w:right w:val="single" w:color="auto" w:sz="4" w:space="0"/>
            </w:tcBorders>
            <w:vAlign w:val="center"/>
          </w:tcPr>
          <w:p w14:paraId="1A826B0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74625FF9">
        <w:tblPrEx>
          <w:tblCellMar>
            <w:top w:w="0" w:type="dxa"/>
            <w:left w:w="108" w:type="dxa"/>
            <w:bottom w:w="0" w:type="dxa"/>
            <w:right w:w="108" w:type="dxa"/>
          </w:tblCellMar>
        </w:tblPrEx>
        <w:trPr>
          <w:trHeight w:val="339" w:hRule="atLeast"/>
        </w:trPr>
        <w:tc>
          <w:tcPr>
            <w:tcW w:w="1918" w:type="dxa"/>
            <w:vMerge w:val="continue"/>
            <w:tcBorders>
              <w:top w:val="nil"/>
              <w:left w:val="single" w:color="auto" w:sz="4" w:space="0"/>
              <w:bottom w:val="single" w:color="auto" w:sz="4" w:space="0"/>
              <w:right w:val="single" w:color="auto" w:sz="4" w:space="0"/>
            </w:tcBorders>
            <w:vAlign w:val="center"/>
          </w:tcPr>
          <w:p w14:paraId="26DAEF0E">
            <w:pPr>
              <w:widowControl/>
              <w:jc w:val="left"/>
              <w:rPr>
                <w:rFonts w:ascii="仿宋_GB2312" w:hAnsi="仿宋" w:eastAsia="仿宋_GB2312" w:cs="宋体"/>
                <w:b/>
                <w:bCs/>
                <w:color w:val="auto"/>
                <w:kern w:val="0"/>
                <w:sz w:val="18"/>
                <w:szCs w:val="18"/>
                <w:highlight w:val="none"/>
              </w:rPr>
            </w:pPr>
          </w:p>
        </w:tc>
        <w:tc>
          <w:tcPr>
            <w:tcW w:w="1559" w:type="dxa"/>
            <w:tcBorders>
              <w:top w:val="nil"/>
              <w:left w:val="nil"/>
              <w:bottom w:val="single" w:color="auto" w:sz="4" w:space="0"/>
              <w:right w:val="single" w:color="auto" w:sz="4" w:space="0"/>
            </w:tcBorders>
            <w:vAlign w:val="center"/>
          </w:tcPr>
          <w:p w14:paraId="2FB814D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29" w:type="dxa"/>
            <w:tcBorders>
              <w:top w:val="nil"/>
              <w:left w:val="nil"/>
              <w:bottom w:val="single" w:color="auto" w:sz="4" w:space="0"/>
              <w:right w:val="single" w:color="auto" w:sz="4" w:space="0"/>
            </w:tcBorders>
            <w:vAlign w:val="center"/>
          </w:tcPr>
          <w:p w14:paraId="44512B5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25" w:type="dxa"/>
            <w:tcBorders>
              <w:top w:val="nil"/>
              <w:left w:val="nil"/>
              <w:bottom w:val="single" w:color="auto" w:sz="4" w:space="0"/>
              <w:right w:val="single" w:color="auto" w:sz="4" w:space="0"/>
            </w:tcBorders>
            <w:vAlign w:val="center"/>
          </w:tcPr>
          <w:p w14:paraId="3DAA0C5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622" w:type="dxa"/>
            <w:tcBorders>
              <w:top w:val="nil"/>
              <w:left w:val="nil"/>
              <w:bottom w:val="single" w:color="auto" w:sz="4" w:space="0"/>
              <w:right w:val="single" w:color="auto" w:sz="4" w:space="0"/>
            </w:tcBorders>
            <w:vAlign w:val="center"/>
          </w:tcPr>
          <w:p w14:paraId="49EE44C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043" w:type="dxa"/>
            <w:tcBorders>
              <w:top w:val="nil"/>
              <w:left w:val="nil"/>
              <w:bottom w:val="single" w:color="auto" w:sz="4" w:space="0"/>
              <w:right w:val="single" w:color="auto" w:sz="4" w:space="0"/>
            </w:tcBorders>
            <w:vAlign w:val="center"/>
          </w:tcPr>
          <w:p w14:paraId="5AA2B3C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22EB23CA">
        <w:tblPrEx>
          <w:tblCellMar>
            <w:top w:w="0" w:type="dxa"/>
            <w:left w:w="108" w:type="dxa"/>
            <w:bottom w:w="0" w:type="dxa"/>
            <w:right w:w="108" w:type="dxa"/>
          </w:tblCellMar>
        </w:tblPrEx>
        <w:trPr>
          <w:trHeight w:val="339" w:hRule="atLeast"/>
        </w:trPr>
        <w:tc>
          <w:tcPr>
            <w:tcW w:w="1918" w:type="dxa"/>
            <w:vMerge w:val="restart"/>
            <w:tcBorders>
              <w:top w:val="nil"/>
              <w:left w:val="single" w:color="auto" w:sz="4" w:space="0"/>
              <w:bottom w:val="single" w:color="auto" w:sz="4" w:space="0"/>
              <w:right w:val="single" w:color="auto" w:sz="4" w:space="0"/>
            </w:tcBorders>
            <w:vAlign w:val="center"/>
          </w:tcPr>
          <w:p w14:paraId="462513E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559" w:type="dxa"/>
            <w:tcBorders>
              <w:top w:val="nil"/>
              <w:left w:val="nil"/>
              <w:bottom w:val="single" w:color="auto" w:sz="4" w:space="0"/>
              <w:right w:val="single" w:color="auto" w:sz="4" w:space="0"/>
            </w:tcBorders>
            <w:vAlign w:val="center"/>
          </w:tcPr>
          <w:p w14:paraId="707701B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29" w:type="dxa"/>
            <w:tcBorders>
              <w:top w:val="nil"/>
              <w:left w:val="nil"/>
              <w:bottom w:val="single" w:color="auto" w:sz="4" w:space="0"/>
              <w:right w:val="single" w:color="auto" w:sz="4" w:space="0"/>
            </w:tcBorders>
            <w:vAlign w:val="center"/>
          </w:tcPr>
          <w:p w14:paraId="4B37E27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25" w:type="dxa"/>
            <w:tcBorders>
              <w:top w:val="nil"/>
              <w:left w:val="nil"/>
              <w:bottom w:val="single" w:color="auto" w:sz="4" w:space="0"/>
              <w:right w:val="single" w:color="auto" w:sz="4" w:space="0"/>
            </w:tcBorders>
            <w:vAlign w:val="center"/>
          </w:tcPr>
          <w:p w14:paraId="317C12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22" w:type="dxa"/>
            <w:tcBorders>
              <w:top w:val="nil"/>
              <w:left w:val="nil"/>
              <w:bottom w:val="single" w:color="auto" w:sz="4" w:space="0"/>
              <w:right w:val="single" w:color="auto" w:sz="4" w:space="0"/>
            </w:tcBorders>
            <w:vAlign w:val="center"/>
          </w:tcPr>
          <w:p w14:paraId="4814EE2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043" w:type="dxa"/>
            <w:tcBorders>
              <w:top w:val="nil"/>
              <w:left w:val="nil"/>
              <w:bottom w:val="single" w:color="auto" w:sz="4" w:space="0"/>
              <w:right w:val="single" w:color="auto" w:sz="4" w:space="0"/>
            </w:tcBorders>
            <w:vAlign w:val="center"/>
          </w:tcPr>
          <w:p w14:paraId="6C585A6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061E0E7C">
        <w:tblPrEx>
          <w:tblCellMar>
            <w:top w:w="0" w:type="dxa"/>
            <w:left w:w="108" w:type="dxa"/>
            <w:bottom w:w="0" w:type="dxa"/>
            <w:right w:w="108" w:type="dxa"/>
          </w:tblCellMar>
        </w:tblPrEx>
        <w:trPr>
          <w:trHeight w:val="339" w:hRule="atLeast"/>
        </w:trPr>
        <w:tc>
          <w:tcPr>
            <w:tcW w:w="1918" w:type="dxa"/>
            <w:vMerge w:val="continue"/>
            <w:tcBorders>
              <w:top w:val="nil"/>
              <w:left w:val="single" w:color="auto" w:sz="4" w:space="0"/>
              <w:bottom w:val="single" w:color="auto" w:sz="4" w:space="0"/>
              <w:right w:val="single" w:color="auto" w:sz="4" w:space="0"/>
            </w:tcBorders>
            <w:vAlign w:val="center"/>
          </w:tcPr>
          <w:p w14:paraId="190689E2">
            <w:pPr>
              <w:widowControl/>
              <w:jc w:val="left"/>
              <w:rPr>
                <w:rFonts w:ascii="仿宋_GB2312" w:hAnsi="仿宋" w:eastAsia="仿宋_GB2312" w:cs="宋体"/>
                <w:b/>
                <w:bCs/>
                <w:color w:val="auto"/>
                <w:kern w:val="0"/>
                <w:sz w:val="18"/>
                <w:szCs w:val="18"/>
                <w:highlight w:val="none"/>
              </w:rPr>
            </w:pPr>
          </w:p>
        </w:tc>
        <w:tc>
          <w:tcPr>
            <w:tcW w:w="1559" w:type="dxa"/>
            <w:tcBorders>
              <w:top w:val="nil"/>
              <w:left w:val="nil"/>
              <w:bottom w:val="single" w:color="auto" w:sz="4" w:space="0"/>
              <w:right w:val="single" w:color="auto" w:sz="4" w:space="0"/>
            </w:tcBorders>
            <w:vAlign w:val="center"/>
          </w:tcPr>
          <w:p w14:paraId="69C784D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29" w:type="dxa"/>
            <w:tcBorders>
              <w:top w:val="nil"/>
              <w:left w:val="nil"/>
              <w:bottom w:val="single" w:color="auto" w:sz="4" w:space="0"/>
              <w:right w:val="single" w:color="auto" w:sz="4" w:space="0"/>
            </w:tcBorders>
            <w:vAlign w:val="center"/>
          </w:tcPr>
          <w:p w14:paraId="0BD6D70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25" w:type="dxa"/>
            <w:tcBorders>
              <w:top w:val="nil"/>
              <w:left w:val="nil"/>
              <w:bottom w:val="single" w:color="auto" w:sz="4" w:space="0"/>
              <w:right w:val="single" w:color="auto" w:sz="4" w:space="0"/>
            </w:tcBorders>
            <w:vAlign w:val="center"/>
          </w:tcPr>
          <w:p w14:paraId="543B1A9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622" w:type="dxa"/>
            <w:tcBorders>
              <w:top w:val="nil"/>
              <w:left w:val="nil"/>
              <w:bottom w:val="single" w:color="auto" w:sz="4" w:space="0"/>
              <w:right w:val="single" w:color="auto" w:sz="4" w:space="0"/>
            </w:tcBorders>
            <w:vAlign w:val="center"/>
          </w:tcPr>
          <w:p w14:paraId="6E4863A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043" w:type="dxa"/>
            <w:tcBorders>
              <w:top w:val="nil"/>
              <w:left w:val="nil"/>
              <w:bottom w:val="single" w:color="auto" w:sz="4" w:space="0"/>
              <w:right w:val="single" w:color="auto" w:sz="4" w:space="0"/>
            </w:tcBorders>
            <w:vAlign w:val="center"/>
          </w:tcPr>
          <w:p w14:paraId="03F64EE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2FDACC73">
        <w:tblPrEx>
          <w:tblCellMar>
            <w:top w:w="0" w:type="dxa"/>
            <w:left w:w="108" w:type="dxa"/>
            <w:bottom w:w="0" w:type="dxa"/>
            <w:right w:w="108" w:type="dxa"/>
          </w:tblCellMar>
        </w:tblPrEx>
        <w:trPr>
          <w:trHeight w:val="339" w:hRule="atLeast"/>
        </w:trPr>
        <w:tc>
          <w:tcPr>
            <w:tcW w:w="1918" w:type="dxa"/>
            <w:vMerge w:val="restart"/>
            <w:tcBorders>
              <w:top w:val="nil"/>
              <w:left w:val="single" w:color="auto" w:sz="4" w:space="0"/>
              <w:bottom w:val="single" w:color="auto" w:sz="4" w:space="0"/>
              <w:right w:val="single" w:color="auto" w:sz="4" w:space="0"/>
            </w:tcBorders>
            <w:vAlign w:val="center"/>
          </w:tcPr>
          <w:p w14:paraId="2662398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559" w:type="dxa"/>
            <w:tcBorders>
              <w:top w:val="nil"/>
              <w:left w:val="nil"/>
              <w:bottom w:val="single" w:color="auto" w:sz="4" w:space="0"/>
              <w:right w:val="single" w:color="auto" w:sz="4" w:space="0"/>
            </w:tcBorders>
            <w:vAlign w:val="center"/>
          </w:tcPr>
          <w:p w14:paraId="15C35B9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29" w:type="dxa"/>
            <w:tcBorders>
              <w:top w:val="nil"/>
              <w:left w:val="nil"/>
              <w:bottom w:val="single" w:color="auto" w:sz="4" w:space="0"/>
              <w:right w:val="single" w:color="auto" w:sz="4" w:space="0"/>
            </w:tcBorders>
            <w:vAlign w:val="center"/>
          </w:tcPr>
          <w:p w14:paraId="7356FD0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25" w:type="dxa"/>
            <w:tcBorders>
              <w:top w:val="nil"/>
              <w:left w:val="nil"/>
              <w:bottom w:val="single" w:color="auto" w:sz="4" w:space="0"/>
              <w:right w:val="single" w:color="auto" w:sz="4" w:space="0"/>
            </w:tcBorders>
            <w:vAlign w:val="center"/>
          </w:tcPr>
          <w:p w14:paraId="2B894A0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22" w:type="dxa"/>
            <w:tcBorders>
              <w:top w:val="nil"/>
              <w:left w:val="nil"/>
              <w:bottom w:val="single" w:color="auto" w:sz="4" w:space="0"/>
              <w:right w:val="single" w:color="auto" w:sz="4" w:space="0"/>
            </w:tcBorders>
            <w:vAlign w:val="center"/>
          </w:tcPr>
          <w:p w14:paraId="7360C5F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43" w:type="dxa"/>
            <w:tcBorders>
              <w:top w:val="nil"/>
              <w:left w:val="nil"/>
              <w:bottom w:val="single" w:color="auto" w:sz="4" w:space="0"/>
              <w:right w:val="single" w:color="auto" w:sz="4" w:space="0"/>
            </w:tcBorders>
            <w:vAlign w:val="center"/>
          </w:tcPr>
          <w:p w14:paraId="6AD3DF5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0271C99">
        <w:tblPrEx>
          <w:tblCellMar>
            <w:top w:w="0" w:type="dxa"/>
            <w:left w:w="108" w:type="dxa"/>
            <w:bottom w:w="0" w:type="dxa"/>
            <w:right w:w="108" w:type="dxa"/>
          </w:tblCellMar>
        </w:tblPrEx>
        <w:trPr>
          <w:trHeight w:val="339" w:hRule="atLeast"/>
        </w:trPr>
        <w:tc>
          <w:tcPr>
            <w:tcW w:w="1918" w:type="dxa"/>
            <w:vMerge w:val="continue"/>
            <w:tcBorders>
              <w:top w:val="nil"/>
              <w:left w:val="single" w:color="auto" w:sz="4" w:space="0"/>
              <w:bottom w:val="single" w:color="auto" w:sz="4" w:space="0"/>
              <w:right w:val="single" w:color="auto" w:sz="4" w:space="0"/>
            </w:tcBorders>
            <w:vAlign w:val="center"/>
          </w:tcPr>
          <w:p w14:paraId="440580A2">
            <w:pPr>
              <w:widowControl/>
              <w:jc w:val="left"/>
              <w:rPr>
                <w:rFonts w:ascii="仿宋_GB2312" w:hAnsi="仿宋" w:eastAsia="仿宋_GB2312" w:cs="宋体"/>
                <w:b/>
                <w:bCs/>
                <w:color w:val="auto"/>
                <w:kern w:val="0"/>
                <w:sz w:val="18"/>
                <w:szCs w:val="18"/>
                <w:highlight w:val="none"/>
              </w:rPr>
            </w:pPr>
          </w:p>
        </w:tc>
        <w:tc>
          <w:tcPr>
            <w:tcW w:w="1559" w:type="dxa"/>
            <w:tcBorders>
              <w:top w:val="nil"/>
              <w:left w:val="nil"/>
              <w:bottom w:val="single" w:color="auto" w:sz="4" w:space="0"/>
              <w:right w:val="single" w:color="auto" w:sz="4" w:space="0"/>
            </w:tcBorders>
            <w:vAlign w:val="center"/>
          </w:tcPr>
          <w:p w14:paraId="59AB682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29" w:type="dxa"/>
            <w:tcBorders>
              <w:top w:val="nil"/>
              <w:left w:val="nil"/>
              <w:bottom w:val="single" w:color="auto" w:sz="4" w:space="0"/>
              <w:right w:val="single" w:color="auto" w:sz="4" w:space="0"/>
            </w:tcBorders>
            <w:vAlign w:val="center"/>
          </w:tcPr>
          <w:p w14:paraId="79F5A4D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25" w:type="dxa"/>
            <w:tcBorders>
              <w:top w:val="nil"/>
              <w:left w:val="nil"/>
              <w:bottom w:val="single" w:color="auto" w:sz="4" w:space="0"/>
              <w:right w:val="single" w:color="auto" w:sz="4" w:space="0"/>
            </w:tcBorders>
            <w:vAlign w:val="center"/>
          </w:tcPr>
          <w:p w14:paraId="60C2EE2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622" w:type="dxa"/>
            <w:tcBorders>
              <w:top w:val="nil"/>
              <w:left w:val="nil"/>
              <w:bottom w:val="single" w:color="auto" w:sz="4" w:space="0"/>
              <w:right w:val="single" w:color="auto" w:sz="4" w:space="0"/>
            </w:tcBorders>
            <w:vAlign w:val="center"/>
          </w:tcPr>
          <w:p w14:paraId="6A0DAA5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043" w:type="dxa"/>
            <w:tcBorders>
              <w:top w:val="nil"/>
              <w:left w:val="nil"/>
              <w:bottom w:val="single" w:color="auto" w:sz="4" w:space="0"/>
              <w:right w:val="single" w:color="auto" w:sz="4" w:space="0"/>
            </w:tcBorders>
            <w:vAlign w:val="center"/>
          </w:tcPr>
          <w:p w14:paraId="654F4CC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478C8B1">
        <w:tblPrEx>
          <w:tblCellMar>
            <w:top w:w="0" w:type="dxa"/>
            <w:left w:w="108" w:type="dxa"/>
            <w:bottom w:w="0" w:type="dxa"/>
            <w:right w:w="108" w:type="dxa"/>
          </w:tblCellMar>
        </w:tblPrEx>
        <w:trPr>
          <w:trHeight w:val="353" w:hRule="atLeast"/>
        </w:trPr>
        <w:tc>
          <w:tcPr>
            <w:tcW w:w="1918" w:type="dxa"/>
            <w:tcBorders>
              <w:top w:val="nil"/>
              <w:left w:val="single" w:color="auto" w:sz="4" w:space="0"/>
              <w:bottom w:val="single" w:color="auto" w:sz="4" w:space="0"/>
              <w:right w:val="single" w:color="auto" w:sz="4" w:space="0"/>
            </w:tcBorders>
            <w:vAlign w:val="center"/>
          </w:tcPr>
          <w:p w14:paraId="53527E50">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559" w:type="dxa"/>
            <w:tcBorders>
              <w:top w:val="nil"/>
              <w:left w:val="nil"/>
              <w:bottom w:val="single" w:color="auto" w:sz="4" w:space="0"/>
              <w:right w:val="single" w:color="auto" w:sz="4" w:space="0"/>
            </w:tcBorders>
            <w:vAlign w:val="center"/>
          </w:tcPr>
          <w:p w14:paraId="1F19A8C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29" w:type="dxa"/>
            <w:tcBorders>
              <w:top w:val="nil"/>
              <w:left w:val="nil"/>
              <w:bottom w:val="single" w:color="auto" w:sz="4" w:space="0"/>
              <w:right w:val="single" w:color="auto" w:sz="4" w:space="0"/>
            </w:tcBorders>
            <w:vAlign w:val="center"/>
          </w:tcPr>
          <w:p w14:paraId="4428D23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25" w:type="dxa"/>
            <w:tcBorders>
              <w:top w:val="nil"/>
              <w:left w:val="nil"/>
              <w:bottom w:val="single" w:color="auto" w:sz="4" w:space="0"/>
              <w:right w:val="single" w:color="auto" w:sz="4" w:space="0"/>
            </w:tcBorders>
            <w:vAlign w:val="center"/>
          </w:tcPr>
          <w:p w14:paraId="65CB8D4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22" w:type="dxa"/>
            <w:tcBorders>
              <w:top w:val="nil"/>
              <w:left w:val="nil"/>
              <w:bottom w:val="single" w:color="auto" w:sz="4" w:space="0"/>
              <w:right w:val="single" w:color="auto" w:sz="4" w:space="0"/>
            </w:tcBorders>
            <w:vAlign w:val="center"/>
          </w:tcPr>
          <w:p w14:paraId="4BE9986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43" w:type="dxa"/>
            <w:tcBorders>
              <w:top w:val="nil"/>
              <w:left w:val="nil"/>
              <w:bottom w:val="single" w:color="auto" w:sz="4" w:space="0"/>
              <w:right w:val="single" w:color="auto" w:sz="4" w:space="0"/>
            </w:tcBorders>
            <w:vAlign w:val="center"/>
          </w:tcPr>
          <w:p w14:paraId="4DCC169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10DD0590">
      <w:pPr>
        <w:pStyle w:val="29"/>
        <w:rPr>
          <w:rFonts w:ascii="宋体" w:hAnsi="宋体" w:cs="宋体"/>
          <w:b/>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38DCCA9">
      <w:pPr>
        <w:pStyle w:val="31"/>
        <w:rPr>
          <w:rFonts w:ascii="宋体" w:hAnsi="宋体" w:cs="宋体"/>
          <w:b/>
          <w:color w:val="auto"/>
          <w:szCs w:val="21"/>
          <w:highlight w:val="none"/>
        </w:rPr>
      </w:pPr>
    </w:p>
    <w:p w14:paraId="5DC86C7D">
      <w:pPr>
        <w:pStyle w:val="31"/>
        <w:rPr>
          <w:rFonts w:ascii="宋体" w:hAnsi="宋体" w:cs="宋体"/>
          <w:b/>
          <w:color w:val="auto"/>
          <w:szCs w:val="21"/>
          <w:highlight w:val="none"/>
        </w:rPr>
      </w:pPr>
    </w:p>
    <w:p w14:paraId="2E378481">
      <w:pPr>
        <w:pStyle w:val="31"/>
        <w:rPr>
          <w:rFonts w:ascii="宋体" w:hAnsi="宋体" w:cs="宋体"/>
          <w:b/>
          <w:color w:val="auto"/>
          <w:szCs w:val="21"/>
          <w:highlight w:val="none"/>
        </w:rPr>
      </w:pPr>
    </w:p>
    <w:p w14:paraId="0D07B003">
      <w:pPr>
        <w:pStyle w:val="31"/>
        <w:rPr>
          <w:rFonts w:ascii="宋体" w:hAnsi="宋体" w:cs="宋体"/>
          <w:b/>
          <w:color w:val="auto"/>
          <w:szCs w:val="21"/>
          <w:highlight w:val="none"/>
        </w:rPr>
      </w:pPr>
    </w:p>
    <w:p w14:paraId="270B670E">
      <w:pPr>
        <w:pStyle w:val="2"/>
        <w:spacing w:line="600" w:lineRule="exact"/>
        <w:jc w:val="center"/>
        <w:rPr>
          <w:rFonts w:ascii="宋体" w:hAnsi="宋体" w:cs="宋体"/>
          <w:color w:val="auto"/>
          <w:highlight w:val="none"/>
        </w:rPr>
      </w:pPr>
      <w:bookmarkStart w:id="65" w:name="_Toc12046"/>
      <w:r>
        <w:rPr>
          <w:rFonts w:hint="eastAsia" w:ascii="宋体" w:hAnsi="宋体" w:cs="宋体"/>
          <w:color w:val="auto"/>
          <w:highlight w:val="none"/>
        </w:rPr>
        <w:t>第三章  投标人须知</w:t>
      </w:r>
      <w:bookmarkEnd w:id="54"/>
      <w:bookmarkEnd w:id="65"/>
    </w:p>
    <w:p w14:paraId="7E6C0A06">
      <w:pPr>
        <w:pStyle w:val="4"/>
        <w:jc w:val="center"/>
        <w:rPr>
          <w:rFonts w:ascii="宋体" w:hAnsi="宋体" w:cs="宋体"/>
          <w:color w:val="auto"/>
          <w:sz w:val="36"/>
          <w:szCs w:val="36"/>
          <w:highlight w:val="none"/>
        </w:rPr>
      </w:pPr>
      <w:bookmarkStart w:id="66" w:name="_Toc254970667"/>
      <w:bookmarkStart w:id="67" w:name="_Toc254970526"/>
      <w:r>
        <w:rPr>
          <w:rFonts w:hint="eastAsia" w:ascii="宋体" w:hAnsi="宋体" w:cs="宋体"/>
          <w:color w:val="auto"/>
          <w:sz w:val="36"/>
          <w:szCs w:val="36"/>
          <w:highlight w:val="none"/>
        </w:rPr>
        <w:t>第一节 投标人须知前附表</w:t>
      </w:r>
      <w:bookmarkEnd w:id="66"/>
      <w:bookmarkEnd w:id="67"/>
    </w:p>
    <w:tbl>
      <w:tblPr>
        <w:tblStyle w:val="19"/>
        <w:tblW w:w="96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708"/>
      </w:tblGrid>
      <w:tr w14:paraId="468643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A076A05">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条款号</w:t>
            </w:r>
          </w:p>
        </w:tc>
        <w:tc>
          <w:tcPr>
            <w:tcW w:w="8708" w:type="dxa"/>
            <w:tcBorders>
              <w:top w:val="single" w:color="auto" w:sz="4" w:space="0"/>
              <w:left w:val="single" w:color="auto" w:sz="4" w:space="0"/>
              <w:bottom w:val="single" w:color="auto" w:sz="4" w:space="0"/>
              <w:right w:val="single" w:color="auto" w:sz="4" w:space="0"/>
            </w:tcBorders>
            <w:vAlign w:val="center"/>
          </w:tcPr>
          <w:p w14:paraId="70AC49D6">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编列内容</w:t>
            </w:r>
          </w:p>
        </w:tc>
      </w:tr>
      <w:tr w14:paraId="53DBB5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20233D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8708" w:type="dxa"/>
            <w:tcBorders>
              <w:top w:val="single" w:color="auto" w:sz="4" w:space="0"/>
              <w:left w:val="single" w:color="auto" w:sz="4" w:space="0"/>
              <w:bottom w:val="single" w:color="auto" w:sz="4" w:space="0"/>
              <w:right w:val="single" w:color="auto" w:sz="4" w:space="0"/>
            </w:tcBorders>
            <w:vAlign w:val="center"/>
          </w:tcPr>
          <w:p w14:paraId="0FCE61BD">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投标人的资格要求：详见招标公告。</w:t>
            </w:r>
          </w:p>
        </w:tc>
      </w:tr>
      <w:tr w14:paraId="20FB2F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B75CE26">
            <w:pPr>
              <w:spacing w:line="400" w:lineRule="exact"/>
              <w:jc w:val="center"/>
              <w:rPr>
                <w:rFonts w:ascii="宋体" w:hAnsi="宋体" w:cs="宋体"/>
                <w:color w:val="auto"/>
                <w:szCs w:val="21"/>
                <w:highlight w:val="none"/>
              </w:rPr>
            </w:pPr>
            <w:bookmarkStart w:id="68" w:name="_8.1"/>
            <w:bookmarkEnd w:id="68"/>
            <w:bookmarkStart w:id="69" w:name="_5"/>
            <w:bookmarkEnd w:id="69"/>
            <w:bookmarkStart w:id="70" w:name="_9.2"/>
            <w:bookmarkEnd w:id="70"/>
            <w:r>
              <w:rPr>
                <w:rFonts w:hint="eastAsia" w:ascii="宋体" w:hAnsi="宋体" w:cs="宋体"/>
                <w:color w:val="auto"/>
                <w:szCs w:val="21"/>
                <w:highlight w:val="none"/>
              </w:rPr>
              <w:t>6.1</w:t>
            </w:r>
          </w:p>
        </w:tc>
        <w:tc>
          <w:tcPr>
            <w:tcW w:w="8708" w:type="dxa"/>
            <w:tcBorders>
              <w:top w:val="single" w:color="auto" w:sz="4" w:space="0"/>
              <w:left w:val="single" w:color="auto" w:sz="4" w:space="0"/>
              <w:bottom w:val="single" w:color="auto" w:sz="4" w:space="0"/>
              <w:right w:val="single" w:color="auto" w:sz="4" w:space="0"/>
            </w:tcBorders>
            <w:vAlign w:val="center"/>
          </w:tcPr>
          <w:p w14:paraId="795740E9">
            <w:pPr>
              <w:pStyle w:val="9"/>
              <w:spacing w:line="400" w:lineRule="exact"/>
              <w:rPr>
                <w:rFonts w:ascii="宋体" w:hAnsi="宋体" w:cs="宋体"/>
                <w:color w:val="auto"/>
                <w:szCs w:val="21"/>
                <w:highlight w:val="none"/>
              </w:rPr>
            </w:pPr>
            <w:r>
              <w:rPr>
                <w:rFonts w:hint="eastAsia" w:ascii="宋体" w:hAnsi="宋体" w:cs="宋体"/>
                <w:color w:val="auto"/>
                <w:szCs w:val="21"/>
                <w:highlight w:val="none"/>
              </w:rPr>
              <w:t>本项目是否接受联合体投标：详见招标公告。</w:t>
            </w:r>
          </w:p>
          <w:p w14:paraId="2D649AE7">
            <w:pPr>
              <w:pStyle w:val="9"/>
              <w:spacing w:line="400" w:lineRule="exact"/>
              <w:rPr>
                <w:rFonts w:ascii="宋体" w:hAnsi="宋体"/>
                <w:color w:val="auto"/>
                <w:szCs w:val="21"/>
                <w:highlight w:val="none"/>
              </w:rPr>
            </w:pPr>
            <w:bookmarkStart w:id="71" w:name="_Hlk54105293"/>
            <w:r>
              <w:rPr>
                <w:rFonts w:hint="eastAsia" w:ascii="宋体" w:hAnsi="宋体"/>
                <w:color w:val="auto"/>
                <w:szCs w:val="21"/>
                <w:highlight w:val="none"/>
              </w:rPr>
              <w:t>如接受联合体投标，</w:t>
            </w:r>
            <w:bookmarkEnd w:id="71"/>
            <w:r>
              <w:rPr>
                <w:rFonts w:hint="eastAsia" w:ascii="宋体" w:hAnsi="宋体"/>
                <w:color w:val="auto"/>
                <w:szCs w:val="21"/>
                <w:highlight w:val="none"/>
              </w:rPr>
              <w:t>联合体投标要求如下：</w:t>
            </w:r>
          </w:p>
          <w:p w14:paraId="1BEEE2C9">
            <w:pPr>
              <w:pStyle w:val="9"/>
              <w:spacing w:line="400" w:lineRule="exac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两个以上投标人可以组成一个投标联合体，以一个投标人的身份共同参加投标。联合体投标的，须提供《联合体投标协议书》。</w:t>
            </w:r>
          </w:p>
          <w:p w14:paraId="48F18187">
            <w:pPr>
              <w:pStyle w:val="9"/>
              <w:spacing w:line="400" w:lineRule="exac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3B9C61B2">
            <w:pPr>
              <w:pStyle w:val="9"/>
              <w:spacing w:line="400" w:lineRule="exact"/>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联合体各方之间必须签订联合投标协议，协议书必须明确主体方（或者牵头方）并明确约定联合体各方承担的工作和相应的责任（</w:t>
            </w:r>
            <w:r>
              <w:rPr>
                <w:rFonts w:hint="eastAsia" w:ascii="宋体" w:hAnsi="宋体"/>
                <w:b/>
                <w:color w:val="auto"/>
                <w:szCs w:val="21"/>
                <w:highlight w:val="none"/>
              </w:rPr>
              <w:t>各方承担责任与义务的分工必须符合采购需求，否则，联合体投标无效</w:t>
            </w:r>
            <w:r>
              <w:rPr>
                <w:rFonts w:hint="eastAsia" w:ascii="宋体" w:hAnsi="宋体"/>
                <w:color w:val="auto"/>
                <w:szCs w:val="21"/>
                <w:highlight w:val="none"/>
              </w:rPr>
              <w:t>），并将联合投标协议放入投标文件。联合体各方必须共同与采购人签订采购合同，就采购合同约定的事项对采购人承担连带责任。</w:t>
            </w:r>
          </w:p>
          <w:p w14:paraId="5EA854D7">
            <w:pPr>
              <w:pStyle w:val="9"/>
              <w:spacing w:line="400" w:lineRule="exact"/>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以联合体形式参加政府采购活动的，联合体各方不得再单独参加或者与其他投标人另外组成联合体参加同一合同项下的政府采购活动。</w:t>
            </w:r>
          </w:p>
          <w:p w14:paraId="7623AECB">
            <w:pPr>
              <w:pStyle w:val="9"/>
              <w:spacing w:line="400" w:lineRule="exac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联合体中有同类资质的投标人按照联合体分工承担相同工作的，应当按照资质等级较低的投标人确定资质等级。</w:t>
            </w:r>
          </w:p>
          <w:p w14:paraId="21EAC435">
            <w:pPr>
              <w:pStyle w:val="9"/>
              <w:spacing w:line="400" w:lineRule="exact"/>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联合体投标业绩、履约能力按照联合体各方其中较高的一方认定并计算（招标文件另有规定的除外）。</w:t>
            </w:r>
          </w:p>
          <w:p w14:paraId="176D4AAB">
            <w:pPr>
              <w:pStyle w:val="9"/>
              <w:spacing w:line="400" w:lineRule="exact"/>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w:t>
            </w:r>
            <w:r>
              <w:rPr>
                <w:rFonts w:hint="eastAsia" w:ascii="宋体" w:hAnsi="宋体"/>
                <w:color w:val="auto"/>
                <w:szCs w:val="21"/>
                <w:highlight w:val="none"/>
              </w:rPr>
              <w:t>投标人为联合体的，可以由联合体中的一方或者多方共同交纳投标保证金，其交纳的保证金对联合体各方均具有约束力。</w:t>
            </w:r>
          </w:p>
          <w:p w14:paraId="44B19144">
            <w:pPr>
              <w:pStyle w:val="9"/>
              <w:spacing w:line="400" w:lineRule="exact"/>
              <w:rPr>
                <w:rFonts w:ascii="宋体" w:hAnsi="宋体" w:cs="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联合体各方均应按照招标文件的规定提交资格证明文件。</w:t>
            </w:r>
          </w:p>
        </w:tc>
      </w:tr>
      <w:tr w14:paraId="013FE1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379F336">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7.2</w:t>
            </w:r>
          </w:p>
        </w:tc>
        <w:tc>
          <w:tcPr>
            <w:tcW w:w="8708" w:type="dxa"/>
            <w:tcBorders>
              <w:top w:val="single" w:color="auto" w:sz="4" w:space="0"/>
              <w:left w:val="single" w:color="auto" w:sz="4" w:space="0"/>
              <w:bottom w:val="single" w:color="auto" w:sz="4" w:space="0"/>
              <w:right w:val="single" w:color="auto" w:sz="4" w:space="0"/>
            </w:tcBorders>
            <w:vAlign w:val="center"/>
          </w:tcPr>
          <w:p w14:paraId="795CDF01">
            <w:pPr>
              <w:pStyle w:val="9"/>
              <w:spacing w:line="400" w:lineRule="exact"/>
              <w:rPr>
                <w:rFonts w:ascii="宋体" w:hAnsi="宋体" w:cs="宋体"/>
                <w:color w:val="auto"/>
                <w:szCs w:val="21"/>
                <w:highlight w:val="none"/>
              </w:rPr>
            </w:pPr>
            <w:r>
              <w:rPr>
                <w:rFonts w:hint="eastAsia" w:ascii="宋体" w:hAnsi="宋体" w:cs="宋体"/>
                <w:color w:val="auto"/>
                <w:szCs w:val="21"/>
                <w:highlight w:val="none"/>
              </w:rPr>
              <w:t>☑本项目不允许分包。</w:t>
            </w:r>
          </w:p>
          <w:p w14:paraId="3FB30EE1">
            <w:pPr>
              <w:pStyle w:val="9"/>
              <w:spacing w:line="400" w:lineRule="exact"/>
              <w:rPr>
                <w:rFonts w:ascii="宋体" w:hAnsi="宋体" w:cs="宋体"/>
                <w:color w:val="auto"/>
                <w:szCs w:val="21"/>
                <w:highlight w:val="none"/>
              </w:rPr>
            </w:pPr>
            <w:r>
              <w:rPr>
                <w:rFonts w:hint="eastAsia" w:ascii="宋体" w:hAnsi="宋体" w:cs="宋体"/>
                <w:color w:val="auto"/>
                <w:szCs w:val="21"/>
                <w:highlight w:val="none"/>
              </w:rPr>
              <w:t>□本项目允许分包：</w:t>
            </w:r>
          </w:p>
          <w:p w14:paraId="090F0370">
            <w:pPr>
              <w:pStyle w:val="9"/>
              <w:spacing w:line="400" w:lineRule="exact"/>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02857747">
            <w:pPr>
              <w:pStyle w:val="9"/>
              <w:spacing w:line="400" w:lineRule="exact"/>
              <w:jc w:val="both"/>
              <w:rPr>
                <w:rFonts w:ascii="宋体" w:hAnsi="宋体" w:cs="宋体"/>
                <w:color w:val="auto"/>
                <w:szCs w:val="21"/>
                <w:highlight w:val="none"/>
                <w:u w:val="singl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5785E2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2" w:hRule="atLeast"/>
          <w:jc w:val="center"/>
        </w:trPr>
        <w:tc>
          <w:tcPr>
            <w:tcW w:w="895" w:type="dxa"/>
            <w:vMerge w:val="restart"/>
            <w:tcBorders>
              <w:top w:val="single" w:color="auto" w:sz="4" w:space="0"/>
              <w:left w:val="single" w:color="auto" w:sz="4" w:space="0"/>
              <w:right w:val="single" w:color="auto" w:sz="4" w:space="0"/>
            </w:tcBorders>
            <w:vAlign w:val="center"/>
          </w:tcPr>
          <w:p w14:paraId="483B112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11.5</w:t>
            </w:r>
          </w:p>
        </w:tc>
        <w:tc>
          <w:tcPr>
            <w:tcW w:w="8708" w:type="dxa"/>
            <w:tcBorders>
              <w:top w:val="single" w:color="auto" w:sz="4" w:space="0"/>
              <w:left w:val="single" w:color="auto" w:sz="4" w:space="0"/>
              <w:bottom w:val="single" w:color="auto" w:sz="4" w:space="0"/>
              <w:right w:val="single" w:color="auto" w:sz="4" w:space="0"/>
            </w:tcBorders>
            <w:vAlign w:val="center"/>
          </w:tcPr>
          <w:p w14:paraId="4234A4CE">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☑本项目不组织现场考察。</w:t>
            </w:r>
          </w:p>
          <w:p w14:paraId="6DF5C2ED">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□本项目组织现场考察：</w:t>
            </w:r>
          </w:p>
          <w:p w14:paraId="57F6A451">
            <w:pPr>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集中时间：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分</w:t>
            </w:r>
            <w:r>
              <w:rPr>
                <w:rFonts w:hint="eastAsia" w:ascii="宋体" w:hAnsi="宋体" w:cs="宋体"/>
                <w:color w:val="auto"/>
                <w:szCs w:val="21"/>
                <w:highlight w:val="none"/>
              </w:rPr>
              <w:t>，逾期后果自负。集中地点：</w:t>
            </w:r>
            <w:r>
              <w:rPr>
                <w:rFonts w:hint="eastAsia" w:ascii="宋体" w:hAnsi="宋体" w:cs="宋体"/>
                <w:color w:val="auto"/>
                <w:szCs w:val="21"/>
                <w:highlight w:val="none"/>
                <w:u w:val="single"/>
              </w:rPr>
              <w:t xml:space="preserve">              </w:t>
            </w:r>
          </w:p>
          <w:p w14:paraId="5A95B3BA">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p>
        </w:tc>
      </w:tr>
      <w:tr w14:paraId="4AEABF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895" w:type="dxa"/>
            <w:vMerge w:val="continue"/>
            <w:tcBorders>
              <w:left w:val="single" w:color="auto" w:sz="4" w:space="0"/>
              <w:bottom w:val="single" w:color="auto" w:sz="4" w:space="0"/>
              <w:right w:val="single" w:color="auto" w:sz="4" w:space="0"/>
            </w:tcBorders>
            <w:vAlign w:val="center"/>
          </w:tcPr>
          <w:p w14:paraId="7DCC9F64">
            <w:pPr>
              <w:spacing w:line="400" w:lineRule="exact"/>
              <w:jc w:val="center"/>
              <w:rPr>
                <w:rFonts w:ascii="宋体" w:hAnsi="宋体" w:cs="宋体"/>
                <w:color w:val="auto"/>
                <w:szCs w:val="21"/>
                <w:highlight w:val="none"/>
              </w:rPr>
            </w:pPr>
          </w:p>
        </w:tc>
        <w:tc>
          <w:tcPr>
            <w:tcW w:w="8708" w:type="dxa"/>
            <w:tcBorders>
              <w:top w:val="single" w:color="auto" w:sz="4" w:space="0"/>
              <w:left w:val="single" w:color="auto" w:sz="4" w:space="0"/>
              <w:bottom w:val="single" w:color="auto" w:sz="4" w:space="0"/>
              <w:right w:val="single" w:color="auto" w:sz="4" w:space="0"/>
            </w:tcBorders>
            <w:vAlign w:val="center"/>
          </w:tcPr>
          <w:p w14:paraId="3F51702C">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☑本项目不组织召开开标前答疑会/□组织召开开标前答疑会</w:t>
            </w:r>
          </w:p>
          <w:p w14:paraId="3D15451C">
            <w:pPr>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会议开始时间：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分</w:t>
            </w:r>
            <w:r>
              <w:rPr>
                <w:rFonts w:hint="eastAsia" w:ascii="宋体" w:hAnsi="宋体" w:cs="宋体"/>
                <w:color w:val="auto"/>
                <w:szCs w:val="21"/>
                <w:highlight w:val="none"/>
              </w:rPr>
              <w:t>，逾期后果自负。会议地点：</w:t>
            </w:r>
            <w:r>
              <w:rPr>
                <w:rFonts w:hint="eastAsia" w:ascii="宋体" w:hAnsi="宋体" w:cs="宋体"/>
                <w:color w:val="auto"/>
                <w:szCs w:val="21"/>
                <w:highlight w:val="none"/>
                <w:u w:val="single"/>
              </w:rPr>
              <w:t xml:space="preserve">              </w:t>
            </w:r>
          </w:p>
          <w:p w14:paraId="6EFE06C1">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p>
        </w:tc>
      </w:tr>
      <w:tr w14:paraId="4050E2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895" w:type="dxa"/>
            <w:vMerge w:val="restart"/>
            <w:tcBorders>
              <w:top w:val="single" w:color="auto" w:sz="4" w:space="0"/>
              <w:left w:val="single" w:color="auto" w:sz="4" w:space="0"/>
              <w:right w:val="single" w:color="auto" w:sz="4" w:space="0"/>
            </w:tcBorders>
            <w:vAlign w:val="center"/>
          </w:tcPr>
          <w:p w14:paraId="7675A914">
            <w:pPr>
              <w:spacing w:line="400" w:lineRule="exact"/>
              <w:jc w:val="center"/>
              <w:rPr>
                <w:rFonts w:ascii="宋体" w:hAnsi="宋体" w:cs="宋体"/>
                <w:color w:val="auto"/>
                <w:szCs w:val="21"/>
                <w:highlight w:val="none"/>
              </w:rPr>
            </w:pPr>
            <w:bookmarkStart w:id="72" w:name="_13.1"/>
            <w:bookmarkEnd w:id="72"/>
            <w:r>
              <w:rPr>
                <w:rFonts w:hint="eastAsia" w:ascii="宋体" w:hAnsi="宋体" w:cs="宋体"/>
                <w:color w:val="auto"/>
                <w:szCs w:val="21"/>
                <w:highlight w:val="none"/>
              </w:rPr>
              <w:t>13.</w:t>
            </w:r>
            <w:bookmarkStart w:id="73" w:name="_Hlt19632543"/>
            <w:r>
              <w:rPr>
                <w:rFonts w:hint="eastAsia" w:ascii="宋体" w:hAnsi="宋体" w:cs="宋体"/>
                <w:color w:val="auto"/>
                <w:szCs w:val="21"/>
                <w:highlight w:val="none"/>
              </w:rPr>
              <w:t>1</w:t>
            </w:r>
            <w:bookmarkEnd w:id="73"/>
          </w:p>
        </w:tc>
        <w:tc>
          <w:tcPr>
            <w:tcW w:w="8708" w:type="dxa"/>
            <w:tcBorders>
              <w:top w:val="single" w:color="auto" w:sz="4" w:space="0"/>
              <w:left w:val="single" w:color="auto" w:sz="4" w:space="0"/>
              <w:bottom w:val="single" w:color="auto" w:sz="4" w:space="0"/>
              <w:right w:val="single" w:color="auto" w:sz="4" w:space="0"/>
            </w:tcBorders>
            <w:vAlign w:val="center"/>
          </w:tcPr>
          <w:p w14:paraId="33F97D71">
            <w:pPr>
              <w:tabs>
                <w:tab w:val="left" w:pos="459"/>
              </w:tabs>
              <w:snapToGri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报价文件：</w:t>
            </w:r>
          </w:p>
          <w:p w14:paraId="35673E9F">
            <w:pPr>
              <w:tabs>
                <w:tab w:val="left" w:pos="459"/>
              </w:tabs>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1、投标函（格式后附）；</w:t>
            </w:r>
            <w:r>
              <w:rPr>
                <w:rFonts w:hint="eastAsia" w:ascii="宋体" w:hAnsi="宋体" w:cs="宋体"/>
                <w:b/>
                <w:color w:val="auto"/>
                <w:szCs w:val="21"/>
                <w:highlight w:val="none"/>
              </w:rPr>
              <w:t>（必须提供，否则按无效投标处理）</w:t>
            </w:r>
          </w:p>
          <w:p w14:paraId="6100B297">
            <w:pPr>
              <w:tabs>
                <w:tab w:val="left" w:pos="459"/>
              </w:tabs>
              <w:snapToGrid w:val="0"/>
              <w:spacing w:line="400" w:lineRule="exact"/>
              <w:jc w:val="left"/>
              <w:rPr>
                <w:rFonts w:ascii="宋体" w:hAnsi="宋体" w:cs="宋体"/>
                <w:color w:val="auto"/>
                <w:szCs w:val="21"/>
                <w:highlight w:val="none"/>
              </w:rPr>
            </w:pPr>
            <w:bookmarkStart w:id="74" w:name="_Hlk71299233"/>
            <w:r>
              <w:rPr>
                <w:rFonts w:hint="eastAsia" w:ascii="宋体" w:hAnsi="宋体" w:cs="宋体"/>
                <w:color w:val="auto"/>
                <w:szCs w:val="21"/>
                <w:highlight w:val="none"/>
              </w:rPr>
              <w:t>2、开标一览表</w:t>
            </w:r>
            <w:bookmarkEnd w:id="74"/>
            <w:r>
              <w:rPr>
                <w:rFonts w:hint="eastAsia" w:ascii="宋体" w:hAnsi="宋体" w:cs="宋体"/>
                <w:color w:val="auto"/>
                <w:szCs w:val="21"/>
                <w:highlight w:val="none"/>
              </w:rPr>
              <w:t>（格式后附）；</w:t>
            </w:r>
            <w:r>
              <w:rPr>
                <w:rFonts w:hint="eastAsia" w:ascii="宋体" w:hAnsi="宋体" w:cs="宋体"/>
                <w:b/>
                <w:color w:val="auto"/>
                <w:szCs w:val="21"/>
                <w:highlight w:val="none"/>
              </w:rPr>
              <w:t>（必须提供，否则按无效投标处理）</w:t>
            </w:r>
          </w:p>
          <w:p w14:paraId="19035D31">
            <w:pPr>
              <w:tabs>
                <w:tab w:val="left" w:pos="459"/>
              </w:tabs>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3、投标人针对报价需要说明的其他文件和说明（格式自拟）。</w:t>
            </w:r>
          </w:p>
        </w:tc>
      </w:tr>
      <w:tr w14:paraId="710B5D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3268D21B">
            <w:pPr>
              <w:spacing w:line="400" w:lineRule="exact"/>
              <w:jc w:val="center"/>
              <w:rPr>
                <w:rFonts w:ascii="宋体" w:hAnsi="宋体" w:cs="宋体"/>
                <w:color w:val="auto"/>
                <w:szCs w:val="21"/>
                <w:highlight w:val="none"/>
              </w:rPr>
            </w:pPr>
          </w:p>
        </w:tc>
        <w:tc>
          <w:tcPr>
            <w:tcW w:w="8708" w:type="dxa"/>
            <w:tcBorders>
              <w:top w:val="single" w:color="auto" w:sz="4" w:space="0"/>
              <w:left w:val="single" w:color="auto" w:sz="4" w:space="0"/>
              <w:bottom w:val="single" w:color="auto" w:sz="4" w:space="0"/>
              <w:right w:val="single" w:color="auto" w:sz="4" w:space="0"/>
            </w:tcBorders>
            <w:vAlign w:val="center"/>
          </w:tcPr>
          <w:p w14:paraId="204445F1">
            <w:pPr>
              <w:snapToGrid w:val="0"/>
              <w:spacing w:line="380" w:lineRule="exact"/>
              <w:ind w:firstLine="422" w:firstLineChars="200"/>
              <w:jc w:val="left"/>
              <w:rPr>
                <w:rFonts w:ascii="宋体" w:hAnsi="宋体" w:cs="宋体"/>
                <w:color w:val="auto"/>
                <w:szCs w:val="21"/>
                <w:highlight w:val="none"/>
              </w:rPr>
            </w:pPr>
            <w:r>
              <w:rPr>
                <w:rFonts w:hint="eastAsia" w:ascii="宋体" w:hAnsi="宋体" w:cs="宋体"/>
                <w:b/>
                <w:color w:val="auto"/>
                <w:szCs w:val="21"/>
                <w:highlight w:val="none"/>
              </w:rPr>
              <w:t>资格证明文件：</w:t>
            </w:r>
          </w:p>
          <w:p w14:paraId="4053128E">
            <w:pPr>
              <w:snapToGrid w:val="0"/>
              <w:spacing w:line="380" w:lineRule="exact"/>
              <w:ind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1、投标人为法人或者其他组织的，提供营业执照等证明文件（如营业执照或者事业单位法人证书或者执业许可证等），投标人为自然人的，提供身份证。</w:t>
            </w:r>
            <w:r>
              <w:rPr>
                <w:rFonts w:hint="eastAsia" w:ascii="宋体" w:hAnsi="宋体" w:cs="宋体"/>
                <w:b/>
                <w:bCs/>
                <w:color w:val="auto"/>
                <w:szCs w:val="21"/>
                <w:highlight w:val="none"/>
              </w:rPr>
              <w:t>（必须提供，否则作无效投标处理）</w:t>
            </w:r>
          </w:p>
          <w:p w14:paraId="5F9E77D2">
            <w:pPr>
              <w:snapToGrid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u w:val="single"/>
              </w:rPr>
              <w:t>投标截止之日前半年内供应商任意1个月</w:t>
            </w:r>
            <w:r>
              <w:rPr>
                <w:rFonts w:hint="eastAsia" w:ascii="宋体" w:hAnsi="宋体" w:cs="宋体"/>
                <w:color w:val="auto"/>
                <w:szCs w:val="21"/>
                <w:highlight w:val="none"/>
              </w:rPr>
              <w:t>的依法缴纳税收的凭据；依法免税的投标人，必须提供相应文件证明其依法免税（或者提供依法缴纳税的承诺函（格式自拟））]。</w:t>
            </w:r>
            <w:r>
              <w:rPr>
                <w:rFonts w:hint="eastAsia" w:ascii="宋体" w:hAnsi="宋体" w:cs="宋体"/>
                <w:b/>
                <w:bCs/>
                <w:color w:val="auto"/>
                <w:szCs w:val="21"/>
                <w:highlight w:val="none"/>
              </w:rPr>
              <w:t>（必须提供，否则作无效投标处理）</w:t>
            </w:r>
          </w:p>
          <w:p w14:paraId="63F562A6">
            <w:pPr>
              <w:snapToGrid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rPr>
              <w:t>投标截止之日前半年内供应商任意1个月</w:t>
            </w:r>
            <w:r>
              <w:rPr>
                <w:rFonts w:hint="eastAsia" w:ascii="宋体" w:hAnsi="宋体" w:cs="宋体"/>
                <w:color w:val="auto"/>
                <w:szCs w:val="21"/>
                <w:highlight w:val="none"/>
              </w:rPr>
              <w:t>的依法缴纳社会保障资金的缴费凭证（专用收据或者社会保险缴纳清单）；依法不需要缴纳社会保障资金的投标人，必须提供相应文件证明不需要缴纳社会保障资金（或者提供依法缴纳社会保险费的承诺函（格式自拟））]。</w:t>
            </w:r>
            <w:r>
              <w:rPr>
                <w:rFonts w:hint="eastAsia" w:ascii="宋体" w:hAnsi="宋体" w:cs="宋体"/>
                <w:b/>
                <w:bCs/>
                <w:color w:val="auto"/>
                <w:szCs w:val="21"/>
                <w:highlight w:val="none"/>
              </w:rPr>
              <w:t>（必须提供，否则作无效投标处理）</w:t>
            </w:r>
          </w:p>
          <w:p w14:paraId="0E915F8F">
            <w:pPr>
              <w:snapToGrid w:val="0"/>
              <w:spacing w:line="380" w:lineRule="exact"/>
              <w:ind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4、投标人财务状况报告：[2024年]财务状况报告或报表复印件或者银行出具的资信证明；投标人属于成立</w:t>
            </w:r>
            <w:r>
              <w:rPr>
                <w:rFonts w:ascii="宋体" w:hAnsi="宋体" w:cs="宋体"/>
                <w:color w:val="auto"/>
                <w:szCs w:val="21"/>
                <w:highlight w:val="none"/>
              </w:rPr>
              <w:t>时间</w:t>
            </w:r>
            <w:r>
              <w:rPr>
                <w:rFonts w:hint="eastAsia" w:ascii="宋体" w:hAnsi="宋体" w:cs="宋体"/>
                <w:color w:val="auto"/>
                <w:szCs w:val="21"/>
                <w:highlight w:val="none"/>
              </w:rPr>
              <w:t>在规定年度之后</w:t>
            </w:r>
            <w:r>
              <w:rPr>
                <w:rFonts w:ascii="宋体" w:hAnsi="宋体" w:cs="宋体"/>
                <w:color w:val="auto"/>
                <w:szCs w:val="21"/>
                <w:highlight w:val="none"/>
              </w:rPr>
              <w:t>的</w:t>
            </w:r>
            <w:r>
              <w:rPr>
                <w:rFonts w:hint="eastAsia" w:ascii="宋体" w:hAnsi="宋体" w:cs="宋体"/>
                <w:color w:val="auto"/>
                <w:szCs w:val="21"/>
                <w:highlight w:val="none"/>
              </w:rPr>
              <w:t>法人或其他组织</w:t>
            </w:r>
            <w:r>
              <w:rPr>
                <w:rFonts w:ascii="宋体" w:hAnsi="宋体" w:cs="宋体"/>
                <w:color w:val="auto"/>
                <w:szCs w:val="21"/>
                <w:highlight w:val="none"/>
              </w:rPr>
              <w:t>，需提供成立</w:t>
            </w:r>
            <w:r>
              <w:rPr>
                <w:rFonts w:hint="eastAsia" w:ascii="宋体" w:hAnsi="宋体" w:cs="宋体"/>
                <w:color w:val="auto"/>
                <w:szCs w:val="21"/>
                <w:highlight w:val="none"/>
              </w:rPr>
              <w:t>之日起至投标截止时间前</w:t>
            </w:r>
            <w:r>
              <w:rPr>
                <w:rFonts w:ascii="宋体" w:hAnsi="宋体" w:cs="宋体"/>
                <w:color w:val="auto"/>
                <w:szCs w:val="21"/>
                <w:highlight w:val="none"/>
              </w:rPr>
              <w:t>的月报表</w:t>
            </w:r>
            <w:r>
              <w:rPr>
                <w:rFonts w:hint="eastAsia" w:ascii="宋体" w:hAnsi="宋体" w:cs="宋体"/>
                <w:color w:val="auto"/>
                <w:szCs w:val="21"/>
                <w:highlight w:val="none"/>
              </w:rPr>
              <w:t>或银行出具的资信证明；资信证明应在有效期内，未注明有效期的，银行出具时间至投标截止时间不超过一年）。</w:t>
            </w:r>
            <w:r>
              <w:rPr>
                <w:rFonts w:hint="eastAsia" w:ascii="宋体" w:hAnsi="宋体" w:cs="宋体"/>
                <w:b/>
                <w:bCs/>
                <w:color w:val="auto"/>
                <w:szCs w:val="21"/>
                <w:highlight w:val="none"/>
              </w:rPr>
              <w:t>（除自然人外必须提供，否则作无效投标处理）</w:t>
            </w:r>
          </w:p>
          <w:p w14:paraId="1099AAC3">
            <w:pPr>
              <w:snapToGrid w:val="0"/>
              <w:spacing w:line="380" w:lineRule="exact"/>
              <w:ind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5、投标人直接控股、管理关系信息表（格式后附）。</w:t>
            </w:r>
            <w:r>
              <w:rPr>
                <w:rFonts w:hint="eastAsia" w:ascii="宋体" w:hAnsi="宋体" w:cs="宋体"/>
                <w:b/>
                <w:bCs/>
                <w:color w:val="auto"/>
                <w:szCs w:val="21"/>
                <w:highlight w:val="none"/>
              </w:rPr>
              <w:t>（必须提供，否则作无效投标处理）</w:t>
            </w:r>
          </w:p>
          <w:p w14:paraId="03B12DEE">
            <w:pPr>
              <w:snapToGrid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6、投标资格声明（格式后附）。</w:t>
            </w:r>
            <w:r>
              <w:rPr>
                <w:rFonts w:hint="eastAsia" w:ascii="宋体" w:hAnsi="宋体" w:cs="宋体"/>
                <w:b/>
                <w:bCs/>
                <w:color w:val="auto"/>
                <w:szCs w:val="21"/>
                <w:highlight w:val="none"/>
              </w:rPr>
              <w:t>（必须提供，否则作无效投标处理）</w:t>
            </w:r>
          </w:p>
          <w:p w14:paraId="15DDB869">
            <w:pPr>
              <w:snapToGrid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7、联合体协议书（格式后附）。</w:t>
            </w:r>
            <w:r>
              <w:rPr>
                <w:rFonts w:hint="eastAsia" w:ascii="宋体" w:hAnsi="宋体" w:cs="宋体"/>
                <w:b/>
                <w:bCs/>
                <w:color w:val="auto"/>
                <w:szCs w:val="21"/>
                <w:highlight w:val="none"/>
              </w:rPr>
              <w:t>（联合体投标时必须提供，否则作无效投标处理）</w:t>
            </w:r>
          </w:p>
          <w:p w14:paraId="669C33EA">
            <w:pPr>
              <w:snapToGrid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8、中小企业声明函或残疾人福利性单位声明函或省级以上监狱管理局、戒毒管理局（含新疆生产建设兵团）出具的属于监狱企业的证明文件</w:t>
            </w:r>
            <w:r>
              <w:rPr>
                <w:rFonts w:hint="eastAsia" w:ascii="宋体" w:hAnsi="宋体" w:cs="宋体"/>
                <w:b/>
                <w:bCs/>
                <w:color w:val="auto"/>
                <w:szCs w:val="21"/>
                <w:highlight w:val="none"/>
              </w:rPr>
              <w:t>（如本项目属于专门面向中小企业采购的则必须提供，否则作无效投标处理）</w:t>
            </w:r>
          </w:p>
          <w:p w14:paraId="73230EC7">
            <w:pPr>
              <w:snapToGrid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9、招标公告中要求的本项目的特定资格要求的证明材料。</w:t>
            </w:r>
            <w:r>
              <w:rPr>
                <w:rFonts w:hint="eastAsia" w:ascii="宋体" w:hAnsi="宋体" w:cs="宋体"/>
                <w:b/>
                <w:bCs/>
                <w:color w:val="auto"/>
                <w:szCs w:val="21"/>
                <w:highlight w:val="none"/>
              </w:rPr>
              <w:t>（如有要求则必须提供，否则作无效投标处理）</w:t>
            </w:r>
          </w:p>
          <w:p w14:paraId="00BC0CFC">
            <w:pPr>
              <w:snapToGrid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10、除招标文件规定必须提供以外，投标人认为需要提供的其他证明材料。</w:t>
            </w:r>
          </w:p>
          <w:p w14:paraId="19876E4F">
            <w:pPr>
              <w:snapToGrid w:val="0"/>
              <w:spacing w:line="380" w:lineRule="exact"/>
              <w:ind w:firstLine="422" w:firstLineChars="200"/>
              <w:jc w:val="left"/>
              <w:rPr>
                <w:rFonts w:ascii="宋体" w:hAnsi="宋体" w:cs="宋体"/>
                <w:b/>
                <w:color w:val="auto"/>
                <w:szCs w:val="21"/>
                <w:highlight w:val="none"/>
              </w:rPr>
            </w:pPr>
            <w:r>
              <w:rPr>
                <w:rFonts w:hint="eastAsia" w:ascii="宋体" w:hAnsi="宋体" w:cs="宋体"/>
                <w:b/>
                <w:bCs/>
                <w:color w:val="auto"/>
                <w:szCs w:val="21"/>
                <w:highlight w:val="none"/>
              </w:rPr>
              <w:t>注：1.</w:t>
            </w:r>
            <w:r>
              <w:rPr>
                <w:rFonts w:hint="eastAsia" w:ascii="宋体" w:hAnsi="宋体" w:cs="宋体"/>
                <w:color w:val="auto"/>
                <w:szCs w:val="21"/>
                <w:highlight w:val="none"/>
              </w:rPr>
              <w:t xml:space="preserve"> </w:t>
            </w:r>
            <w:r>
              <w:rPr>
                <w:rFonts w:hint="eastAsia" w:ascii="宋体" w:hAnsi="宋体" w:cs="宋体"/>
                <w:b/>
                <w:bCs/>
                <w:color w:val="auto"/>
                <w:szCs w:val="21"/>
                <w:highlight w:val="none"/>
              </w:rPr>
              <w:t>以上标明“必须提供”的材料必须加盖投标人公章（或电子公章），否则</w:t>
            </w:r>
            <w:r>
              <w:rPr>
                <w:rFonts w:hint="eastAsia" w:ascii="宋体" w:hAnsi="宋体" w:cs="宋体"/>
                <w:b/>
                <w:color w:val="auto"/>
                <w:szCs w:val="21"/>
                <w:highlight w:val="none"/>
              </w:rPr>
              <w:t>作无效投标处理。</w:t>
            </w:r>
          </w:p>
          <w:p w14:paraId="5C4ECD51">
            <w:pPr>
              <w:numPr>
                <w:ilvl w:val="255"/>
                <w:numId w:val="0"/>
              </w:numPr>
              <w:snapToGrid w:val="0"/>
              <w:spacing w:line="380" w:lineRule="exact"/>
              <w:ind w:firstLine="422" w:firstLineChars="200"/>
              <w:jc w:val="left"/>
              <w:rPr>
                <w:color w:val="auto"/>
                <w:highlight w:val="none"/>
              </w:rPr>
            </w:pPr>
            <w:r>
              <w:rPr>
                <w:rFonts w:hint="eastAsia" w:ascii="宋体" w:hAnsi="宋体" w:cs="宋体"/>
                <w:b/>
                <w:bCs/>
                <w:color w:val="auto"/>
                <w:szCs w:val="21"/>
                <w:highlight w:val="none"/>
              </w:rPr>
              <w:t>2.联合体投标时，第1-</w:t>
            </w:r>
            <w:r>
              <w:rPr>
                <w:rFonts w:ascii="宋体" w:hAnsi="宋体" w:cs="宋体"/>
                <w:b/>
                <w:bCs/>
                <w:color w:val="auto"/>
                <w:szCs w:val="21"/>
                <w:highlight w:val="none"/>
              </w:rPr>
              <w:t>5</w:t>
            </w:r>
            <w:r>
              <w:rPr>
                <w:rFonts w:hint="eastAsia" w:ascii="宋体" w:hAnsi="宋体" w:cs="宋体"/>
                <w:b/>
                <w:bCs/>
                <w:color w:val="auto"/>
                <w:szCs w:val="21"/>
                <w:highlight w:val="none"/>
              </w:rPr>
              <w:t>项资格证明文件联合体各方均必须分别提供，联合体各方分别盖章，否则投标文件按无效响应处理。</w:t>
            </w:r>
          </w:p>
        </w:tc>
      </w:tr>
      <w:tr w14:paraId="264E5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27F01149">
            <w:pPr>
              <w:spacing w:line="400" w:lineRule="exact"/>
              <w:rPr>
                <w:rFonts w:ascii="宋体" w:hAnsi="宋体" w:cs="宋体"/>
                <w:color w:val="auto"/>
                <w:szCs w:val="21"/>
                <w:highlight w:val="none"/>
              </w:rPr>
            </w:pPr>
            <w:bookmarkStart w:id="75" w:name="_13.2"/>
            <w:bookmarkEnd w:id="75"/>
            <w:bookmarkStart w:id="76" w:name="_13.3"/>
            <w:bookmarkEnd w:id="76"/>
          </w:p>
        </w:tc>
        <w:tc>
          <w:tcPr>
            <w:tcW w:w="8708" w:type="dxa"/>
            <w:tcBorders>
              <w:top w:val="single" w:color="auto" w:sz="4" w:space="0"/>
              <w:left w:val="single" w:color="auto" w:sz="4" w:space="0"/>
              <w:bottom w:val="single" w:color="auto" w:sz="4" w:space="0"/>
              <w:right w:val="single" w:color="auto" w:sz="4" w:space="0"/>
            </w:tcBorders>
            <w:vAlign w:val="center"/>
          </w:tcPr>
          <w:p w14:paraId="0A48B620">
            <w:pPr>
              <w:snapToGri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商务文件：</w:t>
            </w:r>
          </w:p>
          <w:p w14:paraId="33E0A882">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1、无串通投标行为的承诺函（格式后附）；（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4F2A5512">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2、投标保证金提交证明；（</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70B72ED">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3、法定代表人身份证明及法定代表人有效身份证正反面（格式后附）；（</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0103BC4">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4、授权委托书及委托代理人有效身份证正反面（格式后附）；（</w:t>
            </w:r>
            <w:r>
              <w:rPr>
                <w:rFonts w:hint="eastAsia" w:ascii="宋体" w:hAnsi="宋体" w:cs="宋体"/>
                <w:b/>
                <w:color w:val="auto"/>
                <w:szCs w:val="21"/>
                <w:highlight w:val="none"/>
              </w:rPr>
              <w:t>委托时必须提供，否则按无效投标处理</w:t>
            </w:r>
            <w:r>
              <w:rPr>
                <w:rFonts w:hint="eastAsia" w:ascii="宋体" w:hAnsi="宋体" w:cs="宋体"/>
                <w:color w:val="auto"/>
                <w:szCs w:val="21"/>
                <w:highlight w:val="none"/>
              </w:rPr>
              <w:t>）</w:t>
            </w:r>
          </w:p>
          <w:p w14:paraId="02AA4D6A">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5、商务要求偏离表（格式后附）；（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1D2081A">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6、投标人情况介绍（格式自拟）；</w:t>
            </w:r>
          </w:p>
          <w:p w14:paraId="36D8BE81">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highlight w:val="none"/>
              </w:rPr>
              <w:t>投标人类似业绩的证明文件</w:t>
            </w:r>
            <w:r>
              <w:rPr>
                <w:rFonts w:hint="eastAsia" w:ascii="宋体" w:hAnsi="宋体" w:cs="宋体"/>
                <w:color w:val="auto"/>
                <w:szCs w:val="21"/>
                <w:highlight w:val="none"/>
              </w:rPr>
              <w:t>（格式后附）</w:t>
            </w:r>
          </w:p>
          <w:p w14:paraId="637CB057">
            <w:pPr>
              <w:snapToGrid w:val="0"/>
              <w:spacing w:line="400" w:lineRule="exact"/>
              <w:jc w:val="left"/>
              <w:rPr>
                <w:rFonts w:ascii="宋体" w:hAnsi="宋体" w:cs="宋体"/>
                <w:b/>
                <w:bCs/>
                <w:color w:val="auto"/>
                <w:szCs w:val="21"/>
                <w:highlight w:val="none"/>
              </w:rPr>
            </w:pPr>
            <w:r>
              <w:rPr>
                <w:rFonts w:hint="eastAsia" w:ascii="宋体" w:hAnsi="宋体" w:cs="宋体"/>
                <w:color w:val="auto"/>
                <w:szCs w:val="21"/>
                <w:highlight w:val="none"/>
              </w:rPr>
              <w:t>8、除招标文件规定必须提供以外，投标人认为需要提供的其他证明材料（格式自拟）。（投标人根据“第二章 采购需求”及“第四章 评标方法及评标标准”提供有关证明材料）。</w:t>
            </w:r>
          </w:p>
          <w:p w14:paraId="208795F8">
            <w:pPr>
              <w:snapToGrid w:val="0"/>
              <w:spacing w:line="38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注：1.法定代表人授权委托书必须由法定代表人及委托代理人签字或电子签章，并加盖投标人公章（或电子公章），否则作无效投标处理。</w:t>
            </w:r>
          </w:p>
          <w:p w14:paraId="1726162A">
            <w:pPr>
              <w:snapToGrid w:val="0"/>
              <w:spacing w:line="40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2.以上标明“必须提供”的材料必须加盖投标人公章（或电子公章），否则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0EE41D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bottom w:val="single" w:color="auto" w:sz="4" w:space="0"/>
              <w:right w:val="single" w:color="auto" w:sz="4" w:space="0"/>
            </w:tcBorders>
            <w:vAlign w:val="center"/>
          </w:tcPr>
          <w:p w14:paraId="7742B2E3">
            <w:pPr>
              <w:spacing w:line="400" w:lineRule="exact"/>
              <w:rPr>
                <w:rFonts w:ascii="宋体" w:hAnsi="宋体" w:cs="宋体"/>
                <w:color w:val="auto"/>
                <w:szCs w:val="21"/>
                <w:highlight w:val="none"/>
              </w:rPr>
            </w:pPr>
            <w:bookmarkStart w:id="77" w:name="_13.4"/>
            <w:bookmarkEnd w:id="77"/>
          </w:p>
        </w:tc>
        <w:tc>
          <w:tcPr>
            <w:tcW w:w="8708" w:type="dxa"/>
            <w:tcBorders>
              <w:top w:val="single" w:color="auto" w:sz="4" w:space="0"/>
              <w:left w:val="single" w:color="auto" w:sz="4" w:space="0"/>
              <w:bottom w:val="single" w:color="auto" w:sz="4" w:space="0"/>
              <w:right w:val="single" w:color="auto" w:sz="4" w:space="0"/>
            </w:tcBorders>
            <w:vAlign w:val="center"/>
          </w:tcPr>
          <w:p w14:paraId="11968224">
            <w:pPr>
              <w:snapToGri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技术文件：</w:t>
            </w:r>
          </w:p>
          <w:p w14:paraId="76E3CF74">
            <w:pPr>
              <w:snapToGrid w:val="0"/>
              <w:spacing w:line="400" w:lineRule="exact"/>
              <w:jc w:val="left"/>
              <w:rPr>
                <w:rFonts w:ascii="宋体" w:hAnsi="宋体" w:cs="宋体"/>
                <w:b/>
                <w:bCs/>
                <w:color w:val="auto"/>
                <w:szCs w:val="21"/>
                <w:highlight w:val="none"/>
              </w:rPr>
            </w:pPr>
            <w:r>
              <w:rPr>
                <w:rFonts w:hint="eastAsia" w:ascii="宋体" w:hAnsi="宋体" w:cs="宋体"/>
                <w:color w:val="auto"/>
                <w:szCs w:val="21"/>
                <w:highlight w:val="none"/>
              </w:rPr>
              <w:t>1、技术要求偏离表（格式后附）；</w:t>
            </w:r>
            <w:r>
              <w:rPr>
                <w:rFonts w:hint="eastAsia" w:ascii="宋体" w:hAnsi="宋体" w:cs="宋体"/>
                <w:b/>
                <w:bCs/>
                <w:color w:val="auto"/>
                <w:szCs w:val="21"/>
                <w:highlight w:val="none"/>
              </w:rPr>
              <w:t>（必须提供，否则按无效投标处理）</w:t>
            </w:r>
          </w:p>
          <w:p w14:paraId="131B436A">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2、服务方案（格式自拟）；</w:t>
            </w:r>
            <w:r>
              <w:rPr>
                <w:rFonts w:hint="eastAsia" w:ascii="宋体" w:hAnsi="宋体"/>
                <w:b/>
                <w:bCs/>
                <w:color w:val="auto"/>
                <w:szCs w:val="21"/>
                <w:highlight w:val="none"/>
              </w:rPr>
              <w:t>（必须提供，否则按无效投标处理）</w:t>
            </w:r>
          </w:p>
          <w:p w14:paraId="3449AD82">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3、售后服务承诺（格式自拟）；</w:t>
            </w:r>
            <w:r>
              <w:rPr>
                <w:rFonts w:hint="eastAsia" w:ascii="宋体" w:hAnsi="宋体" w:cs="宋体"/>
                <w:b/>
                <w:bCs/>
                <w:color w:val="auto"/>
                <w:szCs w:val="21"/>
                <w:highlight w:val="none"/>
              </w:rPr>
              <w:t>（必须提供，否则按无效投标处理）</w:t>
            </w:r>
          </w:p>
          <w:p w14:paraId="6766C8E0">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4、项目实施人员一览表（格式后附）；</w:t>
            </w:r>
            <w:r>
              <w:rPr>
                <w:rFonts w:hint="eastAsia" w:ascii="宋体" w:hAnsi="宋体"/>
                <w:b/>
                <w:bCs/>
                <w:color w:val="auto"/>
                <w:szCs w:val="21"/>
                <w:highlight w:val="none"/>
              </w:rPr>
              <w:t>（必须提供，否则按无效投标处理）</w:t>
            </w:r>
          </w:p>
          <w:p w14:paraId="3682C223">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5、投标人对本项目的合理化建议和改进措施（格式自拟）；</w:t>
            </w:r>
          </w:p>
          <w:p w14:paraId="724900F8">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6、除招标文件规定必须提供以外，投标人需要说明的其他文件和说明（格式自拟）。</w:t>
            </w:r>
          </w:p>
          <w:p w14:paraId="66D37620">
            <w:pPr>
              <w:snapToGrid w:val="0"/>
              <w:spacing w:line="400" w:lineRule="exact"/>
              <w:ind w:firstLine="316" w:firstLineChars="150"/>
              <w:jc w:val="left"/>
              <w:rPr>
                <w:rFonts w:ascii="宋体" w:hAnsi="宋体" w:cs="宋体"/>
                <w:b/>
                <w:bCs/>
                <w:color w:val="auto"/>
                <w:szCs w:val="21"/>
                <w:highlight w:val="none"/>
              </w:rPr>
            </w:pPr>
            <w:r>
              <w:rPr>
                <w:rFonts w:hint="eastAsia" w:ascii="宋体" w:hAnsi="宋体" w:cs="宋体"/>
                <w:b/>
                <w:bCs/>
                <w:color w:val="auto"/>
                <w:szCs w:val="21"/>
                <w:highlight w:val="none"/>
              </w:rPr>
              <w:t>注：以上标明“必须提供”的材料必须加盖投标人公章（或电子公章），否则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54ECDD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6641712">
            <w:pPr>
              <w:spacing w:line="400" w:lineRule="exact"/>
              <w:jc w:val="center"/>
              <w:rPr>
                <w:rFonts w:ascii="宋体" w:hAnsi="宋体" w:cs="宋体"/>
                <w:color w:val="auto"/>
                <w:szCs w:val="21"/>
                <w:highlight w:val="none"/>
              </w:rPr>
            </w:pPr>
            <w:bookmarkStart w:id="78" w:name="_16.2"/>
            <w:bookmarkEnd w:id="78"/>
            <w:bookmarkStart w:id="79" w:name="_13.5"/>
            <w:bookmarkEnd w:id="79"/>
            <w:r>
              <w:rPr>
                <w:rFonts w:hint="eastAsia" w:ascii="宋体" w:hAnsi="宋体" w:cs="宋体"/>
                <w:color w:val="auto"/>
                <w:szCs w:val="21"/>
                <w:highlight w:val="none"/>
              </w:rPr>
              <w:t>16</w:t>
            </w:r>
            <w:bookmarkStart w:id="80" w:name="_Hlt19693759"/>
            <w:bookmarkStart w:id="81" w:name="_Hlt19693758"/>
            <w:bookmarkStart w:id="82" w:name="_Hlt19194066"/>
            <w:bookmarkStart w:id="83" w:name="_Hlt19194067"/>
            <w:r>
              <w:rPr>
                <w:rFonts w:hint="eastAsia" w:ascii="宋体" w:hAnsi="宋体" w:cs="宋体"/>
                <w:color w:val="auto"/>
                <w:szCs w:val="21"/>
                <w:highlight w:val="none"/>
              </w:rPr>
              <w:t>.</w:t>
            </w:r>
            <w:bookmarkEnd w:id="80"/>
            <w:bookmarkEnd w:id="81"/>
            <w:bookmarkEnd w:id="82"/>
            <w:bookmarkEnd w:id="83"/>
            <w:r>
              <w:rPr>
                <w:rFonts w:hint="eastAsia" w:ascii="宋体" w:hAnsi="宋体" w:cs="宋体"/>
                <w:color w:val="auto"/>
                <w:szCs w:val="21"/>
                <w:highlight w:val="none"/>
              </w:rPr>
              <w:t>2</w:t>
            </w:r>
          </w:p>
        </w:tc>
        <w:tc>
          <w:tcPr>
            <w:tcW w:w="8708" w:type="dxa"/>
            <w:tcBorders>
              <w:top w:val="single" w:color="auto" w:sz="4" w:space="0"/>
              <w:left w:val="single" w:color="auto" w:sz="4" w:space="0"/>
              <w:bottom w:val="single" w:color="auto" w:sz="4" w:space="0"/>
              <w:right w:val="single" w:color="auto" w:sz="4" w:space="0"/>
            </w:tcBorders>
            <w:vAlign w:val="center"/>
          </w:tcPr>
          <w:p w14:paraId="1F510B17">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投标报价是履行合同的最终价格，即满足全部采购需求所应提供的服务的价格；包括投标服务的成本、运输（含保险）（如有）、技术服务、培训、税费等所有费用。</w:t>
            </w:r>
            <w:r>
              <w:rPr>
                <w:rFonts w:hint="eastAsia" w:ascii="宋体" w:hAnsi="宋体" w:cs="宋体"/>
                <w:b/>
                <w:bCs/>
                <w:color w:val="auto"/>
                <w:szCs w:val="21"/>
                <w:highlight w:val="none"/>
              </w:rPr>
              <w:t>（采购需求另有约定的，从其约定。）</w:t>
            </w:r>
          </w:p>
        </w:tc>
      </w:tr>
      <w:tr w14:paraId="73B5F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0BF2F4B">
            <w:pPr>
              <w:spacing w:line="400" w:lineRule="exact"/>
              <w:jc w:val="center"/>
              <w:rPr>
                <w:rFonts w:ascii="宋体" w:hAnsi="宋体" w:cs="宋体"/>
                <w:color w:val="auto"/>
                <w:szCs w:val="21"/>
                <w:highlight w:val="none"/>
              </w:rPr>
            </w:pPr>
            <w:bookmarkStart w:id="84" w:name="_17.1"/>
            <w:bookmarkEnd w:id="84"/>
            <w:r>
              <w:rPr>
                <w:rFonts w:hint="eastAsia" w:ascii="宋体" w:hAnsi="宋体" w:cs="宋体"/>
                <w:color w:val="auto"/>
                <w:szCs w:val="21"/>
                <w:highlight w:val="none"/>
              </w:rPr>
              <w:t>17.2</w:t>
            </w:r>
          </w:p>
        </w:tc>
        <w:tc>
          <w:tcPr>
            <w:tcW w:w="8708" w:type="dxa"/>
            <w:tcBorders>
              <w:top w:val="single" w:color="auto" w:sz="4" w:space="0"/>
              <w:left w:val="single" w:color="auto" w:sz="4" w:space="0"/>
              <w:bottom w:val="single" w:color="auto" w:sz="4" w:space="0"/>
              <w:right w:val="single" w:color="auto" w:sz="4" w:space="0"/>
            </w:tcBorders>
            <w:vAlign w:val="center"/>
          </w:tcPr>
          <w:p w14:paraId="7CDF35F5">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投标有效期：投标截止之日起60天内。</w:t>
            </w:r>
          </w:p>
        </w:tc>
      </w:tr>
      <w:tr w14:paraId="0BBECD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D7D9F05">
            <w:pPr>
              <w:spacing w:line="400" w:lineRule="exact"/>
              <w:jc w:val="center"/>
              <w:rPr>
                <w:rFonts w:ascii="宋体" w:hAnsi="宋体" w:cs="宋体"/>
                <w:color w:val="auto"/>
                <w:szCs w:val="21"/>
                <w:highlight w:val="none"/>
              </w:rPr>
            </w:pPr>
            <w:bookmarkStart w:id="85" w:name="_18"/>
            <w:bookmarkEnd w:id="85"/>
            <w:r>
              <w:rPr>
                <w:rFonts w:hint="eastAsia" w:ascii="宋体" w:hAnsi="宋体" w:cs="宋体"/>
                <w:color w:val="auto"/>
                <w:szCs w:val="21"/>
                <w:highlight w:val="none"/>
              </w:rPr>
              <w:t>18.1</w:t>
            </w:r>
          </w:p>
        </w:tc>
        <w:tc>
          <w:tcPr>
            <w:tcW w:w="8708" w:type="dxa"/>
            <w:tcBorders>
              <w:top w:val="single" w:color="auto" w:sz="4" w:space="0"/>
              <w:left w:val="single" w:color="auto" w:sz="4" w:space="0"/>
              <w:bottom w:val="single" w:color="auto" w:sz="4" w:space="0"/>
              <w:right w:val="single" w:color="auto" w:sz="4" w:space="0"/>
            </w:tcBorders>
            <w:vAlign w:val="center"/>
          </w:tcPr>
          <w:p w14:paraId="64FA5122">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□本项目不收取投标保证金。</w:t>
            </w:r>
          </w:p>
          <w:p w14:paraId="2E5A9213">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☑本项目收取投标保证金，具体规定如下：</w:t>
            </w:r>
          </w:p>
          <w:p w14:paraId="3E3A4F94">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投标保证金人民币</w:t>
            </w:r>
            <w:r>
              <w:rPr>
                <w:rFonts w:hint="eastAsia" w:ascii="宋体" w:hAnsi="宋体" w:cs="宋体"/>
                <w:color w:val="auto"/>
                <w:kern w:val="0"/>
                <w:szCs w:val="21"/>
                <w:highlight w:val="none"/>
                <w:u w:val="single"/>
              </w:rPr>
              <w:t xml:space="preserve"> 40000.00 </w:t>
            </w:r>
            <w:r>
              <w:rPr>
                <w:rFonts w:hint="eastAsia" w:ascii="宋体" w:hAnsi="宋体" w:cs="宋体"/>
                <w:color w:val="auto"/>
                <w:kern w:val="0"/>
                <w:szCs w:val="21"/>
                <w:highlight w:val="none"/>
              </w:rPr>
              <w:t>元；</w:t>
            </w:r>
          </w:p>
          <w:p w14:paraId="37F8D02C">
            <w:pPr>
              <w:snapToGrid w:val="0"/>
              <w:spacing w:line="400" w:lineRule="exact"/>
              <w:rPr>
                <w:rFonts w:ascii="宋体" w:hAnsi="宋体" w:cs="宋体"/>
                <w:color w:val="auto"/>
                <w:szCs w:val="21"/>
                <w:highlight w:val="none"/>
              </w:rPr>
            </w:pPr>
            <w:r>
              <w:rPr>
                <w:rFonts w:hint="eastAsia" w:ascii="宋体" w:hAnsi="宋体" w:cs="宋体"/>
                <w:color w:val="auto"/>
                <w:kern w:val="0"/>
                <w:szCs w:val="21"/>
                <w:highlight w:val="none"/>
              </w:rPr>
              <w:t>投标保证金的交纳方式：银行转账、支票、汇票、本票或者金融、担保机构出具的保函，禁止采用现钞方式。采用银行转账方式的，在投标截止时间前交至指定账户并且到账（开户银行：</w:t>
            </w:r>
            <w:r>
              <w:rPr>
                <w:rFonts w:hint="eastAsia" w:ascii="宋体" w:hAnsi="宋体" w:cs="Arial"/>
                <w:color w:val="auto"/>
                <w:szCs w:val="21"/>
                <w:highlight w:val="none"/>
                <w:u w:val="single"/>
              </w:rPr>
              <w:t>中国建设银行股份有限公司广西自贸试验区南宁片区五象支行</w:t>
            </w:r>
            <w:r>
              <w:rPr>
                <w:rFonts w:hint="eastAsia" w:ascii="宋体" w:hAnsi="宋体" w:cs="宋体"/>
                <w:color w:val="auto"/>
                <w:kern w:val="0"/>
                <w:szCs w:val="21"/>
                <w:highlight w:val="none"/>
              </w:rPr>
              <w:t>，开户名称：</w:t>
            </w:r>
            <w:r>
              <w:rPr>
                <w:rFonts w:hint="eastAsia" w:ascii="宋体" w:hAnsi="宋体" w:cs="宋体"/>
                <w:color w:val="auto"/>
                <w:kern w:val="0"/>
                <w:szCs w:val="21"/>
                <w:highlight w:val="none"/>
                <w:u w:val="single"/>
              </w:rPr>
              <w:t>广西卓联工程管理有限公司</w:t>
            </w:r>
            <w:r>
              <w:rPr>
                <w:rFonts w:hint="eastAsia" w:ascii="宋体" w:hAnsi="宋体" w:cs="宋体"/>
                <w:color w:val="auto"/>
                <w:kern w:val="0"/>
                <w:szCs w:val="21"/>
                <w:highlight w:val="none"/>
              </w:rPr>
              <w:t>，银行账号：</w:t>
            </w:r>
            <w:r>
              <w:rPr>
                <w:rFonts w:ascii="宋体" w:hAnsi="宋体" w:cs="宋体"/>
                <w:color w:val="auto"/>
                <w:kern w:val="0"/>
                <w:szCs w:val="21"/>
                <w:highlight w:val="none"/>
                <w:u w:val="single"/>
              </w:rPr>
              <w:t>450 501 605 001 096 666 66</w:t>
            </w:r>
            <w:r>
              <w:rPr>
                <w:rFonts w:hint="eastAsia" w:ascii="宋体" w:hAnsi="宋体" w:cs="宋体"/>
                <w:color w:val="auto"/>
                <w:kern w:val="0"/>
                <w:szCs w:val="21"/>
                <w:highlight w:val="none"/>
              </w:rPr>
              <w:t>）；采用支票、汇票、本票或者保函等方式的，在投标截止时间前，投标人必须递交支票、汇票、本票或者保函原件，否则视为无效投标保证金。</w:t>
            </w:r>
          </w:p>
          <w:p w14:paraId="7FA3247D">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相关要求：</w:t>
            </w:r>
          </w:p>
          <w:p w14:paraId="213E2EA4">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1、投标保证金采用银行转账交纳方式的，在投标截止时间前交至指定账户并且到账，投标人应将银行转账底单的扫描件作为投标保证金提交凭证，放置于</w:t>
            </w:r>
            <w:r>
              <w:rPr>
                <w:rFonts w:hint="eastAsia" w:ascii="宋体" w:hAnsi="宋体" w:cs="宋体"/>
                <w:b/>
                <w:bCs/>
                <w:color w:val="auto"/>
                <w:szCs w:val="21"/>
                <w:highlight w:val="none"/>
              </w:rPr>
              <w:t>商务文件</w:t>
            </w:r>
            <w:r>
              <w:rPr>
                <w:rFonts w:hint="eastAsia" w:ascii="宋体" w:hAnsi="宋体" w:cs="宋体"/>
                <w:color w:val="auto"/>
                <w:szCs w:val="21"/>
                <w:highlight w:val="none"/>
              </w:rPr>
              <w:t>中，否则投标无效。</w:t>
            </w:r>
          </w:p>
          <w:p w14:paraId="6A2C8EAE">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2、投标保证金采用支票、汇票、本票或者金融、担保机构出具的保函交纳方式的，投标人应将支票、汇票、本票或者金融、担保机构出具的保函的扫描件作为投标保证金提交证明，放置于商务文件中，</w:t>
            </w:r>
            <w:r>
              <w:rPr>
                <w:rFonts w:hint="eastAsia" w:ascii="宋体" w:hAnsi="宋体" w:cs="宋体"/>
                <w:b/>
                <w:color w:val="auto"/>
                <w:szCs w:val="21"/>
                <w:highlight w:val="none"/>
              </w:rPr>
              <w:t>否则投标无效</w:t>
            </w:r>
            <w:r>
              <w:rPr>
                <w:rFonts w:hint="eastAsia" w:ascii="宋体" w:hAnsi="宋体" w:cs="宋体"/>
                <w:color w:val="auto"/>
                <w:szCs w:val="21"/>
                <w:highlight w:val="none"/>
              </w:rPr>
              <w:t>。</w:t>
            </w:r>
            <w:r>
              <w:rPr>
                <w:rFonts w:hint="eastAsia" w:ascii="宋体" w:hAnsi="宋体" w:cs="宋体"/>
                <w:b/>
                <w:color w:val="auto"/>
                <w:szCs w:val="21"/>
                <w:highlight w:val="none"/>
              </w:rPr>
              <w:t>投标人必须在投标截止时间前将支票、汇票、本票或者金融、担保机构出具的保函原件提交给采购代理机构，由采购代理机构向投标人出具回执，并妥善保管。</w:t>
            </w:r>
          </w:p>
          <w:p w14:paraId="46BC61C1">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3、投标人为联合体的，可以由联合体中的一方或者多方共同交纳投标保证金，其交纳的保证金对联合体各方均具有约束力。</w:t>
            </w:r>
          </w:p>
          <w:p w14:paraId="09351EC2">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 xml:space="preserve">备注： </w:t>
            </w:r>
          </w:p>
          <w:p w14:paraId="244ED132">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1、投标保证金在投标截止时间后提交的，或者不按规定交纳方式交纳的，或者未足额交纳的（包含保函额度不足的），视为无效投标保证金。</w:t>
            </w:r>
          </w:p>
          <w:p w14:paraId="7D551FFE">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2、投标人采用现钞方式或者从个人账户（自然人投标除外）转出的投标保证金，视为无效投标保证金。</w:t>
            </w:r>
          </w:p>
          <w:p w14:paraId="1C929BE1">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3、支票、汇票或者本票出现无效或者背书情形的，视为无效投标保证金。</w:t>
            </w:r>
          </w:p>
          <w:p w14:paraId="13F3EE78">
            <w:pPr>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4、保函有效期低于投标有效期的，视为无效投标保证金。</w:t>
            </w:r>
          </w:p>
          <w:p w14:paraId="644FFF56">
            <w:pPr>
              <w:snapToGrid w:val="0"/>
              <w:spacing w:line="400" w:lineRule="exact"/>
              <w:rPr>
                <w:color w:val="auto"/>
                <w:highlight w:val="none"/>
              </w:rPr>
            </w:pPr>
            <w:r>
              <w:rPr>
                <w:rFonts w:hint="eastAsia" w:ascii="宋体" w:hAnsi="宋体" w:cs="宋体"/>
                <w:b/>
                <w:color w:val="auto"/>
                <w:szCs w:val="21"/>
                <w:highlight w:val="none"/>
              </w:rPr>
              <w:t>5、采用金融、担保机构出具保函的，必须为无条件保函，否则视为无效投标保证金。</w:t>
            </w:r>
          </w:p>
        </w:tc>
      </w:tr>
      <w:tr w14:paraId="6AE631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94A1DA0">
            <w:pPr>
              <w:spacing w:line="400" w:lineRule="exact"/>
              <w:jc w:val="center"/>
              <w:rPr>
                <w:rFonts w:ascii="宋体" w:hAnsi="宋体" w:cs="宋体"/>
                <w:color w:val="auto"/>
                <w:szCs w:val="21"/>
                <w:highlight w:val="none"/>
              </w:rPr>
            </w:pPr>
            <w:bookmarkStart w:id="86" w:name="_19.2"/>
            <w:bookmarkEnd w:id="86"/>
            <w:r>
              <w:rPr>
                <w:rFonts w:hint="eastAsia" w:ascii="宋体" w:hAnsi="宋体" w:cs="宋体"/>
                <w:color w:val="auto"/>
                <w:szCs w:val="21"/>
                <w:highlight w:val="none"/>
              </w:rPr>
              <w:t>19.2</w:t>
            </w:r>
          </w:p>
        </w:tc>
        <w:tc>
          <w:tcPr>
            <w:tcW w:w="8708" w:type="dxa"/>
            <w:tcBorders>
              <w:top w:val="single" w:color="auto" w:sz="4" w:space="0"/>
              <w:left w:val="single" w:color="auto" w:sz="4" w:space="0"/>
              <w:bottom w:val="single" w:color="auto" w:sz="4" w:space="0"/>
              <w:right w:val="single" w:color="auto" w:sz="4" w:space="0"/>
            </w:tcBorders>
            <w:vAlign w:val="center"/>
          </w:tcPr>
          <w:p w14:paraId="6AEADED6">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投标文件应按报价文件、资格证明文件、商务文件、技术文</w:t>
            </w:r>
            <w:r>
              <w:rPr>
                <w:rFonts w:hint="eastAsia" w:ascii="宋体" w:hAnsi="宋体" w:cs="宋体"/>
                <w:color w:val="auto"/>
                <w:szCs w:val="21"/>
                <w:highlight w:val="none"/>
                <w:lang w:bidi="ar"/>
              </w:rPr>
              <w:t>件分别编制，并按广西政府采购云平台的要求编制、加密、上传。</w:t>
            </w:r>
          </w:p>
        </w:tc>
      </w:tr>
      <w:tr w14:paraId="55F3BD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E9F1AD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20.1</w:t>
            </w:r>
          </w:p>
        </w:tc>
        <w:tc>
          <w:tcPr>
            <w:tcW w:w="8708" w:type="dxa"/>
            <w:tcBorders>
              <w:top w:val="single" w:color="auto" w:sz="4" w:space="0"/>
              <w:left w:val="single" w:color="auto" w:sz="4" w:space="0"/>
              <w:bottom w:val="single" w:color="auto" w:sz="4" w:space="0"/>
              <w:right w:val="single" w:color="auto" w:sz="4" w:space="0"/>
            </w:tcBorders>
            <w:vAlign w:val="center"/>
          </w:tcPr>
          <w:p w14:paraId="751DB395">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电子投标文件应在制作完成后，投标人应按</w:t>
            </w:r>
            <w:r>
              <w:rPr>
                <w:rFonts w:hint="eastAsia" w:ascii="宋体" w:hAnsi="宋体" w:cs="宋体"/>
                <w:color w:val="auto"/>
                <w:szCs w:val="21"/>
                <w:highlight w:val="none"/>
                <w:lang w:bidi="ar"/>
              </w:rPr>
              <w:t>广西政府采购云平台</w:t>
            </w:r>
            <w:r>
              <w:rPr>
                <w:rFonts w:hint="eastAsia" w:ascii="宋体" w:hAnsi="宋体" w:cs="宋体"/>
                <w:color w:val="auto"/>
                <w:szCs w:val="21"/>
                <w:highlight w:val="none"/>
              </w:rPr>
              <w:t>的要求进行加密，并在规定时间内解密，否则，由此产生的后果由投标人自行负责。</w:t>
            </w:r>
          </w:p>
        </w:tc>
      </w:tr>
      <w:tr w14:paraId="686B77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10F949A2">
            <w:pPr>
              <w:spacing w:line="400" w:lineRule="exact"/>
              <w:jc w:val="center"/>
              <w:rPr>
                <w:rFonts w:ascii="宋体" w:hAnsi="宋体" w:cs="宋体"/>
                <w:color w:val="auto"/>
                <w:szCs w:val="21"/>
                <w:highlight w:val="none"/>
              </w:rPr>
            </w:pPr>
            <w:bookmarkStart w:id="87" w:name="_21.1"/>
            <w:bookmarkEnd w:id="87"/>
            <w:r>
              <w:rPr>
                <w:rFonts w:hint="eastAsia" w:ascii="宋体" w:hAnsi="宋体" w:cs="宋体"/>
                <w:color w:val="auto"/>
                <w:szCs w:val="21"/>
                <w:highlight w:val="none"/>
              </w:rPr>
              <w:t>21.1</w:t>
            </w:r>
          </w:p>
        </w:tc>
        <w:tc>
          <w:tcPr>
            <w:tcW w:w="8708" w:type="dxa"/>
            <w:tcBorders>
              <w:top w:val="single" w:color="auto" w:sz="4" w:space="0"/>
              <w:left w:val="single" w:color="auto" w:sz="4" w:space="0"/>
              <w:bottom w:val="single" w:color="auto" w:sz="4" w:space="0"/>
              <w:right w:val="single" w:color="auto" w:sz="4" w:space="0"/>
            </w:tcBorders>
            <w:vAlign w:val="center"/>
          </w:tcPr>
          <w:p w14:paraId="69F59A62">
            <w:pPr>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1、投标截止时间：详见招标公告</w:t>
            </w:r>
          </w:p>
          <w:p w14:paraId="30EA8881">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2、投标地点：详见招标公告</w:t>
            </w:r>
          </w:p>
        </w:tc>
      </w:tr>
      <w:tr w14:paraId="35746A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0BC1404">
            <w:pPr>
              <w:spacing w:line="400" w:lineRule="exact"/>
              <w:jc w:val="center"/>
              <w:rPr>
                <w:rFonts w:ascii="宋体" w:hAnsi="宋体" w:cs="宋体"/>
                <w:color w:val="auto"/>
                <w:szCs w:val="21"/>
                <w:highlight w:val="none"/>
              </w:rPr>
            </w:pPr>
            <w:bookmarkStart w:id="88" w:name="_23"/>
            <w:bookmarkEnd w:id="88"/>
            <w:r>
              <w:rPr>
                <w:rFonts w:hint="eastAsia" w:ascii="宋体" w:hAnsi="宋体" w:cs="宋体"/>
                <w:color w:val="auto"/>
                <w:szCs w:val="21"/>
                <w:highlight w:val="none"/>
              </w:rPr>
              <w:t>23</w:t>
            </w:r>
          </w:p>
        </w:tc>
        <w:tc>
          <w:tcPr>
            <w:tcW w:w="8708" w:type="dxa"/>
            <w:tcBorders>
              <w:top w:val="single" w:color="auto" w:sz="4" w:space="0"/>
              <w:left w:val="single" w:color="auto" w:sz="4" w:space="0"/>
              <w:bottom w:val="single" w:color="auto" w:sz="4" w:space="0"/>
              <w:right w:val="single" w:color="auto" w:sz="4" w:space="0"/>
            </w:tcBorders>
            <w:vAlign w:val="center"/>
          </w:tcPr>
          <w:p w14:paraId="20A60C97">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1、开标时间：详见招标公告</w:t>
            </w:r>
          </w:p>
          <w:p w14:paraId="4363D0FB">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2、开标地点：详见招标公告</w:t>
            </w:r>
          </w:p>
        </w:tc>
      </w:tr>
      <w:tr w14:paraId="296D92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B56049E">
            <w:pPr>
              <w:spacing w:line="400" w:lineRule="exact"/>
              <w:jc w:val="center"/>
              <w:rPr>
                <w:rFonts w:ascii="宋体" w:hAnsi="宋体" w:cs="宋体"/>
                <w:color w:val="auto"/>
                <w:szCs w:val="21"/>
                <w:highlight w:val="none"/>
              </w:rPr>
            </w:pPr>
            <w:r>
              <w:rPr>
                <w:rFonts w:hint="eastAsia" w:ascii="宋体" w:hAnsi="宋体" w:cs="宋体"/>
                <w:bCs/>
                <w:color w:val="auto"/>
                <w:szCs w:val="21"/>
                <w:highlight w:val="none"/>
              </w:rPr>
              <w:t>24.2</w:t>
            </w:r>
          </w:p>
        </w:tc>
        <w:tc>
          <w:tcPr>
            <w:tcW w:w="8708" w:type="dxa"/>
            <w:tcBorders>
              <w:top w:val="single" w:color="auto" w:sz="4" w:space="0"/>
              <w:left w:val="single" w:color="auto" w:sz="4" w:space="0"/>
              <w:bottom w:val="single" w:color="auto" w:sz="4" w:space="0"/>
              <w:right w:val="single" w:color="auto" w:sz="4" w:space="0"/>
            </w:tcBorders>
            <w:vAlign w:val="center"/>
          </w:tcPr>
          <w:p w14:paraId="40363B49">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lang w:bidi="ar"/>
              </w:rPr>
              <w:t>广西政府采购云平台</w:t>
            </w:r>
            <w:r>
              <w:rPr>
                <w:rFonts w:hint="eastAsia" w:ascii="宋体" w:hAnsi="宋体" w:cs="宋体"/>
                <w:bCs/>
                <w:color w:val="auto"/>
                <w:szCs w:val="21"/>
                <w:highlight w:val="none"/>
              </w:rPr>
              <w:t>按开标时间自动提取所有投标文件。采购代理机构依托</w:t>
            </w:r>
            <w:r>
              <w:rPr>
                <w:rFonts w:hint="eastAsia" w:ascii="宋体" w:hAnsi="宋体" w:cs="宋体"/>
                <w:color w:val="auto"/>
                <w:szCs w:val="21"/>
                <w:highlight w:val="none"/>
                <w:lang w:bidi="ar"/>
              </w:rPr>
              <w:t>广西政府采购云平台</w:t>
            </w:r>
            <w:r>
              <w:rPr>
                <w:rFonts w:hint="eastAsia" w:ascii="宋体" w:hAnsi="宋体" w:cs="宋体"/>
                <w:bCs/>
                <w:color w:val="auto"/>
                <w:szCs w:val="21"/>
                <w:highlight w:val="none"/>
              </w:rPr>
              <w:t>向各投标人发出电子加密投标文件【开始解密】通知，由投标人进行投标文件解密。</w:t>
            </w:r>
            <w:r>
              <w:rPr>
                <w:rFonts w:hint="eastAsia" w:ascii="宋体" w:hAnsi="宋体" w:cs="宋体"/>
                <w:b/>
                <w:bCs/>
                <w:color w:val="auto"/>
                <w:szCs w:val="21"/>
                <w:highlight w:val="none"/>
              </w:rPr>
              <w:t>投标人的法定代表人或其委托代理人须携带加密时所用的CA锁准时登录到广西政府采购云平台电子开标大厅签到</w:t>
            </w:r>
            <w:r>
              <w:rPr>
                <w:rFonts w:hint="eastAsia" w:ascii="宋体" w:hAnsi="宋体" w:cs="宋体"/>
                <w:b/>
                <w:color w:val="auto"/>
                <w:szCs w:val="21"/>
                <w:highlight w:val="none"/>
              </w:rPr>
              <w:t>并在发起解密</w:t>
            </w:r>
            <w:r>
              <w:rPr>
                <w:rFonts w:hint="eastAsia" w:ascii="宋体" w:hAnsi="宋体" w:cs="宋体"/>
                <w:b/>
                <w:bCs/>
                <w:color w:val="auto"/>
                <w:szCs w:val="21"/>
                <w:highlight w:val="none"/>
              </w:rPr>
              <w:t>通知</w:t>
            </w:r>
            <w:r>
              <w:rPr>
                <w:rFonts w:hint="eastAsia" w:ascii="宋体" w:hAnsi="宋体" w:cs="宋体"/>
                <w:b/>
                <w:color w:val="auto"/>
                <w:szCs w:val="21"/>
                <w:highlight w:val="none"/>
              </w:rPr>
              <w:t>之时起30分钟内完成</w:t>
            </w:r>
            <w:r>
              <w:rPr>
                <w:rFonts w:hint="eastAsia" w:ascii="宋体" w:hAnsi="宋体" w:cs="宋体"/>
                <w:b/>
                <w:bCs/>
                <w:color w:val="auto"/>
                <w:szCs w:val="21"/>
                <w:highlight w:val="none"/>
              </w:rPr>
              <w:t>对电子投标文件解密。投标文件未按时解密的，视为无效投标。</w:t>
            </w:r>
          </w:p>
        </w:tc>
      </w:tr>
      <w:tr w14:paraId="76C726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8BF4EA6">
            <w:pPr>
              <w:spacing w:line="400" w:lineRule="exact"/>
              <w:jc w:val="center"/>
              <w:rPr>
                <w:rFonts w:ascii="宋体" w:hAnsi="宋体" w:cs="宋体"/>
                <w:color w:val="auto"/>
                <w:szCs w:val="21"/>
                <w:highlight w:val="none"/>
              </w:rPr>
            </w:pPr>
            <w:bookmarkStart w:id="89" w:name="_25.3"/>
            <w:bookmarkEnd w:id="89"/>
            <w:r>
              <w:rPr>
                <w:rFonts w:hint="eastAsia" w:ascii="宋体" w:hAnsi="宋体" w:cs="宋体"/>
                <w:color w:val="auto"/>
                <w:szCs w:val="21"/>
                <w:highlight w:val="none"/>
              </w:rPr>
              <w:t>25.3（3）</w:t>
            </w:r>
          </w:p>
        </w:tc>
        <w:tc>
          <w:tcPr>
            <w:tcW w:w="8708" w:type="dxa"/>
            <w:tcBorders>
              <w:top w:val="single" w:color="auto" w:sz="4" w:space="0"/>
              <w:left w:val="single" w:color="auto" w:sz="4" w:space="0"/>
              <w:bottom w:val="single" w:color="auto" w:sz="4" w:space="0"/>
              <w:right w:val="single" w:color="auto" w:sz="4" w:space="0"/>
            </w:tcBorders>
            <w:vAlign w:val="center"/>
          </w:tcPr>
          <w:p w14:paraId="437E0710">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64E3492B">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查询渠道：“信用中国”网站（www.creditchina.gov.cn）、中国政府采购网（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22"/>
                <w:rFonts w:hint="eastAsia" w:ascii="宋体" w:hAnsi="宋体" w:cs="宋体"/>
                <w:color w:val="auto"/>
                <w:szCs w:val="21"/>
                <w:highlight w:val="none"/>
              </w:rPr>
              <w:t>www.ccgp.gov.cn</w:t>
            </w:r>
            <w:r>
              <w:rPr>
                <w:rStyle w:val="22"/>
                <w:rFonts w:hint="eastAsia" w:ascii="宋体" w:hAnsi="宋体" w:cs="宋体"/>
                <w:color w:val="auto"/>
                <w:szCs w:val="21"/>
                <w:highlight w:val="none"/>
              </w:rPr>
              <w:fldChar w:fldCharType="end"/>
            </w:r>
            <w:r>
              <w:rPr>
                <w:rFonts w:hint="eastAsia" w:ascii="宋体" w:hAnsi="宋体" w:cs="宋体"/>
                <w:color w:val="auto"/>
                <w:szCs w:val="21"/>
                <w:highlight w:val="none"/>
              </w:rPr>
              <w:t>）。</w:t>
            </w:r>
          </w:p>
          <w:p w14:paraId="26E0F632">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信用查询截止时点：资格审查结束前。</w:t>
            </w:r>
          </w:p>
          <w:p w14:paraId="51A5DBA7">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查询记录和证据留存方式：将查询网站中的查询记录截图并作为评审资料保存。</w:t>
            </w:r>
          </w:p>
          <w:p w14:paraId="0BE3B1F6">
            <w:pPr>
              <w:snapToGrid w:val="0"/>
              <w:spacing w:line="400" w:lineRule="exact"/>
              <w:rPr>
                <w:rFonts w:ascii="宋体" w:hAnsi="宋体" w:cs="宋体"/>
                <w:b/>
                <w:color w:val="auto"/>
                <w:szCs w:val="21"/>
                <w:highlight w:val="none"/>
              </w:rPr>
            </w:pPr>
            <w:r>
              <w:rPr>
                <w:rFonts w:hint="eastAsia" w:ascii="宋体" w:hAnsi="宋体" w:cs="宋体"/>
                <w:color w:val="auto"/>
                <w:szCs w:val="21"/>
                <w:highlight w:val="none"/>
              </w:rPr>
              <w:t>信用信息使用规则：根据财政部《关于在政府采购活动中查询及使用信用记录有关问题的通知》（财库〔2016〕125号）的规定，</w:t>
            </w:r>
            <w:r>
              <w:rPr>
                <w:rFonts w:hint="eastAsia" w:ascii="宋体" w:hAnsi="宋体" w:cs="宋体"/>
                <w:color w:val="auto"/>
                <w:szCs w:val="21"/>
                <w:highlight w:val="none"/>
                <w:lang w:bidi="ar"/>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0D42B2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3C30087">
            <w:pPr>
              <w:spacing w:line="400" w:lineRule="exact"/>
              <w:jc w:val="center"/>
              <w:rPr>
                <w:rFonts w:ascii="宋体" w:hAnsi="宋体" w:cs="宋体"/>
                <w:color w:val="auto"/>
                <w:szCs w:val="21"/>
                <w:highlight w:val="none"/>
              </w:rPr>
            </w:pPr>
            <w:bookmarkStart w:id="90" w:name="_26"/>
            <w:bookmarkEnd w:id="90"/>
            <w:r>
              <w:rPr>
                <w:rFonts w:hint="eastAsia" w:ascii="宋体" w:hAnsi="宋体" w:cs="宋体"/>
                <w:color w:val="auto"/>
                <w:szCs w:val="21"/>
                <w:highlight w:val="none"/>
              </w:rPr>
              <w:t>26</w:t>
            </w:r>
          </w:p>
        </w:tc>
        <w:tc>
          <w:tcPr>
            <w:tcW w:w="8708" w:type="dxa"/>
            <w:tcBorders>
              <w:top w:val="single" w:color="auto" w:sz="4" w:space="0"/>
              <w:left w:val="single" w:color="auto" w:sz="4" w:space="0"/>
              <w:bottom w:val="single" w:color="auto" w:sz="4" w:space="0"/>
              <w:right w:val="single" w:color="auto" w:sz="4" w:space="0"/>
            </w:tcBorders>
            <w:vAlign w:val="center"/>
          </w:tcPr>
          <w:p w14:paraId="3A04D128">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评标委员会的人数：5人。（采购项目符合下列情形之一的，评标委员会成员人数应当为7人以上单数：1.采购预算金额在1000万元以上；2.技术复杂；3.社会影响较大。）</w:t>
            </w:r>
          </w:p>
        </w:tc>
      </w:tr>
      <w:tr w14:paraId="7B5293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3D1963C">
            <w:pPr>
              <w:spacing w:line="400" w:lineRule="exact"/>
              <w:jc w:val="center"/>
              <w:rPr>
                <w:rFonts w:ascii="宋体" w:hAnsi="宋体" w:cs="宋体"/>
                <w:color w:val="auto"/>
                <w:szCs w:val="21"/>
                <w:highlight w:val="none"/>
              </w:rPr>
            </w:pPr>
            <w:bookmarkStart w:id="91" w:name="_28.3"/>
            <w:bookmarkEnd w:id="91"/>
            <w:r>
              <w:rPr>
                <w:rFonts w:hint="eastAsia" w:ascii="宋体" w:hAnsi="宋体" w:cs="宋体"/>
                <w:color w:val="auto"/>
                <w:szCs w:val="21"/>
                <w:highlight w:val="none"/>
              </w:rPr>
              <w:t>29.1</w:t>
            </w:r>
          </w:p>
        </w:tc>
        <w:tc>
          <w:tcPr>
            <w:tcW w:w="8708" w:type="dxa"/>
            <w:tcBorders>
              <w:top w:val="single" w:color="auto" w:sz="4" w:space="0"/>
              <w:left w:val="single" w:color="auto" w:sz="4" w:space="0"/>
              <w:bottom w:val="single" w:color="auto" w:sz="4" w:space="0"/>
              <w:right w:val="single" w:color="auto" w:sz="4" w:space="0"/>
            </w:tcBorders>
            <w:vAlign w:val="center"/>
          </w:tcPr>
          <w:p w14:paraId="63B86F07">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评标方法：☑综合评分法/□最低评标价法</w:t>
            </w:r>
          </w:p>
        </w:tc>
      </w:tr>
      <w:tr w14:paraId="350C81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restart"/>
            <w:tcBorders>
              <w:top w:val="single" w:color="auto" w:sz="4" w:space="0"/>
              <w:left w:val="single" w:color="auto" w:sz="4" w:space="0"/>
              <w:right w:val="single" w:color="auto" w:sz="4" w:space="0"/>
            </w:tcBorders>
            <w:vAlign w:val="center"/>
          </w:tcPr>
          <w:p w14:paraId="22414317">
            <w:pPr>
              <w:spacing w:line="400" w:lineRule="exact"/>
              <w:jc w:val="center"/>
              <w:rPr>
                <w:rFonts w:ascii="宋体" w:hAnsi="宋体" w:cs="宋体"/>
                <w:color w:val="auto"/>
                <w:szCs w:val="21"/>
                <w:highlight w:val="none"/>
              </w:rPr>
            </w:pPr>
            <w:bookmarkStart w:id="92" w:name="_29.2.2（2）"/>
            <w:bookmarkEnd w:id="92"/>
            <w:r>
              <w:rPr>
                <w:rFonts w:hint="eastAsia" w:ascii="宋体" w:hAnsi="宋体" w:cs="宋体"/>
                <w:color w:val="auto"/>
                <w:szCs w:val="21"/>
                <w:highlight w:val="none"/>
              </w:rPr>
              <w:t>29.2</w:t>
            </w:r>
          </w:p>
        </w:tc>
        <w:tc>
          <w:tcPr>
            <w:tcW w:w="8708" w:type="dxa"/>
            <w:tcBorders>
              <w:top w:val="single" w:color="auto" w:sz="4" w:space="0"/>
              <w:left w:val="single" w:color="auto" w:sz="4" w:space="0"/>
              <w:right w:val="single" w:color="auto" w:sz="4" w:space="0"/>
            </w:tcBorders>
            <w:vAlign w:val="center"/>
          </w:tcPr>
          <w:p w14:paraId="2A29B281">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 xml:space="preserve"> 0</w:t>
            </w:r>
            <w:r>
              <w:rPr>
                <w:rFonts w:hint="eastAsia" w:ascii="宋体" w:hAnsi="宋体" w:cs="宋体"/>
                <w:color w:val="auto"/>
                <w:szCs w:val="21"/>
                <w:highlight w:val="none"/>
              </w:rPr>
              <w:t>项。</w:t>
            </w:r>
          </w:p>
          <w:p w14:paraId="319CB245">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tc>
      </w:tr>
      <w:tr w14:paraId="2E6014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continue"/>
            <w:tcBorders>
              <w:left w:val="single" w:color="auto" w:sz="4" w:space="0"/>
              <w:right w:val="single" w:color="auto" w:sz="4" w:space="0"/>
            </w:tcBorders>
            <w:vAlign w:val="center"/>
          </w:tcPr>
          <w:p w14:paraId="0C7AEEC4">
            <w:pPr>
              <w:spacing w:line="400" w:lineRule="exact"/>
              <w:jc w:val="center"/>
              <w:rPr>
                <w:rFonts w:ascii="宋体" w:hAnsi="宋体" w:cs="宋体"/>
                <w:color w:val="auto"/>
                <w:szCs w:val="21"/>
                <w:highlight w:val="none"/>
              </w:rPr>
            </w:pPr>
          </w:p>
        </w:tc>
        <w:tc>
          <w:tcPr>
            <w:tcW w:w="8708" w:type="dxa"/>
            <w:tcBorders>
              <w:top w:val="single" w:color="auto" w:sz="4" w:space="0"/>
              <w:left w:val="single" w:color="auto" w:sz="4" w:space="0"/>
              <w:right w:val="single" w:color="auto" w:sz="4" w:space="0"/>
            </w:tcBorders>
            <w:vAlign w:val="center"/>
          </w:tcPr>
          <w:p w14:paraId="2A105E4D">
            <w:pPr>
              <w:snapToGrid w:val="0"/>
              <w:spacing w:line="400" w:lineRule="exact"/>
              <w:rPr>
                <w:rFonts w:ascii="宋体" w:hAnsi="宋体" w:cs="宋体"/>
                <w:color w:val="auto"/>
                <w:szCs w:val="21"/>
                <w:highlight w:val="none"/>
                <w:u w:val="single"/>
              </w:rPr>
            </w:pPr>
            <w:r>
              <w:rPr>
                <w:rFonts w:hint="eastAsia" w:ascii="宋体" w:hAnsi="宋体" w:cs="宋体"/>
                <w:color w:val="auto"/>
                <w:highlight w:val="none"/>
              </w:rPr>
              <w:t>中标候选人推荐数量：3家</w:t>
            </w:r>
          </w:p>
        </w:tc>
      </w:tr>
      <w:tr w14:paraId="04D031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3B39849">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30.1</w:t>
            </w:r>
          </w:p>
        </w:tc>
        <w:tc>
          <w:tcPr>
            <w:tcW w:w="8708" w:type="dxa"/>
            <w:tcBorders>
              <w:top w:val="single" w:color="auto" w:sz="4" w:space="0"/>
              <w:left w:val="single" w:color="auto" w:sz="4" w:space="0"/>
              <w:bottom w:val="single" w:color="auto" w:sz="4" w:space="0"/>
              <w:right w:val="single" w:color="auto" w:sz="4" w:space="0"/>
            </w:tcBorders>
            <w:vAlign w:val="center"/>
          </w:tcPr>
          <w:p w14:paraId="0CC56B81">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采用综合评分法的采购项目，采购人确定中标人时，出现中标候选人并列的情形，采购人按以下的方式确定中标人：按综合评分中服务水平、售后服务、履约能力、政策功能得分高低依次确定。</w:t>
            </w:r>
          </w:p>
          <w:p w14:paraId="461069E8">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最低评标价法的采购项目，采购人确定中标人时，出现中标候选人并列的情形，采购人按以下的方式确定中标人：按服务水平技术指标高优先、服务方案好优先、拟投入人员多优先、服务响应时间短优先的顺序依次确定。</w:t>
            </w:r>
          </w:p>
        </w:tc>
      </w:tr>
      <w:tr w14:paraId="288AA8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1BC88174">
            <w:pPr>
              <w:spacing w:line="400" w:lineRule="exact"/>
              <w:jc w:val="center"/>
              <w:rPr>
                <w:rFonts w:ascii="宋体" w:hAnsi="宋体" w:cs="宋体"/>
                <w:color w:val="auto"/>
                <w:szCs w:val="21"/>
                <w:highlight w:val="none"/>
              </w:rPr>
            </w:pPr>
            <w:bookmarkStart w:id="93" w:name="_39.1"/>
            <w:bookmarkEnd w:id="93"/>
            <w:r>
              <w:rPr>
                <w:rFonts w:hint="eastAsia" w:ascii="宋体" w:hAnsi="宋体" w:cs="宋体"/>
                <w:color w:val="auto"/>
                <w:szCs w:val="21"/>
                <w:highlight w:val="none"/>
              </w:rPr>
              <w:t>35.1</w:t>
            </w:r>
          </w:p>
        </w:tc>
        <w:tc>
          <w:tcPr>
            <w:tcW w:w="8708" w:type="dxa"/>
            <w:tcBorders>
              <w:top w:val="single" w:color="auto" w:sz="4" w:space="0"/>
              <w:left w:val="single" w:color="auto" w:sz="4" w:space="0"/>
              <w:bottom w:val="single" w:color="auto" w:sz="4" w:space="0"/>
              <w:right w:val="single" w:color="auto" w:sz="4" w:space="0"/>
            </w:tcBorders>
            <w:vAlign w:val="center"/>
          </w:tcPr>
          <w:p w14:paraId="0062A73B">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□本项目不收取履约保证金。</w:t>
            </w:r>
          </w:p>
          <w:p w14:paraId="63D89581">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☑本项目收取履约保证金，具体规定如下：</w:t>
            </w:r>
          </w:p>
          <w:p w14:paraId="2C9EA4C1">
            <w:pPr>
              <w:pStyle w:val="9"/>
              <w:spacing w:line="400" w:lineRule="exact"/>
              <w:rPr>
                <w:rFonts w:ascii="宋体" w:hAnsi="宋体" w:cs="宋体"/>
                <w:color w:val="auto"/>
                <w:szCs w:val="21"/>
                <w:highlight w:val="none"/>
              </w:rPr>
            </w:pPr>
            <w:r>
              <w:rPr>
                <w:rFonts w:hint="eastAsia" w:ascii="宋体" w:hAnsi="宋体" w:cs="宋体"/>
                <w:color w:val="auto"/>
                <w:szCs w:val="21"/>
                <w:highlight w:val="none"/>
              </w:rPr>
              <w:t>履约保证金金额：按中标金额的</w:t>
            </w:r>
            <w:r>
              <w:rPr>
                <w:rFonts w:ascii="宋体" w:hAnsi="宋体" w:cs="宋体"/>
                <w:color w:val="auto"/>
                <w:szCs w:val="21"/>
                <w:highlight w:val="none"/>
                <w:u w:val="single"/>
              </w:rPr>
              <w:t>0.2</w:t>
            </w:r>
            <w:r>
              <w:rPr>
                <w:rFonts w:ascii="宋体" w:hAnsi="宋体" w:cs="宋体"/>
                <w:color w:val="auto"/>
                <w:szCs w:val="21"/>
                <w:highlight w:val="none"/>
              </w:rPr>
              <w:t>%</w:t>
            </w:r>
            <w:r>
              <w:rPr>
                <w:rFonts w:hint="eastAsia" w:ascii="宋体" w:hAnsi="宋体" w:cs="宋体"/>
                <w:color w:val="auto"/>
                <w:szCs w:val="21"/>
                <w:highlight w:val="none"/>
              </w:rPr>
              <w:t>（注：履约保证金不超过</w:t>
            </w:r>
            <w:r>
              <w:rPr>
                <w:rFonts w:hint="eastAsia" w:ascii="宋体" w:hAnsi="宋体" w:cs="宋体"/>
                <w:color w:val="auto"/>
                <w:highlight w:val="none"/>
              </w:rPr>
              <w:t>政府采购合同金额的</w:t>
            </w:r>
            <w:r>
              <w:rPr>
                <w:rFonts w:hint="eastAsia" w:ascii="宋体" w:hAnsi="宋体" w:cs="宋体"/>
                <w:color w:val="auto"/>
                <w:szCs w:val="21"/>
                <w:highlight w:val="none"/>
              </w:rPr>
              <w:t>5%）。</w:t>
            </w:r>
          </w:p>
          <w:p w14:paraId="524ABDB3">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履约保证金递交方式：银行转账、支票、汇票、本票或者金融、担保机构出具的保函等非现金方式（参照投标保证金）</w:t>
            </w:r>
          </w:p>
          <w:p w14:paraId="113372AF">
            <w:pPr>
              <w:autoSpaceDE w:val="0"/>
              <w:autoSpaceDN w:val="0"/>
              <w:snapToGrid w:val="0"/>
              <w:spacing w:line="400" w:lineRule="exact"/>
              <w:textAlignment w:val="bottom"/>
              <w:rPr>
                <w:rFonts w:ascii="宋体" w:hAnsi="宋体" w:cs="宋体"/>
                <w:color w:val="auto"/>
                <w:szCs w:val="21"/>
                <w:highlight w:val="none"/>
                <w:u w:val="single"/>
              </w:rPr>
            </w:pPr>
            <w:r>
              <w:rPr>
                <w:rFonts w:hint="eastAsia" w:ascii="宋体" w:hAnsi="宋体" w:cs="宋体"/>
                <w:color w:val="auto"/>
                <w:szCs w:val="21"/>
                <w:highlight w:val="none"/>
              </w:rPr>
              <w:t>履约保证金退付方式、时间及条件：</w:t>
            </w:r>
            <w:r>
              <w:rPr>
                <w:rFonts w:hint="eastAsia" w:ascii="宋体" w:hAnsi="宋体" w:cs="宋体"/>
                <w:color w:val="auto"/>
                <w:szCs w:val="21"/>
                <w:highlight w:val="none"/>
                <w:u w:val="single"/>
              </w:rPr>
              <w:t>采购人于中标人完成质量检查任务验收合格后10日内向中标人无息退回</w:t>
            </w:r>
            <w:r>
              <w:rPr>
                <w:rFonts w:hint="eastAsia" w:ascii="宋体" w:hAnsi="宋体" w:cs="宋体"/>
                <w:color w:val="auto"/>
                <w:szCs w:val="21"/>
                <w:highlight w:val="none"/>
              </w:rPr>
              <w:t>。</w:t>
            </w:r>
          </w:p>
          <w:p w14:paraId="57315F87">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履约保证金指定账户：</w:t>
            </w:r>
          </w:p>
          <w:p w14:paraId="0F9C18C1">
            <w:pPr>
              <w:spacing w:line="400" w:lineRule="exact"/>
              <w:jc w:val="left"/>
              <w:rPr>
                <w:rFonts w:ascii="宋体" w:hAnsi="宋体" w:cs="宋体"/>
                <w:color w:val="auto"/>
                <w:szCs w:val="21"/>
                <w:highlight w:val="none"/>
                <w:u w:val="single"/>
              </w:rPr>
            </w:pPr>
            <w:r>
              <w:rPr>
                <w:rFonts w:hint="eastAsia" w:ascii="宋体" w:hAnsi="宋体" w:cs="宋体"/>
                <w:color w:val="auto"/>
                <w:szCs w:val="21"/>
                <w:highlight w:val="none"/>
              </w:rPr>
              <w:t>开户名称：</w:t>
            </w:r>
            <w:r>
              <w:rPr>
                <w:rFonts w:hint="eastAsia" w:ascii="宋体" w:hAnsi="宋体" w:cs="宋体"/>
                <w:color w:val="auto"/>
                <w:szCs w:val="21"/>
                <w:highlight w:val="none"/>
                <w:u w:val="single"/>
              </w:rPr>
              <w:t>广西壮族自治区自然资源厅机关服务中心</w:t>
            </w:r>
          </w:p>
          <w:p w14:paraId="176F15A2">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p>
          <w:p w14:paraId="0F974D0B">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银行账号：</w:t>
            </w:r>
            <w:r>
              <w:rPr>
                <w:rFonts w:hint="eastAsia" w:ascii="宋体" w:hAnsi="宋体" w:cs="宋体"/>
                <w:color w:val="auto"/>
                <w:szCs w:val="21"/>
                <w:highlight w:val="none"/>
                <w:u w:val="single"/>
              </w:rPr>
              <w:t xml:space="preserve">                   </w:t>
            </w:r>
          </w:p>
          <w:p w14:paraId="5BC6EF66">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备注：</w:t>
            </w:r>
          </w:p>
          <w:p w14:paraId="43BAF4B8">
            <w:pPr>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1</w:t>
            </w:r>
            <w:bookmarkStart w:id="94" w:name="_Hlk54170335"/>
            <w:r>
              <w:rPr>
                <w:rFonts w:hint="eastAsia" w:ascii="宋体" w:hAnsi="宋体" w:cs="宋体"/>
                <w:b/>
                <w:bCs/>
                <w:color w:val="auto"/>
                <w:szCs w:val="21"/>
                <w:highlight w:val="none"/>
              </w:rPr>
              <w:t>、根据财政部《关于进一步加大政府采购支持中小企业力度的通知》（财库〔2022〕19号）规定，采购文件要求中标或者成交供应商提交履约保证金的，履约保证金数额不得超过政府采购合同金额的5%，对中小企业收取的履约保证金数额不得超过政府采购合同金额的2%。</w:t>
            </w:r>
            <w:bookmarkEnd w:id="94"/>
          </w:p>
          <w:p w14:paraId="2C262B62">
            <w:pPr>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2、履约保证金不足额缴纳的，或者金融、担保机构出具的保函额度不足的或者保函有效期低于合同履行期限（即签订采购合同之日起至履行完合同约定的权利及义务之日止）的，不予签订合同。</w:t>
            </w:r>
          </w:p>
          <w:p w14:paraId="11FE8BC4">
            <w:pPr>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3、采用金融、担保机构出具的保函的，必须为无条件保函，否则不予签订合同。</w:t>
            </w:r>
          </w:p>
          <w:p w14:paraId="6BBA4468">
            <w:pPr>
              <w:spacing w:line="400" w:lineRule="exact"/>
              <w:jc w:val="left"/>
              <w:rPr>
                <w:rFonts w:ascii="宋体" w:hAnsi="宋体" w:cs="宋体"/>
                <w:color w:val="auto"/>
                <w:kern w:val="0"/>
                <w:szCs w:val="21"/>
                <w:highlight w:val="none"/>
              </w:rPr>
            </w:pPr>
            <w:r>
              <w:rPr>
                <w:rFonts w:hint="eastAsia" w:ascii="宋体" w:hAnsi="宋体" w:cs="宋体"/>
                <w:b/>
                <w:bCs/>
                <w:color w:val="auto"/>
                <w:szCs w:val="21"/>
                <w:highlight w:val="none"/>
              </w:rPr>
              <w:t>4、投标人为联合体的，由联合体任意一方按规定提交的履约保证金，视为有效履约保证金。</w:t>
            </w:r>
          </w:p>
        </w:tc>
      </w:tr>
      <w:tr w14:paraId="5E135F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E2A2074">
            <w:pPr>
              <w:spacing w:line="400" w:lineRule="exact"/>
              <w:jc w:val="center"/>
              <w:rPr>
                <w:rFonts w:ascii="宋体" w:hAnsi="宋体" w:cs="宋体"/>
                <w:color w:val="auto"/>
                <w:szCs w:val="21"/>
                <w:highlight w:val="none"/>
              </w:rPr>
            </w:pPr>
            <w:bookmarkStart w:id="95" w:name="_40.1"/>
            <w:bookmarkEnd w:id="95"/>
            <w:r>
              <w:rPr>
                <w:rFonts w:hint="eastAsia" w:ascii="宋体" w:hAnsi="宋体" w:cs="宋体"/>
                <w:color w:val="auto"/>
                <w:szCs w:val="21"/>
                <w:highlight w:val="none"/>
              </w:rPr>
              <w:t>36.1</w:t>
            </w:r>
          </w:p>
        </w:tc>
        <w:tc>
          <w:tcPr>
            <w:tcW w:w="8708" w:type="dxa"/>
            <w:tcBorders>
              <w:top w:val="single" w:color="auto" w:sz="4" w:space="0"/>
              <w:left w:val="single" w:color="auto" w:sz="4" w:space="0"/>
              <w:bottom w:val="single" w:color="auto" w:sz="4" w:space="0"/>
              <w:right w:val="single" w:color="auto" w:sz="4" w:space="0"/>
            </w:tcBorders>
            <w:vAlign w:val="center"/>
          </w:tcPr>
          <w:p w14:paraId="6FD6F1B0">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 xml:space="preserve">签订合同携带的证明材料： </w:t>
            </w:r>
          </w:p>
          <w:p w14:paraId="1F143663">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1、委托代理人负责签订合同的，须携带授权委托书及委托代理人身份证原件等其他资格证件。</w:t>
            </w:r>
          </w:p>
          <w:p w14:paraId="5E096921">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2、法定代表人负责签订合同的，须携带法定代表人身份证明原件及身份证原件等其他证明材料。</w:t>
            </w:r>
          </w:p>
        </w:tc>
      </w:tr>
      <w:tr w14:paraId="077EDB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16AD5C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38.2</w:t>
            </w:r>
          </w:p>
        </w:tc>
        <w:tc>
          <w:tcPr>
            <w:tcW w:w="8708" w:type="dxa"/>
            <w:tcBorders>
              <w:top w:val="single" w:color="auto" w:sz="4" w:space="0"/>
              <w:left w:val="single" w:color="auto" w:sz="4" w:space="0"/>
              <w:bottom w:val="single" w:color="auto" w:sz="4" w:space="0"/>
              <w:right w:val="single" w:color="auto" w:sz="4" w:space="0"/>
            </w:tcBorders>
            <w:vAlign w:val="center"/>
          </w:tcPr>
          <w:p w14:paraId="59FE6B30">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接收质疑函方式：以纸质书面形式</w:t>
            </w:r>
          </w:p>
          <w:p w14:paraId="48B8ED3F">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质疑联系部门及联系方式：广西卓联工程管理有限公司，质疑联系人：何翠秀，联系电话：0771-5665536，通讯地址：</w:t>
            </w:r>
            <w:r>
              <w:rPr>
                <w:rFonts w:hint="eastAsia" w:ascii="宋体" w:hAnsi="宋体" w:cs="宋体"/>
                <w:color w:val="auto"/>
                <w:highlight w:val="none"/>
                <w:lang w:val="zh-TW"/>
              </w:rPr>
              <w:t>南宁市青秀区民主路3号维也纳酒店5楼502室</w:t>
            </w:r>
            <w:r>
              <w:rPr>
                <w:rFonts w:hint="eastAsia" w:ascii="宋体" w:hAnsi="宋体" w:cs="宋体"/>
                <w:color w:val="auto"/>
                <w:highlight w:val="none"/>
              </w:rPr>
              <w:t>。</w:t>
            </w:r>
            <w:r>
              <w:rPr>
                <w:rFonts w:hint="eastAsia" w:ascii="宋体" w:hAnsi="宋体" w:cs="宋体"/>
                <w:color w:val="auto"/>
                <w:szCs w:val="21"/>
                <w:highlight w:val="none"/>
              </w:rPr>
              <w:t xml:space="preserve"> </w:t>
            </w:r>
          </w:p>
          <w:p w14:paraId="3402DBD8">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highlight w:val="none"/>
              </w:rPr>
              <w:t>现场提交质疑办理业务时间：工作日，</w:t>
            </w:r>
            <w:r>
              <w:rPr>
                <w:rFonts w:hint="eastAsia" w:ascii="宋体" w:hAnsi="宋体" w:cs="宋体"/>
                <w:color w:val="auto"/>
                <w:szCs w:val="21"/>
                <w:highlight w:val="none"/>
              </w:rPr>
              <w:t>上午8：30-12：00；下午1</w:t>
            </w:r>
            <w:r>
              <w:rPr>
                <w:rFonts w:hint="eastAsia" w:ascii="宋体" w:hAnsi="宋体" w:cs="宋体"/>
                <w:color w:val="auto"/>
                <w:highlight w:val="none"/>
              </w:rPr>
              <w:t>5</w:t>
            </w:r>
            <w:r>
              <w:rPr>
                <w:rFonts w:hint="eastAsia" w:ascii="宋体" w:hAnsi="宋体" w:cs="宋体"/>
                <w:color w:val="auto"/>
                <w:szCs w:val="21"/>
                <w:highlight w:val="none"/>
              </w:rPr>
              <w:t>：</w:t>
            </w:r>
            <w:r>
              <w:rPr>
                <w:rFonts w:hint="eastAsia" w:ascii="宋体" w:hAnsi="宋体" w:cs="宋体"/>
                <w:color w:val="auto"/>
                <w:highlight w:val="none"/>
              </w:rPr>
              <w:t>00</w:t>
            </w:r>
            <w:r>
              <w:rPr>
                <w:rFonts w:hint="eastAsia" w:ascii="宋体" w:hAnsi="宋体" w:cs="宋体"/>
                <w:color w:val="auto"/>
                <w:szCs w:val="21"/>
                <w:highlight w:val="none"/>
              </w:rPr>
              <w:t>-1</w:t>
            </w:r>
            <w:r>
              <w:rPr>
                <w:rFonts w:hint="eastAsia" w:ascii="宋体" w:hAnsi="宋体" w:cs="宋体"/>
                <w:color w:val="auto"/>
                <w:highlight w:val="none"/>
              </w:rPr>
              <w:t>8</w:t>
            </w:r>
            <w:r>
              <w:rPr>
                <w:rFonts w:hint="eastAsia" w:ascii="宋体" w:hAnsi="宋体" w:cs="宋体"/>
                <w:color w:val="auto"/>
                <w:szCs w:val="21"/>
                <w:highlight w:val="none"/>
              </w:rPr>
              <w:t>：</w:t>
            </w:r>
            <w:r>
              <w:rPr>
                <w:rFonts w:hint="eastAsia" w:ascii="宋体" w:hAnsi="宋体" w:cs="宋体"/>
                <w:color w:val="auto"/>
                <w:highlight w:val="none"/>
              </w:rPr>
              <w:t>0</w:t>
            </w:r>
            <w:r>
              <w:rPr>
                <w:rFonts w:hint="eastAsia" w:ascii="宋体" w:hAnsi="宋体" w:cs="宋体"/>
                <w:color w:val="auto"/>
                <w:szCs w:val="21"/>
                <w:highlight w:val="none"/>
              </w:rPr>
              <w:t>0（北京时间）</w:t>
            </w:r>
          </w:p>
        </w:tc>
      </w:tr>
      <w:tr w14:paraId="43F1EE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47E48E5">
            <w:pPr>
              <w:spacing w:line="400" w:lineRule="exact"/>
              <w:jc w:val="center"/>
              <w:rPr>
                <w:rFonts w:ascii="宋体" w:hAnsi="宋体" w:cs="宋体"/>
                <w:color w:val="auto"/>
                <w:szCs w:val="21"/>
                <w:highlight w:val="none"/>
              </w:rPr>
            </w:pPr>
            <w:bookmarkStart w:id="96" w:name="_42"/>
            <w:bookmarkEnd w:id="96"/>
            <w:bookmarkStart w:id="97" w:name="_41"/>
            <w:bookmarkEnd w:id="97"/>
            <w:bookmarkStart w:id="98" w:name="_Hlt17709148"/>
            <w:r>
              <w:rPr>
                <w:rFonts w:hint="eastAsia" w:ascii="宋体" w:hAnsi="宋体" w:cs="宋体"/>
                <w:color w:val="auto"/>
                <w:szCs w:val="21"/>
                <w:highlight w:val="none"/>
              </w:rPr>
              <w:t>3</w:t>
            </w:r>
            <w:bookmarkEnd w:id="98"/>
            <w:r>
              <w:rPr>
                <w:rFonts w:hint="eastAsia" w:ascii="宋体" w:hAnsi="宋体" w:cs="宋体"/>
                <w:color w:val="auto"/>
                <w:szCs w:val="21"/>
                <w:highlight w:val="none"/>
              </w:rPr>
              <w:t>9.1</w:t>
            </w:r>
          </w:p>
        </w:tc>
        <w:tc>
          <w:tcPr>
            <w:tcW w:w="8708" w:type="dxa"/>
            <w:tcBorders>
              <w:top w:val="single" w:color="auto" w:sz="4" w:space="0"/>
              <w:left w:val="single" w:color="auto" w:sz="4" w:space="0"/>
              <w:bottom w:val="single" w:color="auto" w:sz="4" w:space="0"/>
              <w:right w:val="single" w:color="auto" w:sz="4" w:space="0"/>
            </w:tcBorders>
            <w:vAlign w:val="center"/>
          </w:tcPr>
          <w:p w14:paraId="2137F95D">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1、采购代理服务费支付方式：本项目的招标代理服务费按以下收费标准向中标人收取，领取中标通知书前，中标人应向采购代理机构一次付清招标代理服务费，否则采购代理机构有权不予以办理。</w:t>
            </w:r>
          </w:p>
          <w:p w14:paraId="4C769181">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2、采购代理服务费收取标准：</w:t>
            </w:r>
          </w:p>
          <w:p w14:paraId="6F086554">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以分标（☑中标金额/□采购预算/）为计费额，按本须知正文第39.2条规定的收费计算标准（□货物招标/☑服务招标/□工程招标）采用差额定率累进法计算出收费基准价格。采购代理服务费收费以（☑收费基准价格/□收费基准价格下浮20%/□收费基准价格上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%）收取。</w:t>
            </w:r>
          </w:p>
          <w:p w14:paraId="57B627E9">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□固定采购代理收费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A9FF5C2">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3. 采购代理费收取银行账户</w:t>
            </w:r>
          </w:p>
          <w:p w14:paraId="389358D0">
            <w:pPr>
              <w:pStyle w:val="11"/>
              <w:snapToGrid w:val="0"/>
              <w:spacing w:line="360" w:lineRule="auto"/>
              <w:rPr>
                <w:rFonts w:hAnsi="宋体" w:cs="宋体"/>
                <w:b/>
                <w:bCs/>
                <w:color w:val="auto"/>
                <w:sz w:val="21"/>
                <w:highlight w:val="none"/>
              </w:rPr>
            </w:pPr>
            <w:r>
              <w:rPr>
                <w:rFonts w:hint="eastAsia" w:hAnsi="宋体" w:cs="宋体"/>
                <w:b/>
                <w:bCs/>
                <w:color w:val="auto"/>
                <w:sz w:val="21"/>
                <w:highlight w:val="none"/>
              </w:rPr>
              <w:t>开户名称：广西卓联工程管理有限公司</w:t>
            </w:r>
          </w:p>
          <w:p w14:paraId="23F6E91F">
            <w:pPr>
              <w:pStyle w:val="11"/>
              <w:snapToGrid w:val="0"/>
              <w:spacing w:line="360" w:lineRule="auto"/>
              <w:rPr>
                <w:rFonts w:hAnsi="宋体" w:cs="宋体"/>
                <w:b/>
                <w:bCs/>
                <w:color w:val="auto"/>
                <w:sz w:val="21"/>
                <w:highlight w:val="none"/>
              </w:rPr>
            </w:pPr>
            <w:r>
              <w:rPr>
                <w:rFonts w:hint="eastAsia" w:hAnsi="宋体" w:cs="宋体"/>
                <w:b/>
                <w:bCs/>
                <w:color w:val="auto"/>
                <w:sz w:val="21"/>
                <w:highlight w:val="none"/>
              </w:rPr>
              <w:t xml:space="preserve">开户银行：中国建设银行股份有限公司广西自贸试验区南宁片区五象支行 </w:t>
            </w:r>
          </w:p>
          <w:p w14:paraId="0C70E49B">
            <w:pPr>
              <w:pStyle w:val="11"/>
              <w:snapToGrid w:val="0"/>
              <w:spacing w:line="360" w:lineRule="auto"/>
              <w:rPr>
                <w:rFonts w:hAnsi="宋体" w:cs="宋体"/>
                <w:color w:val="auto"/>
                <w:highlight w:val="none"/>
              </w:rPr>
            </w:pPr>
            <w:r>
              <w:rPr>
                <w:rFonts w:hint="eastAsia" w:hAnsi="宋体" w:cs="宋体"/>
                <w:b/>
                <w:bCs/>
                <w:color w:val="auto"/>
                <w:sz w:val="21"/>
                <w:highlight w:val="none"/>
              </w:rPr>
              <w:t xml:space="preserve">银行账号：4505 0160 5001 0966 6666 </w:t>
            </w:r>
          </w:p>
        </w:tc>
      </w:tr>
      <w:tr w14:paraId="2B72C2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047DD42">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40.1</w:t>
            </w:r>
          </w:p>
        </w:tc>
        <w:tc>
          <w:tcPr>
            <w:tcW w:w="8708" w:type="dxa"/>
            <w:tcBorders>
              <w:top w:val="single" w:color="auto" w:sz="4" w:space="0"/>
              <w:left w:val="single" w:color="auto" w:sz="4" w:space="0"/>
              <w:bottom w:val="single" w:color="auto" w:sz="4" w:space="0"/>
              <w:right w:val="single" w:color="auto" w:sz="4" w:space="0"/>
            </w:tcBorders>
            <w:vAlign w:val="center"/>
          </w:tcPr>
          <w:p w14:paraId="3C87EC49">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11BC4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7517210">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40.2</w:t>
            </w:r>
          </w:p>
        </w:tc>
        <w:tc>
          <w:tcPr>
            <w:tcW w:w="8708" w:type="dxa"/>
            <w:tcBorders>
              <w:top w:val="single" w:color="auto" w:sz="4" w:space="0"/>
              <w:left w:val="single" w:color="auto" w:sz="4" w:space="0"/>
              <w:bottom w:val="single" w:color="auto" w:sz="4" w:space="0"/>
              <w:right w:val="single" w:color="auto" w:sz="4" w:space="0"/>
            </w:tcBorders>
            <w:vAlign w:val="center"/>
          </w:tcPr>
          <w:p w14:paraId="1997B98C">
            <w:pPr>
              <w:snapToGrid w:val="0"/>
              <w:spacing w:line="380" w:lineRule="exact"/>
              <w:rPr>
                <w:rFonts w:ascii="宋体" w:hAnsi="宋体" w:cs="宋体"/>
                <w:b/>
                <w:bCs/>
                <w:color w:val="auto"/>
                <w:szCs w:val="21"/>
                <w:highlight w:val="none"/>
              </w:rPr>
            </w:pPr>
            <w:r>
              <w:rPr>
                <w:rFonts w:hint="eastAsia" w:ascii="宋体" w:hAnsi="宋体" w:cs="宋体"/>
                <w:b/>
                <w:bCs/>
                <w:color w:val="auto"/>
                <w:szCs w:val="21"/>
                <w:highlight w:val="none"/>
              </w:rPr>
              <w:t>1.本招标文件中描述投标人的“公章”是指根据我国对公章的管理规定，用投标人法定主体行为名称制作的印章，除本招标文件有特殊规定外，投标人的财务章、部门章、工会章、合同章、投标专用章、业务专用章及银行的转账章、现金收讫章、现金付讫章等其他形式印章均不能代替公章。</w:t>
            </w:r>
          </w:p>
          <w:p w14:paraId="63E9DE3F">
            <w:pPr>
              <w:pStyle w:val="10"/>
              <w:spacing w:line="380" w:lineRule="atLeast"/>
              <w:rPr>
                <w:rFonts w:ascii="宋体" w:hAnsi="宋体" w:cs="宋体"/>
                <w:b/>
                <w:bCs/>
                <w:color w:val="auto"/>
                <w:sz w:val="21"/>
                <w:szCs w:val="21"/>
                <w:highlight w:val="none"/>
              </w:rPr>
            </w:pPr>
            <w:r>
              <w:rPr>
                <w:rFonts w:hint="eastAsia" w:ascii="宋体" w:hAnsi="宋体" w:cs="宋体"/>
                <w:b/>
                <w:bCs/>
                <w:color w:val="auto"/>
                <w:sz w:val="21"/>
                <w:szCs w:val="21"/>
                <w:highlight w:val="none"/>
              </w:rPr>
              <w:t>2.本招标文件所称的“电子签章”、“电子签名”，是指经广西政府采购云平台认可的CA认证的电子签名数据为表现形式的印章，可用于签署电子投标文件，电子印章与实物印章具有同等法律效力，不因其采用电子化表现形式而否定其法律效力。</w:t>
            </w:r>
          </w:p>
          <w:p w14:paraId="3DA2FC4B">
            <w:pPr>
              <w:snapToGrid w:val="0"/>
              <w:spacing w:line="380" w:lineRule="atLeast"/>
              <w:rPr>
                <w:rFonts w:ascii="宋体" w:hAnsi="宋体" w:cs="宋体"/>
                <w:b/>
                <w:bCs/>
                <w:color w:val="auto"/>
                <w:szCs w:val="21"/>
                <w:highlight w:val="none"/>
              </w:rPr>
            </w:pPr>
            <w:r>
              <w:rPr>
                <w:rFonts w:hint="eastAsia" w:ascii="宋体" w:hAnsi="宋体" w:cs="宋体"/>
                <w:b/>
                <w:bCs/>
                <w:color w:val="auto"/>
                <w:szCs w:val="21"/>
                <w:highlight w:val="none"/>
              </w:rPr>
              <w:t>3.投标人为其他组织或者自然人时，本招标文件规定的法定代表人指负责人或者自然人。本招标文件所称负责人是指参加投标的其他组织营业执照上的负责人，本招标文件所称自然人指参与投标的自然人本人。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5DCD1488">
            <w:pPr>
              <w:snapToGrid w:val="0"/>
              <w:spacing w:line="380" w:lineRule="exact"/>
              <w:rPr>
                <w:rFonts w:ascii="宋体" w:hAnsi="宋体" w:cs="宋体"/>
                <w:b/>
                <w:bCs/>
                <w:color w:val="auto"/>
                <w:szCs w:val="21"/>
                <w:highlight w:val="none"/>
              </w:rPr>
            </w:pPr>
            <w:r>
              <w:rPr>
                <w:rFonts w:hint="eastAsia" w:ascii="宋体" w:hAnsi="宋体" w:cs="宋体"/>
                <w:b/>
                <w:bCs/>
                <w:color w:val="auto"/>
                <w:szCs w:val="21"/>
                <w:highlight w:val="none"/>
              </w:rPr>
              <w:t>4.本招标文件中描述投标人的“签字”是指投标人的法定代表人或者委托代理人亲自在文件规定签署处亲笔写上个人的名字的行为，私章、签字章、印鉴、影印等其他形式均不能代替亲笔签字。</w:t>
            </w:r>
          </w:p>
          <w:p w14:paraId="4F701363">
            <w:pPr>
              <w:snapToGrid w:val="0"/>
              <w:spacing w:line="380" w:lineRule="exact"/>
              <w:rPr>
                <w:rFonts w:ascii="宋体" w:hAnsi="宋体" w:cs="宋体"/>
                <w:b/>
                <w:bCs/>
                <w:color w:val="auto"/>
                <w:szCs w:val="21"/>
                <w:highlight w:val="none"/>
              </w:rPr>
            </w:pPr>
            <w:r>
              <w:rPr>
                <w:rFonts w:hint="eastAsia" w:ascii="宋体" w:hAnsi="宋体" w:cs="宋体"/>
                <w:b/>
                <w:bCs/>
                <w:color w:val="auto"/>
                <w:szCs w:val="21"/>
                <w:highlight w:val="none"/>
              </w:rPr>
              <w:t>5.自然人投标的，招标文件规定盖公章处由自然人摁手指指印。</w:t>
            </w:r>
          </w:p>
          <w:p w14:paraId="52CA975E">
            <w:pPr>
              <w:spacing w:line="380" w:lineRule="exact"/>
              <w:jc w:val="left"/>
              <w:rPr>
                <w:rFonts w:ascii="宋体" w:hAnsi="宋体" w:cs="宋体"/>
                <w:b/>
                <w:bCs/>
                <w:color w:val="auto"/>
                <w:szCs w:val="21"/>
                <w:highlight w:val="none"/>
              </w:rPr>
            </w:pPr>
            <w:r>
              <w:rPr>
                <w:rFonts w:hint="eastAsia" w:ascii="宋体" w:hAnsi="宋体" w:cs="宋体"/>
                <w:b/>
                <w:bCs/>
                <w:color w:val="auto"/>
                <w:szCs w:val="21"/>
                <w:highlight w:val="none"/>
              </w:rPr>
              <w:t>6.本招标文件所称的“以上”“以下”“以内”“届满”，包括本数；所称的“不满”“超过”“以外”，不包括本数。</w:t>
            </w:r>
          </w:p>
          <w:p w14:paraId="5ABC0700">
            <w:pPr>
              <w:spacing w:line="380" w:lineRule="exact"/>
              <w:jc w:val="left"/>
              <w:rPr>
                <w:rFonts w:ascii="宋体" w:hAnsi="宋体" w:cs="宋体"/>
                <w:color w:val="auto"/>
                <w:szCs w:val="21"/>
                <w:highlight w:val="none"/>
              </w:rPr>
            </w:pPr>
            <w:r>
              <w:rPr>
                <w:rFonts w:hint="eastAsia" w:ascii="宋体" w:hAnsi="宋体" w:cs="宋体"/>
                <w:b/>
                <w:bCs/>
                <w:color w:val="auto"/>
                <w:szCs w:val="21"/>
                <w:highlight w:val="none"/>
              </w:rPr>
              <w:t>7.解密电子投标文件。广西政府采购云平台按开标时间自动提取所有投标文件。采购代理机构依托广西政府采购云平台向各投标人发出电子加密投标文件【开始解密】通知，由投标人按发起解密指令之时起30分钟内完成对电子投标文件在线解密。</w:t>
            </w:r>
          </w:p>
        </w:tc>
      </w:tr>
      <w:tr w14:paraId="298786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E1D49AC">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40.3</w:t>
            </w:r>
          </w:p>
        </w:tc>
        <w:tc>
          <w:tcPr>
            <w:tcW w:w="8708" w:type="dxa"/>
            <w:tcBorders>
              <w:top w:val="single" w:color="auto" w:sz="4" w:space="0"/>
              <w:left w:val="single" w:color="auto" w:sz="4" w:space="0"/>
              <w:bottom w:val="single" w:color="auto" w:sz="4" w:space="0"/>
              <w:right w:val="single" w:color="auto" w:sz="4" w:space="0"/>
            </w:tcBorders>
            <w:vAlign w:val="center"/>
          </w:tcPr>
          <w:p w14:paraId="1FECB8EC">
            <w:pPr>
              <w:snapToGrid w:val="0"/>
              <w:spacing w:line="380" w:lineRule="exact"/>
              <w:jc w:val="left"/>
              <w:rPr>
                <w:rFonts w:ascii="宋体" w:hAnsi="宋体" w:cs="宋体"/>
                <w:b/>
                <w:bCs/>
                <w:color w:val="auto"/>
                <w:szCs w:val="21"/>
                <w:highlight w:val="none"/>
              </w:rPr>
            </w:pPr>
            <w:r>
              <w:rPr>
                <w:rFonts w:hint="eastAsia" w:ascii="宋体" w:hAnsi="宋体" w:cs="宋体"/>
                <w:b/>
                <w:bCs/>
                <w:color w:val="auto"/>
                <w:szCs w:val="21"/>
                <w:highlight w:val="none"/>
              </w:rPr>
              <w:t>监督管理部门：广西壮族自治区财政厅政府采购监督管理处</w:t>
            </w:r>
          </w:p>
          <w:p w14:paraId="6C01BB47">
            <w:pPr>
              <w:snapToGrid w:val="0"/>
              <w:spacing w:line="380" w:lineRule="exact"/>
              <w:jc w:val="left"/>
              <w:rPr>
                <w:rFonts w:ascii="宋体" w:hAnsi="宋体" w:cs="宋体"/>
                <w:b/>
                <w:bCs/>
                <w:color w:val="auto"/>
                <w:szCs w:val="21"/>
                <w:highlight w:val="none"/>
              </w:rPr>
            </w:pPr>
            <w:r>
              <w:rPr>
                <w:rFonts w:hint="eastAsia" w:ascii="宋体" w:hAnsi="宋体" w:cs="宋体"/>
                <w:b/>
                <w:bCs/>
                <w:color w:val="auto"/>
                <w:szCs w:val="21"/>
                <w:highlight w:val="none"/>
              </w:rPr>
              <w:t>电话：0771-5331544</w:t>
            </w:r>
          </w:p>
        </w:tc>
      </w:tr>
      <w:tr w14:paraId="2DFD1C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7F1CF1C">
            <w:pPr>
              <w:spacing w:line="400" w:lineRule="exact"/>
              <w:rPr>
                <w:rFonts w:ascii="宋体" w:hAnsi="宋体" w:cs="宋体"/>
                <w:color w:val="auto"/>
                <w:szCs w:val="21"/>
                <w:highlight w:val="none"/>
              </w:rPr>
            </w:pPr>
            <w:r>
              <w:rPr>
                <w:rFonts w:hint="eastAsia" w:ascii="宋体" w:hAnsi="宋体" w:cs="宋体"/>
                <w:color w:val="auto"/>
                <w:szCs w:val="21"/>
                <w:highlight w:val="none"/>
              </w:rPr>
              <w:t>特别说明</w:t>
            </w:r>
          </w:p>
        </w:tc>
        <w:tc>
          <w:tcPr>
            <w:tcW w:w="8708" w:type="dxa"/>
            <w:tcBorders>
              <w:top w:val="single" w:color="auto" w:sz="4" w:space="0"/>
              <w:left w:val="single" w:color="auto" w:sz="4" w:space="0"/>
              <w:bottom w:val="single" w:color="auto" w:sz="4" w:space="0"/>
              <w:right w:val="single" w:color="auto" w:sz="4" w:space="0"/>
            </w:tcBorders>
            <w:vAlign w:val="center"/>
          </w:tcPr>
          <w:p w14:paraId="167D35EC">
            <w:pPr>
              <w:spacing w:line="400" w:lineRule="exact"/>
              <w:rPr>
                <w:rFonts w:ascii="宋体" w:hAnsi="宋体" w:cs="宋体"/>
                <w:b/>
                <w:bCs/>
                <w:color w:val="auto"/>
                <w:szCs w:val="21"/>
                <w:highlight w:val="none"/>
              </w:rPr>
            </w:pPr>
            <w:r>
              <w:rPr>
                <w:rFonts w:hint="eastAsia" w:ascii="宋体" w:hAnsi="宋体" w:cs="宋体"/>
                <w:b/>
                <w:bCs/>
                <w:color w:val="auto"/>
                <w:szCs w:val="21"/>
                <w:highlight w:val="none"/>
              </w:rPr>
              <w:t>因项目存档需要，中标人须按以下要求提供纸质投标文件：在中标通知书发出后5天内须提交3套纸质版投标文件（含资格证明文件、报价文件、商务文件、技术文件。）给采购代理机构。提交的纸质版投标文件必须与上传广西政府采购云平台的电子投标文件内容一致，不允许有篡改。如项目验收时因所提供的纸质投标文件与评标的投标文件不一致造成纠纷时，所有责任由中标人承担。</w:t>
            </w:r>
          </w:p>
        </w:tc>
      </w:tr>
    </w:tbl>
    <w:p w14:paraId="73CE06DF">
      <w:pPr>
        <w:snapToGrid w:val="0"/>
        <w:rPr>
          <w:rFonts w:ascii="宋体" w:hAnsi="宋体" w:cs="宋体"/>
          <w:color w:val="auto"/>
          <w:sz w:val="24"/>
          <w:szCs w:val="20"/>
          <w:highlight w:val="none"/>
        </w:rPr>
      </w:pPr>
    </w:p>
    <w:p w14:paraId="56B1D21A">
      <w:pPr>
        <w:pStyle w:val="4"/>
        <w:keepNext w:val="0"/>
        <w:keepLines w:val="0"/>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第二节 投标人须知正文</w:t>
      </w:r>
    </w:p>
    <w:p w14:paraId="430F8015">
      <w:pPr>
        <w:pStyle w:val="4"/>
        <w:keepNext w:val="0"/>
        <w:keepLines w:val="0"/>
        <w:spacing w:before="0" w:after="0" w:line="360" w:lineRule="auto"/>
        <w:jc w:val="center"/>
        <w:rPr>
          <w:rFonts w:ascii="宋体" w:hAnsi="宋体" w:cs="宋体"/>
          <w:color w:val="auto"/>
          <w:highlight w:val="none"/>
        </w:rPr>
      </w:pPr>
      <w:r>
        <w:rPr>
          <w:rFonts w:hint="eastAsia" w:ascii="宋体" w:hAnsi="宋体" w:cs="宋体"/>
          <w:color w:val="auto"/>
          <w:highlight w:val="none"/>
        </w:rPr>
        <w:t>一、总  则</w:t>
      </w:r>
    </w:p>
    <w:p w14:paraId="40CE35F7">
      <w:pPr>
        <w:pStyle w:val="6"/>
        <w:keepNext w:val="0"/>
        <w:keepLines w:val="0"/>
        <w:spacing w:before="0" w:after="0" w:line="360" w:lineRule="auto"/>
        <w:ind w:left="420" w:leftChars="200"/>
        <w:rPr>
          <w:rFonts w:ascii="宋体" w:hAnsi="宋体" w:cs="宋体"/>
          <w:color w:val="auto"/>
          <w:sz w:val="24"/>
          <w:highlight w:val="none"/>
        </w:rPr>
      </w:pPr>
      <w:bookmarkStart w:id="99" w:name="_Toc254970668"/>
      <w:bookmarkStart w:id="100" w:name="_Toc254970527"/>
      <w:r>
        <w:rPr>
          <w:rFonts w:hint="eastAsia" w:ascii="宋体" w:hAnsi="宋体" w:cs="宋体"/>
          <w:color w:val="auto"/>
          <w:sz w:val="24"/>
          <w:highlight w:val="none"/>
        </w:rPr>
        <w:t>1.适用范围</w:t>
      </w:r>
      <w:bookmarkEnd w:id="99"/>
      <w:bookmarkEnd w:id="100"/>
    </w:p>
    <w:p w14:paraId="5FA4BAB6">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5A4BC16E">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5F8DB31A">
      <w:pPr>
        <w:pStyle w:val="6"/>
        <w:keepNext w:val="0"/>
        <w:keepLines w:val="0"/>
        <w:spacing w:before="0" w:after="0" w:line="360" w:lineRule="auto"/>
        <w:ind w:left="420" w:leftChars="200"/>
        <w:rPr>
          <w:rFonts w:ascii="宋体" w:hAnsi="宋体" w:cs="宋体"/>
          <w:color w:val="auto"/>
          <w:sz w:val="24"/>
          <w:highlight w:val="none"/>
        </w:rPr>
      </w:pPr>
      <w:bookmarkStart w:id="101" w:name="_Toc254970669"/>
      <w:bookmarkStart w:id="102" w:name="_Toc254970528"/>
      <w:r>
        <w:rPr>
          <w:rFonts w:hint="eastAsia" w:ascii="宋体" w:hAnsi="宋体" w:cs="宋体"/>
          <w:color w:val="auto"/>
          <w:sz w:val="24"/>
          <w:highlight w:val="none"/>
        </w:rPr>
        <w:t>2.定义</w:t>
      </w:r>
      <w:bookmarkEnd w:id="101"/>
      <w:bookmarkEnd w:id="102"/>
    </w:p>
    <w:p w14:paraId="26487CAF">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2.1“采购人”是指依法进行政府采购的国家机关、事业单位、团体组织。</w:t>
      </w:r>
    </w:p>
    <w:p w14:paraId="6F212590">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2.2“采购代理机构”是指政府采购集中采购机构和集中采购机构以外的采购代理机构。</w:t>
      </w:r>
    </w:p>
    <w:p w14:paraId="3AC20A84">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2.3“供应商”是指向采购人提供货物、工程或者服务的法人、其他组织或者自然人。</w:t>
      </w:r>
    </w:p>
    <w:p w14:paraId="406047C2">
      <w:pPr>
        <w:pStyle w:val="7"/>
        <w:spacing w:line="360" w:lineRule="auto"/>
        <w:rPr>
          <w:rFonts w:ascii="宋体" w:hAnsi="宋体" w:cs="宋体"/>
          <w:color w:val="auto"/>
          <w:szCs w:val="21"/>
          <w:highlight w:val="none"/>
        </w:rPr>
      </w:pPr>
      <w:r>
        <w:rPr>
          <w:rFonts w:hint="eastAsia" w:ascii="宋体" w:hAnsi="宋体" w:cs="宋体"/>
          <w:color w:val="auto"/>
          <w:szCs w:val="21"/>
          <w:highlight w:val="none"/>
        </w:rPr>
        <w:t>2.4“投标人”是指响应招标、参加投标竞争的法人、其他组织或者自然人。</w:t>
      </w:r>
    </w:p>
    <w:p w14:paraId="6A348311">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2.5“货物”是指各种形态和种类的物品，包括原材料、燃料、设备、产品等；“服务”是指除货物和工程以外的其他政府采购对象。</w:t>
      </w:r>
    </w:p>
    <w:p w14:paraId="3D6E7C92">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2.6“售后服务” 是指商品出售以后所提供的各种服务，包含但不限于投标人须承担的备品备件、包装、运输、装卸、保险、货到就位以及安装、调试、培训、保修以及其他各种服务。</w:t>
      </w:r>
    </w:p>
    <w:p w14:paraId="20213F92">
      <w:pPr>
        <w:pStyle w:val="6"/>
        <w:keepNext w:val="0"/>
        <w:keepLines w:val="0"/>
        <w:spacing w:before="0" w:after="0" w:line="360" w:lineRule="auto"/>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2.7“书面形式”是指合同书、信件和数据电文（包括电报、电传、传真、电子数据交换和电子邮件）等可以有形地表现所载内容的形式。</w:t>
      </w:r>
    </w:p>
    <w:p w14:paraId="2E0E3426">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2.8“实质性要求”是指招标文件中已经指明不满足则投标无效的条款，或者不能负偏离的条款，或者采购需求中带“▲”的条款。</w:t>
      </w:r>
    </w:p>
    <w:p w14:paraId="369053EC">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 “正偏离”，是指投标文件对招标文件“采购需求”中有关条款作出的响应优于条款要求并有利于采购人的情形。</w:t>
      </w:r>
    </w:p>
    <w:p w14:paraId="75CE0B64">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2.10“负偏离”，是指投标文件对招标文件“采购需求”中有关条款作出的响应不满足条款要求，导致采购人要求不能得到满足的情形。</w:t>
      </w:r>
    </w:p>
    <w:p w14:paraId="02EBF4D7">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bookmarkStart w:id="103" w:name="_Toc254970529"/>
      <w:bookmarkStart w:id="104" w:name="_Toc254970670"/>
    </w:p>
    <w:p w14:paraId="51B89A13">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w:t>
      </w:r>
      <w:bookmarkEnd w:id="103"/>
      <w:bookmarkEnd w:id="104"/>
      <w:r>
        <w:rPr>
          <w:rFonts w:hint="eastAsia" w:ascii="宋体" w:hAnsi="宋体" w:cs="宋体"/>
          <w:color w:val="auto"/>
          <w:sz w:val="24"/>
          <w:highlight w:val="none"/>
        </w:rPr>
        <w:t>投标人的资格要求</w:t>
      </w:r>
    </w:p>
    <w:p w14:paraId="5F06EFA0">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投标人的资格要求详见“投标人须知前附表”。</w:t>
      </w:r>
    </w:p>
    <w:p w14:paraId="1B6F61DE">
      <w:pPr>
        <w:pStyle w:val="6"/>
        <w:keepNext w:val="0"/>
        <w:keepLines w:val="0"/>
        <w:spacing w:before="0" w:after="0" w:line="360" w:lineRule="auto"/>
        <w:ind w:left="420" w:leftChars="200"/>
        <w:rPr>
          <w:rFonts w:ascii="宋体" w:hAnsi="宋体" w:cs="宋体"/>
          <w:color w:val="auto"/>
          <w:sz w:val="24"/>
          <w:highlight w:val="none"/>
        </w:rPr>
      </w:pPr>
      <w:bookmarkStart w:id="105" w:name="_Toc254970530"/>
      <w:bookmarkStart w:id="106" w:name="_Toc254970671"/>
      <w:r>
        <w:rPr>
          <w:rFonts w:hint="eastAsia" w:ascii="宋体" w:hAnsi="宋体" w:cs="宋体"/>
          <w:color w:val="auto"/>
          <w:sz w:val="24"/>
          <w:highlight w:val="none"/>
        </w:rPr>
        <w:t>4.投标委托</w:t>
      </w:r>
      <w:bookmarkEnd w:id="105"/>
      <w:bookmarkEnd w:id="106"/>
    </w:p>
    <w:p w14:paraId="4ACE84AB">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投标人代表参加投标活动过程中必须携带个人有效身份证件。如投标人代表不是法定代表人，须持有授权委托书（按第六章要求格式填写）。</w:t>
      </w:r>
    </w:p>
    <w:p w14:paraId="558E5D50">
      <w:pPr>
        <w:pStyle w:val="6"/>
        <w:keepNext w:val="0"/>
        <w:keepLines w:val="0"/>
        <w:spacing w:before="0" w:after="0" w:line="360" w:lineRule="auto"/>
        <w:ind w:left="420" w:leftChars="200"/>
        <w:rPr>
          <w:rFonts w:ascii="宋体" w:hAnsi="宋体" w:cs="宋体"/>
          <w:color w:val="auto"/>
          <w:sz w:val="24"/>
          <w:highlight w:val="none"/>
        </w:rPr>
      </w:pPr>
      <w:bookmarkStart w:id="107" w:name="_5.投标费用"/>
      <w:bookmarkEnd w:id="107"/>
      <w:bookmarkStart w:id="108" w:name="_Toc254970672"/>
      <w:bookmarkStart w:id="109" w:name="_Toc254970531"/>
      <w:r>
        <w:rPr>
          <w:rFonts w:hint="eastAsia" w:ascii="宋体" w:hAnsi="宋体" w:cs="宋体"/>
          <w:color w:val="auto"/>
          <w:sz w:val="24"/>
          <w:highlight w:val="none"/>
        </w:rPr>
        <w:t>5.投标费用</w:t>
      </w:r>
      <w:bookmarkEnd w:id="108"/>
      <w:bookmarkEnd w:id="109"/>
    </w:p>
    <w:p w14:paraId="6C16D8ED">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592D4917">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6.联合体投标</w:t>
      </w:r>
    </w:p>
    <w:p w14:paraId="0772EFF6">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604FEED2">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 xml:space="preserve">7.转包与分包             </w:t>
      </w:r>
    </w:p>
    <w:p w14:paraId="08115173">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7.1本项目不允许转包。</w:t>
      </w:r>
    </w:p>
    <w:p w14:paraId="2E763288">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6AFD0ECE">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5C0BE02D">
      <w:pPr>
        <w:pStyle w:val="6"/>
        <w:keepNext w:val="0"/>
        <w:keepLines w:val="0"/>
        <w:spacing w:before="0" w:after="0" w:line="360" w:lineRule="auto"/>
        <w:ind w:left="420" w:leftChars="200"/>
        <w:rPr>
          <w:rFonts w:ascii="宋体" w:hAnsi="宋体" w:cs="宋体"/>
          <w:color w:val="auto"/>
          <w:sz w:val="24"/>
          <w:highlight w:val="none"/>
        </w:rPr>
      </w:pPr>
      <w:bookmarkStart w:id="110" w:name="_Toc254970532"/>
      <w:bookmarkStart w:id="111" w:name="_Toc254970673"/>
      <w:r>
        <w:rPr>
          <w:rFonts w:hint="eastAsia" w:ascii="宋体" w:hAnsi="宋体" w:cs="宋体"/>
          <w:color w:val="auto"/>
          <w:sz w:val="24"/>
          <w:highlight w:val="none"/>
        </w:rPr>
        <w:t>8.特别说明</w:t>
      </w:r>
      <w:bookmarkEnd w:id="110"/>
      <w:bookmarkEnd w:id="111"/>
    </w:p>
    <w:p w14:paraId="634B5C4C">
      <w:pPr>
        <w:pStyle w:val="6"/>
        <w:keepNext w:val="0"/>
        <w:keepLines w:val="0"/>
        <w:spacing w:before="0" w:after="0" w:line="360" w:lineRule="auto"/>
        <w:ind w:firstLine="315" w:firstLineChars="150"/>
        <w:rPr>
          <w:rFonts w:ascii="宋体" w:hAnsi="宋体" w:cs="宋体"/>
          <w:b w:val="0"/>
          <w:color w:val="auto"/>
          <w:sz w:val="21"/>
          <w:szCs w:val="21"/>
          <w:highlight w:val="none"/>
        </w:rPr>
      </w:pPr>
      <w:bookmarkStart w:id="112" w:name="_8.1提供相同品牌产品且通过资格审查、符合性审查的不同投标人参加同一合"/>
      <w:bookmarkEnd w:id="112"/>
      <w:r>
        <w:rPr>
          <w:rFonts w:hint="eastAsia" w:ascii="宋体" w:hAnsi="宋体" w:cs="宋体"/>
          <w:b w:val="0"/>
          <w:color w:val="auto"/>
          <w:sz w:val="21"/>
          <w:szCs w:val="21"/>
          <w:highlight w:val="none"/>
        </w:rPr>
        <w:t>8.1如果本招标文件要求提供投标人或制造商的资格、信誉、荣誉、业绩与企业认证等材料的，资格、信誉、荣誉、业绩与企业认证等必须为投标人或者制造商所拥有或自身获得 。</w:t>
      </w:r>
    </w:p>
    <w:p w14:paraId="02608C4A">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8.2投标人应仔细阅读招标文件的所有内容，按照招标文件的要求提交投标文件，并对所提供的全部资料的真实性承担法律责任。</w:t>
      </w:r>
    </w:p>
    <w:p w14:paraId="702EB33E">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8.3投标人在投标活动中提供任何虚假材料，将报监管部门查处；中标后发现的，中标人须依法赔偿采购人，且民事赔偿并不免除违法投标人的行政与刑事责任。</w:t>
      </w:r>
    </w:p>
    <w:p w14:paraId="09CB53E2">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9.回避与串通投标</w:t>
      </w:r>
    </w:p>
    <w:p w14:paraId="615DFD84">
      <w:pPr>
        <w:pStyle w:val="6"/>
        <w:keepNext w:val="0"/>
        <w:keepLines w:val="0"/>
        <w:spacing w:before="0" w:after="0" w:line="360" w:lineRule="auto"/>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9.1在政府采购活动中，采购人员及相关人员与供应商有下列利害关系之一的，应当回避：</w:t>
      </w:r>
    </w:p>
    <w:p w14:paraId="09A2BFED">
      <w:pPr>
        <w:pStyle w:val="11"/>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（1）参加采购活动前3年内与供应商存在劳动关系；</w:t>
      </w:r>
    </w:p>
    <w:p w14:paraId="765A6013">
      <w:pPr>
        <w:pStyle w:val="11"/>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（2）参加采购活动前3年内担任供应商的董事、监事；</w:t>
      </w:r>
    </w:p>
    <w:p w14:paraId="1CC1C522">
      <w:pPr>
        <w:pStyle w:val="11"/>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（3）参加采购活动前3年内是供应商的控股股东或者实际控制人；</w:t>
      </w:r>
    </w:p>
    <w:p w14:paraId="52A3630A">
      <w:pPr>
        <w:pStyle w:val="11"/>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（4）与供应商的法定代表人或者负责人有夫妻、直系血亲、三代以内旁系血亲或者近姻亲关系；</w:t>
      </w:r>
    </w:p>
    <w:p w14:paraId="69F1052D">
      <w:pPr>
        <w:pStyle w:val="11"/>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（5）与供应商有其他可能影响政府采购活动公平、公正进行的关系。</w:t>
      </w:r>
    </w:p>
    <w:p w14:paraId="50C178DE">
      <w:pPr>
        <w:pStyle w:val="11"/>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7C628C7">
      <w:pPr>
        <w:pStyle w:val="6"/>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9.2有下列情形之一的视为投标人相互串通投标，投标文件将被视为无效：</w:t>
      </w:r>
    </w:p>
    <w:p w14:paraId="2AAA1375">
      <w:pPr>
        <w:pStyle w:val="11"/>
        <w:snapToGrid w:val="0"/>
        <w:spacing w:line="360" w:lineRule="auto"/>
        <w:ind w:left="2" w:leftChars="1" w:firstLine="422" w:firstLineChars="200"/>
        <w:rPr>
          <w:rFonts w:hAnsi="宋体" w:cs="宋体"/>
          <w:b/>
          <w:bCs/>
          <w:color w:val="auto"/>
          <w:kern w:val="2"/>
          <w:sz w:val="21"/>
          <w:highlight w:val="none"/>
        </w:rPr>
      </w:pPr>
      <w:r>
        <w:rPr>
          <w:rFonts w:hint="eastAsia" w:hAnsi="宋体" w:cs="宋体"/>
          <w:b/>
          <w:bCs/>
          <w:color w:val="auto"/>
          <w:kern w:val="2"/>
          <w:sz w:val="21"/>
          <w:highlight w:val="none"/>
        </w:rPr>
        <w:t>（1）不同投标人的投标文件由同一单位或者个人编制；或者不同投标人报名的IP地址一致的；或者不同投标人报名的IP地址一致的；或者编制标书硬件设备CPU编号、硬盘编号、网卡地址一致的情况。</w:t>
      </w:r>
    </w:p>
    <w:p w14:paraId="3904C627">
      <w:pPr>
        <w:pStyle w:val="11"/>
        <w:snapToGrid w:val="0"/>
        <w:spacing w:line="360" w:lineRule="auto"/>
        <w:ind w:left="2" w:leftChars="1" w:firstLine="422" w:firstLineChars="200"/>
        <w:rPr>
          <w:rFonts w:hAnsi="宋体" w:cs="宋体"/>
          <w:b/>
          <w:bCs/>
          <w:color w:val="auto"/>
          <w:kern w:val="2"/>
          <w:sz w:val="21"/>
          <w:highlight w:val="none"/>
        </w:rPr>
      </w:pPr>
      <w:r>
        <w:rPr>
          <w:rFonts w:hint="eastAsia" w:hAnsi="宋体" w:cs="宋体"/>
          <w:b/>
          <w:bCs/>
          <w:color w:val="auto"/>
          <w:kern w:val="2"/>
          <w:sz w:val="21"/>
          <w:highlight w:val="none"/>
        </w:rPr>
        <w:t>（2）不同投标人委托同一单位或者个人办理投标事宜；</w:t>
      </w:r>
    </w:p>
    <w:p w14:paraId="77DFA0FD">
      <w:pPr>
        <w:pStyle w:val="11"/>
        <w:snapToGrid w:val="0"/>
        <w:spacing w:line="360" w:lineRule="auto"/>
        <w:ind w:left="2" w:leftChars="1" w:firstLine="422" w:firstLineChars="200"/>
        <w:rPr>
          <w:rFonts w:hAnsi="宋体" w:cs="宋体"/>
          <w:b/>
          <w:bCs/>
          <w:color w:val="auto"/>
          <w:kern w:val="2"/>
          <w:sz w:val="21"/>
          <w:highlight w:val="none"/>
        </w:rPr>
      </w:pPr>
      <w:r>
        <w:rPr>
          <w:rFonts w:hint="eastAsia" w:hAnsi="宋体" w:cs="宋体"/>
          <w:b/>
          <w:bCs/>
          <w:color w:val="auto"/>
          <w:kern w:val="2"/>
          <w:sz w:val="21"/>
          <w:highlight w:val="none"/>
        </w:rPr>
        <w:t>（3）不同的投标人的投标文件载明的项目管理员为同一个人；</w:t>
      </w:r>
    </w:p>
    <w:p w14:paraId="27548314">
      <w:pPr>
        <w:pStyle w:val="11"/>
        <w:snapToGrid w:val="0"/>
        <w:spacing w:line="360" w:lineRule="auto"/>
        <w:ind w:left="2" w:leftChars="1" w:firstLine="422" w:firstLineChars="200"/>
        <w:rPr>
          <w:rFonts w:hAnsi="宋体" w:cs="宋体"/>
          <w:b/>
          <w:bCs/>
          <w:color w:val="auto"/>
          <w:kern w:val="2"/>
          <w:sz w:val="21"/>
          <w:highlight w:val="none"/>
        </w:rPr>
      </w:pPr>
      <w:r>
        <w:rPr>
          <w:rFonts w:hint="eastAsia" w:hAnsi="宋体" w:cs="宋体"/>
          <w:b/>
          <w:bCs/>
          <w:color w:val="auto"/>
          <w:kern w:val="2"/>
          <w:sz w:val="21"/>
          <w:highlight w:val="none"/>
        </w:rPr>
        <w:t>（4）不同投标人的电子或纸质投标文件异常一致或者投标报价呈规律性差异；</w:t>
      </w:r>
    </w:p>
    <w:p w14:paraId="4ECD5F52">
      <w:pPr>
        <w:pStyle w:val="11"/>
        <w:snapToGrid w:val="0"/>
        <w:spacing w:line="360" w:lineRule="auto"/>
        <w:ind w:left="2" w:leftChars="1" w:firstLine="422" w:firstLineChars="200"/>
        <w:rPr>
          <w:rFonts w:hAnsi="宋体" w:cs="宋体"/>
          <w:b/>
          <w:bCs/>
          <w:color w:val="auto"/>
          <w:kern w:val="2"/>
          <w:sz w:val="21"/>
          <w:highlight w:val="none"/>
        </w:rPr>
      </w:pPr>
      <w:r>
        <w:rPr>
          <w:rFonts w:hint="eastAsia" w:hAnsi="宋体" w:cs="宋体"/>
          <w:b/>
          <w:bCs/>
          <w:color w:val="auto"/>
          <w:kern w:val="2"/>
          <w:sz w:val="21"/>
          <w:highlight w:val="none"/>
        </w:rPr>
        <w:t>（5）不同投标人的纸质投标文件相互混装；</w:t>
      </w:r>
    </w:p>
    <w:p w14:paraId="70E322B3">
      <w:pPr>
        <w:pStyle w:val="11"/>
        <w:snapToGrid w:val="0"/>
        <w:spacing w:line="360" w:lineRule="auto"/>
        <w:ind w:left="2" w:leftChars="1" w:firstLine="422" w:firstLineChars="200"/>
        <w:rPr>
          <w:rFonts w:hAnsi="宋体" w:cs="宋体"/>
          <w:b/>
          <w:bCs/>
          <w:color w:val="auto"/>
          <w:kern w:val="2"/>
          <w:sz w:val="21"/>
          <w:highlight w:val="none"/>
        </w:rPr>
      </w:pPr>
      <w:r>
        <w:rPr>
          <w:rFonts w:hint="eastAsia" w:hAnsi="宋体" w:cs="宋体"/>
          <w:b/>
          <w:bCs/>
          <w:color w:val="auto"/>
          <w:kern w:val="2"/>
          <w:sz w:val="21"/>
          <w:highlight w:val="none"/>
        </w:rPr>
        <w:t>（6）不同投标人的投标保证金从同一单位或者个人账户转出。</w:t>
      </w:r>
    </w:p>
    <w:p w14:paraId="72767D88">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9.3供应商有下列情形之一的，属于恶意串通行为，将报同级监督管理部门：</w:t>
      </w:r>
    </w:p>
    <w:p w14:paraId="1EA873CA">
      <w:pPr>
        <w:pStyle w:val="11"/>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（1）供应商直接或者间接从采购人或者采购代理机构处获得其他供应商的相关信息并修改其投标文件或者投标文件；</w:t>
      </w:r>
    </w:p>
    <w:p w14:paraId="0FB73626">
      <w:pPr>
        <w:pStyle w:val="11"/>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（2）供应商按照采购人或者采购代理机构的授意撤换、修改投标文件或者投标文件；</w:t>
      </w:r>
    </w:p>
    <w:p w14:paraId="07357D2B">
      <w:pPr>
        <w:pStyle w:val="11"/>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（3）供应商之间协商报价、技术方案等投标文件或者投标文件的实质性内容；</w:t>
      </w:r>
    </w:p>
    <w:p w14:paraId="725868BE">
      <w:pPr>
        <w:pStyle w:val="11"/>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（4）属于同一集团、协会、商会等组织成员的供应商按照该组织要求协同参加政府采购活动；</w:t>
      </w:r>
    </w:p>
    <w:p w14:paraId="5677A1D4">
      <w:pPr>
        <w:pStyle w:val="11"/>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10DD7558">
      <w:pPr>
        <w:pStyle w:val="11"/>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（6）供应商之间商定部分供应商放弃参加政府采购活动或者放弃中标；</w:t>
      </w:r>
    </w:p>
    <w:p w14:paraId="384CA294">
      <w:pPr>
        <w:pStyle w:val="11"/>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（7）供应商与采购人或者采购代理机构之间、供应商相互之间，为谋求特定供应商中标或者排斥其他供应商的其他串通行为。</w:t>
      </w:r>
    </w:p>
    <w:p w14:paraId="4E0DE8AD">
      <w:pPr>
        <w:pStyle w:val="11"/>
        <w:snapToGrid w:val="0"/>
        <w:spacing w:line="360" w:lineRule="auto"/>
        <w:ind w:left="2" w:leftChars="1" w:firstLine="422" w:firstLineChars="200"/>
        <w:rPr>
          <w:rFonts w:hAnsi="宋体" w:cs="宋体"/>
          <w:b/>
          <w:color w:val="auto"/>
          <w:kern w:val="2"/>
          <w:sz w:val="21"/>
          <w:highlight w:val="none"/>
        </w:rPr>
      </w:pPr>
    </w:p>
    <w:p w14:paraId="547B2344">
      <w:pPr>
        <w:pStyle w:val="4"/>
        <w:keepNext w:val="0"/>
        <w:keepLines w:val="0"/>
        <w:spacing w:before="0" w:after="0" w:line="360" w:lineRule="auto"/>
        <w:jc w:val="center"/>
        <w:rPr>
          <w:rFonts w:ascii="宋体" w:hAnsi="宋体" w:cs="宋体"/>
          <w:color w:val="auto"/>
          <w:highlight w:val="none"/>
        </w:rPr>
      </w:pPr>
      <w:bookmarkStart w:id="113" w:name="_Toc254970534"/>
      <w:bookmarkStart w:id="114" w:name="_Toc254970675"/>
      <w:r>
        <w:rPr>
          <w:rFonts w:hint="eastAsia" w:ascii="宋体" w:hAnsi="宋体" w:cs="宋体"/>
          <w:color w:val="auto"/>
          <w:highlight w:val="none"/>
        </w:rPr>
        <w:t>二、招标文件</w:t>
      </w:r>
      <w:bookmarkEnd w:id="113"/>
      <w:bookmarkEnd w:id="114"/>
    </w:p>
    <w:p w14:paraId="7B5EED07">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10.招标文件的组成</w:t>
      </w:r>
    </w:p>
    <w:p w14:paraId="3ED08A9E">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（1）招标公告；</w:t>
      </w:r>
    </w:p>
    <w:p w14:paraId="0478A0E9">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 xml:space="preserve">（2）采购需求； </w:t>
      </w:r>
    </w:p>
    <w:p w14:paraId="3CECDB15">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（3）投标人须知；</w:t>
      </w:r>
    </w:p>
    <w:p w14:paraId="2BEE5942">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（4）评标方法及评标标准；</w:t>
      </w:r>
    </w:p>
    <w:p w14:paraId="2C844742">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（5）拟签订的合同文本；</w:t>
      </w:r>
    </w:p>
    <w:p w14:paraId="70CA23E6">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（6）投标文件格式。</w:t>
      </w:r>
    </w:p>
    <w:p w14:paraId="4FED58D8">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14:paraId="50E77973">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11.1投标人应认真审阅本招标文件，如有疑问，或发现其中有误或有要求不合理的，应在招标公告期限届满之日起7个工作日内以纸质书面形式要求采购人或采购代理机构对招标文件予以澄清；否则，由此产生的后果由投标人自行负责。</w:t>
      </w:r>
    </w:p>
    <w:p w14:paraId="4462CC83">
      <w:pPr>
        <w:pStyle w:val="6"/>
        <w:keepNext w:val="0"/>
        <w:keepLines w:val="0"/>
        <w:spacing w:before="0" w:after="0" w:line="360" w:lineRule="auto"/>
        <w:ind w:firstLine="420" w:firstLineChars="200"/>
        <w:rPr>
          <w:rFonts w:ascii="宋体" w:hAnsi="宋体" w:cs="宋体"/>
          <w:color w:val="auto"/>
          <w:highlight w:val="none"/>
        </w:rPr>
      </w:pPr>
      <w:r>
        <w:rPr>
          <w:rFonts w:hint="eastAsia" w:ascii="宋体" w:hAnsi="宋体" w:cs="宋体"/>
          <w:b w:val="0"/>
          <w:color w:val="auto"/>
          <w:sz w:val="21"/>
          <w:szCs w:val="21"/>
          <w:highlight w:val="none"/>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w:t>
      </w:r>
    </w:p>
    <w:p w14:paraId="56DAB4AD">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11.3采购人和采购代理机构可以视采购具体情况，变更投标截止时间和开标时间，并</w:t>
      </w:r>
      <w:r>
        <w:rPr>
          <w:rFonts w:hint="eastAsia" w:ascii="宋体" w:hAnsi="宋体" w:cs="宋体"/>
          <w:color w:val="auto"/>
          <w:szCs w:val="21"/>
          <w:highlight w:val="none"/>
        </w:rPr>
        <w:t>在原公告发布媒体上发布更正公告。</w:t>
      </w:r>
    </w:p>
    <w:p w14:paraId="025C5668">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11.4招标文件澄清、答复、修改、补充的内容为招标文件的组成部分。</w:t>
      </w:r>
      <w:r>
        <w:rPr>
          <w:rFonts w:hint="eastAsia" w:ascii="宋体" w:hAnsi="宋体" w:cs="宋体"/>
          <w:b/>
          <w:color w:val="auto"/>
          <w:szCs w:val="21"/>
          <w:highlight w:val="none"/>
        </w:rPr>
        <w:t>当招标文件与招标文件的澄清、答复、修改、补充通知就同一内容的表述不一致时，以最后发出的文件为准。</w:t>
      </w:r>
    </w:p>
    <w:p w14:paraId="4BF41232">
      <w:pPr>
        <w:pStyle w:val="11"/>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11.</w:t>
      </w:r>
      <w:bookmarkStart w:id="115" w:name="_Hlk53134511"/>
      <w:r>
        <w:rPr>
          <w:rFonts w:hint="eastAsia" w:hAnsi="宋体" w:cs="宋体"/>
          <w:color w:val="auto"/>
          <w:sz w:val="21"/>
          <w:highlight w:val="none"/>
        </w:rPr>
        <w:t>5采购人或者采购代理机构可以在招标文件提供期限截止后，组织已获取招标文件的潜在投标人现场考察或者召开开标前答疑会，具体详见“投标人须知前附表”。</w:t>
      </w:r>
    </w:p>
    <w:p w14:paraId="4CF7AF0B">
      <w:pPr>
        <w:pStyle w:val="11"/>
        <w:spacing w:line="360" w:lineRule="auto"/>
        <w:ind w:firstLine="420" w:firstLineChars="200"/>
        <w:rPr>
          <w:rFonts w:hAnsi="宋体" w:cs="宋体"/>
          <w:color w:val="auto"/>
          <w:sz w:val="21"/>
          <w:highlight w:val="none"/>
        </w:rPr>
      </w:pPr>
      <w:r>
        <w:rPr>
          <w:rFonts w:hint="eastAsia" w:hAnsi="宋体" w:cs="宋体"/>
          <w:color w:val="auto"/>
          <w:sz w:val="21"/>
          <w:highlight w:val="none"/>
        </w:rPr>
        <w:t>11.6投标人或者其他利害关系人对招标文件有异议的，应当在投标截止时间10日前以书面形式提出。采购人将在收到异议之日起3日内做出答复；做出答复前，将暂停招标投标活动。</w:t>
      </w:r>
    </w:p>
    <w:p w14:paraId="4642D172">
      <w:pPr>
        <w:pStyle w:val="11"/>
        <w:snapToGrid w:val="0"/>
        <w:spacing w:line="360" w:lineRule="auto"/>
        <w:ind w:firstLine="420" w:firstLineChars="200"/>
        <w:rPr>
          <w:rFonts w:hAnsi="宋体" w:cs="宋体"/>
          <w:color w:val="auto"/>
          <w:sz w:val="21"/>
          <w:highlight w:val="none"/>
        </w:rPr>
      </w:pPr>
    </w:p>
    <w:bookmarkEnd w:id="115"/>
    <w:p w14:paraId="42D79E5F">
      <w:pPr>
        <w:pStyle w:val="4"/>
        <w:keepNext w:val="0"/>
        <w:keepLines w:val="0"/>
        <w:spacing w:before="0" w:after="0" w:line="360" w:lineRule="auto"/>
        <w:jc w:val="center"/>
        <w:rPr>
          <w:rFonts w:ascii="宋体" w:hAnsi="宋体" w:cs="宋体"/>
          <w:color w:val="auto"/>
          <w:highlight w:val="none"/>
        </w:rPr>
      </w:pPr>
      <w:bookmarkStart w:id="116" w:name="_Toc254970676"/>
      <w:bookmarkStart w:id="117" w:name="_Toc254970535"/>
      <w:r>
        <w:rPr>
          <w:rFonts w:hint="eastAsia" w:ascii="宋体" w:hAnsi="宋体" w:cs="宋体"/>
          <w:color w:val="auto"/>
          <w:highlight w:val="none"/>
        </w:rPr>
        <w:t>三、投标文件的编制</w:t>
      </w:r>
      <w:bookmarkEnd w:id="116"/>
      <w:bookmarkEnd w:id="117"/>
    </w:p>
    <w:p w14:paraId="2E717AF8">
      <w:pPr>
        <w:pStyle w:val="6"/>
        <w:keepNext w:val="0"/>
        <w:keepLines w:val="0"/>
        <w:spacing w:before="0" w:after="0" w:line="360" w:lineRule="auto"/>
        <w:ind w:left="420" w:leftChars="200"/>
        <w:rPr>
          <w:rFonts w:ascii="宋体" w:hAnsi="宋体" w:cs="宋体"/>
          <w:color w:val="auto"/>
          <w:sz w:val="24"/>
          <w:highlight w:val="none"/>
        </w:rPr>
      </w:pPr>
      <w:bookmarkStart w:id="118" w:name="_Toc254970677"/>
      <w:bookmarkStart w:id="119" w:name="_Toc254970536"/>
      <w:r>
        <w:rPr>
          <w:rFonts w:hint="eastAsia" w:ascii="宋体" w:hAnsi="宋体" w:cs="宋体"/>
          <w:color w:val="auto"/>
          <w:sz w:val="24"/>
          <w:highlight w:val="none"/>
        </w:rPr>
        <w:t>12.投标文件的编制原则</w:t>
      </w:r>
    </w:p>
    <w:p w14:paraId="6F51D90D">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20685947">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13.投标文件的组成</w:t>
      </w:r>
      <w:bookmarkEnd w:id="118"/>
      <w:bookmarkEnd w:id="119"/>
    </w:p>
    <w:p w14:paraId="75B45A66">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13.1投标文件由报价文件、资格证明文件、商务文件、技术文件四部分组成。</w:t>
      </w:r>
    </w:p>
    <w:p w14:paraId="2C8FD28F">
      <w:pPr>
        <w:pStyle w:val="6"/>
        <w:keepNext w:val="0"/>
        <w:keepLines w:val="0"/>
        <w:spacing w:before="0" w:after="0" w:line="360" w:lineRule="auto"/>
        <w:ind w:left="420" w:leftChars="200"/>
        <w:rPr>
          <w:rFonts w:ascii="宋体" w:hAnsi="宋体" w:cs="宋体"/>
          <w:b w:val="0"/>
          <w:color w:val="auto"/>
          <w:sz w:val="21"/>
          <w:szCs w:val="21"/>
          <w:highlight w:val="none"/>
        </w:rPr>
      </w:pPr>
      <w:bookmarkStart w:id="120" w:name="_13.1报价文件:_具体材料见“投标人须知前附表”。"/>
      <w:bookmarkEnd w:id="120"/>
      <w:r>
        <w:rPr>
          <w:rFonts w:hint="eastAsia" w:ascii="宋体" w:hAnsi="宋体" w:cs="宋体"/>
          <w:b w:val="0"/>
          <w:color w:val="auto"/>
          <w:sz w:val="21"/>
          <w:szCs w:val="21"/>
          <w:highlight w:val="none"/>
        </w:rPr>
        <w:t>（1）报价文件： 具体材料见“投标人须知前附表”。</w:t>
      </w:r>
    </w:p>
    <w:p w14:paraId="05870BFD">
      <w:pPr>
        <w:pStyle w:val="6"/>
        <w:keepNext w:val="0"/>
        <w:keepLines w:val="0"/>
        <w:spacing w:before="0" w:after="0" w:line="360" w:lineRule="auto"/>
        <w:ind w:left="420" w:leftChars="200"/>
        <w:rPr>
          <w:rFonts w:ascii="宋体" w:hAnsi="宋体" w:cs="宋体"/>
          <w:b w:val="0"/>
          <w:color w:val="auto"/>
          <w:sz w:val="21"/>
          <w:szCs w:val="21"/>
          <w:highlight w:val="none"/>
        </w:rPr>
      </w:pPr>
      <w:bookmarkStart w:id="121" w:name="_13.2资格证明文件：具体材料见“投标人须知前附表”。"/>
      <w:bookmarkEnd w:id="121"/>
      <w:r>
        <w:rPr>
          <w:rFonts w:hint="eastAsia" w:ascii="宋体" w:hAnsi="宋体" w:cs="宋体"/>
          <w:b w:val="0"/>
          <w:color w:val="auto"/>
          <w:sz w:val="21"/>
          <w:szCs w:val="21"/>
          <w:highlight w:val="none"/>
        </w:rPr>
        <w:t>（2）资格证明文件：具体材料见“投标人须知前附表”。</w:t>
      </w:r>
    </w:p>
    <w:p w14:paraId="099E9DF1">
      <w:pPr>
        <w:pStyle w:val="6"/>
        <w:keepNext w:val="0"/>
        <w:keepLines w:val="0"/>
        <w:spacing w:before="0" w:after="0" w:line="360" w:lineRule="auto"/>
        <w:ind w:left="420" w:leftChars="200"/>
        <w:rPr>
          <w:rFonts w:ascii="宋体" w:hAnsi="宋体" w:cs="宋体"/>
          <w:b w:val="0"/>
          <w:color w:val="auto"/>
          <w:sz w:val="21"/>
          <w:szCs w:val="21"/>
          <w:highlight w:val="none"/>
        </w:rPr>
      </w:pPr>
      <w:bookmarkStart w:id="122" w:name="_13.3商务文件:_具体材料见“投标人须知前附表”。"/>
      <w:bookmarkEnd w:id="122"/>
      <w:r>
        <w:rPr>
          <w:rFonts w:hint="eastAsia" w:ascii="宋体" w:hAnsi="宋体" w:cs="宋体"/>
          <w:b w:val="0"/>
          <w:color w:val="auto"/>
          <w:sz w:val="21"/>
          <w:szCs w:val="21"/>
          <w:highlight w:val="none"/>
        </w:rPr>
        <w:t>（3）商务文件：具体材料见“投标人须知前附表”。</w:t>
      </w:r>
    </w:p>
    <w:p w14:paraId="3524A9EC">
      <w:pPr>
        <w:pStyle w:val="6"/>
        <w:keepNext w:val="0"/>
        <w:keepLines w:val="0"/>
        <w:spacing w:before="0" w:after="0" w:line="360" w:lineRule="auto"/>
        <w:ind w:left="420" w:leftChars="200"/>
        <w:rPr>
          <w:rFonts w:ascii="宋体" w:hAnsi="宋体" w:cs="宋体"/>
          <w:b w:val="0"/>
          <w:color w:val="auto"/>
          <w:sz w:val="21"/>
          <w:szCs w:val="21"/>
          <w:highlight w:val="none"/>
        </w:rPr>
      </w:pPr>
      <w:bookmarkStart w:id="123" w:name="_13.4技术文件：具体材料见“投标人须知前附表”。"/>
      <w:bookmarkEnd w:id="123"/>
      <w:r>
        <w:rPr>
          <w:rFonts w:hint="eastAsia" w:ascii="宋体" w:hAnsi="宋体" w:cs="宋体"/>
          <w:b w:val="0"/>
          <w:color w:val="auto"/>
          <w:sz w:val="21"/>
          <w:szCs w:val="21"/>
          <w:highlight w:val="none"/>
        </w:rPr>
        <w:t>（4）技术文件：具体材料见“投标人须知前附表”。</w:t>
      </w:r>
      <w:bookmarkStart w:id="124" w:name="_13.5投标文件电子版：具体材料见“投标人须知前附表”。"/>
      <w:bookmarkEnd w:id="124"/>
    </w:p>
    <w:p w14:paraId="63AD4D68">
      <w:pPr>
        <w:pStyle w:val="6"/>
        <w:keepNext w:val="0"/>
        <w:keepLines w:val="0"/>
        <w:spacing w:before="0" w:after="0" w:line="360" w:lineRule="auto"/>
        <w:ind w:left="420" w:leftChars="200"/>
        <w:rPr>
          <w:rFonts w:ascii="宋体" w:hAnsi="宋体" w:cs="宋体"/>
          <w:color w:val="auto"/>
          <w:sz w:val="24"/>
          <w:highlight w:val="none"/>
        </w:rPr>
      </w:pPr>
      <w:bookmarkStart w:id="125" w:name="_Toc254970537"/>
      <w:bookmarkStart w:id="126" w:name="_Toc254970678"/>
      <w:r>
        <w:rPr>
          <w:rFonts w:hint="eastAsia" w:ascii="宋体" w:hAnsi="宋体" w:cs="宋体"/>
          <w:color w:val="auto"/>
          <w:sz w:val="24"/>
          <w:highlight w:val="none"/>
        </w:rPr>
        <w:t>14.投标文件的语言及计量</w:t>
      </w:r>
      <w:bookmarkEnd w:id="125"/>
      <w:bookmarkEnd w:id="126"/>
    </w:p>
    <w:p w14:paraId="6A1BBB22">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14.1语言文字</w:t>
      </w:r>
    </w:p>
    <w:p w14:paraId="7D8036C6">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64DC690F">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14.2投标计量单位</w:t>
      </w:r>
    </w:p>
    <w:p w14:paraId="50787D27">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招标文件已有明确规定的，使用招标文件规定的计量单位；招标文件没有规定的，应采用中华人民共和国法定计量单位，货币种类为人民币，否则视同未响应。</w:t>
      </w:r>
    </w:p>
    <w:p w14:paraId="7824A637">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15.投标的风险</w:t>
      </w:r>
    </w:p>
    <w:p w14:paraId="04FC79AC">
      <w:pPr>
        <w:pStyle w:val="11"/>
        <w:snapToGrid w:val="0"/>
        <w:spacing w:line="360" w:lineRule="auto"/>
        <w:ind w:firstLine="420" w:firstLineChars="200"/>
        <w:jc w:val="left"/>
        <w:rPr>
          <w:rFonts w:hAnsi="宋体" w:cs="宋体"/>
          <w:color w:val="auto"/>
          <w:sz w:val="21"/>
          <w:highlight w:val="none"/>
        </w:rPr>
      </w:pPr>
      <w:r>
        <w:rPr>
          <w:rFonts w:hint="eastAsia" w:hAnsi="宋体" w:cs="宋体"/>
          <w:color w:val="auto"/>
          <w:sz w:val="21"/>
          <w:highlight w:val="none"/>
        </w:rPr>
        <w:t>投标人没有按照招标文件要求提供全部资料，或者投标人没有对招标文件作出实质性响应是投标人的风险，并可能导致其投标被拒绝。</w:t>
      </w:r>
    </w:p>
    <w:p w14:paraId="2D6C25E1">
      <w:pPr>
        <w:pStyle w:val="6"/>
        <w:keepNext w:val="0"/>
        <w:keepLines w:val="0"/>
        <w:spacing w:before="0" w:after="0" w:line="360" w:lineRule="auto"/>
        <w:ind w:left="420" w:leftChars="200"/>
        <w:rPr>
          <w:rFonts w:ascii="宋体" w:hAnsi="宋体" w:cs="宋体"/>
          <w:color w:val="auto"/>
          <w:sz w:val="24"/>
          <w:highlight w:val="none"/>
        </w:rPr>
      </w:pPr>
      <w:bookmarkStart w:id="127" w:name="_Toc254970679"/>
      <w:bookmarkStart w:id="128" w:name="_Toc254970538"/>
      <w:r>
        <w:rPr>
          <w:rFonts w:hint="eastAsia" w:ascii="宋体" w:hAnsi="宋体" w:cs="宋体"/>
          <w:color w:val="auto"/>
          <w:sz w:val="24"/>
          <w:highlight w:val="none"/>
        </w:rPr>
        <w:t>16.投标报价</w:t>
      </w:r>
      <w:bookmarkEnd w:id="127"/>
      <w:bookmarkEnd w:id="128"/>
    </w:p>
    <w:p w14:paraId="3C3A3397">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16.1投标报价应按“第六章　投标文件格式”中“开标一览表”格式填写。</w:t>
      </w:r>
    </w:p>
    <w:p w14:paraId="1F27917A">
      <w:pPr>
        <w:pStyle w:val="6"/>
        <w:keepNext w:val="0"/>
        <w:keepLines w:val="0"/>
        <w:spacing w:before="0" w:after="0" w:line="360" w:lineRule="auto"/>
        <w:ind w:left="420" w:leftChars="200"/>
        <w:rPr>
          <w:rFonts w:ascii="宋体" w:hAnsi="宋体" w:cs="宋体"/>
          <w:b w:val="0"/>
          <w:color w:val="auto"/>
          <w:sz w:val="21"/>
          <w:szCs w:val="21"/>
          <w:highlight w:val="none"/>
        </w:rPr>
      </w:pPr>
      <w:bookmarkStart w:id="129" w:name="_16.2投标报价具体定义见投标人须知前附表。"/>
      <w:bookmarkEnd w:id="129"/>
      <w:r>
        <w:rPr>
          <w:rFonts w:hint="eastAsia" w:ascii="宋体" w:hAnsi="宋体" w:cs="宋体"/>
          <w:b w:val="0"/>
          <w:color w:val="auto"/>
          <w:sz w:val="21"/>
          <w:szCs w:val="21"/>
          <w:highlight w:val="none"/>
        </w:rPr>
        <w:t>16.2投标报价具体包括内容详见“投标人须知前附表”。</w:t>
      </w:r>
    </w:p>
    <w:p w14:paraId="1EC6E52A">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16.3投标人必须就所投每个分标的全部内容分别作完整唯一总价报价，不得存在漏项报价；投标人必须就所投分标的单项内容作唯一报价。</w:t>
      </w:r>
    </w:p>
    <w:p w14:paraId="6FC1BCBF">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17.投标有效期</w:t>
      </w:r>
    </w:p>
    <w:p w14:paraId="46930AB8">
      <w:pPr>
        <w:pStyle w:val="6"/>
        <w:keepNext w:val="0"/>
        <w:keepLines w:val="0"/>
        <w:spacing w:before="0" w:after="0" w:line="360" w:lineRule="auto"/>
        <w:ind w:firstLine="420" w:firstLineChars="200"/>
        <w:rPr>
          <w:rFonts w:ascii="宋体" w:hAnsi="宋体" w:cs="宋体"/>
          <w:b w:val="0"/>
          <w:color w:val="auto"/>
          <w:sz w:val="21"/>
          <w:szCs w:val="21"/>
          <w:highlight w:val="none"/>
        </w:rPr>
      </w:pPr>
      <w:bookmarkStart w:id="130" w:name="_17.1投标有效期应按“投标人须知中的前附表”规定的期限。"/>
      <w:bookmarkEnd w:id="130"/>
      <w:r>
        <w:rPr>
          <w:rFonts w:hint="eastAsia" w:ascii="宋体" w:hAnsi="宋体" w:cs="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2FF813B9">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17.2</w:t>
      </w:r>
      <w:bookmarkStart w:id="131" w:name="_Toc254970681"/>
      <w:bookmarkStart w:id="132" w:name="_Toc254970540"/>
      <w:r>
        <w:rPr>
          <w:rFonts w:hint="eastAsia" w:ascii="宋体" w:hAnsi="宋体" w:cs="宋体"/>
          <w:b w:val="0"/>
          <w:color w:val="auto"/>
          <w:sz w:val="21"/>
          <w:szCs w:val="21"/>
          <w:highlight w:val="none"/>
        </w:rPr>
        <w:t xml:space="preserve"> 投标有效期应按规定的期限作出承诺，具体详见“投标人须知前附表”。</w:t>
      </w:r>
    </w:p>
    <w:p w14:paraId="0B692FF5">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17.3投标人的投标文件在投标有效期内均保持有效。</w:t>
      </w:r>
      <w:bookmarkEnd w:id="131"/>
      <w:bookmarkEnd w:id="132"/>
    </w:p>
    <w:p w14:paraId="19F285C7">
      <w:pPr>
        <w:pStyle w:val="6"/>
        <w:keepNext w:val="0"/>
        <w:keepLines w:val="0"/>
        <w:spacing w:before="0" w:after="0" w:line="360" w:lineRule="auto"/>
        <w:ind w:left="420" w:leftChars="200"/>
        <w:rPr>
          <w:rFonts w:ascii="宋体" w:hAnsi="宋体" w:cs="宋体"/>
          <w:color w:val="auto"/>
          <w:sz w:val="24"/>
          <w:highlight w:val="none"/>
        </w:rPr>
      </w:pPr>
      <w:bookmarkStart w:id="133" w:name="_18.投标保证金"/>
      <w:bookmarkEnd w:id="133"/>
      <w:bookmarkStart w:id="134" w:name="_Toc254970682"/>
      <w:bookmarkStart w:id="135" w:name="_Toc254970541"/>
      <w:r>
        <w:rPr>
          <w:rFonts w:hint="eastAsia" w:ascii="宋体" w:hAnsi="宋体" w:cs="宋体"/>
          <w:color w:val="auto"/>
          <w:sz w:val="24"/>
          <w:highlight w:val="none"/>
        </w:rPr>
        <w:t>18.投标保证金</w:t>
      </w:r>
      <w:bookmarkEnd w:id="134"/>
      <w:bookmarkEnd w:id="135"/>
    </w:p>
    <w:p w14:paraId="2A2055F8">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18.1投标人须按“投标人须知前附表” 的规定提交投标保证金。</w:t>
      </w:r>
    </w:p>
    <w:p w14:paraId="6AB9A563">
      <w:pPr>
        <w:pStyle w:val="6"/>
        <w:keepNext w:val="0"/>
        <w:keepLines w:val="0"/>
        <w:spacing w:before="0" w:after="0" w:line="360" w:lineRule="auto"/>
        <w:ind w:firstLine="420" w:firstLineChars="200"/>
        <w:rPr>
          <w:rFonts w:ascii="宋体" w:hAnsi="宋体" w:cs="宋体"/>
          <w:b w:val="0"/>
          <w:bCs/>
          <w:color w:val="auto"/>
          <w:sz w:val="21"/>
          <w:szCs w:val="21"/>
          <w:highlight w:val="none"/>
        </w:rPr>
      </w:pPr>
      <w:r>
        <w:rPr>
          <w:rFonts w:hint="eastAsia" w:ascii="宋体" w:hAnsi="宋体" w:cs="宋体"/>
          <w:b w:val="0"/>
          <w:color w:val="auto"/>
          <w:sz w:val="21"/>
          <w:szCs w:val="21"/>
          <w:highlight w:val="none"/>
        </w:rPr>
        <w:t>18.2投标保证金的退</w:t>
      </w:r>
      <w:r>
        <w:rPr>
          <w:rFonts w:hint="eastAsia" w:ascii="宋体" w:hAnsi="宋体" w:cs="宋体"/>
          <w:b w:val="0"/>
          <w:bCs/>
          <w:color w:val="auto"/>
          <w:sz w:val="21"/>
          <w:szCs w:val="21"/>
          <w:highlight w:val="none"/>
        </w:rPr>
        <w:t>还</w:t>
      </w:r>
    </w:p>
    <w:p w14:paraId="02723540">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bCs/>
          <w:color w:val="auto"/>
          <w:sz w:val="21"/>
          <w:szCs w:val="21"/>
          <w:highlight w:val="none"/>
        </w:rPr>
        <w:t>未中标人的投标保证金（或保函）自中标通知书发出之日起5个工作日内退还；中标人的投标保证金（或保函）自</w:t>
      </w:r>
      <w:r>
        <w:rPr>
          <w:rFonts w:hint="eastAsia" w:ascii="宋体" w:hAnsi="宋体" w:cs="宋体"/>
          <w:b w:val="0"/>
          <w:color w:val="auto"/>
          <w:sz w:val="21"/>
          <w:szCs w:val="21"/>
          <w:highlight w:val="none"/>
        </w:rPr>
        <w:t xml:space="preserve">政府采购合同签订之日起5个工作日内退还。 </w:t>
      </w:r>
    </w:p>
    <w:p w14:paraId="0DD9BFAE">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18.3除逾期退还投标保证金和终止招标的情形以外，投标保证金不计息。</w:t>
      </w:r>
    </w:p>
    <w:p w14:paraId="5DD62A8F">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18.4投标人有下列情形之一的，投标保证金将不予退还： </w:t>
      </w:r>
    </w:p>
    <w:p w14:paraId="0ED81B7E">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14:paraId="3D223352">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4B8B4A85">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14:paraId="01D0630E">
      <w:pPr>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（4）中标人无正当理由不与采购人签订合同的；</w:t>
      </w:r>
    </w:p>
    <w:p w14:paraId="26ECCC7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（5）投标人出现本章第9.2、9.3情形的；</w:t>
      </w:r>
    </w:p>
    <w:p w14:paraId="37D22AB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4D98FA03">
      <w:pPr>
        <w:pStyle w:val="6"/>
        <w:keepNext w:val="0"/>
        <w:keepLines w:val="0"/>
        <w:spacing w:before="0" w:after="0" w:line="360" w:lineRule="auto"/>
        <w:ind w:left="420" w:leftChars="200"/>
        <w:rPr>
          <w:rFonts w:ascii="宋体" w:hAnsi="宋体" w:cs="宋体"/>
          <w:color w:val="auto"/>
          <w:sz w:val="24"/>
          <w:highlight w:val="none"/>
        </w:rPr>
      </w:pPr>
      <w:bookmarkStart w:id="136" w:name="_Toc254970683"/>
      <w:bookmarkStart w:id="137" w:name="_Toc254970542"/>
      <w:r>
        <w:rPr>
          <w:rFonts w:hint="eastAsia" w:ascii="宋体" w:hAnsi="宋体" w:cs="宋体"/>
          <w:color w:val="auto"/>
          <w:sz w:val="24"/>
          <w:highlight w:val="none"/>
        </w:rPr>
        <w:t>19.投标文件的</w:t>
      </w:r>
      <w:bookmarkEnd w:id="136"/>
      <w:bookmarkEnd w:id="137"/>
      <w:r>
        <w:rPr>
          <w:rFonts w:hint="eastAsia" w:ascii="宋体" w:hAnsi="宋体" w:cs="宋体"/>
          <w:color w:val="auto"/>
          <w:sz w:val="24"/>
          <w:highlight w:val="none"/>
        </w:rPr>
        <w:t>编制</w:t>
      </w:r>
    </w:p>
    <w:p w14:paraId="3987FE85">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19.1投标人应按本招标文件规定的格式和顺序编制、装订投标文件并标注页码，投标文件内容不完整、编排混乱导致投标文件被误读、漏读或者查找不到相关内容的，由此引发的后果由投标人承担。</w:t>
      </w:r>
    </w:p>
    <w:p w14:paraId="6AFF09BE">
      <w:pPr>
        <w:pStyle w:val="6"/>
        <w:keepNext w:val="0"/>
        <w:keepLines w:val="0"/>
        <w:spacing w:before="0" w:after="0" w:line="360" w:lineRule="auto"/>
        <w:ind w:firstLine="420" w:firstLineChars="200"/>
        <w:rPr>
          <w:rFonts w:ascii="宋体" w:hAnsi="宋体" w:cs="宋体"/>
          <w:b w:val="0"/>
          <w:bCs/>
          <w:color w:val="auto"/>
          <w:sz w:val="21"/>
          <w:szCs w:val="21"/>
          <w:highlight w:val="none"/>
        </w:rPr>
      </w:pPr>
      <w:bookmarkStart w:id="138" w:name="_19.2投标文件应按报价文件、资格证明文件、商务文件、技术文件分别编制"/>
      <w:bookmarkEnd w:id="138"/>
      <w:r>
        <w:rPr>
          <w:rFonts w:hint="eastAsia" w:ascii="宋体" w:hAnsi="宋体" w:cs="宋体"/>
          <w:b w:val="0"/>
          <w:color w:val="auto"/>
          <w:sz w:val="21"/>
          <w:szCs w:val="21"/>
          <w:highlight w:val="none"/>
        </w:rPr>
        <w:t>19.2投标文件应按报价文件、资格证明文件、</w:t>
      </w:r>
      <w:r>
        <w:rPr>
          <w:rFonts w:hint="eastAsia" w:ascii="宋体" w:hAnsi="宋体" w:cs="宋体"/>
          <w:b w:val="0"/>
          <w:bCs/>
          <w:color w:val="auto"/>
          <w:sz w:val="21"/>
          <w:szCs w:val="21"/>
          <w:highlight w:val="none"/>
        </w:rPr>
        <w:t>商务文件、技术文件分别编制电子文件，并按广西政府采购云平台的要求编制、加密、上传。</w:t>
      </w:r>
    </w:p>
    <w:p w14:paraId="1AC8BE03">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19.</w:t>
      </w:r>
      <w:bookmarkStart w:id="139" w:name="_Hlk65832616"/>
      <w:r>
        <w:rPr>
          <w:rFonts w:hint="eastAsia" w:ascii="宋体" w:hAnsi="宋体" w:cs="宋体"/>
          <w:b w:val="0"/>
          <w:color w:val="auto"/>
          <w:sz w:val="21"/>
          <w:szCs w:val="21"/>
          <w:highlight w:val="none"/>
        </w:rPr>
        <w:t>3投标文件须由投标人在规定位置盖公章并签</w:t>
      </w:r>
      <w:bookmarkStart w:id="140" w:name="_Hlk65832569"/>
      <w:r>
        <w:rPr>
          <w:rFonts w:hint="eastAsia" w:ascii="宋体" w:hAnsi="宋体" w:cs="宋体"/>
          <w:b w:val="0"/>
          <w:color w:val="auto"/>
          <w:sz w:val="21"/>
          <w:szCs w:val="21"/>
          <w:highlight w:val="none"/>
        </w:rPr>
        <w:t>章（具体以投标人须知前附表或投标文件格式规定为准）</w:t>
      </w:r>
      <w:bookmarkEnd w:id="139"/>
      <w:bookmarkEnd w:id="140"/>
      <w:r>
        <w:rPr>
          <w:rFonts w:hint="eastAsia" w:ascii="宋体" w:hAnsi="宋体" w:cs="宋体"/>
          <w:b w:val="0"/>
          <w:color w:val="auto"/>
          <w:sz w:val="21"/>
          <w:szCs w:val="21"/>
          <w:highlight w:val="none"/>
        </w:rPr>
        <w:t>，</w:t>
      </w:r>
      <w:r>
        <w:rPr>
          <w:rFonts w:hint="eastAsia" w:ascii="宋体" w:hAnsi="宋体" w:cs="宋体"/>
          <w:bCs/>
          <w:color w:val="auto"/>
          <w:sz w:val="21"/>
          <w:szCs w:val="21"/>
          <w:highlight w:val="none"/>
        </w:rPr>
        <w:t>否则按无效投标处理</w:t>
      </w:r>
      <w:r>
        <w:rPr>
          <w:rFonts w:hint="eastAsia" w:ascii="宋体" w:hAnsi="宋体" w:cs="宋体"/>
          <w:b w:val="0"/>
          <w:color w:val="auto"/>
          <w:sz w:val="21"/>
          <w:szCs w:val="21"/>
          <w:highlight w:val="none"/>
        </w:rPr>
        <w:t>。</w:t>
      </w:r>
    </w:p>
    <w:p w14:paraId="1130A118">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19.4投标文件中标注的投标人名称应与主体资格证明（如营业执照、事业单位法人证书、执业许可证、自然人身份证等）及公章一致，</w:t>
      </w:r>
      <w:r>
        <w:rPr>
          <w:rFonts w:hint="eastAsia" w:ascii="宋体" w:hAnsi="宋体" w:cs="宋体"/>
          <w:color w:val="auto"/>
          <w:sz w:val="21"/>
          <w:szCs w:val="21"/>
          <w:highlight w:val="none"/>
        </w:rPr>
        <w:t>否则按无效投标处理</w:t>
      </w:r>
      <w:r>
        <w:rPr>
          <w:rFonts w:hint="eastAsia" w:ascii="宋体" w:hAnsi="宋体" w:cs="宋体"/>
          <w:b w:val="0"/>
          <w:color w:val="auto"/>
          <w:sz w:val="21"/>
          <w:szCs w:val="21"/>
          <w:highlight w:val="none"/>
        </w:rPr>
        <w:t>。</w:t>
      </w:r>
    </w:p>
    <w:p w14:paraId="7C6C0DC2">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19.5投标文件应尽量避免涂改、行间插字或者删除。如果出现上述情况，改动之处应由投标人的法定代表人或者其委托代理人签字（或个人CA签章）或者加盖公章（或电子公章）。投标文件因字迹潦草或者表达不清所引起的后果由投标人承担。</w:t>
      </w:r>
    </w:p>
    <w:p w14:paraId="54A0FADB">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20.投标文件的加密、解密</w:t>
      </w:r>
    </w:p>
    <w:p w14:paraId="0D8565F5">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20.1电子投标文件编制完成后，投标人应按广西政府采购云平台的要求进行加密，并在规定时间内解密，否则，由此产生的后果由投标人自行负责。</w:t>
      </w:r>
    </w:p>
    <w:p w14:paraId="6131CDD8">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21.投标文件的提交</w:t>
      </w:r>
    </w:p>
    <w:p w14:paraId="49A587CF">
      <w:pPr>
        <w:pStyle w:val="6"/>
        <w:keepNext w:val="0"/>
        <w:keepLines w:val="0"/>
        <w:spacing w:before="0" w:after="0" w:line="360" w:lineRule="auto"/>
        <w:ind w:firstLine="420" w:firstLineChars="200"/>
        <w:rPr>
          <w:rFonts w:ascii="宋体" w:hAnsi="宋体" w:cs="宋体"/>
          <w:b w:val="0"/>
          <w:color w:val="auto"/>
          <w:sz w:val="21"/>
          <w:szCs w:val="21"/>
          <w:highlight w:val="none"/>
        </w:rPr>
      </w:pPr>
      <w:bookmarkStart w:id="141" w:name="_21.1投标人必须在“投标人须知中的前附表”规定的投标文件接收时间和投"/>
      <w:bookmarkEnd w:id="141"/>
      <w:r>
        <w:rPr>
          <w:rFonts w:hint="eastAsia" w:ascii="宋体" w:hAnsi="宋体" w:cs="宋体"/>
          <w:b w:val="0"/>
          <w:color w:val="auto"/>
          <w:sz w:val="21"/>
          <w:szCs w:val="21"/>
          <w:highlight w:val="none"/>
        </w:rPr>
        <w:t>21.1投标人必须在“投标人须知前附表”规定的投标文件接收时间和投标地点提交投标文件。</w:t>
      </w:r>
    </w:p>
    <w:p w14:paraId="1AC1F863">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21.2本项目为全流程电子化政府采购项目，通过广西政府采购云平台（https：//www.gcy.zfcg.gxzf.gov.cn/）实行在线电子投标。投标人必须在“投标人须知前附表”规定的投标文件接收时间内通过网络将电子投标文件上传至广西政府采购云平台，供应商在广西政府采购云平台提交电子版投标文件时，请填写参加远程开标活动经办人联系方式。</w:t>
      </w:r>
    </w:p>
    <w:p w14:paraId="6933928D">
      <w:pPr>
        <w:pStyle w:val="6"/>
        <w:keepNext w:val="0"/>
        <w:keepLines w:val="0"/>
        <w:spacing w:before="0" w:after="0" w:line="360" w:lineRule="auto"/>
        <w:ind w:firstLine="420" w:firstLineChars="200"/>
        <w:jc w:val="left"/>
        <w:rPr>
          <w:rFonts w:ascii="宋体" w:hAnsi="宋体" w:cs="宋体"/>
          <w:b w:val="0"/>
          <w:color w:val="auto"/>
          <w:sz w:val="21"/>
          <w:szCs w:val="21"/>
          <w:highlight w:val="none"/>
        </w:rPr>
      </w:pPr>
      <w:r>
        <w:rPr>
          <w:rFonts w:hint="eastAsia" w:ascii="宋体" w:hAnsi="宋体" w:cs="宋体"/>
          <w:b w:val="0"/>
          <w:color w:val="auto"/>
          <w:sz w:val="21"/>
          <w:szCs w:val="21"/>
          <w:highlight w:val="none"/>
        </w:rPr>
        <w:t>21.3未在规定时间内上传或者未按广西政府采购云平台的要求编制、加密的电子投标文件，广西政府采购云平台将拒收。</w:t>
      </w:r>
    </w:p>
    <w:p w14:paraId="4A833863">
      <w:pPr>
        <w:pStyle w:val="7"/>
        <w:spacing w:line="360" w:lineRule="auto"/>
        <w:rPr>
          <w:rFonts w:ascii="宋体" w:hAnsi="宋体" w:cs="宋体"/>
          <w:color w:val="auto"/>
          <w:highlight w:val="none"/>
        </w:rPr>
      </w:pPr>
      <w:r>
        <w:rPr>
          <w:rFonts w:hint="eastAsia" w:ascii="宋体" w:hAnsi="宋体" w:cs="宋体"/>
          <w:color w:val="auto"/>
          <w:szCs w:val="21"/>
          <w:highlight w:val="none"/>
        </w:rPr>
        <w:t>21.4电子投标文件提交方式见“招标公告”中“四、提交投标文件截止时间、开标时间和地点”</w:t>
      </w:r>
    </w:p>
    <w:p w14:paraId="329F169E">
      <w:pPr>
        <w:pStyle w:val="7"/>
        <w:spacing w:line="360" w:lineRule="auto"/>
        <w:rPr>
          <w:rFonts w:ascii="宋体" w:hAnsi="宋体" w:cs="宋体"/>
          <w:color w:val="auto"/>
          <w:highlight w:val="none"/>
        </w:rPr>
      </w:pPr>
    </w:p>
    <w:p w14:paraId="5076E2BC">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22. 投标文件的补充、修改、撤回与退回</w:t>
      </w:r>
    </w:p>
    <w:p w14:paraId="763EFAFF">
      <w:pPr>
        <w:snapToGrid w:val="0"/>
        <w:spacing w:line="360" w:lineRule="auto"/>
        <w:ind w:firstLine="420"/>
        <w:jc w:val="left"/>
        <w:rPr>
          <w:rFonts w:ascii="宋体" w:hAnsi="宋体" w:cs="宋体"/>
          <w:color w:val="auto"/>
          <w:szCs w:val="21"/>
          <w:highlight w:val="none"/>
        </w:rPr>
      </w:pPr>
      <w:bookmarkStart w:id="142" w:name="_Toc254970543"/>
      <w:bookmarkStart w:id="143" w:name="_Toc254970684"/>
      <w:r>
        <w:rPr>
          <w:rFonts w:hint="eastAsia" w:ascii="宋体" w:hAnsi="宋体" w:cs="宋体"/>
          <w:color w:val="auto"/>
          <w:szCs w:val="21"/>
          <w:highlight w:val="none"/>
        </w:rPr>
        <w:t>22.1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bookmarkEnd w:id="142"/>
    <w:bookmarkEnd w:id="143"/>
    <w:p w14:paraId="14DA7523">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22.2在投标截止时间止提交投标文件的投标人不足3家时，不得开标，采购代理机构将根据广西政府采购云平台的操作将电子版投标文件退回，除此之外采购人和采购代理机构对已提交的投标文件概不退回。</w:t>
      </w:r>
    </w:p>
    <w:p w14:paraId="720349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22.3 投标人在投标截止时间后书面通知采购人、采购代理机构撤销投标文件的，将根据本须知正文18.4的规定不予退还其投标保证金。</w:t>
      </w:r>
    </w:p>
    <w:p w14:paraId="6D47D4DB">
      <w:pPr>
        <w:pStyle w:val="4"/>
        <w:keepNext w:val="0"/>
        <w:keepLines w:val="0"/>
        <w:spacing w:before="0" w:after="0" w:line="360" w:lineRule="auto"/>
        <w:jc w:val="center"/>
        <w:rPr>
          <w:rFonts w:ascii="宋体" w:hAnsi="宋体" w:cs="宋体"/>
          <w:color w:val="auto"/>
          <w:highlight w:val="none"/>
        </w:rPr>
      </w:pPr>
      <w:bookmarkStart w:id="144" w:name="_Toc254970544"/>
      <w:bookmarkStart w:id="145" w:name="_Toc254970685"/>
      <w:r>
        <w:rPr>
          <w:rFonts w:hint="eastAsia" w:ascii="宋体" w:hAnsi="宋体" w:cs="宋体"/>
          <w:color w:val="auto"/>
          <w:highlight w:val="none"/>
        </w:rPr>
        <w:t>四、开    标</w:t>
      </w:r>
      <w:bookmarkEnd w:id="144"/>
      <w:bookmarkEnd w:id="145"/>
    </w:p>
    <w:p w14:paraId="038EEB4A">
      <w:pPr>
        <w:pStyle w:val="6"/>
        <w:keepNext w:val="0"/>
        <w:keepLines w:val="0"/>
        <w:spacing w:before="0" w:after="0" w:line="360" w:lineRule="auto"/>
        <w:ind w:left="420" w:leftChars="200"/>
        <w:rPr>
          <w:rFonts w:ascii="宋体" w:hAnsi="宋体" w:cs="宋体"/>
          <w:color w:val="auto"/>
          <w:sz w:val="24"/>
          <w:highlight w:val="none"/>
        </w:rPr>
      </w:pPr>
      <w:bookmarkStart w:id="146" w:name="_23.开标时间和地点"/>
      <w:bookmarkEnd w:id="146"/>
      <w:r>
        <w:rPr>
          <w:rFonts w:hint="eastAsia" w:ascii="宋体" w:hAnsi="宋体" w:cs="宋体"/>
          <w:color w:val="auto"/>
          <w:sz w:val="24"/>
          <w:highlight w:val="none"/>
        </w:rPr>
        <w:t>23.开标时间和地点</w:t>
      </w:r>
    </w:p>
    <w:p w14:paraId="5046B21A">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23.1开标时间及地点详见“投标人须知前附表”</w:t>
      </w:r>
    </w:p>
    <w:p w14:paraId="32340ECF">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23.2如投标人成功解密投标文件，但未在广西政府采购云电子开标大厅参加开标的，视同认可开标过程和结果，由此产生的后果由投标人自行负责。成功解密投标文件的投标人不足3家的，不得开标。</w:t>
      </w:r>
    </w:p>
    <w:p w14:paraId="161DB1E0">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24.开标程序</w:t>
      </w:r>
    </w:p>
    <w:p w14:paraId="53CAAF9D">
      <w:pPr>
        <w:autoSpaceDE w:val="0"/>
        <w:autoSpaceDN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bCs/>
          <w:color w:val="auto"/>
          <w:szCs w:val="21"/>
          <w:highlight w:val="none"/>
        </w:rPr>
        <w:t>24.1</w:t>
      </w:r>
      <w:r>
        <w:rPr>
          <w:rFonts w:hint="eastAsia" w:ascii="宋体" w:hAnsi="宋体" w:cs="宋体"/>
          <w:color w:val="auto"/>
          <w:kern w:val="0"/>
          <w:szCs w:val="21"/>
          <w:highlight w:val="none"/>
        </w:rPr>
        <w:t>开标形式：</w:t>
      </w:r>
    </w:p>
    <w:p w14:paraId="4F5A45C8">
      <w:pPr>
        <w:autoSpaceDE w:val="0"/>
        <w:autoSpaceDN w:val="0"/>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0CB9B253">
      <w:pPr>
        <w:autoSpaceDE w:val="0"/>
        <w:autoSpaceDN w:val="0"/>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24.2开标程序：</w:t>
      </w:r>
    </w:p>
    <w:p w14:paraId="1EF0660A">
      <w:pPr>
        <w:autoSpaceDE w:val="0"/>
        <w:autoSpaceDN w:val="0"/>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（1）解密电子投标文件。广西政府采购云平台按开标时间自动提取所有投标文件。采购代理机构依托广西政府采购云平台向各投标人发出电子加密投标文件【开始解密】通知，由投标人进行投标文件解密。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cs="宋体"/>
          <w:b/>
          <w:bCs/>
          <w:color w:val="auto"/>
          <w:szCs w:val="21"/>
          <w:highlight w:val="none"/>
        </w:rPr>
        <w:t>投标人的法定代表人或其委托代理人须携带加密时所用的CA锁准时登录到广西政府采购云平台电子开标大厅签到</w:t>
      </w:r>
      <w:r>
        <w:rPr>
          <w:rFonts w:hint="eastAsia" w:ascii="宋体" w:hAnsi="宋体" w:cs="宋体"/>
          <w:b/>
          <w:color w:val="auto"/>
          <w:szCs w:val="21"/>
          <w:highlight w:val="none"/>
        </w:rPr>
        <w:t>并在发起解密</w:t>
      </w:r>
      <w:r>
        <w:rPr>
          <w:rFonts w:hint="eastAsia" w:ascii="宋体" w:hAnsi="宋体" w:cs="宋体"/>
          <w:b/>
          <w:bCs/>
          <w:color w:val="auto"/>
          <w:szCs w:val="21"/>
          <w:highlight w:val="none"/>
        </w:rPr>
        <w:t>通知</w:t>
      </w:r>
      <w:r>
        <w:rPr>
          <w:rFonts w:hint="eastAsia" w:ascii="宋体" w:hAnsi="宋体" w:cs="宋体"/>
          <w:b/>
          <w:color w:val="auto"/>
          <w:szCs w:val="21"/>
          <w:highlight w:val="none"/>
        </w:rPr>
        <w:t>之时起30分钟内完成</w:t>
      </w:r>
      <w:r>
        <w:rPr>
          <w:rFonts w:hint="eastAsia" w:ascii="宋体" w:hAnsi="宋体" w:cs="宋体"/>
          <w:b/>
          <w:bCs/>
          <w:color w:val="auto"/>
          <w:szCs w:val="21"/>
          <w:highlight w:val="none"/>
        </w:rPr>
        <w:t>对电子投标文件解密。投标文件未按时解密的，视为无效投标。</w:t>
      </w:r>
      <w:r>
        <w:rPr>
          <w:rFonts w:hint="eastAsia" w:ascii="宋体" w:hAnsi="宋体" w:cs="宋体"/>
          <w:bCs/>
          <w:color w:val="auto"/>
          <w:szCs w:val="21"/>
          <w:highlight w:val="none"/>
        </w:rPr>
        <w:t>（解密异常情况处理：详见本章29.4 电子交易活动的中止）</w:t>
      </w:r>
    </w:p>
    <w:p w14:paraId="42F03666">
      <w:pPr>
        <w:autoSpaceDE w:val="0"/>
        <w:autoSpaceDN w:val="0"/>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（2）电子唱标。投标文件解密结束，各投标供应商报价均在广西政府采购云平台远程不见面开标大厅展示；</w:t>
      </w:r>
    </w:p>
    <w:p w14:paraId="6BDF842D">
      <w:pPr>
        <w:autoSpaceDE w:val="0"/>
        <w:autoSpaceDN w:val="0"/>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（3）签署电子《政府采购活动现场确认声明书》。通过邮件形式在远程不见面开标大厅发送各投标人签署电子《政府采购活动现场确认声明书》。</w:t>
      </w:r>
    </w:p>
    <w:p w14:paraId="5C7B79D7">
      <w:pPr>
        <w:autoSpaceDE w:val="0"/>
        <w:autoSpaceDN w:val="0"/>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32F20CF4">
      <w:pPr>
        <w:autoSpaceDE w:val="0"/>
        <w:autoSpaceDN w:val="0"/>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11B9D3C0">
      <w:pPr>
        <w:autoSpaceDE w:val="0"/>
        <w:autoSpaceDN w:val="0"/>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（6）开标结束。</w:t>
      </w:r>
    </w:p>
    <w:p w14:paraId="2D2F0D70">
      <w:pPr>
        <w:autoSpaceDE w:val="0"/>
        <w:autoSpaceDN w:val="0"/>
        <w:adjustRightIn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特别说明：如遇广西政府采购云平台电子化开标或评审程序调整的，按调整后执行。</w:t>
      </w:r>
    </w:p>
    <w:p w14:paraId="7814A843">
      <w:pPr>
        <w:pStyle w:val="11"/>
        <w:snapToGrid w:val="0"/>
        <w:spacing w:line="360" w:lineRule="auto"/>
        <w:ind w:left="689" w:leftChars="228" w:hanging="210" w:hangingChars="100"/>
        <w:rPr>
          <w:rFonts w:hAnsi="宋体" w:cs="宋体"/>
          <w:color w:val="auto"/>
          <w:sz w:val="21"/>
          <w:highlight w:val="none"/>
        </w:rPr>
      </w:pPr>
    </w:p>
    <w:p w14:paraId="3DC4F1D9">
      <w:pPr>
        <w:pStyle w:val="4"/>
        <w:keepNext w:val="0"/>
        <w:keepLines w:val="0"/>
        <w:spacing w:before="0" w:after="0" w:line="360" w:lineRule="auto"/>
        <w:jc w:val="center"/>
        <w:rPr>
          <w:rFonts w:ascii="宋体" w:hAnsi="宋体" w:cs="宋体"/>
          <w:color w:val="auto"/>
          <w:highlight w:val="none"/>
        </w:rPr>
      </w:pPr>
      <w:r>
        <w:rPr>
          <w:rFonts w:hint="eastAsia" w:ascii="宋体" w:hAnsi="宋体" w:cs="宋体"/>
          <w:color w:val="auto"/>
          <w:highlight w:val="none"/>
        </w:rPr>
        <w:t>五、资格审查</w:t>
      </w:r>
    </w:p>
    <w:p w14:paraId="6A46BE1C">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25.资格审查</w:t>
      </w:r>
    </w:p>
    <w:p w14:paraId="5BCAA433">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25.1开标结束后，采购人或者采购代理机构</w:t>
      </w:r>
      <w:r>
        <w:rPr>
          <w:rFonts w:hint="eastAsia" w:ascii="宋体" w:hAnsi="宋体"/>
          <w:b w:val="0"/>
          <w:color w:val="auto"/>
          <w:sz w:val="21"/>
          <w:szCs w:val="21"/>
          <w:highlight w:val="none"/>
        </w:rPr>
        <w:t>通过电子开评标系统依据招标文件对电子投标文件进行线上资格审查</w:t>
      </w:r>
      <w:r>
        <w:rPr>
          <w:rFonts w:hint="eastAsia" w:ascii="宋体" w:hAnsi="宋体" w:cs="宋体"/>
          <w:b w:val="0"/>
          <w:color w:val="auto"/>
          <w:sz w:val="21"/>
          <w:szCs w:val="21"/>
          <w:highlight w:val="none"/>
        </w:rPr>
        <w:t>对投标人的资格进行审查。</w:t>
      </w:r>
    </w:p>
    <w:p w14:paraId="38759597">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16E3B9C0">
      <w:pPr>
        <w:pStyle w:val="6"/>
        <w:keepNext w:val="0"/>
        <w:keepLines w:val="0"/>
        <w:spacing w:before="0" w:after="0" w:line="360" w:lineRule="auto"/>
        <w:ind w:firstLine="422" w:firstLineChars="200"/>
        <w:rPr>
          <w:rFonts w:ascii="宋体" w:hAnsi="宋体" w:cs="宋体"/>
          <w:color w:val="auto"/>
          <w:sz w:val="21"/>
          <w:szCs w:val="21"/>
          <w:highlight w:val="none"/>
        </w:rPr>
      </w:pPr>
      <w:bookmarkStart w:id="147" w:name="_25.3_投标人有下列情形之一的，资格审查不通过而导致其投标无效："/>
      <w:bookmarkEnd w:id="147"/>
      <w:r>
        <w:rPr>
          <w:rFonts w:hint="eastAsia" w:ascii="宋体" w:hAnsi="宋体" w:cs="宋体"/>
          <w:color w:val="auto"/>
          <w:sz w:val="21"/>
          <w:szCs w:val="21"/>
          <w:highlight w:val="none"/>
        </w:rPr>
        <w:t>25.3 投标人有下列情形之一的，资格审查不通过，作无效投标处理：</w:t>
      </w:r>
    </w:p>
    <w:p w14:paraId="6B55D93B">
      <w:pPr>
        <w:pStyle w:val="11"/>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（1）未按招标文件规定的方式获取本招标文件的投标人；</w:t>
      </w:r>
    </w:p>
    <w:p w14:paraId="644A4761">
      <w:pPr>
        <w:pStyle w:val="11"/>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（2）不具备招标文件中规定的资格要求的；</w:t>
      </w:r>
    </w:p>
    <w:p w14:paraId="63CC9A3C">
      <w:pPr>
        <w:pStyle w:val="11"/>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（3）在“信用中国”网站（www.creditchina.gov.cn） 、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5E39CDA6">
      <w:pPr>
        <w:pStyle w:val="11"/>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（4）同一合同项下的不同投标人，单位负责人为同一人或者存在直接控股、管理关系的；为本项目提供过整体设计、规范编制或者项目管理、监理、检测等服务的供应商，再参加该采购项目的其他采购活动的；</w:t>
      </w:r>
    </w:p>
    <w:p w14:paraId="692EE88D">
      <w:pPr>
        <w:pStyle w:val="11"/>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（5）投标文件中的资格证明文件缺少任一项“投标人须知前附表”资格证明文件规定“必须提供”的文件资料的；</w:t>
      </w:r>
    </w:p>
    <w:p w14:paraId="255F38E8">
      <w:pPr>
        <w:pStyle w:val="11"/>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（6）投标文件中的资格证明文件出现任一项不符合“投标人须知前附表”资格证明文件规定“必须提供”的文件资料要求或者无效的。</w:t>
      </w:r>
    </w:p>
    <w:p w14:paraId="27BEA92A">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color w:val="auto"/>
          <w:sz w:val="21"/>
          <w:szCs w:val="21"/>
          <w:highlight w:val="none"/>
        </w:rPr>
        <w:t>25.4合格投标人不足3家的，不得评标。</w:t>
      </w:r>
    </w:p>
    <w:p w14:paraId="076793DC">
      <w:pPr>
        <w:pStyle w:val="11"/>
        <w:snapToGrid w:val="0"/>
        <w:spacing w:line="360" w:lineRule="auto"/>
        <w:ind w:left="689" w:leftChars="228" w:hanging="210" w:hangingChars="100"/>
        <w:rPr>
          <w:rFonts w:hAnsi="宋体" w:cs="宋体"/>
          <w:color w:val="auto"/>
          <w:sz w:val="21"/>
          <w:highlight w:val="none"/>
        </w:rPr>
      </w:pPr>
    </w:p>
    <w:p w14:paraId="201BCDD3">
      <w:pPr>
        <w:pStyle w:val="4"/>
        <w:keepNext w:val="0"/>
        <w:keepLines w:val="0"/>
        <w:spacing w:before="0" w:after="0" w:line="360" w:lineRule="auto"/>
        <w:jc w:val="center"/>
        <w:rPr>
          <w:rFonts w:ascii="宋体" w:hAnsi="宋体" w:cs="宋体"/>
          <w:color w:val="auto"/>
          <w:highlight w:val="none"/>
        </w:rPr>
      </w:pPr>
      <w:r>
        <w:rPr>
          <w:rFonts w:hint="eastAsia" w:ascii="宋体" w:hAnsi="宋体" w:cs="宋体"/>
          <w:color w:val="auto"/>
          <w:highlight w:val="none"/>
        </w:rPr>
        <w:t>六、评   标</w:t>
      </w:r>
    </w:p>
    <w:p w14:paraId="33D7AB84">
      <w:pPr>
        <w:pStyle w:val="6"/>
        <w:keepNext w:val="0"/>
        <w:keepLines w:val="0"/>
        <w:spacing w:before="0" w:after="0" w:line="360" w:lineRule="auto"/>
        <w:ind w:left="420" w:leftChars="200"/>
        <w:rPr>
          <w:rFonts w:ascii="宋体" w:hAnsi="宋体" w:cs="宋体"/>
          <w:color w:val="auto"/>
          <w:sz w:val="24"/>
          <w:highlight w:val="none"/>
        </w:rPr>
      </w:pPr>
      <w:bookmarkStart w:id="148" w:name="_26.组建评标委员会"/>
      <w:bookmarkEnd w:id="148"/>
      <w:r>
        <w:rPr>
          <w:rFonts w:hint="eastAsia" w:ascii="宋体" w:hAnsi="宋体" w:cs="宋体"/>
          <w:color w:val="auto"/>
          <w:sz w:val="24"/>
          <w:highlight w:val="none"/>
        </w:rPr>
        <w:t>26.组建评标委员会</w:t>
      </w:r>
    </w:p>
    <w:p w14:paraId="39F079BC">
      <w:pPr>
        <w:pStyle w:val="11"/>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评标委员会由采购人代表和评审专家组成，具体人数详见“投标人须知前附表”，其中评审专家不得少于成员总数的三分之二。</w:t>
      </w:r>
    </w:p>
    <w:p w14:paraId="2D377A43">
      <w:pPr>
        <w:pStyle w:val="11"/>
        <w:snapToGrid w:val="0"/>
        <w:spacing w:line="360" w:lineRule="auto"/>
        <w:ind w:left="2" w:leftChars="1" w:firstLine="420" w:firstLineChars="200"/>
        <w:rPr>
          <w:rFonts w:hAnsi="宋体" w:cs="宋体"/>
          <w:color w:val="auto"/>
          <w:sz w:val="21"/>
          <w:highlight w:val="none"/>
        </w:rPr>
      </w:pPr>
      <w:r>
        <w:rPr>
          <w:rFonts w:hint="eastAsia" w:hAnsi="宋体" w:cs="宋体"/>
          <w:color w:val="auto"/>
          <w:sz w:val="21"/>
          <w:highlight w:val="none"/>
        </w:rPr>
        <w:t>参加过采购项目前期咨询论证的专家，不得参加该采购项目的评审活动。</w:t>
      </w:r>
    </w:p>
    <w:p w14:paraId="76FEBA34">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27.评标的依据</w:t>
      </w:r>
    </w:p>
    <w:p w14:paraId="5E0F404D">
      <w:pPr>
        <w:pStyle w:val="11"/>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评标委员会以“第四章 评标方法和评标标准”为依据对投标文件进行评审，没有规定的方法、评审因素和标准，不作为评标依据。</w:t>
      </w:r>
    </w:p>
    <w:p w14:paraId="387D6E56">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28.评标原则</w:t>
      </w:r>
    </w:p>
    <w:p w14:paraId="0DA2F475">
      <w:pPr>
        <w:pStyle w:val="11"/>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0B771F84">
      <w:pPr>
        <w:pStyle w:val="11"/>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28.2</w:t>
      </w:r>
      <w:bookmarkStart w:id="149" w:name="_28.3评标方法。本项目将按须知前附表规定的评标办法进行评标，具体评标"/>
      <w:bookmarkEnd w:id="149"/>
      <w:r>
        <w:rPr>
          <w:rFonts w:hint="eastAsia" w:hAnsi="宋体" w:cs="宋体"/>
          <w:color w:val="auto"/>
          <w:sz w:val="21"/>
          <w:highlight w:val="none"/>
        </w:rPr>
        <w:t>评委表决。评标委员会成员对需要共同认定的事项存在争议的，应当按照少数服从多数的原则作出结论。</w:t>
      </w:r>
    </w:p>
    <w:p w14:paraId="45416240">
      <w:pPr>
        <w:pStyle w:val="11"/>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B7A223C">
      <w:pPr>
        <w:pStyle w:val="11"/>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28.4评标过程的监控。本项目评标过程实行全程录音、录像监控，</w:t>
      </w:r>
      <w:r>
        <w:rPr>
          <w:rFonts w:hint="eastAsia" w:hAnsi="宋体" w:cs="宋体"/>
          <w:b/>
          <w:bCs/>
          <w:color w:val="auto"/>
          <w:sz w:val="21"/>
          <w:highlight w:val="none"/>
        </w:rPr>
        <w:t>投标人在评标过程中所进行的试图影响评标结果的不公正活动，可能导致其投标无效</w:t>
      </w:r>
      <w:r>
        <w:rPr>
          <w:rFonts w:hint="eastAsia" w:hAnsi="宋体" w:cs="宋体"/>
          <w:color w:val="auto"/>
          <w:sz w:val="21"/>
          <w:highlight w:val="none"/>
        </w:rPr>
        <w:t>。</w:t>
      </w:r>
    </w:p>
    <w:p w14:paraId="25BDB938">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29.评标方法及中标候选人推荐</w:t>
      </w:r>
    </w:p>
    <w:p w14:paraId="0EA9BC89">
      <w:pPr>
        <w:pStyle w:val="11"/>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29.1本项目的评标方法详见“投标人须知前附表”。</w:t>
      </w:r>
    </w:p>
    <w:p w14:paraId="315E7845">
      <w:pPr>
        <w:pStyle w:val="11"/>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29.2 中标候选人推荐数量详见“投标人须知前附表”。</w:t>
      </w:r>
    </w:p>
    <w:p w14:paraId="66ACDFDB">
      <w:pPr>
        <w:pStyle w:val="11"/>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29.3评标委员会将按照“第四章 评标方法和评标标准”规定的方法、评审因素、标准和程序对投标文件进行评审。</w:t>
      </w:r>
    </w:p>
    <w:p w14:paraId="2470A84D">
      <w:pPr>
        <w:pStyle w:val="11"/>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29.4电子交易活动的中止。采购过程中出现以下情形，导致电子交易平台无法正常运行，或者无法保证电子交易的公平、公正和安全时，采购代理机构可中止电子交易活动：</w:t>
      </w:r>
    </w:p>
    <w:p w14:paraId="603FC2A3">
      <w:pPr>
        <w:pStyle w:val="11"/>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 xml:space="preserve">（1）电子交易平台发生故障而无法登录访问的； </w:t>
      </w:r>
    </w:p>
    <w:p w14:paraId="6C944F93">
      <w:pPr>
        <w:pStyle w:val="11"/>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（2）电子交易平台应用或数据库出现错误，不能进行正常操作的；</w:t>
      </w:r>
    </w:p>
    <w:p w14:paraId="0858BBCA">
      <w:pPr>
        <w:pStyle w:val="11"/>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（3）电子交易平台发现严重安全漏洞，有潜在泄密危险的；</w:t>
      </w:r>
    </w:p>
    <w:p w14:paraId="105047A4">
      <w:pPr>
        <w:pStyle w:val="11"/>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 xml:space="preserve">（4）病毒发作导致不能进行正常操作的； </w:t>
      </w:r>
    </w:p>
    <w:p w14:paraId="4290A200">
      <w:pPr>
        <w:pStyle w:val="11"/>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（4）其他无法保证电子交易的公平、公正和安全的情况。</w:t>
      </w:r>
    </w:p>
    <w:p w14:paraId="0CBC366D">
      <w:pPr>
        <w:pStyle w:val="11"/>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29.5出现以上情形，不影响采购公平、公正性的，采购代理机构可以待上述情形消除后继续组织电子交易活动；影响或可能影响采购公平、公正性的，经采购代理机构确认后，应当重新采购。</w:t>
      </w:r>
    </w:p>
    <w:p w14:paraId="3A4958BE">
      <w:pPr>
        <w:pStyle w:val="11"/>
        <w:snapToGrid w:val="0"/>
        <w:spacing w:line="360" w:lineRule="auto"/>
        <w:rPr>
          <w:rFonts w:hAnsi="宋体" w:cs="宋体"/>
          <w:color w:val="auto"/>
          <w:sz w:val="21"/>
          <w:highlight w:val="none"/>
        </w:rPr>
      </w:pPr>
    </w:p>
    <w:p w14:paraId="51D0DBEB">
      <w:pPr>
        <w:pStyle w:val="4"/>
        <w:keepNext w:val="0"/>
        <w:keepLines w:val="0"/>
        <w:spacing w:before="0" w:after="0" w:line="360" w:lineRule="auto"/>
        <w:jc w:val="center"/>
        <w:rPr>
          <w:rFonts w:ascii="宋体" w:hAnsi="宋体" w:cs="宋体"/>
          <w:color w:val="auto"/>
          <w:highlight w:val="none"/>
        </w:rPr>
      </w:pPr>
      <w:bookmarkStart w:id="150" w:name="_Toc254970546"/>
      <w:bookmarkStart w:id="151" w:name="_Toc254970687"/>
      <w:r>
        <w:rPr>
          <w:rFonts w:hint="eastAsia" w:ascii="宋体" w:hAnsi="宋体" w:cs="宋体"/>
          <w:color w:val="auto"/>
          <w:highlight w:val="none"/>
        </w:rPr>
        <w:t>七、</w:t>
      </w:r>
      <w:bookmarkEnd w:id="150"/>
      <w:bookmarkEnd w:id="151"/>
      <w:r>
        <w:rPr>
          <w:rFonts w:hint="eastAsia" w:ascii="宋体" w:hAnsi="宋体" w:cs="宋体"/>
          <w:color w:val="auto"/>
          <w:highlight w:val="none"/>
        </w:rPr>
        <w:t>中标和合同</w:t>
      </w:r>
    </w:p>
    <w:p w14:paraId="25390B4B">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30 确定中标人</w:t>
      </w:r>
    </w:p>
    <w:p w14:paraId="77DD2126">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0D14343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30.2采购人在收到评标报告5个工作日内未按评标报告推荐的中标候选人顺序确定中标人，又不能说明合法理由的，视同按评标报告推荐的顺序确定排名第一的中标候选人为中标人。</w:t>
      </w:r>
    </w:p>
    <w:p w14:paraId="49424B6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30.3出现下列情形之一的，应予废标：</w:t>
      </w:r>
    </w:p>
    <w:p w14:paraId="59F7664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（1）符合专业条件的供应商或者对招标文件作实质响应的供应商不足三家的；</w:t>
      </w:r>
    </w:p>
    <w:p w14:paraId="0DF5B7E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7EBA22F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（3）投标人的报价均超过了采购预算，采购人不能支付的；</w:t>
      </w:r>
    </w:p>
    <w:p w14:paraId="0221F4B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（4）因重大变故，采购任务取消的。</w:t>
      </w:r>
    </w:p>
    <w:p w14:paraId="6541255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废标后，采购人应当将废标理由通知所有投标人。</w:t>
      </w:r>
    </w:p>
    <w:p w14:paraId="64F97AA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30.4 中标人拒绝签订政府采购合同（包括但不限于放弃中标、因不可抗力不能履行合同而放弃签订合同），采购人可以按照评审报告推荐的中标候选人名单排序，确定下一候选人为中标人，也可以重新开展政府采购活动。拒绝签订政府采购合同的中标人不得参加对该项目重新开展的采购活动。</w:t>
      </w:r>
    </w:p>
    <w:p w14:paraId="4F6E1EB4">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31. 结果公告</w:t>
      </w:r>
    </w:p>
    <w:p w14:paraId="30A0B652">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31.1</w:t>
      </w:r>
      <w:r>
        <w:rPr>
          <w:rFonts w:hint="eastAsia" w:ascii="宋体" w:hAnsi="宋体" w:cs="宋体"/>
          <w:color w:val="auto"/>
          <w:szCs w:val="21"/>
          <w:highlight w:val="none"/>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以上信息查询记录及相关证据与采购文件一并保存。</w:t>
      </w:r>
    </w:p>
    <w:p w14:paraId="6870E78D">
      <w:pPr>
        <w:snapToGrid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31.2中标人享受《政府采购促进中小企业发展管理办法》（财库〔2020〕46号）规定的</w:t>
      </w:r>
      <w:r>
        <w:rPr>
          <w:rFonts w:hint="eastAsia" w:ascii="宋体" w:hAnsi="宋体" w:cs="宋体"/>
          <w:b/>
          <w:color w:val="auto"/>
          <w:szCs w:val="21"/>
          <w:highlight w:val="none"/>
        </w:rPr>
        <w:t>中小企业扶持政策的，采购人、采购代理机构应当随中标结果公开中标人的《中小企业声明函》。</w:t>
      </w:r>
    </w:p>
    <w:p w14:paraId="5AC07A27">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32.发出中标通知书</w:t>
      </w:r>
    </w:p>
    <w:p w14:paraId="33D9D78E">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在公告中标结果的同时，采购代理机构向中标人发出中标通知书。对未通过资格审查的投标人，应当告知其未通过的原因；采用综合评分办法评审的，还应当告知未中标人本人的评审得分与排序。</w:t>
      </w:r>
    </w:p>
    <w:p w14:paraId="4BFDA78B">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33. 无义务解释未中标原因</w:t>
      </w:r>
    </w:p>
    <w:p w14:paraId="69F05E86">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采购代理机构无义务向未中标的投标人解释未中标原因和退还投标文件。</w:t>
      </w:r>
    </w:p>
    <w:p w14:paraId="69E5828E">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34.合同授予标准</w:t>
      </w:r>
    </w:p>
    <w:p w14:paraId="3C986AD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合同将授予被确定实质上响应招标文件要求，具备履行合同能力的中标人（招标文件另有约定多名中标人的除外）。</w:t>
      </w:r>
    </w:p>
    <w:p w14:paraId="793EB693">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35.履约保证金</w:t>
      </w:r>
    </w:p>
    <w:p w14:paraId="40576533">
      <w:pPr>
        <w:pStyle w:val="6"/>
        <w:keepNext w:val="0"/>
        <w:keepLines w:val="0"/>
        <w:spacing w:before="0" w:after="0" w:line="360" w:lineRule="auto"/>
        <w:ind w:firstLine="315" w:firstLineChars="150"/>
        <w:rPr>
          <w:rFonts w:ascii="宋体" w:hAnsi="宋体" w:cs="宋体"/>
          <w:b w:val="0"/>
          <w:color w:val="auto"/>
          <w:sz w:val="21"/>
          <w:szCs w:val="21"/>
          <w:highlight w:val="none"/>
        </w:rPr>
      </w:pPr>
      <w:bookmarkStart w:id="152" w:name="_39.1中标人须于签订合同前按本须知前附表规定的金额转账或电汇到指定账"/>
      <w:bookmarkEnd w:id="152"/>
      <w:r>
        <w:rPr>
          <w:rFonts w:hint="eastAsia" w:ascii="宋体" w:hAnsi="宋体" w:cs="宋体"/>
          <w:b w:val="0"/>
          <w:color w:val="auto"/>
          <w:sz w:val="21"/>
          <w:szCs w:val="21"/>
          <w:highlight w:val="none"/>
        </w:rPr>
        <w:t xml:space="preserve"> 35.1 履约保证金的金额、提交方式、退付的时间和条件详见 “投标人须知前附表”。中标人未按规定提交履约保证金的，视为拒绝与采购人签订合同。</w:t>
      </w:r>
    </w:p>
    <w:p w14:paraId="0EF914CC">
      <w:pPr>
        <w:pStyle w:val="6"/>
        <w:keepNext w:val="0"/>
        <w:keepLines w:val="0"/>
        <w:spacing w:before="0" w:after="0" w:line="360" w:lineRule="auto"/>
        <w:ind w:firstLine="316" w:firstLineChars="150"/>
        <w:rPr>
          <w:rFonts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b w:val="0"/>
          <w:bCs/>
          <w:color w:val="auto"/>
          <w:sz w:val="21"/>
          <w:szCs w:val="21"/>
          <w:highlight w:val="none"/>
        </w:rPr>
        <w:t>35.2在履约保证金退还日期前，若中标人的开户名称、开户银行、帐号有变动的，请以书面形式通知履约保证金收取单位，否则由此产生的后果由中标人自行承担。</w:t>
      </w:r>
    </w:p>
    <w:p w14:paraId="63DEFB69">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36.签订合同</w:t>
      </w:r>
    </w:p>
    <w:p w14:paraId="0CDB71F0">
      <w:pPr>
        <w:pStyle w:val="6"/>
        <w:keepNext w:val="0"/>
        <w:keepLines w:val="0"/>
        <w:spacing w:before="0" w:after="0" w:line="360" w:lineRule="auto"/>
        <w:ind w:firstLine="315" w:firstLineChars="150"/>
        <w:rPr>
          <w:rFonts w:ascii="宋体" w:hAnsi="宋体" w:cs="宋体"/>
          <w:b w:val="0"/>
          <w:bCs/>
          <w:color w:val="auto"/>
          <w:sz w:val="21"/>
          <w:szCs w:val="21"/>
          <w:highlight w:val="none"/>
        </w:rPr>
      </w:pPr>
      <w:bookmarkStart w:id="153" w:name="_40.1投标人接到中标通知书后，按须知前附表规定向采购人出示相关资格证"/>
      <w:bookmarkEnd w:id="153"/>
      <w:r>
        <w:rPr>
          <w:rFonts w:hint="eastAsia" w:ascii="宋体" w:hAnsi="宋体" w:cs="宋体"/>
          <w:b w:val="0"/>
          <w:color w:val="auto"/>
          <w:sz w:val="21"/>
          <w:szCs w:val="21"/>
          <w:highlight w:val="none"/>
        </w:rPr>
        <w:t xml:space="preserve"> 36.1投标人领取中标通知书（书面或电子）后，按“投标人须知前附表”规定向采购人出示相关证明材料，经采购人核验合格后方可签订采购合同（书面或电子）。</w:t>
      </w:r>
      <w:r>
        <w:rPr>
          <w:rFonts w:hint="eastAsia" w:ascii="宋体" w:hAnsi="宋体" w:cs="宋体"/>
          <w:b w:val="0"/>
          <w:bCs/>
          <w:color w:val="auto"/>
          <w:sz w:val="21"/>
          <w:szCs w:val="21"/>
          <w:highlight w:val="none"/>
        </w:rPr>
        <w:t>如中标人为联合体的，联合体各方应当共同与采购人签订采购合同，就采购合同约定的事项对采购人承担连带责任。</w:t>
      </w:r>
    </w:p>
    <w:p w14:paraId="2D333530">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36.2签订合同时间：按中标通知书规定的时间与采购人签订合同（最长不能超过25日）。</w:t>
      </w:r>
    </w:p>
    <w:p w14:paraId="09E5FD67">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36.3中标人拒绝与采购人签订合同的，按照本须知正文第30.4条的规定执行。</w:t>
      </w:r>
    </w:p>
    <w:p w14:paraId="2FEDF81B">
      <w:pPr>
        <w:pStyle w:val="6"/>
        <w:keepNext w:val="0"/>
        <w:keepLines w:val="0"/>
        <w:spacing w:before="0" w:after="0" w:line="360" w:lineRule="auto"/>
        <w:ind w:left="420" w:leftChars="200"/>
        <w:rPr>
          <w:rFonts w:ascii="宋体" w:hAnsi="宋体" w:cs="宋体"/>
          <w:color w:val="auto"/>
          <w:sz w:val="24"/>
          <w:highlight w:val="none"/>
        </w:rPr>
      </w:pPr>
      <w:bookmarkStart w:id="154" w:name="_41.政府采购合同公告"/>
      <w:bookmarkEnd w:id="154"/>
      <w:r>
        <w:rPr>
          <w:rFonts w:hint="eastAsia" w:ascii="宋体" w:hAnsi="宋体" w:cs="宋体"/>
          <w:color w:val="auto"/>
          <w:sz w:val="24"/>
          <w:highlight w:val="none"/>
        </w:rPr>
        <w:t>37.政府采购合同公告</w:t>
      </w:r>
    </w:p>
    <w:p w14:paraId="7DE20264">
      <w:pPr>
        <w:pStyle w:val="11"/>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2B49C5AC">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38. 询问、质疑和投诉</w:t>
      </w:r>
    </w:p>
    <w:p w14:paraId="3D795BAD">
      <w:pPr>
        <w:pStyle w:val="7"/>
        <w:spacing w:line="360" w:lineRule="auto"/>
        <w:rPr>
          <w:rFonts w:ascii="宋体" w:hAnsi="宋体" w:cs="宋体"/>
          <w:color w:val="auto"/>
          <w:szCs w:val="21"/>
          <w:highlight w:val="none"/>
        </w:rPr>
      </w:pPr>
      <w:r>
        <w:rPr>
          <w:rFonts w:hint="eastAsia" w:ascii="宋体" w:hAnsi="宋体" w:cs="宋体"/>
          <w:color w:val="auto"/>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16592CEA">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38.2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14:paraId="7230CD9A">
      <w:pPr>
        <w:pStyle w:val="11"/>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（1）对可以质疑的招标文件提出质疑的，为收到招标文件之日或者招标文件公告期限届满之日；</w:t>
      </w:r>
    </w:p>
    <w:p w14:paraId="37850A17">
      <w:pPr>
        <w:pStyle w:val="11"/>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（2）对采购过程提出质疑的，为各采购程序环节结束之日；</w:t>
      </w:r>
    </w:p>
    <w:p w14:paraId="5A75FAAD">
      <w:pPr>
        <w:pStyle w:val="11"/>
        <w:snapToGrid w:val="0"/>
        <w:spacing w:line="360" w:lineRule="auto"/>
        <w:ind w:firstLine="420" w:firstLineChars="200"/>
        <w:rPr>
          <w:rFonts w:hAnsi="宋体" w:cs="宋体"/>
          <w:bCs/>
          <w:color w:val="auto"/>
          <w:sz w:val="21"/>
          <w:highlight w:val="none"/>
        </w:rPr>
      </w:pPr>
      <w:r>
        <w:rPr>
          <w:rFonts w:hint="eastAsia" w:hAnsi="宋体" w:cs="宋体"/>
          <w:color w:val="auto"/>
          <w:sz w:val="21"/>
          <w:highlight w:val="none"/>
        </w:rPr>
        <w:t>（3）对中标结果提出质疑的，为中标结果公告期限届满之日。</w:t>
      </w:r>
    </w:p>
    <w:p w14:paraId="7438723C">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38.3 </w:t>
      </w:r>
      <w:r>
        <w:rPr>
          <w:rFonts w:hint="eastAsia" w:ascii="宋体" w:hAnsi="宋体" w:cs="宋体"/>
          <w:bCs/>
          <w:color w:val="auto"/>
          <w:sz w:val="21"/>
          <w:highlight w:val="none"/>
        </w:rPr>
        <w:t>供应商提出质疑应当提交质疑函和必要的证明材料，针对同一采购程序环节的质疑必须在法定质疑期内一次性提出。质疑函应当包括下列内容（质疑函格式后附）：</w:t>
      </w:r>
    </w:p>
    <w:p w14:paraId="48AD6FE2">
      <w:pPr>
        <w:pStyle w:val="11"/>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（1）供应商的姓名或者名称、地址、邮编、联系人及联系电话；</w:t>
      </w:r>
    </w:p>
    <w:p w14:paraId="521B4F09">
      <w:pPr>
        <w:pStyle w:val="11"/>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（2）质疑项目的名称、编号；</w:t>
      </w:r>
    </w:p>
    <w:p w14:paraId="1644CE6C">
      <w:pPr>
        <w:pStyle w:val="11"/>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（3）具体、明确的质疑事项和与质疑事项相关的请求；</w:t>
      </w:r>
    </w:p>
    <w:p w14:paraId="01080B32">
      <w:pPr>
        <w:pStyle w:val="11"/>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（4）事实依据；</w:t>
      </w:r>
    </w:p>
    <w:p w14:paraId="46BE3654">
      <w:pPr>
        <w:pStyle w:val="11"/>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（5）必要的法律依据；</w:t>
      </w:r>
    </w:p>
    <w:p w14:paraId="3AD2AF39">
      <w:pPr>
        <w:pStyle w:val="11"/>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（6）提出质疑的日期。</w:t>
      </w:r>
    </w:p>
    <w:p w14:paraId="1A964564">
      <w:pPr>
        <w:pStyle w:val="11"/>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供应商为自然人的，应当由本人签字；供应商为法人或者其他组织的，应当由法定代表人、主要负责人，或者其委托代理人签字或者盖章，并加盖公章。</w:t>
      </w:r>
    </w:p>
    <w:p w14:paraId="3787FB87">
      <w:pPr>
        <w:pStyle w:val="6"/>
        <w:keepNext w:val="0"/>
        <w:keepLines w:val="0"/>
        <w:snapToGrid w:val="0"/>
        <w:spacing w:before="0" w:after="0" w:line="360" w:lineRule="auto"/>
        <w:ind w:firstLine="420" w:firstLineChars="200"/>
        <w:rPr>
          <w:rFonts w:ascii="宋体" w:hAnsi="宋体" w:cs="宋体"/>
          <w:b w:val="0"/>
          <w:bCs/>
          <w:color w:val="auto"/>
          <w:sz w:val="21"/>
          <w:szCs w:val="21"/>
          <w:highlight w:val="none"/>
        </w:rPr>
      </w:pPr>
      <w:r>
        <w:rPr>
          <w:rFonts w:hint="eastAsia" w:ascii="宋体" w:hAnsi="宋体" w:cs="宋体"/>
          <w:b w:val="0"/>
          <w:color w:val="auto"/>
          <w:sz w:val="21"/>
          <w:szCs w:val="21"/>
          <w:highlight w:val="none"/>
        </w:rPr>
        <w:t>3</w:t>
      </w:r>
      <w:r>
        <w:rPr>
          <w:rFonts w:hint="eastAsia" w:ascii="宋体" w:hAnsi="宋体" w:cs="宋体"/>
          <w:b w:val="0"/>
          <w:bCs/>
          <w:color w:val="auto"/>
          <w:sz w:val="21"/>
          <w:szCs w:val="21"/>
          <w:highlight w:val="none"/>
        </w:rPr>
        <w:t>8.4采购人、采购代理机构认为供应商质疑不成立，或者成立但未对中标结果构成影响的，继续开展采购活动；认为供应商质疑成立且影响或者可能影响中标结果的，按照下列情况处理：</w:t>
      </w:r>
    </w:p>
    <w:p w14:paraId="1131CAD7">
      <w:pPr>
        <w:pStyle w:val="11"/>
        <w:snapToGrid w:val="0"/>
        <w:spacing w:line="360" w:lineRule="auto"/>
        <w:rPr>
          <w:rFonts w:hAnsi="宋体" w:cs="宋体"/>
          <w:bCs/>
          <w:color w:val="auto"/>
          <w:sz w:val="21"/>
          <w:highlight w:val="none"/>
        </w:rPr>
      </w:pPr>
      <w:r>
        <w:rPr>
          <w:rFonts w:hint="eastAsia" w:hAnsi="宋体" w:cs="宋体"/>
          <w:bCs/>
          <w:color w:val="auto"/>
          <w:sz w:val="21"/>
          <w:highlight w:val="none"/>
        </w:rPr>
        <w:t>　　（1）对招标文件提出的质疑，依法通过澄清或者修改可以继续开展采购活动的，澄清或者修改招标文件后继续开展采购活动；否则应当修改招标文件后重新开展采购活动。</w:t>
      </w:r>
    </w:p>
    <w:p w14:paraId="38570ADB">
      <w:pPr>
        <w:pStyle w:val="11"/>
        <w:snapToGrid w:val="0"/>
        <w:spacing w:line="360" w:lineRule="auto"/>
        <w:rPr>
          <w:rFonts w:hAnsi="宋体" w:cs="宋体"/>
          <w:bCs/>
          <w:color w:val="auto"/>
          <w:sz w:val="21"/>
          <w:highlight w:val="none"/>
        </w:rPr>
      </w:pPr>
      <w:r>
        <w:rPr>
          <w:rFonts w:hint="eastAsia" w:hAnsi="宋体" w:cs="宋体"/>
          <w:bCs/>
          <w:color w:val="auto"/>
          <w:sz w:val="21"/>
          <w:highlight w:val="none"/>
        </w:rPr>
        <w:t>　　（2）对采购过程、中标结果提出的质疑，合格供应商符合法定数量时，可以从合格的中标候选人中另行确定中标人的，应当依法另行确定中标人；否则应当重新开展采购活动。</w:t>
      </w:r>
    </w:p>
    <w:p w14:paraId="53BA4799">
      <w:pPr>
        <w:pStyle w:val="11"/>
        <w:snapToGrid w:val="0"/>
        <w:spacing w:line="360" w:lineRule="auto"/>
        <w:ind w:firstLine="420"/>
        <w:rPr>
          <w:rFonts w:hAnsi="宋体" w:cs="宋体"/>
          <w:bCs/>
          <w:color w:val="auto"/>
          <w:sz w:val="21"/>
          <w:highlight w:val="none"/>
        </w:rPr>
      </w:pPr>
      <w:r>
        <w:rPr>
          <w:rFonts w:hint="eastAsia" w:hAnsi="宋体" w:cs="宋体"/>
          <w:bCs/>
          <w:color w:val="auto"/>
          <w:sz w:val="21"/>
          <w:highlight w:val="none"/>
        </w:rPr>
        <w:t>质疑答复导致中标结果改变的，采购人或者采购代理机构应当将有关情况书面报告本级财政部门。</w:t>
      </w:r>
    </w:p>
    <w:p w14:paraId="20823320">
      <w:pPr>
        <w:pStyle w:val="11"/>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55" w:name="_八、其他事项"/>
      <w:bookmarkEnd w:id="155"/>
    </w:p>
    <w:p w14:paraId="11A8382A">
      <w:pPr>
        <w:pStyle w:val="4"/>
        <w:keepNext w:val="0"/>
        <w:keepLines w:val="0"/>
        <w:spacing w:line="360" w:lineRule="auto"/>
        <w:jc w:val="center"/>
        <w:rPr>
          <w:rFonts w:ascii="宋体" w:hAnsi="宋体" w:cs="宋体"/>
          <w:color w:val="auto"/>
          <w:highlight w:val="none"/>
        </w:rPr>
      </w:pPr>
      <w:r>
        <w:rPr>
          <w:rFonts w:hint="eastAsia" w:ascii="宋体" w:hAnsi="宋体" w:cs="宋体"/>
          <w:color w:val="auto"/>
          <w:highlight w:val="none"/>
        </w:rPr>
        <w:t>八、其他事项</w:t>
      </w:r>
    </w:p>
    <w:p w14:paraId="6B0F0717">
      <w:pPr>
        <w:pStyle w:val="6"/>
        <w:keepNext w:val="0"/>
        <w:keepLines w:val="0"/>
        <w:spacing w:before="0" w:after="0" w:line="360" w:lineRule="auto"/>
        <w:ind w:left="420" w:leftChars="200"/>
        <w:rPr>
          <w:rFonts w:ascii="宋体" w:hAnsi="宋体" w:cs="宋体"/>
          <w:color w:val="auto"/>
          <w:sz w:val="24"/>
          <w:highlight w:val="none"/>
        </w:rPr>
      </w:pPr>
      <w:bookmarkStart w:id="156" w:name="_42.代理服务费"/>
      <w:bookmarkEnd w:id="156"/>
      <w:r>
        <w:rPr>
          <w:rFonts w:hint="eastAsia" w:ascii="宋体" w:hAnsi="宋体" w:cs="宋体"/>
          <w:color w:val="auto"/>
          <w:sz w:val="24"/>
          <w:highlight w:val="none"/>
        </w:rPr>
        <w:t>39.代理服务费</w:t>
      </w:r>
    </w:p>
    <w:p w14:paraId="5CB8AD39">
      <w:pPr>
        <w:pStyle w:val="11"/>
        <w:spacing w:line="360" w:lineRule="auto"/>
        <w:ind w:firstLine="420" w:firstLineChars="200"/>
        <w:rPr>
          <w:rFonts w:hAnsi="宋体" w:cs="宋体"/>
          <w:color w:val="auto"/>
          <w:sz w:val="21"/>
          <w:highlight w:val="none"/>
        </w:rPr>
      </w:pPr>
      <w:r>
        <w:rPr>
          <w:rFonts w:hint="eastAsia" w:hAnsi="宋体" w:cs="宋体"/>
          <w:color w:val="auto"/>
          <w:sz w:val="21"/>
          <w:highlight w:val="none"/>
        </w:rPr>
        <w:t>39.1代理服务收取标准及缴费账户详见“投标人须知前附表”。</w:t>
      </w:r>
    </w:p>
    <w:p w14:paraId="5019620D">
      <w:pPr>
        <w:pStyle w:val="11"/>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39.2代理服务收费标准：</w:t>
      </w:r>
    </w:p>
    <w:tbl>
      <w:tblPr>
        <w:tblStyle w:val="1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083E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3C87276C">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费率</w:t>
            </w:r>
          </w:p>
          <w:p w14:paraId="629EACC6">
            <w:pPr>
              <w:spacing w:line="360" w:lineRule="auto"/>
              <w:rPr>
                <w:rFonts w:ascii="宋体" w:hAnsi="宋体" w:cs="宋体"/>
                <w:color w:val="auto"/>
                <w:szCs w:val="21"/>
                <w:highlight w:val="none"/>
              </w:rPr>
            </w:pPr>
            <w:r>
              <w:rPr>
                <w:rFonts w:hint="eastAsia" w:ascii="宋体" w:hAnsi="宋体" w:cs="宋体"/>
                <w:color w:val="auto"/>
                <w:szCs w:val="21"/>
                <w:highlight w:val="none"/>
              </w:rPr>
              <w:t>中标金额（万元）</w:t>
            </w:r>
          </w:p>
        </w:tc>
        <w:tc>
          <w:tcPr>
            <w:tcW w:w="1659" w:type="dxa"/>
            <w:vAlign w:val="center"/>
          </w:tcPr>
          <w:p w14:paraId="2B511C17">
            <w:pP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货物招标</w:t>
            </w:r>
          </w:p>
        </w:tc>
        <w:tc>
          <w:tcPr>
            <w:tcW w:w="1687" w:type="dxa"/>
            <w:vAlign w:val="center"/>
          </w:tcPr>
          <w:p w14:paraId="14C4EF0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服务招标</w:t>
            </w:r>
          </w:p>
        </w:tc>
        <w:tc>
          <w:tcPr>
            <w:tcW w:w="1659" w:type="dxa"/>
            <w:vAlign w:val="center"/>
          </w:tcPr>
          <w:p w14:paraId="02CF38B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工程招标</w:t>
            </w:r>
          </w:p>
        </w:tc>
      </w:tr>
      <w:tr w14:paraId="610C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4957EB1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100以下</w:t>
            </w:r>
          </w:p>
        </w:tc>
        <w:tc>
          <w:tcPr>
            <w:tcW w:w="1659" w:type="dxa"/>
            <w:vAlign w:val="center"/>
          </w:tcPr>
          <w:p w14:paraId="0681A5E5">
            <w:pPr>
              <w:widowControl/>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1.20%</w:t>
            </w:r>
          </w:p>
        </w:tc>
        <w:tc>
          <w:tcPr>
            <w:tcW w:w="1687" w:type="dxa"/>
            <w:vAlign w:val="center"/>
          </w:tcPr>
          <w:p w14:paraId="0D39A42F">
            <w:pPr>
              <w:widowControl/>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1.20%</w:t>
            </w:r>
          </w:p>
        </w:tc>
        <w:tc>
          <w:tcPr>
            <w:tcW w:w="1659" w:type="dxa"/>
            <w:vAlign w:val="center"/>
          </w:tcPr>
          <w:p w14:paraId="37341A23">
            <w:pPr>
              <w:widowControl/>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0.80%</w:t>
            </w:r>
          </w:p>
        </w:tc>
      </w:tr>
      <w:tr w14:paraId="5F03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4477770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100-500</w:t>
            </w:r>
          </w:p>
        </w:tc>
        <w:tc>
          <w:tcPr>
            <w:tcW w:w="1659" w:type="dxa"/>
            <w:vAlign w:val="center"/>
          </w:tcPr>
          <w:p w14:paraId="100430DE">
            <w:pPr>
              <w:widowControl/>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0.88%</w:t>
            </w:r>
          </w:p>
        </w:tc>
        <w:tc>
          <w:tcPr>
            <w:tcW w:w="1687" w:type="dxa"/>
            <w:vAlign w:val="center"/>
          </w:tcPr>
          <w:p w14:paraId="3A05D001">
            <w:pPr>
              <w:widowControl/>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0.64%</w:t>
            </w:r>
          </w:p>
        </w:tc>
        <w:tc>
          <w:tcPr>
            <w:tcW w:w="1659" w:type="dxa"/>
            <w:vAlign w:val="center"/>
          </w:tcPr>
          <w:p w14:paraId="14C2E507">
            <w:pPr>
              <w:widowControl/>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0.56%</w:t>
            </w:r>
          </w:p>
        </w:tc>
      </w:tr>
      <w:tr w14:paraId="138D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2B11CD0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500-1000</w:t>
            </w:r>
          </w:p>
        </w:tc>
        <w:tc>
          <w:tcPr>
            <w:tcW w:w="1659" w:type="dxa"/>
            <w:vAlign w:val="center"/>
          </w:tcPr>
          <w:p w14:paraId="5AED2986">
            <w:pPr>
              <w:widowControl/>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0.64%</w:t>
            </w:r>
          </w:p>
        </w:tc>
        <w:tc>
          <w:tcPr>
            <w:tcW w:w="1687" w:type="dxa"/>
            <w:vAlign w:val="center"/>
          </w:tcPr>
          <w:p w14:paraId="7292605B">
            <w:pPr>
              <w:widowControl/>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0.36%</w:t>
            </w:r>
          </w:p>
        </w:tc>
        <w:tc>
          <w:tcPr>
            <w:tcW w:w="1659" w:type="dxa"/>
            <w:vAlign w:val="center"/>
          </w:tcPr>
          <w:p w14:paraId="6C12A37D">
            <w:pPr>
              <w:widowControl/>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0.44%</w:t>
            </w:r>
          </w:p>
        </w:tc>
      </w:tr>
      <w:tr w14:paraId="4009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4C0D5CB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1000-5000</w:t>
            </w:r>
          </w:p>
        </w:tc>
        <w:tc>
          <w:tcPr>
            <w:tcW w:w="1659" w:type="dxa"/>
            <w:vAlign w:val="center"/>
          </w:tcPr>
          <w:p w14:paraId="225AF27F">
            <w:pPr>
              <w:widowControl/>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0.40%</w:t>
            </w:r>
          </w:p>
        </w:tc>
        <w:tc>
          <w:tcPr>
            <w:tcW w:w="1687" w:type="dxa"/>
            <w:vAlign w:val="center"/>
          </w:tcPr>
          <w:p w14:paraId="7D6C0DAE">
            <w:pPr>
              <w:widowControl/>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0.20%</w:t>
            </w:r>
          </w:p>
        </w:tc>
        <w:tc>
          <w:tcPr>
            <w:tcW w:w="1659" w:type="dxa"/>
            <w:vAlign w:val="center"/>
          </w:tcPr>
          <w:p w14:paraId="162DA7C7">
            <w:pPr>
              <w:widowControl/>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0.28%</w:t>
            </w:r>
          </w:p>
        </w:tc>
      </w:tr>
      <w:tr w14:paraId="372E8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1750EA5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5000-10000</w:t>
            </w:r>
          </w:p>
        </w:tc>
        <w:tc>
          <w:tcPr>
            <w:tcW w:w="1659" w:type="dxa"/>
            <w:vAlign w:val="center"/>
          </w:tcPr>
          <w:p w14:paraId="49101DAA">
            <w:pPr>
              <w:widowControl/>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0.20%</w:t>
            </w:r>
          </w:p>
        </w:tc>
        <w:tc>
          <w:tcPr>
            <w:tcW w:w="1687" w:type="dxa"/>
            <w:vAlign w:val="center"/>
          </w:tcPr>
          <w:p w14:paraId="7DD79FFA">
            <w:pPr>
              <w:widowControl/>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0.08%</w:t>
            </w:r>
          </w:p>
        </w:tc>
        <w:tc>
          <w:tcPr>
            <w:tcW w:w="1659" w:type="dxa"/>
            <w:vAlign w:val="center"/>
          </w:tcPr>
          <w:p w14:paraId="32EA420C">
            <w:pPr>
              <w:widowControl/>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0.16%</w:t>
            </w:r>
          </w:p>
        </w:tc>
      </w:tr>
      <w:tr w14:paraId="54794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4AF1332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10000-100000</w:t>
            </w:r>
          </w:p>
        </w:tc>
        <w:tc>
          <w:tcPr>
            <w:tcW w:w="1659" w:type="dxa"/>
            <w:vAlign w:val="center"/>
          </w:tcPr>
          <w:p w14:paraId="50817BE4">
            <w:pPr>
              <w:widowControl/>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0.04%</w:t>
            </w:r>
          </w:p>
        </w:tc>
        <w:tc>
          <w:tcPr>
            <w:tcW w:w="1687" w:type="dxa"/>
            <w:vAlign w:val="center"/>
          </w:tcPr>
          <w:p w14:paraId="1C89E622">
            <w:pPr>
              <w:widowControl/>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0.04%</w:t>
            </w:r>
          </w:p>
        </w:tc>
        <w:tc>
          <w:tcPr>
            <w:tcW w:w="1659" w:type="dxa"/>
            <w:vAlign w:val="center"/>
          </w:tcPr>
          <w:p w14:paraId="12D82636">
            <w:pPr>
              <w:widowControl/>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0.04%</w:t>
            </w:r>
          </w:p>
        </w:tc>
      </w:tr>
    </w:tbl>
    <w:p w14:paraId="46F32C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注： </w:t>
      </w:r>
    </w:p>
    <w:p w14:paraId="41AD71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（1）按本表费率计算的收费为采购代理的收费基准价格；</w:t>
      </w:r>
    </w:p>
    <w:p w14:paraId="208D16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（2）采购代理收费按差额定率累进法计算。</w:t>
      </w:r>
    </w:p>
    <w:p w14:paraId="6D4AE4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39.3代理服务费交纳银行帐号信息</w:t>
      </w:r>
    </w:p>
    <w:p w14:paraId="10E6E9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开户名称：广西卓联工程管理有限公司</w:t>
      </w:r>
    </w:p>
    <w:p w14:paraId="22164B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开户银行：</w:t>
      </w:r>
      <w:r>
        <w:rPr>
          <w:rFonts w:hint="eastAsia" w:hAnsi="宋体" w:cs="宋体"/>
          <w:color w:val="auto"/>
          <w:highlight w:val="none"/>
        </w:rPr>
        <w:t>中国建设银行股份有限公司广西自贸试验区南宁片区五象支行</w:t>
      </w:r>
      <w:r>
        <w:rPr>
          <w:rFonts w:hint="eastAsia" w:ascii="宋体" w:hAnsi="宋体" w:cs="宋体"/>
          <w:color w:val="auto"/>
          <w:szCs w:val="21"/>
          <w:highlight w:val="none"/>
        </w:rPr>
        <w:t xml:space="preserve"> </w:t>
      </w:r>
    </w:p>
    <w:p w14:paraId="4CFF25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银行账号：</w:t>
      </w:r>
      <w:r>
        <w:rPr>
          <w:rFonts w:hint="eastAsia" w:hAnsi="宋体" w:cs="宋体"/>
          <w:color w:val="auto"/>
          <w:highlight w:val="none"/>
        </w:rPr>
        <w:t>4505 0160 5001 0966 6666</w:t>
      </w:r>
    </w:p>
    <w:p w14:paraId="3E183784">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40. 需要补充的其他内容</w:t>
      </w:r>
    </w:p>
    <w:p w14:paraId="508D7496">
      <w:pPr>
        <w:pStyle w:val="11"/>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40.1本招标文件解释规则详见“投标人须知前附表”。</w:t>
      </w:r>
    </w:p>
    <w:p w14:paraId="3F54C2C2">
      <w:pPr>
        <w:pStyle w:val="11"/>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40.2 其他事项详见“投标人须知前附表”。</w:t>
      </w:r>
    </w:p>
    <w:p w14:paraId="5DF275AE">
      <w:pPr>
        <w:pStyle w:val="11"/>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40.3</w:t>
      </w:r>
      <w:bookmarkStart w:id="157" w:name="_Hlk65857140"/>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0EE423E9">
      <w:pPr>
        <w:pStyle w:val="11"/>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724F3F30">
      <w:pPr>
        <w:pStyle w:val="11"/>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6F53E347">
      <w:pPr>
        <w:pStyle w:val="11"/>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47CB6119">
      <w:pPr>
        <w:pStyle w:val="11"/>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5423DF10">
      <w:pPr>
        <w:pStyle w:val="11"/>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57"/>
    </w:p>
    <w:p w14:paraId="2C7F9FE9">
      <w:pPr>
        <w:pStyle w:val="10"/>
        <w:ind w:left="479" w:leftChars="114" w:hanging="240" w:hangingChars="100"/>
        <w:rPr>
          <w:rFonts w:ascii="宋体" w:hAnsi="宋体" w:cs="宋体"/>
          <w:color w:val="auto"/>
          <w:highlight w:val="none"/>
        </w:rPr>
      </w:pPr>
      <w:r>
        <w:rPr>
          <w:rFonts w:hint="eastAsia" w:ascii="宋体" w:hAnsi="宋体" w:cs="宋体"/>
          <w:color w:val="auto"/>
          <w:highlight w:val="none"/>
        </w:rPr>
        <w:br w:type="page"/>
      </w:r>
    </w:p>
    <w:p w14:paraId="471165C6">
      <w:pPr>
        <w:pStyle w:val="10"/>
        <w:ind w:left="479" w:leftChars="114" w:hanging="240" w:hangingChars="100"/>
        <w:rPr>
          <w:rFonts w:ascii="宋体" w:hAnsi="宋体" w:cs="宋体"/>
          <w:color w:val="auto"/>
          <w:highlight w:val="none"/>
        </w:rPr>
      </w:pPr>
    </w:p>
    <w:p w14:paraId="3112DB6C">
      <w:pPr>
        <w:pStyle w:val="10"/>
        <w:ind w:left="479" w:leftChars="114" w:hanging="240" w:hangingChars="100"/>
        <w:rPr>
          <w:rFonts w:ascii="宋体" w:hAnsi="宋体" w:cs="宋体"/>
          <w:color w:val="auto"/>
          <w:highlight w:val="none"/>
        </w:rPr>
      </w:pPr>
    </w:p>
    <w:p w14:paraId="3AD63699">
      <w:pPr>
        <w:pStyle w:val="10"/>
        <w:ind w:left="479" w:leftChars="114" w:hanging="240" w:hangingChars="100"/>
        <w:rPr>
          <w:rFonts w:ascii="宋体" w:hAnsi="宋体" w:cs="宋体"/>
          <w:color w:val="auto"/>
          <w:highlight w:val="none"/>
        </w:rPr>
      </w:pPr>
    </w:p>
    <w:p w14:paraId="6226F6D8">
      <w:pPr>
        <w:pStyle w:val="11"/>
        <w:snapToGrid w:val="0"/>
        <w:spacing w:before="120" w:after="120"/>
        <w:rPr>
          <w:rFonts w:hAnsi="宋体" w:cs="宋体"/>
          <w:color w:val="auto"/>
          <w:highlight w:val="none"/>
        </w:rPr>
      </w:pPr>
    </w:p>
    <w:p w14:paraId="7873E14E">
      <w:pPr>
        <w:pStyle w:val="11"/>
        <w:snapToGrid w:val="0"/>
        <w:spacing w:before="120" w:after="120"/>
        <w:rPr>
          <w:rFonts w:hAnsi="宋体" w:cs="宋体"/>
          <w:color w:val="auto"/>
          <w:highlight w:val="none"/>
        </w:rPr>
      </w:pPr>
    </w:p>
    <w:p w14:paraId="30686C50">
      <w:pPr>
        <w:pStyle w:val="11"/>
        <w:snapToGrid w:val="0"/>
        <w:spacing w:before="120" w:after="120"/>
        <w:rPr>
          <w:rFonts w:hAnsi="宋体" w:cs="宋体"/>
          <w:color w:val="auto"/>
          <w:highlight w:val="none"/>
        </w:rPr>
      </w:pPr>
    </w:p>
    <w:p w14:paraId="07752210">
      <w:pPr>
        <w:pStyle w:val="11"/>
        <w:snapToGrid w:val="0"/>
        <w:spacing w:before="120" w:after="120"/>
        <w:rPr>
          <w:rFonts w:hAnsi="宋体" w:cs="宋体"/>
          <w:color w:val="auto"/>
          <w:highlight w:val="none"/>
        </w:rPr>
      </w:pPr>
    </w:p>
    <w:p w14:paraId="71E68CEA">
      <w:pPr>
        <w:pStyle w:val="11"/>
        <w:snapToGrid w:val="0"/>
        <w:spacing w:before="120" w:after="120"/>
        <w:rPr>
          <w:rFonts w:hAnsi="宋体" w:cs="宋体"/>
          <w:color w:val="auto"/>
          <w:highlight w:val="none"/>
        </w:rPr>
      </w:pPr>
    </w:p>
    <w:p w14:paraId="7A76CDD5">
      <w:pPr>
        <w:pStyle w:val="11"/>
        <w:snapToGrid w:val="0"/>
        <w:spacing w:before="120" w:after="120"/>
        <w:rPr>
          <w:rFonts w:hAnsi="宋体" w:cs="宋体"/>
          <w:color w:val="auto"/>
          <w:highlight w:val="none"/>
        </w:rPr>
      </w:pPr>
    </w:p>
    <w:p w14:paraId="5C3DE57E">
      <w:pPr>
        <w:pStyle w:val="11"/>
        <w:snapToGrid w:val="0"/>
        <w:spacing w:before="120" w:after="120"/>
        <w:rPr>
          <w:rFonts w:hAnsi="宋体" w:cs="宋体"/>
          <w:color w:val="auto"/>
          <w:highlight w:val="none"/>
        </w:rPr>
      </w:pPr>
    </w:p>
    <w:p w14:paraId="67B91FA0">
      <w:pPr>
        <w:pStyle w:val="11"/>
        <w:snapToGrid w:val="0"/>
        <w:spacing w:before="120" w:after="120"/>
        <w:rPr>
          <w:rFonts w:hAnsi="宋体" w:cs="宋体"/>
          <w:color w:val="auto"/>
          <w:highlight w:val="none"/>
        </w:rPr>
      </w:pPr>
    </w:p>
    <w:p w14:paraId="0C7D0879">
      <w:pPr>
        <w:pStyle w:val="11"/>
        <w:snapToGrid w:val="0"/>
        <w:spacing w:before="120" w:after="120"/>
        <w:rPr>
          <w:rFonts w:hAnsi="宋体" w:cs="宋体"/>
          <w:color w:val="auto"/>
          <w:highlight w:val="none"/>
        </w:rPr>
      </w:pPr>
    </w:p>
    <w:p w14:paraId="54211231">
      <w:pPr>
        <w:pStyle w:val="2"/>
        <w:jc w:val="center"/>
        <w:rPr>
          <w:rFonts w:ascii="宋体" w:hAnsi="宋体" w:cs="宋体"/>
          <w:color w:val="auto"/>
          <w:highlight w:val="none"/>
        </w:rPr>
      </w:pPr>
      <w:bookmarkStart w:id="158" w:name="_Toc22306"/>
      <w:bookmarkStart w:id="159" w:name="_Toc254970548"/>
      <w:bookmarkStart w:id="160" w:name="_Toc330456896"/>
      <w:bookmarkStart w:id="161" w:name="_Toc254970689"/>
      <w:bookmarkStart w:id="162" w:name="_Toc10844"/>
      <w:r>
        <w:rPr>
          <w:rFonts w:hint="eastAsia" w:ascii="宋体" w:hAnsi="宋体" w:cs="宋体"/>
          <w:color w:val="auto"/>
          <w:highlight w:val="none"/>
        </w:rPr>
        <w:t>第四章  评标方法及评标标准</w:t>
      </w:r>
      <w:bookmarkEnd w:id="158"/>
      <w:bookmarkEnd w:id="159"/>
      <w:bookmarkEnd w:id="160"/>
      <w:bookmarkEnd w:id="161"/>
      <w:bookmarkEnd w:id="162"/>
    </w:p>
    <w:p w14:paraId="7261ABE2">
      <w:pPr>
        <w:rPr>
          <w:rFonts w:ascii="宋体" w:hAnsi="Courier New"/>
          <w:color w:val="auto"/>
          <w:highlight w:val="none"/>
        </w:rPr>
      </w:pPr>
      <w:bookmarkStart w:id="163" w:name="_Toc254970690"/>
      <w:bookmarkStart w:id="164" w:name="_Toc254970549"/>
    </w:p>
    <w:bookmarkEnd w:id="163"/>
    <w:bookmarkEnd w:id="164"/>
    <w:p w14:paraId="3E64D95D">
      <w:pPr>
        <w:rPr>
          <w:rFonts w:ascii="宋体" w:hAnsi="Courier New"/>
          <w:color w:val="auto"/>
          <w:sz w:val="20"/>
          <w:szCs w:val="21"/>
          <w:highlight w:val="none"/>
        </w:rPr>
      </w:pPr>
    </w:p>
    <w:p w14:paraId="129F05F8">
      <w:pPr>
        <w:rPr>
          <w:rFonts w:ascii="宋体" w:hAnsi="Courier New"/>
          <w:color w:val="auto"/>
          <w:sz w:val="20"/>
          <w:szCs w:val="21"/>
          <w:highlight w:val="none"/>
        </w:rPr>
      </w:pPr>
    </w:p>
    <w:p w14:paraId="2A7529FB">
      <w:pPr>
        <w:rPr>
          <w:rFonts w:ascii="宋体" w:hAnsi="Courier New"/>
          <w:color w:val="auto"/>
          <w:sz w:val="20"/>
          <w:szCs w:val="21"/>
          <w:highlight w:val="none"/>
        </w:rPr>
      </w:pPr>
    </w:p>
    <w:p w14:paraId="4355FCA2">
      <w:pPr>
        <w:rPr>
          <w:color w:val="auto"/>
          <w:highlight w:val="none"/>
        </w:rPr>
      </w:pPr>
    </w:p>
    <w:p w14:paraId="512509B9">
      <w:pPr>
        <w:rPr>
          <w:color w:val="auto"/>
          <w:highlight w:val="none"/>
        </w:rPr>
      </w:pPr>
    </w:p>
    <w:p w14:paraId="6B5EC41C">
      <w:pPr>
        <w:rPr>
          <w:color w:val="auto"/>
          <w:highlight w:val="none"/>
        </w:rPr>
      </w:pPr>
    </w:p>
    <w:p w14:paraId="536B6C34">
      <w:pPr>
        <w:rPr>
          <w:color w:val="auto"/>
          <w:highlight w:val="none"/>
        </w:rPr>
      </w:pPr>
    </w:p>
    <w:p w14:paraId="7880DCFA">
      <w:pPr>
        <w:rPr>
          <w:color w:val="auto"/>
          <w:highlight w:val="none"/>
        </w:rPr>
      </w:pPr>
    </w:p>
    <w:p w14:paraId="07B59022">
      <w:pPr>
        <w:rPr>
          <w:color w:val="auto"/>
          <w:highlight w:val="none"/>
        </w:rPr>
      </w:pPr>
    </w:p>
    <w:p w14:paraId="7C527A73">
      <w:pPr>
        <w:rPr>
          <w:color w:val="auto"/>
          <w:highlight w:val="none"/>
        </w:rPr>
      </w:pPr>
    </w:p>
    <w:p w14:paraId="405412D7">
      <w:pPr>
        <w:pStyle w:val="4"/>
        <w:keepNext w:val="0"/>
        <w:keepLines w:val="0"/>
        <w:jc w:val="center"/>
        <w:rPr>
          <w:rFonts w:ascii="宋体" w:hAnsi="宋体" w:cs="宋体"/>
          <w:color w:val="auto"/>
          <w:sz w:val="30"/>
          <w:szCs w:val="30"/>
          <w:highlight w:val="none"/>
        </w:rPr>
      </w:pPr>
      <w:r>
        <w:rPr>
          <w:rFonts w:hint="eastAsia" w:ascii="宋体" w:hAnsi="宋体" w:cs="宋体"/>
          <w:color w:val="auto"/>
          <w:sz w:val="30"/>
          <w:szCs w:val="30"/>
          <w:highlight w:val="none"/>
        </w:rPr>
        <w:br w:type="page"/>
      </w:r>
      <w:r>
        <w:rPr>
          <w:rFonts w:hint="eastAsia"/>
          <w:color w:val="auto"/>
          <w:highlight w:val="none"/>
        </w:rPr>
        <w:t>第一节</w:t>
      </w:r>
      <w:r>
        <w:rPr>
          <w:color w:val="auto"/>
          <w:highlight w:val="none"/>
        </w:rPr>
        <w:t xml:space="preserve"> </w:t>
      </w:r>
      <w:r>
        <w:rPr>
          <w:rFonts w:hint="eastAsia" w:ascii="宋体" w:hAnsi="宋体" w:cs="宋体"/>
          <w:color w:val="auto"/>
          <w:sz w:val="30"/>
          <w:szCs w:val="30"/>
          <w:highlight w:val="none"/>
        </w:rPr>
        <w:t>评标方法</w:t>
      </w:r>
    </w:p>
    <w:p w14:paraId="3DF6637F">
      <w:pPr>
        <w:tabs>
          <w:tab w:val="left" w:pos="2472"/>
        </w:tabs>
        <w:spacing w:line="360" w:lineRule="auto"/>
        <w:ind w:firstLine="420" w:firstLineChars="200"/>
        <w:rPr>
          <w:rFonts w:ascii="宋体" w:hAnsi="Courier New"/>
          <w:color w:val="auto"/>
          <w:szCs w:val="21"/>
          <w:highlight w:val="none"/>
        </w:rPr>
      </w:pPr>
      <w:r>
        <w:rPr>
          <w:rFonts w:hint="eastAsia" w:ascii="宋体" w:hAnsi="宋体" w:cs="宋体"/>
          <w:color w:val="auto"/>
          <w:szCs w:val="21"/>
          <w:highlight w:val="none"/>
        </w:rPr>
        <w:t>本项目采用</w:t>
      </w:r>
      <w:r>
        <w:rPr>
          <w:rFonts w:hint="eastAsia" w:ascii="宋体" w:hAnsi="宋体" w:cs="宋体"/>
          <w:color w:val="auto"/>
          <w:szCs w:val="21"/>
          <w:highlight w:val="none"/>
          <w:u w:val="single"/>
        </w:rPr>
        <w:t xml:space="preserve"> 以下勾选的方式</w:t>
      </w:r>
      <w:r>
        <w:rPr>
          <w:rFonts w:hint="eastAsia" w:ascii="宋体" w:hAnsi="宋体" w:cs="宋体"/>
          <w:color w:val="auto"/>
          <w:szCs w:val="21"/>
          <w:highlight w:val="none"/>
        </w:rPr>
        <w:t>进行评审。</w:t>
      </w:r>
    </w:p>
    <w:p w14:paraId="6D64870C">
      <w:pPr>
        <w:spacing w:line="360" w:lineRule="auto"/>
        <w:ind w:firstLine="420"/>
        <w:rPr>
          <w:rFonts w:ascii="宋体" w:hAnsi="宋体"/>
          <w:color w:val="auto"/>
          <w:szCs w:val="20"/>
          <w:highlight w:val="none"/>
        </w:rPr>
      </w:pPr>
      <w:r>
        <w:rPr>
          <w:rFonts w:hint="eastAsia" w:ascii="宋体" w:hAnsi="宋体"/>
          <w:color w:val="auto"/>
          <w:szCs w:val="21"/>
          <w:highlight w:val="none"/>
        </w:rPr>
        <w:t>□最低评标价法，是指投标文件满足招标文件</w:t>
      </w:r>
      <w:r>
        <w:rPr>
          <w:rFonts w:hint="eastAsia" w:ascii="宋体" w:hAnsi="宋体"/>
          <w:color w:val="auto"/>
          <w:szCs w:val="20"/>
          <w:highlight w:val="none"/>
        </w:rPr>
        <w:t>全部实质性要求，且投标报价最低的投标人为中标候选人的评标方法。</w:t>
      </w:r>
    </w:p>
    <w:p w14:paraId="7605F11D">
      <w:pPr>
        <w:pStyle w:val="11"/>
        <w:spacing w:line="360" w:lineRule="auto"/>
        <w:ind w:firstLine="420"/>
        <w:rPr>
          <w:rFonts w:hAnsi="宋体"/>
          <w:b/>
          <w:color w:val="auto"/>
          <w:sz w:val="21"/>
          <w:highlight w:val="none"/>
        </w:rPr>
      </w:pPr>
      <w:r>
        <w:rPr>
          <w:rFonts w:hint="eastAsia" w:hAnsi="宋体"/>
          <w:color w:val="auto"/>
          <w:sz w:val="21"/>
          <w:highlight w:val="none"/>
        </w:rPr>
        <w:t>☑</w:t>
      </w:r>
      <w:r>
        <w:rPr>
          <w:rFonts w:hint="eastAsia" w:hAnsi="宋体"/>
          <w:b/>
          <w:color w:val="auto"/>
          <w:sz w:val="21"/>
          <w:highlight w:val="none"/>
        </w:rPr>
        <w:t>综合评分法，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以实力信誉及业绩得分较高者为先。</w:t>
      </w:r>
    </w:p>
    <w:p w14:paraId="4479B7CC">
      <w:pPr>
        <w:pStyle w:val="4"/>
        <w:keepNext w:val="0"/>
        <w:keepLines w:val="0"/>
        <w:jc w:val="center"/>
        <w:rPr>
          <w:rFonts w:ascii="宋体" w:hAnsi="宋体" w:cs="宋体"/>
          <w:color w:val="auto"/>
          <w:sz w:val="30"/>
          <w:szCs w:val="30"/>
          <w:highlight w:val="none"/>
        </w:rPr>
      </w:pPr>
      <w:r>
        <w:rPr>
          <w:rFonts w:hint="eastAsia"/>
          <w:color w:val="auto"/>
          <w:highlight w:val="none"/>
        </w:rPr>
        <w:t>第二节</w:t>
      </w:r>
      <w:r>
        <w:rPr>
          <w:color w:val="auto"/>
          <w:highlight w:val="none"/>
        </w:rPr>
        <w:t xml:space="preserve"> </w:t>
      </w:r>
      <w:r>
        <w:rPr>
          <w:rFonts w:hint="eastAsia" w:ascii="宋体" w:hAnsi="宋体" w:cs="宋体"/>
          <w:color w:val="auto"/>
          <w:sz w:val="30"/>
          <w:szCs w:val="30"/>
          <w:highlight w:val="none"/>
        </w:rPr>
        <w:t>评标程序</w:t>
      </w:r>
    </w:p>
    <w:p w14:paraId="28D363E9">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1.符合性审查</w:t>
      </w:r>
    </w:p>
    <w:p w14:paraId="755B1597">
      <w:pPr>
        <w:spacing w:line="360" w:lineRule="auto"/>
        <w:ind w:firstLine="420" w:firstLineChars="200"/>
        <w:rPr>
          <w:rFonts w:hAnsi="宋体"/>
          <w:color w:val="auto"/>
          <w:highlight w:val="none"/>
        </w:rPr>
      </w:pPr>
      <w:r>
        <w:rPr>
          <w:rFonts w:hint="eastAsia" w:hAnsi="宋体"/>
          <w:color w:val="auto"/>
          <w:highlight w:val="none"/>
        </w:rPr>
        <w:t>评标委员会应当对符合资格的投标人的投标文件进行投标报价、商务、技术等实质性内容符合性审查，以确定其是否满足招标文件的实质性要求。</w:t>
      </w:r>
    </w:p>
    <w:p w14:paraId="0861FEA0">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2.符合性审查不通过而导致投标无效的情形</w:t>
      </w:r>
    </w:p>
    <w:p w14:paraId="4028EEE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投标人的投标文件中存在对招标文件的任何实质性要求和条件的负偏离，将被视为投标无效。</w:t>
      </w:r>
    </w:p>
    <w:p w14:paraId="726D898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2.1在报价评审时，如发现下列情形之一的，将被视为投标无效：</w:t>
      </w:r>
    </w:p>
    <w:p w14:paraId="25B41B2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（1）投标文件未提供“投标人须知前附表”第13.1条规定中“必须提供”的文件资料的；</w:t>
      </w:r>
    </w:p>
    <w:p w14:paraId="15617E6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（2）未采用人民币报价或者未按照招标文件标明的币种报价的；</w:t>
      </w:r>
    </w:p>
    <w:p w14:paraId="10185D2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（3）报价超出招标文件规定最高限价，或者超出采购预算金额（包括分项预算）的；</w:t>
      </w:r>
    </w:p>
    <w:p w14:paraId="48FCE83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6DE940C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（5）修正后的报价，投标人不确认的；</w:t>
      </w:r>
    </w:p>
    <w:p w14:paraId="6E5CFBE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（6）投标人属于本章第5条第（2）项情形的。</w:t>
      </w:r>
    </w:p>
    <w:p w14:paraId="64926FC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2.2在商务评审时，如发现下列情形之一的，将被视为投标无效：</w:t>
      </w:r>
    </w:p>
    <w:p w14:paraId="156B449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（1）投标文件未按招标文件要求签署、盖章的；</w:t>
      </w:r>
    </w:p>
    <w:p w14:paraId="418BF04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（2）委托代理人未能出具有效身份证明或者出具的身份证明与授权委托书中的信息不符的； </w:t>
      </w:r>
    </w:p>
    <w:p w14:paraId="1FF79AC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（3）投标文件未提供“投标人须知前附表”第13.1条规定中“必须提供”或者“委托时必须提供”的文件资料的；</w:t>
      </w:r>
    </w:p>
    <w:p w14:paraId="18FE5F6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（4）投标有效期、项目完成时间（交货时间、服务完成时间或者服务期等）、质保期、售后服务等招标文件中标“▲”的商务条款发生负偏离的；</w:t>
      </w:r>
    </w:p>
    <w:p w14:paraId="5251A39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（5）商务条款评审允许负偏离的条款数超过“投标人须知前附表”规定项数的。</w:t>
      </w:r>
    </w:p>
    <w:p w14:paraId="7F6556C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（6）投标文件的实质性内容未使用中文表述、使用计量单位不符合招标文件要求的；</w:t>
      </w:r>
    </w:p>
    <w:p w14:paraId="18C5B75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（7）投标文件中的文件资料因填写不齐全或者内容虚假或者出现其他情形而导致被评标委员会认定无效的；</w:t>
      </w:r>
    </w:p>
    <w:p w14:paraId="45659F6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（8）投标文件含有采购人不能接受的附加条件的；</w:t>
      </w:r>
    </w:p>
    <w:p w14:paraId="583F235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（9）未响应招标文件实质性要求的；</w:t>
      </w:r>
    </w:p>
    <w:p w14:paraId="7ABF30E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（10）属于投标人须知正文第9.2条情形的；</w:t>
      </w:r>
    </w:p>
    <w:p w14:paraId="5AAD4F3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（11）法律、法规和招标文件规定的其他无效情形。</w:t>
      </w:r>
    </w:p>
    <w:p w14:paraId="43A6C55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2.3在技术评审时，如发现下列情形之一的，将被视为投标无效：</w:t>
      </w:r>
    </w:p>
    <w:p w14:paraId="061E21C7">
      <w:pPr>
        <w:spacing w:line="360" w:lineRule="auto"/>
        <w:ind w:firstLine="420" w:firstLineChars="200"/>
        <w:rPr>
          <w:rFonts w:hAnsi="宋体"/>
          <w:color w:val="auto"/>
          <w:szCs w:val="21"/>
          <w:highlight w:val="none"/>
        </w:rPr>
      </w:pPr>
      <w:r>
        <w:rPr>
          <w:rFonts w:hint="eastAsia" w:hAnsi="宋体"/>
          <w:color w:val="auto"/>
          <w:szCs w:val="21"/>
          <w:highlight w:val="none"/>
        </w:rPr>
        <w:t>（</w:t>
      </w:r>
      <w:r>
        <w:rPr>
          <w:rFonts w:hAnsi="宋体"/>
          <w:color w:val="auto"/>
          <w:szCs w:val="21"/>
          <w:highlight w:val="none"/>
        </w:rPr>
        <w:t>1</w:t>
      </w:r>
      <w:r>
        <w:rPr>
          <w:rFonts w:hint="eastAsia" w:hAnsi="宋体"/>
          <w:color w:val="auto"/>
          <w:szCs w:val="21"/>
          <w:highlight w:val="none"/>
        </w:rPr>
        <w:t>）不满足招标文件要求的服务内容、技术要求、安全、质量标准，或者与招标文件中标“▲”的技术需求发生负偏离的；</w:t>
      </w:r>
    </w:p>
    <w:p w14:paraId="1437687A">
      <w:pPr>
        <w:spacing w:line="360" w:lineRule="auto"/>
        <w:ind w:firstLine="420" w:firstLineChars="200"/>
        <w:rPr>
          <w:rFonts w:hAnsi="宋体"/>
          <w:color w:val="auto"/>
          <w:szCs w:val="21"/>
          <w:highlight w:val="none"/>
        </w:rPr>
      </w:pPr>
      <w:r>
        <w:rPr>
          <w:rFonts w:hint="eastAsia" w:hAnsi="宋体"/>
          <w:color w:val="auto"/>
          <w:szCs w:val="21"/>
          <w:highlight w:val="none"/>
        </w:rPr>
        <w:t>（</w:t>
      </w:r>
      <w:r>
        <w:rPr>
          <w:rFonts w:hAnsi="宋体"/>
          <w:color w:val="auto"/>
          <w:szCs w:val="21"/>
          <w:highlight w:val="none"/>
        </w:rPr>
        <w:t>2</w:t>
      </w:r>
      <w:r>
        <w:rPr>
          <w:rFonts w:hint="eastAsia" w:hAnsi="宋体"/>
          <w:color w:val="auto"/>
          <w:szCs w:val="21"/>
          <w:highlight w:val="none"/>
        </w:rPr>
        <w:t>）技术需求评审允许负偏离的条款数超过“投标人须知前附表”规定项数的；</w:t>
      </w:r>
    </w:p>
    <w:p w14:paraId="701B8D83">
      <w:pPr>
        <w:spacing w:line="360" w:lineRule="auto"/>
        <w:ind w:firstLine="420" w:firstLineChars="200"/>
        <w:rPr>
          <w:rFonts w:hAnsi="宋体"/>
          <w:color w:val="auto"/>
          <w:szCs w:val="21"/>
          <w:highlight w:val="none"/>
        </w:rPr>
      </w:pPr>
      <w:r>
        <w:rPr>
          <w:rFonts w:hint="eastAsia" w:hAnsi="宋体"/>
          <w:color w:val="auto"/>
          <w:szCs w:val="21"/>
          <w:highlight w:val="none"/>
        </w:rPr>
        <w:t>（</w:t>
      </w:r>
      <w:r>
        <w:rPr>
          <w:rFonts w:hAnsi="宋体"/>
          <w:color w:val="auto"/>
          <w:szCs w:val="21"/>
          <w:highlight w:val="none"/>
        </w:rPr>
        <w:t>3</w:t>
      </w:r>
      <w:r>
        <w:rPr>
          <w:rFonts w:hint="eastAsia" w:hAnsi="宋体"/>
          <w:color w:val="auto"/>
          <w:szCs w:val="21"/>
          <w:highlight w:val="none"/>
        </w:rPr>
        <w:t>）投标文件未提供“投标人须知前附表”第</w:t>
      </w:r>
      <w:r>
        <w:rPr>
          <w:rFonts w:hAnsi="宋体"/>
          <w:color w:val="auto"/>
          <w:szCs w:val="21"/>
          <w:highlight w:val="none"/>
        </w:rPr>
        <w:t>13.1</w:t>
      </w:r>
      <w:r>
        <w:rPr>
          <w:rFonts w:hint="eastAsia" w:hAnsi="宋体"/>
          <w:color w:val="auto"/>
          <w:szCs w:val="21"/>
          <w:highlight w:val="none"/>
        </w:rPr>
        <w:t>条规定中“必须提供”的文件资料的</w:t>
      </w:r>
      <w:r>
        <w:rPr>
          <w:rFonts w:hAnsi="宋体"/>
          <w:color w:val="auto"/>
          <w:szCs w:val="21"/>
          <w:highlight w:val="none"/>
        </w:rPr>
        <w:t>;</w:t>
      </w:r>
    </w:p>
    <w:p w14:paraId="3CC5C3AF">
      <w:pPr>
        <w:spacing w:line="360" w:lineRule="auto"/>
        <w:ind w:firstLine="420" w:firstLineChars="200"/>
        <w:rPr>
          <w:rFonts w:hAnsi="宋体"/>
          <w:color w:val="auto"/>
          <w:szCs w:val="21"/>
          <w:highlight w:val="none"/>
        </w:rPr>
      </w:pPr>
      <w:r>
        <w:rPr>
          <w:rFonts w:hint="eastAsia" w:hAnsi="宋体"/>
          <w:color w:val="auto"/>
          <w:szCs w:val="21"/>
          <w:highlight w:val="none"/>
        </w:rPr>
        <w:t>（</w:t>
      </w:r>
      <w:r>
        <w:rPr>
          <w:rFonts w:hAnsi="宋体"/>
          <w:color w:val="auto"/>
          <w:szCs w:val="21"/>
          <w:highlight w:val="none"/>
        </w:rPr>
        <w:t>4</w:t>
      </w:r>
      <w:r>
        <w:rPr>
          <w:rFonts w:hint="eastAsia" w:hAnsi="宋体"/>
          <w:color w:val="auto"/>
          <w:szCs w:val="21"/>
          <w:highlight w:val="none"/>
        </w:rPr>
        <w:t>）虚假投标，或者出现其他情形而导致被评标委员会认定无效的；</w:t>
      </w:r>
    </w:p>
    <w:p w14:paraId="085914E0">
      <w:pPr>
        <w:spacing w:line="360" w:lineRule="auto"/>
        <w:ind w:firstLine="420" w:firstLineChars="200"/>
        <w:rPr>
          <w:rFonts w:hAnsi="宋体"/>
          <w:color w:val="auto"/>
          <w:szCs w:val="21"/>
          <w:highlight w:val="none"/>
        </w:rPr>
      </w:pPr>
      <w:r>
        <w:rPr>
          <w:rFonts w:hint="eastAsia" w:hAnsi="宋体"/>
          <w:color w:val="auto"/>
          <w:szCs w:val="21"/>
          <w:highlight w:val="none"/>
        </w:rPr>
        <w:t>（</w:t>
      </w:r>
      <w:r>
        <w:rPr>
          <w:rFonts w:hAnsi="宋体"/>
          <w:color w:val="auto"/>
          <w:szCs w:val="21"/>
          <w:highlight w:val="none"/>
        </w:rPr>
        <w:t>5</w:t>
      </w:r>
      <w:r>
        <w:rPr>
          <w:rFonts w:hint="eastAsia" w:hAnsi="宋体"/>
          <w:color w:val="auto"/>
          <w:szCs w:val="21"/>
          <w:highlight w:val="none"/>
        </w:rPr>
        <w:t>）如招标文件需要提供技术方案的，投标技术方案不明确，招标文件未允许但存在一个或者一个以上备选（替代）投标方案的。</w:t>
      </w:r>
    </w:p>
    <w:p w14:paraId="4237C0B8">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3.澄清补正、说明或者补正</w:t>
      </w:r>
    </w:p>
    <w:p w14:paraId="75368809">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6C609CD4">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73939C7E">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4.投标文件修正</w:t>
      </w:r>
    </w:p>
    <w:p w14:paraId="32DECAC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4.1投标文件报价出现前后不一致的，按照下列规定修正： </w:t>
      </w:r>
    </w:p>
    <w:p w14:paraId="58172DBE">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）报价文件中“开标一览表”内容与投标文件中相应内容不一致的，以“开标一览表”为准；</w:t>
      </w:r>
    </w:p>
    <w:p w14:paraId="1D73AD74">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）大写金额和小写金额不一致的，以大写金额为准；</w:t>
      </w:r>
    </w:p>
    <w:p w14:paraId="78A17705">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）单价金额小数点或者百分比有明显错位的，以开标一览表的总价为准，并修改单价；</w:t>
      </w:r>
    </w:p>
    <w:p w14:paraId="587D7B5F">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）总价金额与按单价汇总金额不一致的，以单价金额计算结果为准。</w:t>
      </w:r>
    </w:p>
    <w:p w14:paraId="246D5A70">
      <w:pPr>
        <w:spacing w:line="360" w:lineRule="auto"/>
        <w:ind w:firstLine="420" w:firstLineChars="200"/>
        <w:rPr>
          <w:rFonts w:hAnsi="宋体"/>
          <w:color w:val="auto"/>
          <w:highlight w:val="none"/>
        </w:rPr>
      </w:pPr>
      <w:r>
        <w:rPr>
          <w:rFonts w:hint="eastAsia" w:hAnsi="宋体"/>
          <w:color w:val="auto"/>
          <w:highlight w:val="none"/>
        </w:rPr>
        <w:t>同时出现两种以上不一致的，按照以上（</w:t>
      </w:r>
      <w:r>
        <w:rPr>
          <w:rFonts w:hAnsi="宋体"/>
          <w:color w:val="auto"/>
          <w:highlight w:val="none"/>
        </w:rPr>
        <w:t>1</w:t>
      </w:r>
      <w:r>
        <w:rPr>
          <w:rFonts w:hint="eastAsia" w:hAnsi="宋体"/>
          <w:color w:val="auto"/>
          <w:highlight w:val="none"/>
        </w:rPr>
        <w:t>）</w:t>
      </w:r>
      <w:r>
        <w:rPr>
          <w:rFonts w:hAnsi="宋体"/>
          <w:color w:val="auto"/>
          <w:highlight w:val="none"/>
        </w:rPr>
        <w:t>-</w:t>
      </w:r>
      <w:r>
        <w:rPr>
          <w:rFonts w:hint="eastAsia" w:hAnsi="宋体"/>
          <w:color w:val="auto"/>
          <w:highlight w:val="none"/>
        </w:rPr>
        <w:t>（</w:t>
      </w:r>
      <w:r>
        <w:rPr>
          <w:rFonts w:hAnsi="宋体"/>
          <w:color w:val="auto"/>
          <w:highlight w:val="none"/>
        </w:rPr>
        <w:t>4</w:t>
      </w:r>
      <w:r>
        <w:rPr>
          <w:rFonts w:hint="eastAsia" w:hAnsi="宋体"/>
          <w:color w:val="auto"/>
          <w:highlight w:val="none"/>
        </w:rPr>
        <w:t>）规定的顺序修正。修正后的报价经投标人确认后产生约束力，投标人不确认的，其投标无效。</w:t>
      </w:r>
    </w:p>
    <w:p w14:paraId="317D2FC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4.2经投标人确认修正后的报价若超过采购预算金额或者最高限价，投标人的投标文件作无效投标处理。</w:t>
      </w:r>
    </w:p>
    <w:p w14:paraId="7597C1B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4.3经投标人确认修正后的报价作为签订合同的依据，并以此报价计算价格分。</w:t>
      </w:r>
    </w:p>
    <w:p w14:paraId="00DC22E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5.比较与评价</w:t>
      </w:r>
    </w:p>
    <w:p w14:paraId="4E397EF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5.1评标委员会按照招标文件中规定的评标方法和评标标准，对符合性审查合格的投标文件进行商务和技术评估，综合比较与评价。</w:t>
      </w:r>
    </w:p>
    <w:p w14:paraId="652F199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5.2评标委员会独立对每个投标人的投标文件进行评价，并汇总每个投标人的得分。</w:t>
      </w:r>
    </w:p>
    <w:p w14:paraId="1816023C">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2DEAEB18">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595D3209">
      <w:pPr>
        <w:spacing w:line="360" w:lineRule="auto"/>
        <w:ind w:firstLine="420" w:firstLineChars="200"/>
        <w:rPr>
          <w:rFonts w:hAnsi="宋体"/>
          <w:color w:val="auto"/>
          <w:highlight w:val="none"/>
        </w:rPr>
      </w:pPr>
      <w:r>
        <w:rPr>
          <w:rFonts w:hint="eastAsia" w:ascii="宋体" w:hAnsi="宋体"/>
          <w:color w:val="auto"/>
          <w:szCs w:val="21"/>
          <w:highlight w:val="none"/>
        </w:rPr>
        <w:t>5.3评标委员会按照招标文件中规定的评标方法和标准计算各投标人的报价得分。在计算过程中，不得去掉最高报价或者最低报价。</w:t>
      </w:r>
    </w:p>
    <w:p w14:paraId="1E26E784">
      <w:pPr>
        <w:spacing w:line="360" w:lineRule="auto"/>
        <w:ind w:firstLine="420" w:firstLineChars="200"/>
        <w:rPr>
          <w:rFonts w:hAnsi="宋体"/>
          <w:color w:val="auto"/>
          <w:highlight w:val="none"/>
        </w:rPr>
      </w:pPr>
      <w:r>
        <w:rPr>
          <w:rFonts w:hAnsi="宋体"/>
          <w:color w:val="auto"/>
          <w:highlight w:val="none"/>
        </w:rPr>
        <w:t>5.4</w:t>
      </w:r>
      <w:r>
        <w:rPr>
          <w:rFonts w:hint="eastAsia" w:hAnsi="宋体"/>
          <w:color w:val="auto"/>
          <w:highlight w:val="none"/>
        </w:rPr>
        <w:t>各投标人的得分为所有评委的有效评分的算术平均数。</w:t>
      </w:r>
    </w:p>
    <w:p w14:paraId="48E47CD8">
      <w:pPr>
        <w:spacing w:line="360" w:lineRule="auto"/>
        <w:ind w:firstLine="420" w:firstLineChars="200"/>
        <w:rPr>
          <w:rFonts w:hAnsi="宋体"/>
          <w:color w:val="auto"/>
          <w:highlight w:val="none"/>
        </w:rPr>
      </w:pPr>
      <w:r>
        <w:rPr>
          <w:rFonts w:hAnsi="宋体"/>
          <w:color w:val="auto"/>
          <w:highlight w:val="none"/>
        </w:rPr>
        <w:t>5.5</w:t>
      </w:r>
      <w:r>
        <w:rPr>
          <w:rFonts w:hint="eastAsia" w:hAnsi="宋体"/>
          <w:color w:val="auto"/>
          <w:highlight w:val="none"/>
        </w:rPr>
        <w:t>评标委员会按照招标文件中的规定推荐中标候选人。</w:t>
      </w:r>
    </w:p>
    <w:p w14:paraId="475BF6C2">
      <w:pPr>
        <w:spacing w:line="360" w:lineRule="auto"/>
        <w:ind w:firstLine="420" w:firstLineChars="200"/>
        <w:rPr>
          <w:rFonts w:hAnsi="宋体"/>
          <w:color w:val="auto"/>
          <w:highlight w:val="none"/>
        </w:rPr>
      </w:pPr>
      <w:r>
        <w:rPr>
          <w:rFonts w:hAnsi="宋体"/>
          <w:color w:val="auto"/>
          <w:highlight w:val="none"/>
        </w:rPr>
        <w:t>5.6</w:t>
      </w:r>
      <w:r>
        <w:rPr>
          <w:rFonts w:hint="eastAsia" w:hAnsi="宋体"/>
          <w:color w:val="auto"/>
          <w:highlight w:val="none"/>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7EDFCAF1">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6.评审复核</w:t>
      </w:r>
    </w:p>
    <w:p w14:paraId="0F47E3AC">
      <w:pPr>
        <w:spacing w:line="360" w:lineRule="auto"/>
        <w:ind w:firstLine="420" w:firstLineChars="200"/>
        <w:rPr>
          <w:rFonts w:hAnsi="宋体"/>
          <w:color w:val="auto"/>
          <w:highlight w:val="none"/>
        </w:rPr>
      </w:pPr>
      <w:r>
        <w:rPr>
          <w:rFonts w:hint="eastAsia" w:hAnsi="宋体"/>
          <w:color w:val="auto"/>
          <w:highlight w:val="none"/>
        </w:rPr>
        <w:t>6.1评标报告签署前，评标委员会要对评审结果进行复核，复核意见要体现在评标报告中。</w:t>
      </w:r>
    </w:p>
    <w:p w14:paraId="1BA2C1BC">
      <w:pPr>
        <w:widowControl/>
        <w:spacing w:line="360" w:lineRule="auto"/>
        <w:ind w:firstLine="420" w:firstLineChars="200"/>
        <w:jc w:val="left"/>
        <w:rPr>
          <w:rFonts w:hAnsi="宋体"/>
          <w:color w:val="auto"/>
          <w:highlight w:val="none"/>
        </w:rPr>
      </w:pPr>
      <w:r>
        <w:rPr>
          <w:rFonts w:hint="eastAsia" w:hAnsi="宋体"/>
          <w:color w:val="auto"/>
          <w:highlight w:val="none"/>
        </w:rPr>
        <w:t>6.2评标结果汇总完成后，除下列情形外，任何人不得修改评标结果：</w:t>
      </w:r>
    </w:p>
    <w:p w14:paraId="633F7A06">
      <w:pPr>
        <w:widowControl/>
        <w:spacing w:line="360" w:lineRule="auto"/>
        <w:ind w:firstLine="420" w:firstLineChars="200"/>
        <w:jc w:val="left"/>
        <w:rPr>
          <w:rFonts w:hAnsi="宋体"/>
          <w:color w:val="auto"/>
          <w:highlight w:val="none"/>
        </w:rPr>
      </w:pPr>
      <w:r>
        <w:rPr>
          <w:rFonts w:hint="eastAsia" w:hAnsi="宋体"/>
          <w:color w:val="auto"/>
          <w:highlight w:val="none"/>
        </w:rPr>
        <w:t>（一）分值汇总计算错误的；</w:t>
      </w:r>
    </w:p>
    <w:p w14:paraId="25761CE5">
      <w:pPr>
        <w:widowControl/>
        <w:spacing w:line="360" w:lineRule="auto"/>
        <w:ind w:firstLine="420" w:firstLineChars="200"/>
        <w:jc w:val="left"/>
        <w:rPr>
          <w:rFonts w:hAnsi="宋体"/>
          <w:color w:val="auto"/>
          <w:highlight w:val="none"/>
        </w:rPr>
      </w:pPr>
      <w:r>
        <w:rPr>
          <w:rFonts w:hint="eastAsia" w:hAnsi="宋体"/>
          <w:color w:val="auto"/>
          <w:highlight w:val="none"/>
        </w:rPr>
        <w:t>（二）分项评分超出评分标准范围的；</w:t>
      </w:r>
    </w:p>
    <w:p w14:paraId="344AD984">
      <w:pPr>
        <w:widowControl/>
        <w:spacing w:line="360" w:lineRule="auto"/>
        <w:ind w:firstLine="420" w:firstLineChars="200"/>
        <w:jc w:val="left"/>
        <w:rPr>
          <w:rFonts w:hAnsi="宋体"/>
          <w:color w:val="auto"/>
          <w:highlight w:val="none"/>
        </w:rPr>
      </w:pPr>
      <w:r>
        <w:rPr>
          <w:rFonts w:hint="eastAsia" w:hAnsi="宋体"/>
          <w:color w:val="auto"/>
          <w:highlight w:val="none"/>
        </w:rPr>
        <w:t>（三）评标委员会成员对客观评审因素评分不一致的；</w:t>
      </w:r>
    </w:p>
    <w:p w14:paraId="1D2F3442">
      <w:pPr>
        <w:widowControl/>
        <w:spacing w:line="360" w:lineRule="auto"/>
        <w:ind w:firstLine="420" w:firstLineChars="200"/>
        <w:jc w:val="left"/>
        <w:rPr>
          <w:rFonts w:hAnsi="宋体"/>
          <w:color w:val="auto"/>
          <w:highlight w:val="none"/>
        </w:rPr>
      </w:pPr>
      <w:r>
        <w:rPr>
          <w:rFonts w:hint="eastAsia" w:hAnsi="宋体"/>
          <w:color w:val="auto"/>
          <w:highlight w:val="none"/>
        </w:rPr>
        <w:t>（四）经评标委员会认定评分畸高、畸低的。</w:t>
      </w:r>
    </w:p>
    <w:p w14:paraId="17C00CCC">
      <w:pPr>
        <w:spacing w:line="360" w:lineRule="auto"/>
        <w:ind w:firstLine="420" w:firstLineChars="200"/>
        <w:rPr>
          <w:rFonts w:hAnsi="宋体"/>
          <w:color w:val="auto"/>
          <w:highlight w:val="none"/>
        </w:rPr>
      </w:pPr>
      <w:r>
        <w:rPr>
          <w:rFonts w:hint="eastAsia" w:hAnsi="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FC2322F">
      <w:pPr>
        <w:snapToGrid w:val="0"/>
        <w:spacing w:line="540" w:lineRule="exact"/>
        <w:jc w:val="center"/>
        <w:rPr>
          <w:rFonts w:ascii="宋体" w:hAnsi="宋体" w:cs="宋体"/>
          <w:color w:val="auto"/>
          <w:highlight w:val="none"/>
        </w:rPr>
      </w:pPr>
      <w:r>
        <w:rPr>
          <w:rFonts w:hint="eastAsia" w:ascii="宋体" w:hAnsi="宋体" w:cs="宋体"/>
          <w:color w:val="auto"/>
          <w:highlight w:val="none"/>
        </w:rPr>
        <w:br w:type="page"/>
      </w:r>
      <w:r>
        <w:rPr>
          <w:rFonts w:hint="eastAsia"/>
          <w:b/>
          <w:bCs/>
          <w:color w:val="auto"/>
          <w:sz w:val="32"/>
          <w:szCs w:val="32"/>
          <w:highlight w:val="none"/>
        </w:rPr>
        <w:t>第三节</w:t>
      </w:r>
      <w:r>
        <w:rPr>
          <w:b/>
          <w:bCs/>
          <w:color w:val="auto"/>
          <w:sz w:val="32"/>
          <w:szCs w:val="32"/>
          <w:highlight w:val="none"/>
        </w:rPr>
        <w:t xml:space="preserve"> </w:t>
      </w:r>
      <w:r>
        <w:rPr>
          <w:rFonts w:hint="eastAsia" w:ascii="宋体" w:hAnsi="宋体" w:cs="宋体"/>
          <w:b/>
          <w:bCs/>
          <w:color w:val="auto"/>
          <w:sz w:val="32"/>
          <w:szCs w:val="32"/>
          <w:highlight w:val="none"/>
        </w:rPr>
        <w:t>评标标准</w:t>
      </w:r>
    </w:p>
    <w:p w14:paraId="4029C157">
      <w:pPr>
        <w:pStyle w:val="4"/>
        <w:keepNext w:val="0"/>
        <w:keepLines w:val="0"/>
        <w:spacing w:line="540" w:lineRule="exact"/>
        <w:jc w:val="center"/>
        <w:rPr>
          <w:rFonts w:ascii="宋体" w:hAnsi="宋体" w:cs="宋体"/>
          <w:color w:val="auto"/>
          <w:highlight w:val="none"/>
        </w:rPr>
      </w:pPr>
      <w:r>
        <w:rPr>
          <w:rFonts w:hint="eastAsia" w:ascii="宋体" w:hAnsi="宋体" w:cs="宋体"/>
          <w:color w:val="auto"/>
          <w:highlight w:val="none"/>
        </w:rPr>
        <w:t>综合评分法</w:t>
      </w:r>
    </w:p>
    <w:p w14:paraId="5D12CC7D">
      <w:pPr>
        <w:spacing w:line="360" w:lineRule="auto"/>
        <w:ind w:firstLine="420"/>
        <w:rPr>
          <w:rFonts w:ascii="宋体" w:hAnsi="宋体"/>
          <w:b/>
          <w:color w:val="auto"/>
          <w:szCs w:val="20"/>
          <w:highlight w:val="none"/>
        </w:rPr>
      </w:pPr>
      <w:r>
        <w:rPr>
          <w:rFonts w:hint="eastAsia" w:ascii="宋体" w:hAnsi="宋体"/>
          <w:b/>
          <w:color w:val="auto"/>
          <w:szCs w:val="20"/>
          <w:highlight w:val="none"/>
        </w:rPr>
        <w:t>注：</w:t>
      </w:r>
    </w:p>
    <w:p w14:paraId="41A34398">
      <w:pPr>
        <w:spacing w:line="360" w:lineRule="auto"/>
        <w:ind w:firstLine="420"/>
        <w:rPr>
          <w:rFonts w:ascii="宋体" w:hAnsi="宋体"/>
          <w:bCs/>
          <w:color w:val="auto"/>
          <w:szCs w:val="20"/>
          <w:highlight w:val="none"/>
        </w:rPr>
      </w:pPr>
      <w:r>
        <w:rPr>
          <w:rFonts w:hint="eastAsia" w:ascii="宋体" w:hAnsi="宋体"/>
          <w:bCs/>
          <w:color w:val="auto"/>
          <w:szCs w:val="20"/>
          <w:highlight w:val="none"/>
        </w:rPr>
        <w:t>1、计分方法按四舍五入取至百分位。</w:t>
      </w:r>
    </w:p>
    <w:p w14:paraId="399F777E">
      <w:pPr>
        <w:spacing w:line="360" w:lineRule="auto"/>
        <w:ind w:firstLine="420"/>
        <w:rPr>
          <w:rFonts w:ascii="宋体" w:hAnsi="宋体"/>
          <w:bCs/>
          <w:color w:val="auto"/>
          <w:szCs w:val="20"/>
          <w:highlight w:val="none"/>
        </w:rPr>
      </w:pPr>
      <w:r>
        <w:rPr>
          <w:rFonts w:hint="eastAsia" w:ascii="宋体" w:hAnsi="宋体"/>
          <w:bCs/>
          <w:color w:val="auto"/>
          <w:szCs w:val="20"/>
          <w:highlight w:val="none"/>
        </w:rPr>
        <w:t>2、商务技术评审因素为客观评分项的，应在评分项目或评分标准中予以标注为“客观分”。对投标人的客观评分项目，各评标专家评分应当一致。</w:t>
      </w:r>
    </w:p>
    <w:tbl>
      <w:tblPr>
        <w:tblStyle w:val="1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2"/>
        <w:gridCol w:w="1134"/>
        <w:gridCol w:w="6804"/>
      </w:tblGrid>
      <w:tr w14:paraId="2B2C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tcBorders>
              <w:top w:val="single" w:color="auto" w:sz="4" w:space="0"/>
              <w:left w:val="single" w:color="auto" w:sz="4" w:space="0"/>
              <w:bottom w:val="single" w:color="auto" w:sz="4" w:space="0"/>
              <w:right w:val="single" w:color="auto" w:sz="4" w:space="0"/>
            </w:tcBorders>
            <w:vAlign w:val="center"/>
          </w:tcPr>
          <w:p w14:paraId="5C9859B6">
            <w:pPr>
              <w:adjustRightInd w:val="0"/>
              <w:spacing w:line="40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序号</w:t>
            </w:r>
          </w:p>
        </w:tc>
        <w:tc>
          <w:tcPr>
            <w:tcW w:w="1134" w:type="dxa"/>
            <w:tcBorders>
              <w:top w:val="single" w:color="auto" w:sz="4" w:space="0"/>
              <w:left w:val="single" w:color="auto" w:sz="4" w:space="0"/>
              <w:bottom w:val="single" w:color="auto" w:sz="4" w:space="0"/>
              <w:right w:val="single" w:color="auto" w:sz="4" w:space="0"/>
            </w:tcBorders>
            <w:vAlign w:val="center"/>
          </w:tcPr>
          <w:p w14:paraId="56633858">
            <w:pPr>
              <w:adjustRightInd w:val="0"/>
              <w:spacing w:line="40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评分因素</w:t>
            </w:r>
          </w:p>
        </w:tc>
        <w:tc>
          <w:tcPr>
            <w:tcW w:w="6804" w:type="dxa"/>
            <w:tcBorders>
              <w:top w:val="single" w:color="auto" w:sz="4" w:space="0"/>
              <w:left w:val="single" w:color="auto" w:sz="4" w:space="0"/>
              <w:bottom w:val="single" w:color="auto" w:sz="4" w:space="0"/>
              <w:right w:val="single" w:color="auto" w:sz="4" w:space="0"/>
            </w:tcBorders>
            <w:vAlign w:val="center"/>
          </w:tcPr>
          <w:p w14:paraId="104C346E">
            <w:pPr>
              <w:adjustRightInd w:val="0"/>
              <w:spacing w:line="40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评分标准</w:t>
            </w:r>
          </w:p>
        </w:tc>
      </w:tr>
      <w:tr w14:paraId="3F57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3" w:hRule="atLeast"/>
        </w:trPr>
        <w:tc>
          <w:tcPr>
            <w:tcW w:w="534" w:type="dxa"/>
            <w:tcBorders>
              <w:top w:val="single" w:color="auto" w:sz="4" w:space="0"/>
              <w:left w:val="single" w:color="auto" w:sz="4" w:space="0"/>
              <w:bottom w:val="single" w:color="auto" w:sz="4" w:space="0"/>
              <w:right w:val="single" w:color="auto" w:sz="4" w:space="0"/>
            </w:tcBorders>
            <w:vAlign w:val="center"/>
          </w:tcPr>
          <w:p w14:paraId="0DAA9EE5">
            <w:pPr>
              <w:adjustRightInd w:val="0"/>
              <w:spacing w:line="40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1</w:t>
            </w:r>
          </w:p>
        </w:tc>
        <w:tc>
          <w:tcPr>
            <w:tcW w:w="992" w:type="dxa"/>
            <w:tcBorders>
              <w:top w:val="single" w:color="auto" w:sz="4" w:space="0"/>
              <w:left w:val="single" w:color="auto" w:sz="4" w:space="0"/>
              <w:bottom w:val="single" w:color="auto" w:sz="4" w:space="0"/>
              <w:right w:val="single" w:color="auto" w:sz="4" w:space="0"/>
            </w:tcBorders>
            <w:vAlign w:val="center"/>
          </w:tcPr>
          <w:p w14:paraId="7A6F985A">
            <w:pPr>
              <w:adjustRightInd w:val="0"/>
              <w:spacing w:line="40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价格分</w:t>
            </w:r>
          </w:p>
          <w:p w14:paraId="2B0C02BD">
            <w:pPr>
              <w:adjustRightInd w:val="0"/>
              <w:spacing w:line="400" w:lineRule="exact"/>
              <w:jc w:val="center"/>
              <w:textAlignment w:val="baseline"/>
              <w:rPr>
                <w:rFonts w:ascii="宋体" w:hAnsi="宋体" w:cs="宋体"/>
                <w:color w:val="auto"/>
                <w:szCs w:val="21"/>
                <w:highlight w:val="none"/>
              </w:rPr>
            </w:pPr>
            <w:r>
              <w:rPr>
                <w:rFonts w:hint="eastAsia" w:ascii="宋体" w:hAnsi="宋体" w:cs="宋体"/>
                <w:b/>
                <w:color w:val="auto"/>
                <w:szCs w:val="21"/>
                <w:highlight w:val="none"/>
              </w:rPr>
              <w:t>（20分）</w:t>
            </w:r>
          </w:p>
        </w:tc>
        <w:tc>
          <w:tcPr>
            <w:tcW w:w="1134" w:type="dxa"/>
            <w:tcBorders>
              <w:top w:val="single" w:color="auto" w:sz="4" w:space="0"/>
              <w:left w:val="single" w:color="auto" w:sz="4" w:space="0"/>
              <w:bottom w:val="single" w:color="auto" w:sz="4" w:space="0"/>
              <w:right w:val="single" w:color="auto" w:sz="4" w:space="0"/>
            </w:tcBorders>
            <w:vAlign w:val="center"/>
          </w:tcPr>
          <w:p w14:paraId="15DB41DF">
            <w:pPr>
              <w:adjustRightInd w:val="0"/>
              <w:spacing w:line="400" w:lineRule="exact"/>
              <w:jc w:val="center"/>
              <w:textAlignment w:val="baseline"/>
              <w:rPr>
                <w:rFonts w:ascii="宋体" w:hAnsi="宋体" w:cs="宋体"/>
                <w:b/>
                <w:bCs/>
                <w:color w:val="auto"/>
                <w:szCs w:val="21"/>
                <w:highlight w:val="none"/>
              </w:rPr>
            </w:pPr>
            <w:r>
              <w:rPr>
                <w:rFonts w:hint="eastAsia" w:ascii="宋体" w:hAnsi="宋体" w:cs="宋体"/>
                <w:b/>
                <w:bCs/>
                <w:color w:val="auto"/>
                <w:szCs w:val="21"/>
                <w:highlight w:val="none"/>
              </w:rPr>
              <w:t>投标报价</w:t>
            </w:r>
          </w:p>
          <w:p w14:paraId="61DC0102">
            <w:pPr>
              <w:adjustRightInd w:val="0"/>
              <w:spacing w:line="400" w:lineRule="exact"/>
              <w:jc w:val="center"/>
              <w:textAlignment w:val="baseline"/>
              <w:rPr>
                <w:rFonts w:ascii="宋体" w:hAnsi="宋体" w:cs="宋体"/>
                <w:color w:val="auto"/>
                <w:szCs w:val="21"/>
                <w:highlight w:val="none"/>
              </w:rPr>
            </w:pPr>
            <w:r>
              <w:rPr>
                <w:rFonts w:hint="eastAsia" w:ascii="宋体" w:hAnsi="宋体" w:cs="宋体"/>
                <w:b/>
                <w:bCs/>
                <w:color w:val="auto"/>
                <w:szCs w:val="21"/>
                <w:highlight w:val="none"/>
              </w:rPr>
              <w:t>（满分20分）</w:t>
            </w:r>
          </w:p>
        </w:tc>
        <w:tc>
          <w:tcPr>
            <w:tcW w:w="6804" w:type="dxa"/>
            <w:tcBorders>
              <w:top w:val="single" w:color="auto" w:sz="4" w:space="0"/>
              <w:left w:val="single" w:color="auto" w:sz="4" w:space="0"/>
              <w:bottom w:val="single" w:color="auto" w:sz="4" w:space="0"/>
              <w:right w:val="single" w:color="auto" w:sz="4" w:space="0"/>
            </w:tcBorders>
            <w:vAlign w:val="center"/>
          </w:tcPr>
          <w:p w14:paraId="07E6AE53">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本项目专门面向小微企业采购，不再执行价格评审优惠的扶持政策。</w:t>
            </w:r>
          </w:p>
          <w:p w14:paraId="64F685C4">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（1）满足招标文件要求且下浮系数最低的投标报价为评标基准价，其价格分为满分。（</w:t>
            </w:r>
            <w:r>
              <w:rPr>
                <w:rFonts w:hint="eastAsia" w:ascii="宋体" w:hAnsi="宋体" w:cs="Courier New"/>
                <w:bCs/>
                <w:color w:val="auto"/>
                <w:szCs w:val="21"/>
                <w:highlight w:val="none"/>
              </w:rPr>
              <w:t>如：下浮系数10%、20%，20%为最低。</w:t>
            </w:r>
            <w:r>
              <w:rPr>
                <w:rFonts w:hint="eastAsia" w:ascii="宋体" w:hAnsi="宋体" w:cs="宋体"/>
                <w:color w:val="auto"/>
                <w:szCs w:val="21"/>
                <w:highlight w:val="none"/>
              </w:rPr>
              <w:t>）</w:t>
            </w:r>
          </w:p>
          <w:p w14:paraId="55C51AFE">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（2）价格分计算公式：        </w:t>
            </w:r>
          </w:p>
          <w:p w14:paraId="0C715FC7">
            <w:pPr>
              <w:spacing w:before="120" w:beforeLines="50" w:line="300" w:lineRule="exact"/>
              <w:ind w:firstLine="2310" w:firstLineChars="1100"/>
              <w:rPr>
                <w:rFonts w:ascii="宋体" w:hAnsi="宋体" w:cs="宋体"/>
                <w:bCs/>
                <w:color w:val="auto"/>
                <w:szCs w:val="21"/>
                <w:highlight w:val="none"/>
              </w:rPr>
            </w:pPr>
            <w:r>
              <w:rPr>
                <w:rFonts w:hint="eastAsia" w:ascii="宋体" w:hAnsi="宋体" w:cs="宋体"/>
                <w:bCs/>
                <w:color w:val="auto"/>
                <w:szCs w:val="21"/>
                <w:highlight w:val="none"/>
              </w:rPr>
              <w:t xml:space="preserve"> </w:t>
            </w:r>
            <w:r>
              <w:rPr>
                <w:rFonts w:hint="eastAsia" w:ascii="宋体" w:hAnsi="宋体" w:cs="宋体"/>
                <w:color w:val="auto"/>
                <w:szCs w:val="21"/>
                <w:highlight w:val="none"/>
              </w:rPr>
              <w:t>(1-评标基准价）</w:t>
            </w:r>
            <w:r>
              <w:rPr>
                <w:rFonts w:hint="eastAsia" w:ascii="宋体" w:hAnsi="宋体" w:cs="宋体"/>
                <w:bCs/>
                <w:color w:val="auto"/>
                <w:szCs w:val="21"/>
                <w:highlight w:val="none"/>
              </w:rPr>
              <w:t xml:space="preserve"> </w:t>
            </w:r>
          </w:p>
          <w:p w14:paraId="56944740">
            <w:pPr>
              <w:spacing w:line="3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1221105</wp:posOffset>
                      </wp:positionH>
                      <wp:positionV relativeFrom="paragraph">
                        <wp:posOffset>110490</wp:posOffset>
                      </wp:positionV>
                      <wp:extent cx="1674495" cy="2540"/>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flipV="1">
                                <a:off x="0" y="0"/>
                                <a:ext cx="1674495" cy="254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96.15pt;margin-top:8.7pt;height:0.2pt;width:131.85pt;z-index:251664384;mso-width-relative:page;mso-height-relative:page;" filled="f" stroked="t" coordsize="21600,21600" o:gfxdata="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OxURzXAAAACQEAAA8AAAAAAAAAAQAgAAAAIgAAAGRycy9kb3ducmV2LnhtbFBLAQIU&#10;ABQAAAAIAIdO4kAColfX9AEAAMUDAAAOAAAAAAAAAAEAIAAAACYBAABkcnMvZTJvRG9jLnhtbFBL&#10;BQYAAAAABgAGAFkBAACMBQAAAAA=&#10;">
                      <v:fill on="f" focussize="0,0"/>
                      <v:stroke color="#000000" joinstyle="round"/>
                      <v:imagedata o:title=""/>
                      <o:lock v:ext="edit" aspectratio="f"/>
                    </v:line>
                  </w:pict>
                </mc:Fallback>
              </mc:AlternateContent>
            </w:r>
            <w:r>
              <w:rPr>
                <w:rFonts w:hint="eastAsia" w:ascii="宋体" w:hAnsi="宋体" w:cs="宋体"/>
                <w:color w:val="auto"/>
                <w:szCs w:val="21"/>
                <w:highlight w:val="none"/>
              </w:rPr>
              <w:t xml:space="preserve">     价格分 =                           ×20分</w:t>
            </w:r>
          </w:p>
          <w:p w14:paraId="4EBDB24A">
            <w:pPr>
              <w:spacing w:line="440" w:lineRule="exact"/>
              <w:ind w:firstLine="1890" w:firstLineChars="900"/>
              <w:rPr>
                <w:rFonts w:ascii="宋体" w:hAnsi="宋体" w:cs="宋体"/>
                <w:color w:val="auto"/>
                <w:szCs w:val="21"/>
                <w:highlight w:val="none"/>
              </w:rPr>
            </w:pPr>
            <w:r>
              <w:rPr>
                <w:rFonts w:hint="eastAsia" w:ascii="宋体" w:hAnsi="宋体" w:cs="宋体"/>
                <w:color w:val="auto"/>
                <w:szCs w:val="21"/>
                <w:highlight w:val="none"/>
              </w:rPr>
              <w:t>（1-</w:t>
            </w:r>
            <w:r>
              <w:rPr>
                <w:rFonts w:hint="eastAsia" w:hAnsi="宋体"/>
                <w:bCs/>
                <w:color w:val="auto"/>
                <w:highlight w:val="none"/>
              </w:rPr>
              <w:t>某有效投标人</w:t>
            </w:r>
            <w:r>
              <w:rPr>
                <w:rFonts w:hint="eastAsia" w:ascii="宋体" w:hAnsi="宋体" w:cs="宋体"/>
                <w:color w:val="auto"/>
                <w:szCs w:val="21"/>
                <w:highlight w:val="none"/>
              </w:rPr>
              <w:t>下浮系数)</w:t>
            </w:r>
          </w:p>
          <w:p w14:paraId="36A6B94F">
            <w:pPr>
              <w:spacing w:line="440" w:lineRule="exact"/>
              <w:ind w:firstLine="420" w:firstLineChars="200"/>
              <w:rPr>
                <w:rFonts w:ascii="宋体" w:hAnsi="宋体" w:cs="宋体"/>
                <w:color w:val="auto"/>
                <w:szCs w:val="21"/>
                <w:highlight w:val="none"/>
              </w:rPr>
            </w:pPr>
          </w:p>
        </w:tc>
      </w:tr>
      <w:tr w14:paraId="32091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top w:val="single" w:color="auto" w:sz="4" w:space="0"/>
              <w:left w:val="single" w:color="auto" w:sz="4" w:space="0"/>
              <w:right w:val="single" w:color="auto" w:sz="4" w:space="0"/>
            </w:tcBorders>
            <w:vAlign w:val="center"/>
          </w:tcPr>
          <w:p w14:paraId="5F3B976E">
            <w:pPr>
              <w:adjustRightInd w:val="0"/>
              <w:spacing w:line="40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2</w:t>
            </w:r>
          </w:p>
        </w:tc>
        <w:tc>
          <w:tcPr>
            <w:tcW w:w="992" w:type="dxa"/>
            <w:vMerge w:val="restart"/>
            <w:tcBorders>
              <w:top w:val="single" w:color="auto" w:sz="4" w:space="0"/>
              <w:left w:val="single" w:color="auto" w:sz="4" w:space="0"/>
              <w:right w:val="single" w:color="auto" w:sz="4" w:space="0"/>
            </w:tcBorders>
            <w:vAlign w:val="center"/>
          </w:tcPr>
          <w:p w14:paraId="07BE509D">
            <w:pPr>
              <w:adjustRightInd w:val="0"/>
              <w:spacing w:line="400" w:lineRule="exact"/>
              <w:ind w:left="-105" w:leftChars="-50" w:right="-105" w:rightChars="-50"/>
              <w:jc w:val="center"/>
              <w:textAlignment w:val="baseline"/>
              <w:rPr>
                <w:rFonts w:ascii="宋体" w:hAnsi="宋体" w:cs="宋体"/>
                <w:color w:val="auto"/>
                <w:spacing w:val="-18"/>
                <w:szCs w:val="21"/>
                <w:highlight w:val="none"/>
              </w:rPr>
            </w:pPr>
            <w:r>
              <w:rPr>
                <w:rFonts w:hint="eastAsia" w:ascii="宋体" w:hAnsi="宋体" w:cs="宋体"/>
                <w:b/>
                <w:bCs/>
                <w:color w:val="auto"/>
                <w:szCs w:val="21"/>
                <w:highlight w:val="none"/>
              </w:rPr>
              <w:t>技术分（满分50分）</w:t>
            </w:r>
          </w:p>
        </w:tc>
        <w:tc>
          <w:tcPr>
            <w:tcW w:w="1134" w:type="dxa"/>
            <w:tcBorders>
              <w:top w:val="single" w:color="auto" w:sz="4" w:space="0"/>
              <w:left w:val="single" w:color="auto" w:sz="4" w:space="0"/>
              <w:bottom w:val="single" w:color="auto" w:sz="4" w:space="0"/>
              <w:right w:val="single" w:color="auto" w:sz="4" w:space="0"/>
            </w:tcBorders>
            <w:vAlign w:val="center"/>
          </w:tcPr>
          <w:p w14:paraId="3B31C6D0">
            <w:pPr>
              <w:spacing w:line="360" w:lineRule="auto"/>
              <w:jc w:val="center"/>
              <w:rPr>
                <w:rFonts w:ascii="宋体" w:hAnsi="宋体" w:cs="宋体"/>
                <w:b/>
                <w:bCs/>
                <w:color w:val="auto"/>
                <w:szCs w:val="21"/>
                <w:highlight w:val="none"/>
              </w:rPr>
            </w:pPr>
            <w:r>
              <w:rPr>
                <w:rFonts w:hint="eastAsia" w:ascii="宋体" w:hAnsi="宋体" w:cs="Courier New"/>
                <w:b/>
                <w:bCs/>
                <w:color w:val="auto"/>
                <w:szCs w:val="21"/>
                <w:highlight w:val="none"/>
              </w:rPr>
              <w:t>配送方案分（满分20分）</w:t>
            </w:r>
          </w:p>
        </w:tc>
        <w:tc>
          <w:tcPr>
            <w:tcW w:w="6804" w:type="dxa"/>
            <w:tcBorders>
              <w:top w:val="single" w:color="auto" w:sz="4" w:space="0"/>
              <w:left w:val="single" w:color="auto" w:sz="4" w:space="0"/>
              <w:bottom w:val="single" w:color="auto" w:sz="4" w:space="0"/>
              <w:right w:val="single" w:color="auto" w:sz="4" w:space="0"/>
            </w:tcBorders>
            <w:vAlign w:val="center"/>
          </w:tcPr>
          <w:p w14:paraId="1E516DF2">
            <w:pPr>
              <w:spacing w:line="390" w:lineRule="exact"/>
              <w:ind w:firstLine="420" w:firstLineChars="200"/>
              <w:rPr>
                <w:color w:val="auto"/>
                <w:szCs w:val="21"/>
                <w:highlight w:val="none"/>
              </w:rPr>
            </w:pPr>
            <w:r>
              <w:rPr>
                <w:rFonts w:hint="eastAsia"/>
                <w:color w:val="auto"/>
                <w:szCs w:val="21"/>
                <w:highlight w:val="none"/>
              </w:rPr>
              <w:t>由评标委员会在打分前根据各投标人提供的配送方案确定各投标人所属档次及分值，达不到一档要求的不得分。</w:t>
            </w:r>
          </w:p>
          <w:p w14:paraId="69FDA91E">
            <w:pPr>
              <w:pStyle w:val="11"/>
              <w:spacing w:line="420" w:lineRule="exact"/>
              <w:ind w:firstLine="411" w:firstLineChars="196"/>
              <w:rPr>
                <w:rFonts w:hAnsi="宋体" w:cs="宋体"/>
                <w:color w:val="auto"/>
                <w:sz w:val="21"/>
                <w:highlight w:val="none"/>
              </w:rPr>
            </w:pPr>
            <w:r>
              <w:rPr>
                <w:rFonts w:hAnsi="宋体" w:cs="宋体"/>
                <w:color w:val="auto"/>
                <w:sz w:val="21"/>
                <w:highlight w:val="none"/>
              </w:rPr>
              <w:t>一档（</w:t>
            </w:r>
            <w:r>
              <w:rPr>
                <w:rFonts w:hint="eastAsia" w:hAnsi="宋体" w:cs="宋体"/>
                <w:color w:val="auto"/>
                <w:sz w:val="21"/>
                <w:highlight w:val="none"/>
              </w:rPr>
              <w:t>5</w:t>
            </w:r>
            <w:r>
              <w:rPr>
                <w:rFonts w:hAnsi="宋体" w:cs="宋体"/>
                <w:color w:val="auto"/>
                <w:sz w:val="21"/>
                <w:highlight w:val="none"/>
              </w:rPr>
              <w:t>分）：管理制度、配送服务方案基本满足要求、描述简单，基本保证配送服务的，对问题食材发生紧急事件处理预案内容差、基本可行的；</w:t>
            </w:r>
          </w:p>
          <w:p w14:paraId="7976D6E0">
            <w:pPr>
              <w:pStyle w:val="11"/>
              <w:spacing w:line="420" w:lineRule="exact"/>
              <w:ind w:firstLine="411" w:firstLineChars="196"/>
              <w:rPr>
                <w:rFonts w:hAnsi="宋体" w:cs="宋体"/>
                <w:color w:val="auto"/>
                <w:sz w:val="21"/>
                <w:highlight w:val="none"/>
              </w:rPr>
            </w:pPr>
            <w:r>
              <w:rPr>
                <w:rFonts w:hint="eastAsia" w:hAnsi="宋体" w:cs="宋体"/>
                <w:color w:val="auto"/>
                <w:sz w:val="21"/>
                <w:highlight w:val="none"/>
              </w:rPr>
              <w:t>二</w:t>
            </w:r>
            <w:r>
              <w:rPr>
                <w:rFonts w:hAnsi="宋体" w:cs="宋体"/>
                <w:color w:val="auto"/>
                <w:sz w:val="21"/>
                <w:highlight w:val="none"/>
              </w:rPr>
              <w:t>档（</w:t>
            </w:r>
            <w:r>
              <w:rPr>
                <w:rFonts w:hint="eastAsia" w:hAnsi="宋体" w:cs="宋体"/>
                <w:color w:val="auto"/>
                <w:sz w:val="21"/>
                <w:highlight w:val="none"/>
              </w:rPr>
              <w:t>10</w:t>
            </w:r>
            <w:r>
              <w:rPr>
                <w:rFonts w:hAnsi="宋体" w:cs="宋体"/>
                <w:color w:val="auto"/>
                <w:sz w:val="21"/>
                <w:highlight w:val="none"/>
              </w:rPr>
              <w:t>分）：项目配送体系、供货时间安排合理，有较完善的管理制度、配送服务方案，描述较详细，具体实施步骤和要求描述较详细，在保证配送服务业务外有机动人员用于对紧急事件处理，对配送及应急处理响应快，对问题食材发生紧急事件处理预案内容具体，有一定针对性；</w:t>
            </w:r>
          </w:p>
          <w:p w14:paraId="5AF555E0">
            <w:pPr>
              <w:pStyle w:val="11"/>
              <w:spacing w:line="420" w:lineRule="exact"/>
              <w:ind w:firstLine="411" w:firstLineChars="196"/>
              <w:rPr>
                <w:rFonts w:hAnsi="宋体" w:cs="宋体"/>
                <w:color w:val="auto"/>
                <w:sz w:val="21"/>
                <w:highlight w:val="none"/>
              </w:rPr>
            </w:pPr>
            <w:r>
              <w:rPr>
                <w:rFonts w:hint="eastAsia" w:hAnsi="宋体" w:cs="宋体"/>
                <w:color w:val="auto"/>
                <w:sz w:val="21"/>
                <w:highlight w:val="none"/>
              </w:rPr>
              <w:t>三</w:t>
            </w:r>
            <w:r>
              <w:rPr>
                <w:rFonts w:hAnsi="宋体" w:cs="宋体"/>
                <w:color w:val="auto"/>
                <w:sz w:val="21"/>
                <w:highlight w:val="none"/>
              </w:rPr>
              <w:t>档（</w:t>
            </w:r>
            <w:r>
              <w:rPr>
                <w:rFonts w:hint="eastAsia" w:hAnsi="宋体" w:cs="宋体"/>
                <w:color w:val="auto"/>
                <w:sz w:val="21"/>
                <w:highlight w:val="none"/>
              </w:rPr>
              <w:t>15</w:t>
            </w:r>
            <w:r>
              <w:rPr>
                <w:rFonts w:hAnsi="宋体" w:cs="宋体"/>
                <w:color w:val="auto"/>
                <w:sz w:val="21"/>
                <w:highlight w:val="none"/>
              </w:rPr>
              <w:t>分）：配送工作体系健全完善，配送供货时间安排合理，针对项目实际情况，能提供全面、可靠的管理制度、配送服务方案，描述详细，具体实施步骤和要求描述全面，可行性强，充分优于本项目需求，对问题食材发生紧急事件处理预案内容的具体、全面，在保证配送服务业务外有紧急事件处理</w:t>
            </w:r>
            <w:r>
              <w:rPr>
                <w:rFonts w:hint="eastAsia" w:hAnsi="宋体" w:cs="宋体"/>
                <w:color w:val="auto"/>
                <w:sz w:val="21"/>
                <w:highlight w:val="none"/>
              </w:rPr>
              <w:t>能力</w:t>
            </w:r>
            <w:r>
              <w:rPr>
                <w:rFonts w:hAnsi="宋体" w:cs="宋体"/>
                <w:color w:val="auto"/>
                <w:sz w:val="21"/>
                <w:highlight w:val="none"/>
              </w:rPr>
              <w:t>，人员配备充裕，对配送及应急处理响应迅速，可行性高，方案针对性强，有重点</w:t>
            </w:r>
            <w:r>
              <w:rPr>
                <w:rFonts w:hint="eastAsia" w:hAnsi="宋体" w:cs="宋体"/>
                <w:color w:val="auto"/>
                <w:sz w:val="21"/>
                <w:highlight w:val="none"/>
              </w:rPr>
              <w:t>；防控防疫方案</w:t>
            </w:r>
            <w:r>
              <w:rPr>
                <w:rFonts w:hAnsi="宋体" w:cs="宋体"/>
                <w:color w:val="auto"/>
                <w:sz w:val="21"/>
                <w:highlight w:val="none"/>
              </w:rPr>
              <w:t>可行</w:t>
            </w:r>
            <w:r>
              <w:rPr>
                <w:rFonts w:hint="eastAsia" w:hAnsi="宋体" w:cs="宋体"/>
                <w:color w:val="auto"/>
                <w:sz w:val="21"/>
                <w:highlight w:val="none"/>
              </w:rPr>
              <w:t>，方案合理。</w:t>
            </w:r>
          </w:p>
          <w:p w14:paraId="579F07C0">
            <w:pPr>
              <w:pStyle w:val="11"/>
              <w:spacing w:line="420" w:lineRule="exact"/>
              <w:ind w:firstLine="411" w:firstLineChars="196"/>
              <w:rPr>
                <w:rFonts w:hAnsi="宋体" w:cs="宋体"/>
                <w:color w:val="auto"/>
                <w:sz w:val="21"/>
                <w:highlight w:val="none"/>
              </w:rPr>
            </w:pPr>
            <w:r>
              <w:rPr>
                <w:rFonts w:hint="eastAsia" w:hAnsi="宋体" w:cs="宋体"/>
                <w:color w:val="auto"/>
                <w:sz w:val="21"/>
                <w:highlight w:val="none"/>
              </w:rPr>
              <w:t>四</w:t>
            </w:r>
            <w:r>
              <w:rPr>
                <w:rFonts w:hAnsi="宋体" w:cs="宋体"/>
                <w:color w:val="auto"/>
                <w:sz w:val="21"/>
                <w:highlight w:val="none"/>
              </w:rPr>
              <w:t>档（</w:t>
            </w:r>
            <w:r>
              <w:rPr>
                <w:rFonts w:hint="eastAsia" w:hAnsi="宋体" w:cs="宋体"/>
                <w:color w:val="auto"/>
                <w:sz w:val="21"/>
                <w:highlight w:val="none"/>
              </w:rPr>
              <w:t>20</w:t>
            </w:r>
            <w:r>
              <w:rPr>
                <w:rFonts w:hAnsi="宋体" w:cs="宋体"/>
                <w:color w:val="auto"/>
                <w:sz w:val="21"/>
                <w:highlight w:val="none"/>
              </w:rPr>
              <w:t>分）：配送工作体系健全</w:t>
            </w:r>
            <w:r>
              <w:rPr>
                <w:rFonts w:hint="eastAsia" w:hAnsi="宋体" w:cs="宋体"/>
                <w:color w:val="auto"/>
                <w:sz w:val="21"/>
                <w:highlight w:val="none"/>
              </w:rPr>
              <w:t>、具体、</w:t>
            </w:r>
            <w:r>
              <w:rPr>
                <w:rFonts w:hAnsi="宋体" w:cs="宋体"/>
                <w:color w:val="auto"/>
                <w:sz w:val="21"/>
                <w:highlight w:val="none"/>
              </w:rPr>
              <w:t>完善，配送供货时间安排</w:t>
            </w:r>
            <w:r>
              <w:rPr>
                <w:rFonts w:hint="eastAsia" w:hAnsi="宋体" w:cs="宋体"/>
                <w:color w:val="auto"/>
                <w:sz w:val="21"/>
                <w:highlight w:val="none"/>
              </w:rPr>
              <w:t>科学</w:t>
            </w:r>
            <w:r>
              <w:rPr>
                <w:rFonts w:hAnsi="宋体" w:cs="宋体"/>
                <w:color w:val="auto"/>
                <w:sz w:val="21"/>
                <w:highlight w:val="none"/>
              </w:rPr>
              <w:t>合理，针对项目实际情况，能提供全面细致、可靠的管理制度、配送服务方案，描述详细，具体实施步骤和要求描述全面，可行性强，充分优于本项目需求，对问题食材发生紧急事件处理预案内容的具体、全面，在保证配送服务业务</w:t>
            </w:r>
            <w:r>
              <w:rPr>
                <w:rFonts w:hint="eastAsia" w:hAnsi="宋体" w:cs="宋体"/>
                <w:color w:val="auto"/>
                <w:sz w:val="21"/>
                <w:highlight w:val="none"/>
              </w:rPr>
              <w:t>正常进行</w:t>
            </w:r>
            <w:r>
              <w:rPr>
                <w:rFonts w:hAnsi="宋体" w:cs="宋体"/>
                <w:color w:val="auto"/>
                <w:sz w:val="21"/>
                <w:highlight w:val="none"/>
              </w:rPr>
              <w:t>外有机动人员</w:t>
            </w:r>
            <w:r>
              <w:rPr>
                <w:rFonts w:hint="eastAsia" w:hAnsi="宋体" w:cs="宋体"/>
                <w:color w:val="auto"/>
                <w:sz w:val="21"/>
                <w:highlight w:val="none"/>
              </w:rPr>
              <w:t>及设备</w:t>
            </w:r>
            <w:r>
              <w:rPr>
                <w:rFonts w:hAnsi="宋体" w:cs="宋体"/>
                <w:color w:val="auto"/>
                <w:sz w:val="21"/>
                <w:highlight w:val="none"/>
              </w:rPr>
              <w:t>用于对紧急事件处理，人员配备充裕，对配送及应急处理响应迅速，可行性高，方案针对性强，有重点，预案清晰且能根据具体情况做出全面细致方案且能保证食材卫生安全</w:t>
            </w:r>
            <w:r>
              <w:rPr>
                <w:rFonts w:hint="eastAsia" w:hAnsi="宋体" w:cs="宋体"/>
                <w:color w:val="auto"/>
                <w:sz w:val="21"/>
                <w:highlight w:val="none"/>
              </w:rPr>
              <w:t>准时送达</w:t>
            </w:r>
            <w:r>
              <w:rPr>
                <w:rFonts w:hAnsi="宋体" w:cs="宋体"/>
                <w:color w:val="auto"/>
                <w:sz w:val="21"/>
                <w:highlight w:val="none"/>
              </w:rPr>
              <w:t>等重要因素的。</w:t>
            </w:r>
            <w:r>
              <w:rPr>
                <w:rFonts w:hint="eastAsia" w:hAnsi="宋体" w:cs="宋体"/>
                <w:color w:val="auto"/>
                <w:sz w:val="21"/>
                <w:highlight w:val="none"/>
              </w:rPr>
              <w:t>根据防控防疫的要求，提供科学、具体、详细、安全的配送方案，以保障所提供的食材</w:t>
            </w:r>
            <w:r>
              <w:rPr>
                <w:rFonts w:hAnsi="宋体" w:cs="宋体"/>
                <w:color w:val="auto"/>
                <w:sz w:val="21"/>
                <w:highlight w:val="none"/>
              </w:rPr>
              <w:t>卫生安全</w:t>
            </w:r>
            <w:r>
              <w:rPr>
                <w:rFonts w:hint="eastAsia" w:hAnsi="宋体" w:cs="宋体"/>
                <w:color w:val="auto"/>
                <w:sz w:val="21"/>
                <w:highlight w:val="none"/>
              </w:rPr>
              <w:t>。</w:t>
            </w:r>
          </w:p>
        </w:tc>
      </w:tr>
      <w:tr w14:paraId="7D2DD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6E663BC">
            <w:pPr>
              <w:adjustRightInd w:val="0"/>
              <w:spacing w:line="400" w:lineRule="exact"/>
              <w:jc w:val="center"/>
              <w:textAlignment w:val="baseline"/>
              <w:rPr>
                <w:rFonts w:ascii="宋体" w:hAnsi="宋体" w:cs="宋体"/>
                <w:b/>
                <w:color w:val="auto"/>
                <w:szCs w:val="21"/>
                <w:highlight w:val="none"/>
              </w:rPr>
            </w:pPr>
          </w:p>
        </w:tc>
        <w:tc>
          <w:tcPr>
            <w:tcW w:w="992" w:type="dxa"/>
            <w:vMerge w:val="continue"/>
            <w:tcBorders>
              <w:left w:val="single" w:color="auto" w:sz="4" w:space="0"/>
              <w:right w:val="single" w:color="auto" w:sz="4" w:space="0"/>
            </w:tcBorders>
            <w:vAlign w:val="center"/>
          </w:tcPr>
          <w:p w14:paraId="2D3C7AEF">
            <w:pPr>
              <w:adjustRightInd w:val="0"/>
              <w:spacing w:line="400" w:lineRule="exact"/>
              <w:ind w:left="-105" w:leftChars="-50" w:right="-105" w:rightChars="-50"/>
              <w:jc w:val="center"/>
              <w:textAlignment w:val="baseline"/>
              <w:rPr>
                <w:rFonts w:ascii="宋体" w:hAnsi="宋体" w:cs="宋体"/>
                <w:b/>
                <w:bCs/>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E635842">
            <w:pPr>
              <w:spacing w:line="360" w:lineRule="auto"/>
              <w:jc w:val="center"/>
              <w:rPr>
                <w:rFonts w:ascii="宋体" w:hAnsi="宋体"/>
                <w:b/>
                <w:color w:val="auto"/>
                <w:szCs w:val="21"/>
                <w:highlight w:val="none"/>
              </w:rPr>
            </w:pPr>
            <w:r>
              <w:rPr>
                <w:rFonts w:hint="eastAsia" w:ascii="宋体" w:hAnsi="宋体"/>
                <w:b/>
                <w:color w:val="auto"/>
                <w:szCs w:val="21"/>
                <w:highlight w:val="none"/>
              </w:rPr>
              <w:t>食材安全措施方案（满分20分）</w:t>
            </w:r>
          </w:p>
          <w:p w14:paraId="6777964D">
            <w:pPr>
              <w:spacing w:line="360" w:lineRule="auto"/>
              <w:jc w:val="center"/>
              <w:rPr>
                <w:rFonts w:ascii="宋体" w:hAnsi="宋体" w:cs="宋体"/>
                <w:b/>
                <w:color w:val="auto"/>
                <w:szCs w:val="21"/>
                <w:highlight w:val="none"/>
              </w:rPr>
            </w:pPr>
          </w:p>
        </w:tc>
        <w:tc>
          <w:tcPr>
            <w:tcW w:w="6804" w:type="dxa"/>
            <w:tcBorders>
              <w:top w:val="single" w:color="auto" w:sz="4" w:space="0"/>
              <w:left w:val="single" w:color="auto" w:sz="4" w:space="0"/>
              <w:bottom w:val="single" w:color="auto" w:sz="4" w:space="0"/>
              <w:right w:val="single" w:color="auto" w:sz="4" w:space="0"/>
            </w:tcBorders>
            <w:vAlign w:val="center"/>
          </w:tcPr>
          <w:p w14:paraId="61D4E070">
            <w:pPr>
              <w:pStyle w:val="11"/>
              <w:spacing w:line="440" w:lineRule="exact"/>
              <w:ind w:firstLine="420" w:firstLineChars="200"/>
              <w:outlineLvl w:val="0"/>
              <w:rPr>
                <w:rFonts w:hAnsi="宋体"/>
                <w:color w:val="auto"/>
                <w:sz w:val="21"/>
                <w:highlight w:val="none"/>
              </w:rPr>
            </w:pPr>
            <w:r>
              <w:rPr>
                <w:rFonts w:hint="eastAsia" w:hAnsi="宋体"/>
                <w:bCs/>
                <w:color w:val="auto"/>
                <w:sz w:val="21"/>
                <w:highlight w:val="none"/>
              </w:rPr>
              <w:t>由评标委员会在打分前根据投标人的食材安全措施方案情况</w:t>
            </w:r>
            <w:r>
              <w:rPr>
                <w:rFonts w:hint="eastAsia" w:hAnsi="宋体"/>
                <w:color w:val="auto"/>
                <w:sz w:val="21"/>
                <w:highlight w:val="none"/>
              </w:rPr>
              <w:t>确定各</w:t>
            </w:r>
            <w:r>
              <w:rPr>
                <w:rFonts w:hint="eastAsia" w:hAnsi="宋体"/>
                <w:bCs/>
                <w:color w:val="auto"/>
                <w:sz w:val="21"/>
                <w:highlight w:val="none"/>
              </w:rPr>
              <w:t>投标人</w:t>
            </w:r>
            <w:r>
              <w:rPr>
                <w:rFonts w:hint="eastAsia" w:hAnsi="宋体"/>
                <w:color w:val="auto"/>
                <w:sz w:val="21"/>
                <w:highlight w:val="none"/>
              </w:rPr>
              <w:t>所属档次及分值，达不到一档要求的不得分。</w:t>
            </w:r>
          </w:p>
          <w:p w14:paraId="073887D3">
            <w:pPr>
              <w:pStyle w:val="11"/>
              <w:spacing w:line="420" w:lineRule="exact"/>
              <w:ind w:firstLine="411" w:firstLineChars="196"/>
              <w:rPr>
                <w:rFonts w:hAnsi="宋体" w:cs="宋体"/>
                <w:color w:val="auto"/>
                <w:sz w:val="21"/>
                <w:highlight w:val="none"/>
              </w:rPr>
            </w:pPr>
            <w:r>
              <w:rPr>
                <w:rFonts w:hAnsi="宋体" w:cs="宋体"/>
                <w:color w:val="auto"/>
                <w:sz w:val="21"/>
                <w:highlight w:val="none"/>
              </w:rPr>
              <w:t>一档（</w:t>
            </w:r>
            <w:r>
              <w:rPr>
                <w:rFonts w:hint="eastAsia" w:hAnsi="宋体" w:cs="宋体"/>
                <w:color w:val="auto"/>
                <w:sz w:val="21"/>
                <w:highlight w:val="none"/>
              </w:rPr>
              <w:t>5</w:t>
            </w:r>
            <w:r>
              <w:rPr>
                <w:rFonts w:hAnsi="宋体" w:cs="宋体"/>
                <w:color w:val="auto"/>
                <w:sz w:val="21"/>
                <w:highlight w:val="none"/>
              </w:rPr>
              <w:t>分）：对进货采购渠道</w:t>
            </w:r>
            <w:r>
              <w:rPr>
                <w:rFonts w:hint="eastAsia" w:hAnsi="宋体" w:cs="宋体"/>
                <w:color w:val="auto"/>
                <w:sz w:val="21"/>
                <w:highlight w:val="none"/>
              </w:rPr>
              <w:t>管理制度简单，</w:t>
            </w:r>
            <w:r>
              <w:rPr>
                <w:rFonts w:hAnsi="宋体" w:cs="宋体"/>
                <w:color w:val="auto"/>
                <w:sz w:val="21"/>
                <w:highlight w:val="none"/>
              </w:rPr>
              <w:t>食材控制管理措施</w:t>
            </w:r>
            <w:r>
              <w:rPr>
                <w:rFonts w:hint="eastAsia" w:hAnsi="宋体" w:cs="宋体"/>
                <w:color w:val="auto"/>
                <w:sz w:val="21"/>
                <w:highlight w:val="none"/>
              </w:rPr>
              <w:t>不完善，从选择食品原料货源到运输，质量安全保证措施无针对性</w:t>
            </w:r>
            <w:r>
              <w:rPr>
                <w:rFonts w:hint="eastAsia" w:hAnsi="宋体" w:cs="宋体"/>
                <w:bCs/>
                <w:color w:val="auto"/>
                <w:sz w:val="21"/>
                <w:highlight w:val="none"/>
              </w:rPr>
              <w:t>，</w:t>
            </w:r>
            <w:r>
              <w:rPr>
                <w:rFonts w:hAnsi="宋体" w:cs="宋体"/>
                <w:color w:val="auto"/>
                <w:sz w:val="21"/>
                <w:highlight w:val="none"/>
              </w:rPr>
              <w:t>食材质量标准、追溯方式</w:t>
            </w:r>
            <w:r>
              <w:rPr>
                <w:rFonts w:hint="eastAsia" w:hAnsi="宋体" w:cs="宋体"/>
                <w:color w:val="auto"/>
                <w:sz w:val="21"/>
                <w:highlight w:val="none"/>
              </w:rPr>
              <w:t>、疫情防控</w:t>
            </w:r>
            <w:r>
              <w:rPr>
                <w:rFonts w:hAnsi="宋体" w:cs="宋体"/>
                <w:color w:val="auto"/>
                <w:sz w:val="21"/>
                <w:highlight w:val="none"/>
              </w:rPr>
              <w:t>这几个方面描述简单，检验检疫措施简单；</w:t>
            </w:r>
          </w:p>
          <w:p w14:paraId="3AA6EE63">
            <w:pPr>
              <w:pStyle w:val="11"/>
              <w:spacing w:line="420" w:lineRule="exact"/>
              <w:ind w:firstLine="411" w:firstLineChars="196"/>
              <w:rPr>
                <w:rFonts w:hAnsi="宋体" w:cs="宋体"/>
                <w:color w:val="auto"/>
                <w:sz w:val="21"/>
                <w:highlight w:val="none"/>
              </w:rPr>
            </w:pPr>
            <w:r>
              <w:rPr>
                <w:rFonts w:hint="eastAsia" w:hAnsi="宋体" w:cs="宋体"/>
                <w:color w:val="auto"/>
                <w:sz w:val="21"/>
                <w:highlight w:val="none"/>
              </w:rPr>
              <w:t>二</w:t>
            </w:r>
            <w:r>
              <w:rPr>
                <w:rFonts w:hAnsi="宋体" w:cs="宋体"/>
                <w:color w:val="auto"/>
                <w:sz w:val="21"/>
                <w:highlight w:val="none"/>
              </w:rPr>
              <w:t>档（</w:t>
            </w:r>
            <w:r>
              <w:rPr>
                <w:rFonts w:hint="eastAsia" w:hAnsi="宋体" w:cs="宋体"/>
                <w:color w:val="auto"/>
                <w:sz w:val="21"/>
                <w:highlight w:val="none"/>
              </w:rPr>
              <w:t>10</w:t>
            </w:r>
            <w:r>
              <w:rPr>
                <w:rFonts w:hAnsi="宋体" w:cs="宋体"/>
                <w:color w:val="auto"/>
                <w:sz w:val="21"/>
                <w:highlight w:val="none"/>
              </w:rPr>
              <w:t>分）：对进货采购渠道</w:t>
            </w:r>
            <w:r>
              <w:rPr>
                <w:rFonts w:hint="eastAsia" w:hAnsi="宋体" w:cs="宋体"/>
                <w:color w:val="auto"/>
                <w:sz w:val="21"/>
                <w:highlight w:val="none"/>
              </w:rPr>
              <w:t>有管理制度可行但存在不完善的地方，</w:t>
            </w:r>
            <w:r>
              <w:rPr>
                <w:rFonts w:hAnsi="宋体" w:cs="宋体"/>
                <w:color w:val="auto"/>
                <w:sz w:val="21"/>
                <w:highlight w:val="none"/>
              </w:rPr>
              <w:t>食材控制管理措施</w:t>
            </w:r>
            <w:r>
              <w:rPr>
                <w:rFonts w:hint="eastAsia" w:hAnsi="宋体" w:cs="宋体"/>
                <w:color w:val="auto"/>
                <w:sz w:val="21"/>
                <w:highlight w:val="none"/>
              </w:rPr>
              <w:t>完善，从选择食品原料货源到运输，质量安全保证措施有针对性但不突出，服务特点明确，方案基本完整可行，</w:t>
            </w:r>
            <w:r>
              <w:rPr>
                <w:rFonts w:hAnsi="宋体" w:cs="宋体"/>
                <w:color w:val="auto"/>
                <w:sz w:val="21"/>
                <w:highlight w:val="none"/>
              </w:rPr>
              <w:t>食材质量标准、追溯方式这几个方面描述清晰、详细，检验检疫措施全面</w:t>
            </w:r>
            <w:r>
              <w:rPr>
                <w:rFonts w:hint="eastAsia" w:hAnsi="宋体" w:cs="宋体"/>
                <w:color w:val="auto"/>
                <w:sz w:val="21"/>
                <w:highlight w:val="none"/>
              </w:rPr>
              <w:t>，对疫情防控</w:t>
            </w:r>
            <w:r>
              <w:rPr>
                <w:rFonts w:hAnsi="宋体" w:cs="宋体"/>
                <w:color w:val="auto"/>
                <w:sz w:val="21"/>
                <w:highlight w:val="none"/>
              </w:rPr>
              <w:t>措施</w:t>
            </w:r>
            <w:r>
              <w:rPr>
                <w:rFonts w:hint="eastAsia" w:hAnsi="宋体" w:cs="宋体"/>
                <w:color w:val="auto"/>
                <w:sz w:val="21"/>
                <w:highlight w:val="none"/>
              </w:rPr>
              <w:t>具体可行</w:t>
            </w:r>
            <w:r>
              <w:rPr>
                <w:rFonts w:hAnsi="宋体" w:cs="宋体"/>
                <w:color w:val="auto"/>
                <w:sz w:val="21"/>
                <w:highlight w:val="none"/>
              </w:rPr>
              <w:t xml:space="preserve">； </w:t>
            </w:r>
          </w:p>
          <w:p w14:paraId="6AC20AEC">
            <w:pPr>
              <w:pStyle w:val="11"/>
              <w:spacing w:line="420" w:lineRule="exact"/>
              <w:ind w:firstLine="411" w:firstLineChars="196"/>
              <w:rPr>
                <w:rFonts w:hAnsi="宋体" w:cs="宋体"/>
                <w:color w:val="auto"/>
                <w:sz w:val="21"/>
                <w:highlight w:val="none"/>
              </w:rPr>
            </w:pPr>
            <w:r>
              <w:rPr>
                <w:rFonts w:hint="eastAsia" w:hAnsi="宋体" w:cs="宋体"/>
                <w:color w:val="auto"/>
                <w:sz w:val="21"/>
                <w:highlight w:val="none"/>
              </w:rPr>
              <w:t>三</w:t>
            </w:r>
            <w:r>
              <w:rPr>
                <w:rFonts w:hAnsi="宋体" w:cs="宋体"/>
                <w:color w:val="auto"/>
                <w:sz w:val="21"/>
                <w:highlight w:val="none"/>
              </w:rPr>
              <w:t>档（1</w:t>
            </w:r>
            <w:r>
              <w:rPr>
                <w:rFonts w:hint="eastAsia" w:hAnsi="宋体" w:cs="宋体"/>
                <w:color w:val="auto"/>
                <w:sz w:val="21"/>
                <w:highlight w:val="none"/>
              </w:rPr>
              <w:t>5</w:t>
            </w:r>
            <w:r>
              <w:rPr>
                <w:rFonts w:hAnsi="宋体" w:cs="宋体"/>
                <w:color w:val="auto"/>
                <w:sz w:val="21"/>
                <w:highlight w:val="none"/>
              </w:rPr>
              <w:t>分）：对进货采购渠道</w:t>
            </w:r>
            <w:r>
              <w:rPr>
                <w:rFonts w:hint="eastAsia" w:hAnsi="宋体" w:cs="宋体"/>
                <w:color w:val="auto"/>
                <w:sz w:val="21"/>
                <w:highlight w:val="none"/>
              </w:rPr>
              <w:t>管理制度详细、完善，有部分食材的加工清洗设备，</w:t>
            </w:r>
            <w:r>
              <w:rPr>
                <w:rFonts w:hAnsi="宋体" w:cs="宋体"/>
                <w:color w:val="auto"/>
                <w:sz w:val="21"/>
                <w:highlight w:val="none"/>
              </w:rPr>
              <w:t>食材控制管理措施</w:t>
            </w:r>
            <w:r>
              <w:rPr>
                <w:rFonts w:hint="eastAsia" w:hAnsi="宋体" w:cs="宋体"/>
                <w:color w:val="auto"/>
                <w:sz w:val="21"/>
                <w:highlight w:val="none"/>
              </w:rPr>
              <w:t>完善，从选择食品原料货源到运输，</w:t>
            </w:r>
            <w:r>
              <w:rPr>
                <w:rFonts w:hAnsi="宋体" w:cs="宋体"/>
                <w:color w:val="auto"/>
                <w:sz w:val="21"/>
                <w:highlight w:val="none"/>
              </w:rPr>
              <w:t>能严格进行食材质量把关</w:t>
            </w:r>
            <w:r>
              <w:rPr>
                <w:rFonts w:hint="eastAsia" w:hAnsi="宋体" w:cs="宋体"/>
                <w:color w:val="auto"/>
                <w:sz w:val="21"/>
                <w:highlight w:val="none"/>
              </w:rPr>
              <w:t>，质量安全保证措施有针对性及服务特点，方案完整、清晰、具体、科学、合理，</w:t>
            </w:r>
            <w:r>
              <w:rPr>
                <w:rFonts w:hAnsi="宋体" w:cs="宋体"/>
                <w:color w:val="auto"/>
                <w:sz w:val="21"/>
                <w:highlight w:val="none"/>
              </w:rPr>
              <w:t>食材质量标准、追溯方式这几个方面全部描述清晰，详细，检验检疫措施详细、全面，各项措施安排合理,可操作性强，</w:t>
            </w:r>
            <w:r>
              <w:rPr>
                <w:rFonts w:hint="eastAsia" w:hAnsi="宋体" w:cs="宋体"/>
                <w:color w:val="auto"/>
                <w:sz w:val="21"/>
                <w:highlight w:val="none"/>
              </w:rPr>
              <w:t>对疫情防控</w:t>
            </w:r>
            <w:r>
              <w:rPr>
                <w:rFonts w:hAnsi="宋体" w:cs="宋体"/>
                <w:color w:val="auto"/>
                <w:sz w:val="21"/>
                <w:highlight w:val="none"/>
              </w:rPr>
              <w:t>措施</w:t>
            </w:r>
            <w:r>
              <w:rPr>
                <w:rFonts w:hint="eastAsia" w:hAnsi="宋体" w:cs="宋体"/>
                <w:color w:val="auto"/>
                <w:sz w:val="21"/>
                <w:highlight w:val="none"/>
              </w:rPr>
              <w:t>具体、科学、完善细致</w:t>
            </w:r>
            <w:r>
              <w:rPr>
                <w:rFonts w:hAnsi="宋体" w:cs="宋体"/>
                <w:color w:val="auto"/>
                <w:sz w:val="21"/>
                <w:highlight w:val="none"/>
              </w:rPr>
              <w:t>。</w:t>
            </w:r>
          </w:p>
          <w:p w14:paraId="3A0C0353">
            <w:pPr>
              <w:pStyle w:val="11"/>
              <w:spacing w:line="420" w:lineRule="exact"/>
              <w:ind w:firstLine="411" w:firstLineChars="196"/>
              <w:rPr>
                <w:rFonts w:hAnsi="宋体" w:cs="宋体"/>
                <w:color w:val="auto"/>
                <w:sz w:val="21"/>
                <w:highlight w:val="none"/>
                <w:lang w:bidi="zh-CN"/>
              </w:rPr>
            </w:pPr>
            <w:r>
              <w:rPr>
                <w:rFonts w:hint="eastAsia" w:hAnsi="宋体" w:cs="宋体"/>
                <w:color w:val="auto"/>
                <w:sz w:val="21"/>
                <w:highlight w:val="none"/>
              </w:rPr>
              <w:t>四</w:t>
            </w:r>
            <w:r>
              <w:rPr>
                <w:rFonts w:hAnsi="宋体" w:cs="宋体"/>
                <w:color w:val="auto"/>
                <w:sz w:val="21"/>
                <w:highlight w:val="none"/>
              </w:rPr>
              <w:t>档（</w:t>
            </w:r>
            <w:r>
              <w:rPr>
                <w:rFonts w:hint="eastAsia" w:hAnsi="宋体" w:cs="宋体"/>
                <w:color w:val="auto"/>
                <w:sz w:val="21"/>
                <w:highlight w:val="none"/>
              </w:rPr>
              <w:t>20</w:t>
            </w:r>
            <w:r>
              <w:rPr>
                <w:rFonts w:hAnsi="宋体" w:cs="宋体"/>
                <w:color w:val="auto"/>
                <w:sz w:val="21"/>
                <w:highlight w:val="none"/>
              </w:rPr>
              <w:t>分）：对进货采购渠道</w:t>
            </w:r>
            <w:r>
              <w:rPr>
                <w:rFonts w:hint="eastAsia" w:hAnsi="宋体" w:cs="宋体"/>
                <w:color w:val="auto"/>
                <w:sz w:val="21"/>
                <w:highlight w:val="none"/>
              </w:rPr>
              <w:t>管理制度详细、完善、科学合理，自有或合作蔬菜、家禽等养殖基地，有部分食材的加工清洗设备，</w:t>
            </w:r>
            <w:r>
              <w:rPr>
                <w:rFonts w:hAnsi="宋体" w:cs="宋体"/>
                <w:color w:val="auto"/>
                <w:sz w:val="21"/>
                <w:highlight w:val="none"/>
              </w:rPr>
              <w:t>食材控制管理措施</w:t>
            </w:r>
            <w:r>
              <w:rPr>
                <w:rFonts w:hint="eastAsia" w:hAnsi="宋体" w:cs="宋体"/>
                <w:color w:val="auto"/>
                <w:sz w:val="21"/>
                <w:highlight w:val="none"/>
              </w:rPr>
              <w:t>完善，从选择食品原料货源到运输，</w:t>
            </w:r>
            <w:r>
              <w:rPr>
                <w:rFonts w:hAnsi="宋体" w:cs="宋体"/>
                <w:color w:val="auto"/>
                <w:sz w:val="21"/>
                <w:highlight w:val="none"/>
              </w:rPr>
              <w:t>能严格进行食材质量把关</w:t>
            </w:r>
            <w:r>
              <w:rPr>
                <w:rFonts w:hint="eastAsia" w:hAnsi="宋体" w:cs="宋体"/>
                <w:color w:val="auto"/>
                <w:sz w:val="21"/>
                <w:highlight w:val="none"/>
              </w:rPr>
              <w:t>，质量安全保证措施有针对性及服务特点，方案完整、清晰、具体、科学、合理、可行，</w:t>
            </w:r>
            <w:r>
              <w:rPr>
                <w:rFonts w:hAnsi="宋体" w:cs="宋体"/>
                <w:color w:val="auto"/>
                <w:sz w:val="21"/>
                <w:highlight w:val="none"/>
              </w:rPr>
              <w:t>食材质量标准、追溯方式这几个方面全部描述清晰，详细</w:t>
            </w:r>
            <w:r>
              <w:rPr>
                <w:rFonts w:hint="eastAsia" w:hAnsi="宋体" w:cs="宋体"/>
                <w:color w:val="auto"/>
                <w:sz w:val="21"/>
                <w:highlight w:val="none"/>
              </w:rPr>
              <w:t>；配置详细的</w:t>
            </w:r>
            <w:r>
              <w:rPr>
                <w:rFonts w:hAnsi="宋体" w:cs="宋体"/>
                <w:color w:val="auto"/>
                <w:sz w:val="21"/>
                <w:highlight w:val="none"/>
              </w:rPr>
              <w:t>检验</w:t>
            </w:r>
            <w:r>
              <w:rPr>
                <w:rFonts w:hint="eastAsia" w:hAnsi="宋体" w:cs="宋体"/>
                <w:color w:val="auto"/>
                <w:sz w:val="21"/>
                <w:highlight w:val="none"/>
              </w:rPr>
              <w:t>检测设备及专业的</w:t>
            </w:r>
            <w:r>
              <w:rPr>
                <w:rFonts w:hAnsi="宋体" w:cs="宋体"/>
                <w:color w:val="auto"/>
                <w:sz w:val="21"/>
                <w:highlight w:val="none"/>
              </w:rPr>
              <w:t>检验</w:t>
            </w:r>
            <w:r>
              <w:rPr>
                <w:rFonts w:hint="eastAsia" w:hAnsi="宋体" w:cs="宋体"/>
                <w:color w:val="auto"/>
                <w:sz w:val="21"/>
                <w:highlight w:val="none"/>
              </w:rPr>
              <w:t>人员，提供全面的</w:t>
            </w:r>
            <w:r>
              <w:rPr>
                <w:rFonts w:hAnsi="宋体" w:cs="宋体"/>
                <w:color w:val="auto"/>
                <w:sz w:val="21"/>
                <w:highlight w:val="none"/>
              </w:rPr>
              <w:t>检验检疫</w:t>
            </w:r>
            <w:r>
              <w:rPr>
                <w:rFonts w:hint="eastAsia" w:hAnsi="宋体" w:cs="宋体"/>
                <w:color w:val="auto"/>
                <w:sz w:val="21"/>
                <w:highlight w:val="none"/>
              </w:rPr>
              <w:t>工作，</w:t>
            </w:r>
            <w:r>
              <w:rPr>
                <w:rFonts w:hAnsi="宋体" w:cs="宋体"/>
                <w:color w:val="auto"/>
                <w:sz w:val="21"/>
                <w:highlight w:val="none"/>
              </w:rPr>
              <w:t>检验检疫措施详细、全面，各项措施安排合理,可操作性强，</w:t>
            </w:r>
            <w:r>
              <w:rPr>
                <w:rFonts w:hint="eastAsia" w:hAnsi="宋体" w:cs="宋体"/>
                <w:color w:val="auto"/>
                <w:sz w:val="21"/>
                <w:highlight w:val="none"/>
              </w:rPr>
              <w:t>对疫情防控</w:t>
            </w:r>
            <w:r>
              <w:rPr>
                <w:rFonts w:hAnsi="宋体" w:cs="宋体"/>
                <w:color w:val="auto"/>
                <w:sz w:val="21"/>
                <w:highlight w:val="none"/>
              </w:rPr>
              <w:t>措施</w:t>
            </w:r>
            <w:r>
              <w:rPr>
                <w:rFonts w:hint="eastAsia" w:hAnsi="宋体" w:cs="宋体"/>
                <w:color w:val="auto"/>
                <w:sz w:val="21"/>
                <w:highlight w:val="none"/>
              </w:rPr>
              <w:t>具体、科学、完善细致</w:t>
            </w:r>
            <w:r>
              <w:rPr>
                <w:rFonts w:hAnsi="宋体" w:cs="宋体"/>
                <w:color w:val="auto"/>
                <w:sz w:val="21"/>
                <w:highlight w:val="none"/>
              </w:rPr>
              <w:t>。</w:t>
            </w:r>
          </w:p>
        </w:tc>
      </w:tr>
      <w:tr w14:paraId="56BE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5" w:hRule="atLeast"/>
        </w:trPr>
        <w:tc>
          <w:tcPr>
            <w:tcW w:w="534" w:type="dxa"/>
            <w:vMerge w:val="continue"/>
            <w:tcBorders>
              <w:left w:val="single" w:color="auto" w:sz="4" w:space="0"/>
              <w:right w:val="single" w:color="auto" w:sz="4" w:space="0"/>
            </w:tcBorders>
            <w:vAlign w:val="center"/>
          </w:tcPr>
          <w:p w14:paraId="24EDA94A">
            <w:pPr>
              <w:adjustRightInd w:val="0"/>
              <w:spacing w:line="400" w:lineRule="exact"/>
              <w:jc w:val="center"/>
              <w:textAlignment w:val="baseline"/>
              <w:rPr>
                <w:rFonts w:ascii="宋体" w:hAnsi="宋体" w:cs="宋体"/>
                <w:b/>
                <w:color w:val="auto"/>
                <w:szCs w:val="21"/>
                <w:highlight w:val="none"/>
              </w:rPr>
            </w:pPr>
          </w:p>
        </w:tc>
        <w:tc>
          <w:tcPr>
            <w:tcW w:w="992" w:type="dxa"/>
            <w:vMerge w:val="continue"/>
            <w:tcBorders>
              <w:left w:val="single" w:color="auto" w:sz="4" w:space="0"/>
              <w:right w:val="single" w:color="auto" w:sz="4" w:space="0"/>
            </w:tcBorders>
            <w:vAlign w:val="center"/>
          </w:tcPr>
          <w:p w14:paraId="20ACC85A">
            <w:pPr>
              <w:adjustRightInd w:val="0"/>
              <w:spacing w:line="400" w:lineRule="exact"/>
              <w:ind w:left="-105" w:leftChars="-50" w:right="-105" w:rightChars="-50"/>
              <w:jc w:val="center"/>
              <w:textAlignment w:val="baseline"/>
              <w:rPr>
                <w:rFonts w:ascii="宋体" w:hAnsi="宋体" w:cs="宋体"/>
                <w:b/>
                <w:bCs/>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15A1483A">
            <w:pPr>
              <w:spacing w:line="360" w:lineRule="auto"/>
              <w:jc w:val="center"/>
              <w:rPr>
                <w:rFonts w:ascii="宋体" w:hAnsi="宋体" w:cs="宋体"/>
                <w:b/>
                <w:color w:val="auto"/>
                <w:szCs w:val="21"/>
                <w:highlight w:val="none"/>
              </w:rPr>
            </w:pPr>
            <w:r>
              <w:rPr>
                <w:rFonts w:hAnsi="宋体" w:cs="宋体"/>
                <w:b/>
                <w:color w:val="auto"/>
                <w:highlight w:val="none"/>
              </w:rPr>
              <w:t>售后服务方案分（满分1</w:t>
            </w:r>
            <w:r>
              <w:rPr>
                <w:rFonts w:hint="eastAsia" w:hAnsi="宋体" w:cs="宋体"/>
                <w:b/>
                <w:color w:val="auto"/>
                <w:highlight w:val="none"/>
              </w:rPr>
              <w:t>0</w:t>
            </w:r>
            <w:r>
              <w:rPr>
                <w:rFonts w:hAnsi="宋体" w:cs="宋体"/>
                <w:b/>
                <w:color w:val="auto"/>
                <w:highlight w:val="none"/>
              </w:rPr>
              <w:t>分）</w:t>
            </w:r>
          </w:p>
          <w:p w14:paraId="2DB90DAD">
            <w:pPr>
              <w:spacing w:line="360" w:lineRule="auto"/>
              <w:jc w:val="center"/>
              <w:rPr>
                <w:rFonts w:ascii="宋体" w:hAnsi="宋体" w:cs="宋体"/>
                <w:bCs/>
                <w:color w:val="auto"/>
                <w:szCs w:val="21"/>
                <w:highlight w:val="none"/>
              </w:rPr>
            </w:pPr>
          </w:p>
        </w:tc>
        <w:tc>
          <w:tcPr>
            <w:tcW w:w="6804" w:type="dxa"/>
            <w:tcBorders>
              <w:top w:val="single" w:color="auto" w:sz="4" w:space="0"/>
              <w:left w:val="single" w:color="auto" w:sz="4" w:space="0"/>
              <w:bottom w:val="single" w:color="auto" w:sz="4" w:space="0"/>
              <w:right w:val="single" w:color="auto" w:sz="4" w:space="0"/>
            </w:tcBorders>
            <w:vAlign w:val="center"/>
          </w:tcPr>
          <w:p w14:paraId="5DE69EAE">
            <w:pPr>
              <w:pStyle w:val="11"/>
              <w:spacing w:line="420" w:lineRule="exact"/>
              <w:ind w:firstLine="411" w:firstLineChars="196"/>
              <w:rPr>
                <w:rFonts w:hAnsi="宋体" w:cs="宋体"/>
                <w:color w:val="auto"/>
                <w:sz w:val="21"/>
                <w:highlight w:val="none"/>
              </w:rPr>
            </w:pPr>
            <w:r>
              <w:rPr>
                <w:rFonts w:hAnsi="宋体" w:cs="宋体"/>
                <w:color w:val="auto"/>
                <w:sz w:val="21"/>
                <w:highlight w:val="none"/>
              </w:rPr>
              <w:t>由评标委员会在打分前根据投标人的售后服务方案确定各投标人所属档次及分值，达不到一档要求的不得分。</w:t>
            </w:r>
          </w:p>
          <w:p w14:paraId="7C854E17">
            <w:pPr>
              <w:pStyle w:val="11"/>
              <w:spacing w:line="420" w:lineRule="exact"/>
              <w:ind w:firstLine="411" w:firstLineChars="196"/>
              <w:rPr>
                <w:rFonts w:hAnsi="宋体" w:cs="宋体"/>
                <w:color w:val="auto"/>
                <w:sz w:val="21"/>
                <w:highlight w:val="none"/>
              </w:rPr>
            </w:pPr>
            <w:r>
              <w:rPr>
                <w:rFonts w:hAnsi="宋体" w:cs="宋体"/>
                <w:color w:val="auto"/>
                <w:sz w:val="21"/>
                <w:highlight w:val="none"/>
              </w:rPr>
              <w:t>一档（</w:t>
            </w:r>
            <w:r>
              <w:rPr>
                <w:rFonts w:hint="eastAsia" w:hAnsi="宋体" w:cs="宋体"/>
                <w:color w:val="auto"/>
                <w:sz w:val="21"/>
                <w:highlight w:val="none"/>
              </w:rPr>
              <w:t>2</w:t>
            </w:r>
            <w:r>
              <w:rPr>
                <w:rFonts w:hAnsi="宋体" w:cs="宋体"/>
                <w:color w:val="auto"/>
                <w:sz w:val="21"/>
                <w:highlight w:val="none"/>
              </w:rPr>
              <w:t>分）：承诺退换时间</w:t>
            </w:r>
            <w:r>
              <w:rPr>
                <w:rFonts w:hint="eastAsia" w:hAnsi="宋体" w:cs="宋体"/>
                <w:color w:val="auto"/>
                <w:sz w:val="21"/>
                <w:highlight w:val="none"/>
              </w:rPr>
              <w:t>超过3小时（不含3小时）</w:t>
            </w:r>
            <w:r>
              <w:rPr>
                <w:rFonts w:hAnsi="宋体" w:cs="宋体"/>
                <w:color w:val="auto"/>
                <w:sz w:val="21"/>
                <w:highlight w:val="none"/>
              </w:rPr>
              <w:t>，服务承诺、措施、后期服务承诺较简单。</w:t>
            </w:r>
          </w:p>
          <w:p w14:paraId="16305E68">
            <w:pPr>
              <w:pStyle w:val="11"/>
              <w:spacing w:line="420" w:lineRule="exact"/>
              <w:ind w:firstLine="411" w:firstLineChars="196"/>
              <w:rPr>
                <w:rFonts w:hAnsi="宋体" w:cs="宋体"/>
                <w:color w:val="auto"/>
                <w:sz w:val="21"/>
                <w:highlight w:val="none"/>
              </w:rPr>
            </w:pPr>
            <w:r>
              <w:rPr>
                <w:rFonts w:hint="eastAsia" w:hAnsi="宋体" w:cs="宋体"/>
                <w:color w:val="auto"/>
                <w:sz w:val="21"/>
                <w:highlight w:val="none"/>
              </w:rPr>
              <w:t>二</w:t>
            </w:r>
            <w:r>
              <w:rPr>
                <w:rFonts w:hAnsi="宋体" w:cs="宋体"/>
                <w:color w:val="auto"/>
                <w:sz w:val="21"/>
                <w:highlight w:val="none"/>
              </w:rPr>
              <w:t>档（</w:t>
            </w:r>
            <w:r>
              <w:rPr>
                <w:rFonts w:hint="eastAsia" w:hAnsi="宋体" w:cs="宋体"/>
                <w:color w:val="auto"/>
                <w:sz w:val="21"/>
                <w:highlight w:val="none"/>
              </w:rPr>
              <w:t>6</w:t>
            </w:r>
            <w:r>
              <w:rPr>
                <w:rFonts w:hAnsi="宋体" w:cs="宋体"/>
                <w:color w:val="auto"/>
                <w:sz w:val="21"/>
                <w:highlight w:val="none"/>
              </w:rPr>
              <w:t>分）</w:t>
            </w:r>
            <w:r>
              <w:rPr>
                <w:rFonts w:hint="eastAsia" w:hAnsi="宋体" w:cs="宋体"/>
                <w:color w:val="auto"/>
                <w:sz w:val="21"/>
                <w:highlight w:val="none"/>
              </w:rPr>
              <w:t>：</w:t>
            </w:r>
            <w:r>
              <w:rPr>
                <w:rFonts w:hAnsi="宋体" w:cs="宋体"/>
                <w:color w:val="auto"/>
                <w:sz w:val="21"/>
                <w:highlight w:val="none"/>
              </w:rPr>
              <w:t>承诺退换时间</w:t>
            </w:r>
            <w:r>
              <w:rPr>
                <w:rFonts w:hint="eastAsia" w:hAnsi="宋体" w:cs="宋体"/>
                <w:color w:val="auto"/>
                <w:sz w:val="21"/>
                <w:highlight w:val="none"/>
              </w:rPr>
              <w:t>需2小时（含2小时）</w:t>
            </w:r>
            <w:r>
              <w:rPr>
                <w:rFonts w:hAnsi="宋体" w:cs="宋体"/>
                <w:color w:val="auto"/>
                <w:sz w:val="21"/>
                <w:highlight w:val="none"/>
              </w:rPr>
              <w:t>，服务承诺、措施可行，后期服务承诺响应满足项目需求</w:t>
            </w:r>
            <w:r>
              <w:rPr>
                <w:rFonts w:hint="eastAsia" w:hAnsi="宋体" w:cs="宋体"/>
                <w:color w:val="auto"/>
                <w:sz w:val="21"/>
                <w:highlight w:val="none"/>
              </w:rPr>
              <w:t>，货物出问题时，有相应的解决措施，并明确如何确保退换的货物符合采购人需求</w:t>
            </w:r>
            <w:r>
              <w:rPr>
                <w:rFonts w:hAnsi="宋体" w:cs="宋体"/>
                <w:color w:val="auto"/>
                <w:sz w:val="21"/>
                <w:highlight w:val="none"/>
              </w:rPr>
              <w:t>。</w:t>
            </w:r>
          </w:p>
          <w:p w14:paraId="12EEDA4C">
            <w:pPr>
              <w:pStyle w:val="11"/>
              <w:spacing w:line="420" w:lineRule="exact"/>
              <w:ind w:firstLine="420" w:firstLineChars="200"/>
              <w:rPr>
                <w:rFonts w:hAnsi="宋体" w:cs="宋体"/>
                <w:color w:val="auto"/>
                <w:sz w:val="21"/>
                <w:highlight w:val="none"/>
              </w:rPr>
            </w:pPr>
            <w:r>
              <w:rPr>
                <w:rFonts w:hint="eastAsia" w:hAnsi="宋体" w:cs="宋体"/>
                <w:color w:val="auto"/>
                <w:sz w:val="21"/>
                <w:highlight w:val="none"/>
              </w:rPr>
              <w:t>三</w:t>
            </w:r>
            <w:r>
              <w:rPr>
                <w:rFonts w:hAnsi="宋体" w:cs="宋体"/>
                <w:color w:val="auto"/>
                <w:sz w:val="21"/>
                <w:highlight w:val="none"/>
              </w:rPr>
              <w:t>档（</w:t>
            </w:r>
            <w:r>
              <w:rPr>
                <w:rFonts w:hint="eastAsia" w:hAnsi="宋体" w:cs="宋体"/>
                <w:color w:val="auto"/>
                <w:sz w:val="21"/>
                <w:highlight w:val="none"/>
              </w:rPr>
              <w:t>10</w:t>
            </w:r>
            <w:r>
              <w:rPr>
                <w:rFonts w:hAnsi="宋体" w:cs="宋体"/>
                <w:color w:val="auto"/>
                <w:sz w:val="21"/>
                <w:highlight w:val="none"/>
              </w:rPr>
              <w:t>分）：对</w:t>
            </w:r>
            <w:r>
              <w:rPr>
                <w:rFonts w:hint="eastAsia" w:hAnsi="宋体" w:cs="宋体"/>
                <w:color w:val="auto"/>
                <w:sz w:val="21"/>
                <w:highlight w:val="none"/>
              </w:rPr>
              <w:t>因货物出现问题，而</w:t>
            </w:r>
            <w:r>
              <w:rPr>
                <w:rFonts w:hAnsi="宋体" w:cs="宋体"/>
                <w:color w:val="auto"/>
                <w:sz w:val="21"/>
                <w:highlight w:val="none"/>
              </w:rPr>
              <w:t>对发生紧急事件问题处理预案内容具体、全面，并承诺退换时间</w:t>
            </w:r>
            <w:r>
              <w:rPr>
                <w:rFonts w:hint="eastAsia" w:hAnsi="宋体" w:cs="宋体"/>
                <w:color w:val="auto"/>
                <w:sz w:val="21"/>
                <w:highlight w:val="none"/>
              </w:rPr>
              <w:t>在1小时内（含1小时）</w:t>
            </w:r>
            <w:r>
              <w:rPr>
                <w:rFonts w:hAnsi="宋体" w:cs="宋体"/>
                <w:color w:val="auto"/>
                <w:sz w:val="21"/>
                <w:highlight w:val="none"/>
              </w:rPr>
              <w:t>，有健全、详细、高效的服务承诺、后期售后服务方式多样有效，措施得力，充分满足项目需求</w:t>
            </w:r>
            <w:r>
              <w:rPr>
                <w:rFonts w:hint="eastAsia" w:hAnsi="宋体" w:cs="宋体"/>
                <w:color w:val="auto"/>
                <w:sz w:val="21"/>
                <w:highlight w:val="none"/>
              </w:rPr>
              <w:t>，</w:t>
            </w:r>
            <w:r>
              <w:rPr>
                <w:rFonts w:hAnsi="宋体" w:cs="宋体"/>
                <w:color w:val="auto"/>
                <w:sz w:val="21"/>
                <w:highlight w:val="none"/>
              </w:rPr>
              <w:t>包括售后服务监督和回访管理、台账管理、售后服务管理及售后服务措施（含对问题物料的处理及特殊情况的应急预案）、其他优惠措施、配送（物流）、货物分发方等方面措施及其它服务计划，</w:t>
            </w:r>
            <w:r>
              <w:rPr>
                <w:rFonts w:hint="eastAsia" w:hAnsi="宋体" w:cs="宋体"/>
                <w:color w:val="auto"/>
                <w:sz w:val="21"/>
                <w:highlight w:val="none"/>
              </w:rPr>
              <w:t>明确如何确保退换的货物及时和符合采购人需求，并配备专门人员为业主提供服务，确保接到业主通知后0.5小时内响应</w:t>
            </w:r>
            <w:r>
              <w:rPr>
                <w:rFonts w:hAnsi="宋体" w:cs="宋体"/>
                <w:color w:val="auto"/>
                <w:sz w:val="21"/>
                <w:highlight w:val="none"/>
              </w:rPr>
              <w:t>。</w:t>
            </w:r>
          </w:p>
        </w:tc>
      </w:tr>
      <w:tr w14:paraId="132E3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534" w:type="dxa"/>
            <w:tcBorders>
              <w:left w:val="single" w:color="auto" w:sz="4" w:space="0"/>
              <w:right w:val="single" w:color="auto" w:sz="4" w:space="0"/>
            </w:tcBorders>
            <w:vAlign w:val="center"/>
          </w:tcPr>
          <w:p w14:paraId="5E60839A">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3</w:t>
            </w:r>
          </w:p>
        </w:tc>
        <w:tc>
          <w:tcPr>
            <w:tcW w:w="992" w:type="dxa"/>
            <w:tcBorders>
              <w:left w:val="single" w:color="auto" w:sz="4" w:space="0"/>
              <w:right w:val="single" w:color="auto" w:sz="4" w:space="0"/>
            </w:tcBorders>
            <w:vAlign w:val="center"/>
          </w:tcPr>
          <w:p w14:paraId="3A0A1EDA">
            <w:pPr>
              <w:widowControl/>
              <w:spacing w:line="400" w:lineRule="exact"/>
              <w:rPr>
                <w:rFonts w:ascii="宋体" w:hAnsi="宋体" w:cs="宋体"/>
                <w:color w:val="auto"/>
                <w:spacing w:val="-18"/>
                <w:szCs w:val="21"/>
                <w:highlight w:val="none"/>
              </w:rPr>
            </w:pPr>
            <w:r>
              <w:rPr>
                <w:rFonts w:hint="eastAsia" w:ascii="宋体" w:hAnsi="宋体" w:cs="宋体"/>
                <w:b/>
                <w:bCs/>
                <w:color w:val="auto"/>
                <w:szCs w:val="21"/>
                <w:highlight w:val="none"/>
              </w:rPr>
              <w:t>商务资信分（满分30分）</w:t>
            </w:r>
          </w:p>
        </w:tc>
        <w:tc>
          <w:tcPr>
            <w:tcW w:w="1134" w:type="dxa"/>
            <w:tcBorders>
              <w:top w:val="single" w:color="auto" w:sz="4" w:space="0"/>
              <w:left w:val="single" w:color="auto" w:sz="4" w:space="0"/>
              <w:right w:val="single" w:color="auto" w:sz="4" w:space="0"/>
            </w:tcBorders>
            <w:vAlign w:val="center"/>
          </w:tcPr>
          <w:p w14:paraId="0C495AAE">
            <w:pPr>
              <w:pStyle w:val="10"/>
              <w:spacing w:line="400" w:lineRule="exact"/>
              <w:rPr>
                <w:rFonts w:ascii="宋体" w:hAnsi="宋体" w:cs="宋体"/>
                <w:b/>
                <w:bCs/>
                <w:color w:val="auto"/>
                <w:sz w:val="21"/>
                <w:szCs w:val="21"/>
                <w:highlight w:val="none"/>
                <w:lang w:bidi="zh-CN"/>
              </w:rPr>
            </w:pPr>
            <w:r>
              <w:rPr>
                <w:rFonts w:hint="eastAsia" w:ascii="宋体" w:hAnsi="宋体"/>
                <w:b/>
                <w:color w:val="auto"/>
                <w:szCs w:val="21"/>
                <w:highlight w:val="none"/>
              </w:rPr>
              <w:t>综合实力分</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14:paraId="448D2AC6">
            <w:pPr>
              <w:pStyle w:val="11"/>
              <w:spacing w:line="420" w:lineRule="exact"/>
              <w:rPr>
                <w:rFonts w:hAnsi="宋体" w:cs="宋体"/>
                <w:color w:val="auto"/>
                <w:sz w:val="21"/>
                <w:highlight w:val="none"/>
              </w:rPr>
            </w:pPr>
            <w:r>
              <w:rPr>
                <w:rFonts w:hint="eastAsia" w:hAnsi="宋体" w:cs="宋体"/>
                <w:color w:val="auto"/>
                <w:sz w:val="21"/>
                <w:highlight w:val="none"/>
              </w:rPr>
              <w:t>（1）业绩分，满分5分。</w:t>
            </w:r>
          </w:p>
          <w:p w14:paraId="483A7071">
            <w:pPr>
              <w:pStyle w:val="11"/>
              <w:spacing w:line="420" w:lineRule="exact"/>
              <w:ind w:firstLine="420" w:firstLineChars="200"/>
              <w:rPr>
                <w:rFonts w:hAnsi="宋体" w:cs="宋体"/>
                <w:color w:val="auto"/>
                <w:sz w:val="21"/>
                <w:highlight w:val="none"/>
              </w:rPr>
            </w:pPr>
            <w:r>
              <w:rPr>
                <w:rFonts w:hint="eastAsia" w:hAnsi="宋体" w:cs="宋体"/>
                <w:color w:val="auto"/>
                <w:sz w:val="21"/>
                <w:highlight w:val="none"/>
              </w:rPr>
              <w:t>投标人自2022年1月1日以来有食堂食材配送项目业绩的，每一个业绩得0.5分，满分5分；(投标文件中提供中标（成交）通知书或合同复印件和客户服务评价表并加盖单位公章，材料不齐全不计分)</w:t>
            </w:r>
          </w:p>
          <w:p w14:paraId="4F9FD7B6">
            <w:pPr>
              <w:pStyle w:val="11"/>
              <w:spacing w:line="420" w:lineRule="exact"/>
              <w:rPr>
                <w:rFonts w:hAnsi="宋体" w:cs="宋体"/>
                <w:color w:val="auto"/>
                <w:sz w:val="21"/>
                <w:highlight w:val="none"/>
              </w:rPr>
            </w:pPr>
            <w:r>
              <w:rPr>
                <w:rFonts w:hint="eastAsia" w:hAnsi="宋体" w:cs="宋体"/>
                <w:color w:val="auto"/>
                <w:sz w:val="21"/>
                <w:highlight w:val="none"/>
              </w:rPr>
              <w:t>（2）配送能力分，满分5分。</w:t>
            </w:r>
          </w:p>
          <w:p w14:paraId="05600DFB">
            <w:pPr>
              <w:pStyle w:val="11"/>
              <w:spacing w:line="420" w:lineRule="exact"/>
              <w:ind w:firstLine="420" w:firstLineChars="200"/>
              <w:rPr>
                <w:rFonts w:hAnsi="宋体" w:cs="宋体"/>
                <w:color w:val="auto"/>
                <w:sz w:val="21"/>
                <w:highlight w:val="none"/>
              </w:rPr>
            </w:pPr>
            <w:r>
              <w:rPr>
                <w:rFonts w:hint="eastAsia" w:hAnsi="宋体" w:cs="宋体"/>
                <w:color w:val="auto"/>
                <w:sz w:val="21"/>
                <w:highlight w:val="none"/>
              </w:rPr>
              <w:t>投标人拟投入本项目的冷链（冷藏）车辆配置，有5辆的得3分，每增加1辆得1分，满分5分；</w:t>
            </w:r>
          </w:p>
          <w:p w14:paraId="01420DF3">
            <w:pPr>
              <w:pStyle w:val="11"/>
              <w:spacing w:line="420" w:lineRule="exact"/>
              <w:rPr>
                <w:rFonts w:hAnsi="宋体" w:cs="宋体"/>
                <w:color w:val="auto"/>
                <w:sz w:val="21"/>
                <w:highlight w:val="none"/>
              </w:rPr>
            </w:pPr>
            <w:r>
              <w:rPr>
                <w:rFonts w:hint="eastAsia" w:hAnsi="宋体" w:cs="宋体"/>
                <w:color w:val="auto"/>
                <w:sz w:val="21"/>
                <w:highlight w:val="none"/>
              </w:rPr>
              <w:t>（注：以上拟投入车辆如为自有车辆的，提供车辆相片及机动车登记证复印件，机动车登记证上车辆所有人必须为投标人（并加盖投标人公章），如为租赁的提供车辆租赁合同及投标截止时间前一年内的租赁发票、车辆照片、机动车登记证复印件（并加盖投标人公章）。中标后业主走访核实；</w:t>
            </w:r>
          </w:p>
          <w:p w14:paraId="15E2173D">
            <w:pPr>
              <w:pStyle w:val="11"/>
              <w:spacing w:line="420" w:lineRule="exact"/>
              <w:rPr>
                <w:rFonts w:hAnsi="宋体" w:cs="宋体"/>
                <w:color w:val="auto"/>
                <w:sz w:val="21"/>
                <w:highlight w:val="none"/>
              </w:rPr>
            </w:pPr>
            <w:r>
              <w:rPr>
                <w:rFonts w:hint="eastAsia" w:hAnsi="宋体" w:cs="宋体"/>
                <w:color w:val="auto"/>
                <w:sz w:val="21"/>
                <w:highlight w:val="none"/>
              </w:rPr>
              <w:t>（3）实施人员分，满分10分。</w:t>
            </w:r>
          </w:p>
          <w:p w14:paraId="4495CE77">
            <w:pPr>
              <w:pStyle w:val="11"/>
              <w:spacing w:line="420" w:lineRule="exact"/>
              <w:ind w:firstLine="420" w:firstLineChars="200"/>
              <w:rPr>
                <w:rFonts w:hAnsi="宋体" w:cs="宋体"/>
                <w:color w:val="auto"/>
                <w:sz w:val="21"/>
                <w:highlight w:val="none"/>
              </w:rPr>
            </w:pPr>
            <w:r>
              <w:rPr>
                <w:rFonts w:hint="eastAsia" w:hAnsi="宋体" w:cs="宋体"/>
                <w:color w:val="auto"/>
                <w:sz w:val="21"/>
                <w:highlight w:val="none"/>
              </w:rPr>
              <w:t>①拟投入本项目的项目实施人员不少于14名的得4分；（注：投标文件提供实施人员的身份证、健康证、近半年来任意一个月社保缴纳证明或发放工资的银行流水证明或投标人代缴个人所得税证明或劳动合同或劳务合同等证明材料扫描件（复印件）并加盖投标人公章，否则不予计分。）</w:t>
            </w:r>
          </w:p>
          <w:p w14:paraId="42572C37">
            <w:pPr>
              <w:pStyle w:val="11"/>
              <w:spacing w:line="420" w:lineRule="exact"/>
              <w:ind w:firstLine="420" w:firstLineChars="200"/>
              <w:rPr>
                <w:rFonts w:hAnsi="宋体" w:cs="宋体"/>
                <w:color w:val="auto"/>
                <w:sz w:val="21"/>
                <w:highlight w:val="none"/>
              </w:rPr>
            </w:pPr>
            <w:r>
              <w:rPr>
                <w:rFonts w:hint="eastAsia" w:hAnsi="宋体" w:cs="宋体"/>
                <w:color w:val="auto"/>
                <w:sz w:val="21"/>
                <w:highlight w:val="none"/>
              </w:rPr>
              <w:t>②拟投入本项目的项目实施人员中，设有高级检验员的，每提供1个加0.5分，满分2分。（注：投标文件提供实施人员的身份证、高级检验员证、健康证、近半年来任意一个月社保缴纳证明或发放工资的银行流水证明或投标人代缴个人所得税证明或劳动合同或劳务合同等证明材料扫描件（复印件）并加盖投标人公章，否则不予计分。）</w:t>
            </w:r>
          </w:p>
          <w:p w14:paraId="59883355">
            <w:pPr>
              <w:pStyle w:val="11"/>
              <w:spacing w:line="420" w:lineRule="exact"/>
              <w:ind w:firstLine="420" w:firstLineChars="200"/>
              <w:rPr>
                <w:rFonts w:hAnsi="宋体" w:cs="宋体"/>
                <w:color w:val="auto"/>
                <w:sz w:val="21"/>
                <w:highlight w:val="none"/>
              </w:rPr>
            </w:pPr>
            <w:r>
              <w:rPr>
                <w:rFonts w:hint="eastAsia" w:hAnsi="宋体" w:cs="宋体"/>
                <w:color w:val="auto"/>
                <w:sz w:val="21"/>
                <w:highlight w:val="none"/>
              </w:rPr>
              <w:t>③拟投入本项目的项目实施人员中，设有食品安全管理员的，每提供1个加0.5分，满分1分。（注：投标文件提供实施人员的身份证、食品安全管理员证、健康证、近半年来任意一个月社保缴纳证明或发放工资的银行流水证明或投标人代缴个人所得税证明或劳动合同或劳务合同等证明材料扫描件（复印件）并加盖投标人公章，否则不予计分。）</w:t>
            </w:r>
          </w:p>
          <w:p w14:paraId="66188A0C">
            <w:pPr>
              <w:pStyle w:val="11"/>
              <w:spacing w:line="420" w:lineRule="exact"/>
              <w:ind w:firstLine="420" w:firstLineChars="200"/>
              <w:rPr>
                <w:rFonts w:hAnsi="宋体" w:cs="宋体"/>
                <w:color w:val="auto"/>
                <w:sz w:val="21"/>
                <w:highlight w:val="none"/>
              </w:rPr>
            </w:pPr>
            <w:r>
              <w:rPr>
                <w:rFonts w:hint="eastAsia" w:hAnsi="宋体" w:cs="宋体"/>
                <w:color w:val="auto"/>
                <w:sz w:val="21"/>
                <w:highlight w:val="none"/>
              </w:rPr>
              <w:t>④ 拟投入本项目的项目实施人员中，设有配送人员不少于5名的得3分，满分3分（注：投标文件提供实施人员的身份证、驾驶证、健康证、广西餐安APP考试通过截图、近半年来任意一个月社保缴纳证明或发放工资的银行流水证明或投标人代缴个人所得税证明或劳动合同或劳务合同等证明材料扫描件（复印件）并加盖投标人公章，否则不予计分。）</w:t>
            </w:r>
          </w:p>
          <w:p w14:paraId="4DB41F7C">
            <w:pPr>
              <w:pStyle w:val="11"/>
              <w:spacing w:line="420" w:lineRule="exact"/>
              <w:rPr>
                <w:rFonts w:hAnsi="宋体" w:cs="宋体"/>
                <w:color w:val="auto"/>
                <w:sz w:val="21"/>
                <w:highlight w:val="none"/>
              </w:rPr>
            </w:pPr>
            <w:r>
              <w:rPr>
                <w:rFonts w:hint="eastAsia" w:hAnsi="宋体" w:cs="宋体"/>
                <w:color w:val="auto"/>
                <w:sz w:val="21"/>
                <w:highlight w:val="none"/>
              </w:rPr>
              <w:t>（4）场地分，满分5分。</w:t>
            </w:r>
          </w:p>
          <w:p w14:paraId="0C13CA08">
            <w:pPr>
              <w:pStyle w:val="11"/>
              <w:spacing w:line="420" w:lineRule="exact"/>
              <w:ind w:firstLine="420" w:firstLineChars="200"/>
              <w:rPr>
                <w:rFonts w:hAnsi="宋体" w:cs="宋体"/>
                <w:color w:val="auto"/>
                <w:sz w:val="21"/>
                <w:highlight w:val="none"/>
              </w:rPr>
            </w:pPr>
            <w:r>
              <w:rPr>
                <w:rFonts w:hint="eastAsia" w:hAnsi="宋体" w:cs="宋体"/>
                <w:color w:val="auto"/>
                <w:sz w:val="21"/>
                <w:highlight w:val="none"/>
              </w:rPr>
              <w:t>在项目所在地自有产权或租赁的生产经营场所及仓储场所</w:t>
            </w:r>
            <w:r>
              <w:rPr>
                <w:rFonts w:ascii="Arial" w:hAnsi="Arial" w:cs="Arial"/>
                <w:color w:val="auto"/>
                <w:sz w:val="21"/>
                <w:highlight w:val="none"/>
              </w:rPr>
              <w:t>≥</w:t>
            </w:r>
            <w:r>
              <w:rPr>
                <w:rFonts w:hint="eastAsia" w:hAnsi="宋体" w:cs="宋体"/>
                <w:color w:val="auto"/>
                <w:sz w:val="21"/>
                <w:highlight w:val="none"/>
              </w:rPr>
              <w:t>3000平方米的得2分；其中：①蔬菜水果分拣区域、生产经营场所及仓储场所</w:t>
            </w:r>
            <w:r>
              <w:rPr>
                <w:rFonts w:ascii="Arial" w:hAnsi="Arial" w:cs="Arial"/>
                <w:color w:val="auto"/>
                <w:sz w:val="21"/>
                <w:highlight w:val="none"/>
              </w:rPr>
              <w:t>≥</w:t>
            </w:r>
            <w:r>
              <w:rPr>
                <w:rFonts w:hint="eastAsia" w:hAnsi="宋体" w:cs="宋体"/>
                <w:color w:val="auto"/>
                <w:sz w:val="21"/>
                <w:highlight w:val="none"/>
              </w:rPr>
              <w:t>800平方米的，加1分；②肉类分拣区域生产经营场所及仓储场所</w:t>
            </w:r>
            <w:r>
              <w:rPr>
                <w:rFonts w:ascii="Arial" w:hAnsi="Arial" w:cs="Arial"/>
                <w:color w:val="auto"/>
                <w:sz w:val="21"/>
                <w:highlight w:val="none"/>
              </w:rPr>
              <w:t>≥</w:t>
            </w:r>
            <w:r>
              <w:rPr>
                <w:rFonts w:hint="eastAsia" w:hAnsi="宋体" w:cs="宋体"/>
                <w:color w:val="auto"/>
                <w:sz w:val="21"/>
                <w:highlight w:val="none"/>
              </w:rPr>
              <w:t>1000平方米的加1分；③禽类分拣区域生产经营场所及仓储场所</w:t>
            </w:r>
            <w:r>
              <w:rPr>
                <w:rFonts w:ascii="Arial" w:hAnsi="Arial" w:cs="Arial"/>
                <w:color w:val="auto"/>
                <w:sz w:val="21"/>
                <w:highlight w:val="none"/>
              </w:rPr>
              <w:t>≥</w:t>
            </w:r>
            <w:r>
              <w:rPr>
                <w:rFonts w:hint="eastAsia" w:hAnsi="宋体" w:cs="宋体"/>
                <w:color w:val="auto"/>
                <w:sz w:val="21"/>
                <w:highlight w:val="none"/>
              </w:rPr>
              <w:t>1000平方米的加1分，本项满分5分。（注：自有产权的投标时提供自有产权证，场地使用平面图纸，场所照片；租赁场地的提供租赁合同，场地使用平面图纸，场所照片，①、②、③场地不能混合使用、重复计算，不提供或提供的资料不齐全的不得分。）</w:t>
            </w:r>
          </w:p>
          <w:p w14:paraId="6AAA3490">
            <w:pPr>
              <w:pStyle w:val="11"/>
              <w:spacing w:line="420" w:lineRule="exact"/>
              <w:rPr>
                <w:rFonts w:hAnsi="宋体" w:cs="宋体"/>
                <w:color w:val="auto"/>
                <w:sz w:val="21"/>
                <w:highlight w:val="none"/>
              </w:rPr>
            </w:pPr>
            <w:r>
              <w:rPr>
                <w:rFonts w:hint="eastAsia" w:hAnsi="宋体" w:cs="宋体"/>
                <w:color w:val="auto"/>
                <w:sz w:val="21"/>
                <w:highlight w:val="none"/>
              </w:rPr>
              <w:t>（5）投标人通过食品安全管理体系认证证书、质量管理体系认证证书、职业健康安全管理体系认证证书、环境管理体系认证证书、供应链安全管理体系认证证书的，得3分，满分3分（注：证书须在有效期内，未提供以及无法判断是否清晰有效的不得分）；</w:t>
            </w:r>
          </w:p>
          <w:p w14:paraId="481C7F21">
            <w:pPr>
              <w:pStyle w:val="11"/>
              <w:spacing w:line="420" w:lineRule="exact"/>
              <w:rPr>
                <w:rFonts w:hAnsi="宋体"/>
                <w:bCs/>
                <w:color w:val="auto"/>
                <w:sz w:val="21"/>
                <w:highlight w:val="none"/>
              </w:rPr>
            </w:pPr>
            <w:r>
              <w:rPr>
                <w:rFonts w:hint="eastAsia" w:hAnsi="宋体" w:cs="宋体"/>
                <w:color w:val="auto"/>
                <w:sz w:val="21"/>
                <w:highlight w:val="none"/>
              </w:rPr>
              <w:t>（6）投标人提供有效期内的食品安全责任险，保额不低于5000.00万元的得2分。（注：投标时在投标文件中提供：食品安全责任险保险单，保险发票。保单上体现许可范围含生鲜食材，否则不得分。）</w:t>
            </w:r>
          </w:p>
        </w:tc>
      </w:tr>
      <w:tr w14:paraId="55067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gridSpan w:val="4"/>
            <w:tcBorders>
              <w:top w:val="single" w:color="auto" w:sz="4" w:space="0"/>
              <w:left w:val="single" w:color="auto" w:sz="4" w:space="0"/>
              <w:bottom w:val="single" w:color="auto" w:sz="4" w:space="0"/>
              <w:right w:val="single" w:color="auto" w:sz="4" w:space="0"/>
            </w:tcBorders>
            <w:vAlign w:val="center"/>
          </w:tcPr>
          <w:p w14:paraId="41D3EFEA">
            <w:pPr>
              <w:spacing w:line="400" w:lineRule="exact"/>
              <w:rPr>
                <w:rFonts w:ascii="宋体" w:hAnsi="宋体" w:cs="宋体"/>
                <w:bCs/>
                <w:color w:val="auto"/>
                <w:szCs w:val="21"/>
                <w:highlight w:val="none"/>
              </w:rPr>
            </w:pPr>
            <w:r>
              <w:rPr>
                <w:rFonts w:hint="eastAsia" w:ascii="宋体" w:hAnsi="宋体" w:cs="宋体"/>
                <w:b/>
                <w:bCs/>
                <w:color w:val="auto"/>
                <w:szCs w:val="21"/>
                <w:highlight w:val="none"/>
              </w:rPr>
              <w:t>总得分=1+2+3</w:t>
            </w:r>
          </w:p>
        </w:tc>
      </w:tr>
    </w:tbl>
    <w:p w14:paraId="1751C622">
      <w:pPr>
        <w:keepNext/>
        <w:keepLines/>
        <w:spacing w:before="260" w:after="260" w:line="412" w:lineRule="auto"/>
        <w:jc w:val="center"/>
        <w:outlineLvl w:val="1"/>
        <w:rPr>
          <w:rFonts w:ascii="Arial" w:hAnsi="Arial" w:eastAsia="黑体"/>
          <w:bCs/>
          <w:color w:val="auto"/>
          <w:sz w:val="30"/>
          <w:szCs w:val="30"/>
          <w:highlight w:val="none"/>
        </w:rPr>
      </w:pPr>
      <w:bookmarkStart w:id="165" w:name="_Toc135768288"/>
      <w:r>
        <w:rPr>
          <w:rFonts w:hint="eastAsia" w:ascii="Arial" w:hAnsi="Arial" w:eastAsia="黑体"/>
          <w:bCs/>
          <w:color w:val="auto"/>
          <w:sz w:val="30"/>
          <w:szCs w:val="30"/>
          <w:highlight w:val="none"/>
        </w:rPr>
        <w:t>第四节</w:t>
      </w:r>
      <w:r>
        <w:rPr>
          <w:rFonts w:ascii="Arial" w:hAnsi="Arial" w:eastAsia="黑体"/>
          <w:bCs/>
          <w:color w:val="auto"/>
          <w:sz w:val="30"/>
          <w:szCs w:val="30"/>
          <w:highlight w:val="none"/>
        </w:rPr>
        <w:t xml:space="preserve"> </w:t>
      </w:r>
      <w:r>
        <w:rPr>
          <w:rFonts w:hint="eastAsia" w:ascii="Arial" w:hAnsi="Arial" w:eastAsia="黑体"/>
          <w:bCs/>
          <w:color w:val="auto"/>
          <w:sz w:val="30"/>
          <w:szCs w:val="30"/>
          <w:highlight w:val="none"/>
        </w:rPr>
        <w:t>中标候选人推荐原则</w:t>
      </w:r>
      <w:bookmarkEnd w:id="165"/>
    </w:p>
    <w:p w14:paraId="457C8E4C">
      <w:pPr>
        <w:numPr>
          <w:ilvl w:val="0"/>
          <w:numId w:val="1"/>
        </w:numPr>
        <w:spacing w:line="360" w:lineRule="auto"/>
        <w:contextualSpacing/>
        <w:rPr>
          <w:rFonts w:ascii="宋体" w:hAnsi="宋体"/>
          <w:b/>
          <w:bCs/>
          <w:color w:val="auto"/>
          <w:sz w:val="24"/>
          <w:highlight w:val="none"/>
        </w:rPr>
      </w:pPr>
      <w:r>
        <w:rPr>
          <w:rFonts w:hint="eastAsia" w:ascii="宋体" w:hAnsi="宋体"/>
          <w:b/>
          <w:bCs/>
          <w:color w:val="auto"/>
          <w:sz w:val="24"/>
          <w:highlight w:val="none"/>
        </w:rPr>
        <w:t>综合评分法</w:t>
      </w:r>
    </w:p>
    <w:p w14:paraId="27256D4D">
      <w:pPr>
        <w:spacing w:line="360" w:lineRule="auto"/>
        <w:ind w:firstLine="422" w:firstLineChars="200"/>
        <w:rPr>
          <w:rFonts w:ascii="宋体" w:hAnsi="宋体"/>
          <w:b/>
          <w:color w:val="auto"/>
          <w:szCs w:val="20"/>
          <w:highlight w:val="none"/>
        </w:rPr>
      </w:pPr>
      <w:r>
        <w:rPr>
          <w:rFonts w:hint="eastAsia" w:ascii="宋体" w:hAnsi="宋体"/>
          <w:b/>
          <w:color w:val="auto"/>
          <w:szCs w:val="20"/>
          <w:highlight w:val="none"/>
        </w:rPr>
        <w:t>评标委员会将根据总得分由高到低排列次序并推荐中标候选人。总得分相同的，以投标报价由低到高顺序排列。得分相同且投标报价相同的抽签确定，投标文件满足招标文件全部实质性要求，且按照评审因素的量化指标评审得分最高的投标人为排名第一的中标候选人。</w:t>
      </w:r>
    </w:p>
    <w:p w14:paraId="1DCC5245">
      <w:pPr>
        <w:pStyle w:val="29"/>
        <w:rPr>
          <w:color w:val="auto"/>
          <w:highlight w:val="none"/>
        </w:rPr>
      </w:pPr>
    </w:p>
    <w:p w14:paraId="62C4BAEF">
      <w:pPr>
        <w:spacing w:line="360" w:lineRule="auto"/>
        <w:ind w:firstLine="482" w:firstLineChars="200"/>
        <w:rPr>
          <w:rFonts w:ascii="宋体" w:hAnsi="宋体"/>
          <w:color w:val="auto"/>
          <w:szCs w:val="20"/>
          <w:highlight w:val="none"/>
        </w:rPr>
      </w:pPr>
      <w:r>
        <w:rPr>
          <w:rFonts w:hint="eastAsia" w:ascii="宋体" w:hAnsi="宋体"/>
          <w:b/>
          <w:bCs/>
          <w:color w:val="auto"/>
          <w:sz w:val="24"/>
          <w:highlight w:val="none"/>
        </w:rPr>
        <w:t>（二）最低评标报价法</w:t>
      </w:r>
    </w:p>
    <w:p w14:paraId="7C7A9DCD">
      <w:pPr>
        <w:tabs>
          <w:tab w:val="left" w:pos="2472"/>
        </w:tabs>
        <w:spacing w:line="480" w:lineRule="exact"/>
        <w:ind w:firstLine="420" w:firstLineChars="200"/>
        <w:rPr>
          <w:rFonts w:ascii="宋体" w:hAnsi="Courier New"/>
          <w:color w:val="auto"/>
          <w:szCs w:val="20"/>
          <w:highlight w:val="none"/>
        </w:rPr>
      </w:pPr>
      <w:r>
        <w:rPr>
          <w:rFonts w:hint="eastAsia" w:ascii="宋体" w:hAnsi="宋体"/>
          <w:color w:val="auto"/>
          <w:szCs w:val="20"/>
          <w:highlight w:val="none"/>
        </w:rPr>
        <w:t>评标委员会将按照有效报价从低到高排序并推荐中标候选人。</w:t>
      </w:r>
      <w:r>
        <w:rPr>
          <w:rFonts w:hint="eastAsia" w:ascii="宋体" w:hAnsi="Courier New"/>
          <w:color w:val="auto"/>
          <w:szCs w:val="20"/>
          <w:highlight w:val="none"/>
        </w:rPr>
        <w:t>投标报价相同的并列，投标文件满足招标文件全部实质性要求且投标报价最低的投标人为排名第一的中标候选人；评标价相同且前述指标均相同时，由评标委员会各成员对评标价相同的供应商，当场投票表决，得票多者优先，并依照次序确定1家中标人。</w:t>
      </w:r>
    </w:p>
    <w:p w14:paraId="62FA0C30">
      <w:pPr>
        <w:keepNext/>
        <w:keepLines/>
        <w:spacing w:line="360" w:lineRule="auto"/>
        <w:ind w:firstLine="600" w:firstLineChars="200"/>
        <w:jc w:val="center"/>
        <w:outlineLvl w:val="1"/>
        <w:rPr>
          <w:rFonts w:ascii="Arial" w:hAnsi="Arial" w:eastAsia="黑体"/>
          <w:bCs/>
          <w:color w:val="auto"/>
          <w:sz w:val="30"/>
          <w:szCs w:val="30"/>
          <w:highlight w:val="none"/>
        </w:rPr>
      </w:pPr>
      <w:bookmarkStart w:id="166" w:name="_Toc135768289"/>
      <w:r>
        <w:rPr>
          <w:rFonts w:hint="eastAsia" w:ascii="Arial" w:hAnsi="Arial" w:eastAsia="黑体"/>
          <w:bCs/>
          <w:color w:val="auto"/>
          <w:sz w:val="30"/>
          <w:szCs w:val="30"/>
          <w:highlight w:val="none"/>
        </w:rPr>
        <w:t>第五节</w:t>
      </w:r>
      <w:r>
        <w:rPr>
          <w:rFonts w:ascii="Arial" w:hAnsi="Arial" w:eastAsia="黑体"/>
          <w:bCs/>
          <w:color w:val="auto"/>
          <w:sz w:val="30"/>
          <w:szCs w:val="30"/>
          <w:highlight w:val="none"/>
        </w:rPr>
        <w:t xml:space="preserve"> </w:t>
      </w:r>
      <w:r>
        <w:rPr>
          <w:rFonts w:hint="eastAsia" w:ascii="Arial" w:hAnsi="Arial" w:eastAsia="黑体"/>
          <w:bCs/>
          <w:color w:val="auto"/>
          <w:sz w:val="30"/>
          <w:szCs w:val="30"/>
          <w:highlight w:val="none"/>
        </w:rPr>
        <w:t>评标报告</w:t>
      </w:r>
      <w:bookmarkEnd w:id="166"/>
    </w:p>
    <w:p w14:paraId="7722AB13">
      <w:pPr>
        <w:adjustRightInd w:val="0"/>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（一）评标报告与推荐中标候选人</w:t>
      </w:r>
    </w:p>
    <w:p w14:paraId="389B740A">
      <w:pPr>
        <w:tabs>
          <w:tab w:val="left" w:pos="2472"/>
        </w:tabs>
        <w:spacing w:line="360" w:lineRule="auto"/>
        <w:ind w:firstLine="420" w:firstLineChars="200"/>
        <w:rPr>
          <w:rFonts w:ascii="宋体" w:hAnsi="宋体"/>
          <w:color w:val="auto"/>
          <w:szCs w:val="20"/>
          <w:highlight w:val="none"/>
        </w:rPr>
      </w:pPr>
      <w:r>
        <w:rPr>
          <w:rFonts w:hint="eastAsia" w:ascii="宋体" w:hAnsi="宋体"/>
          <w:color w:val="auto"/>
          <w:szCs w:val="20"/>
          <w:highlight w:val="none"/>
        </w:rPr>
        <w:t>评标委员会根据原始评标记录和评标结果编写评标报告，并通过电子交易平台向采购人、采购代理机构提交。</w:t>
      </w:r>
    </w:p>
    <w:p w14:paraId="00F787A2">
      <w:pPr>
        <w:widowControl/>
        <w:spacing w:line="360" w:lineRule="auto"/>
        <w:ind w:firstLine="482" w:firstLineChars="200"/>
        <w:jc w:val="left"/>
        <w:rPr>
          <w:rFonts w:ascii="宋体" w:hAnsi="宋体"/>
          <w:b/>
          <w:bCs/>
          <w:color w:val="auto"/>
          <w:sz w:val="24"/>
          <w:highlight w:val="none"/>
        </w:rPr>
      </w:pPr>
      <w:r>
        <w:rPr>
          <w:rFonts w:hint="eastAsia" w:ascii="宋体" w:hAnsi="宋体"/>
          <w:b/>
          <w:bCs/>
          <w:color w:val="auto"/>
          <w:sz w:val="24"/>
          <w:highlight w:val="none"/>
        </w:rPr>
        <w:t>（二）评标争议事项处理</w:t>
      </w:r>
    </w:p>
    <w:p w14:paraId="44EF2271">
      <w:pPr>
        <w:tabs>
          <w:tab w:val="left" w:pos="2472"/>
        </w:tabs>
        <w:spacing w:line="480" w:lineRule="exact"/>
        <w:ind w:firstLine="420" w:firstLineChars="200"/>
        <w:rPr>
          <w:rFonts w:ascii="宋体" w:hAnsi="Courier New"/>
          <w:color w:val="auto"/>
          <w:szCs w:val="20"/>
          <w:highlight w:val="none"/>
        </w:rPr>
      </w:pPr>
      <w:r>
        <w:rPr>
          <w:rFonts w:hint="eastAsia" w:ascii="宋体" w:hAnsi="Courier New"/>
          <w:color w:val="auto"/>
          <w:szCs w:val="20"/>
          <w:highlight w:val="none"/>
        </w:rPr>
        <w:t>评标委员会成员对需要共同认定的事项存在争议的，应当按照少数服从多数的原则作出结论。持不同意见的评标委员会成员应当在评标报告上签署不同意见及理由，否则视为同意评标报告。</w:t>
      </w:r>
      <w:bookmarkStart w:id="167" w:name="_Toc9082"/>
      <w:bookmarkStart w:id="168" w:name="_Toc15467"/>
    </w:p>
    <w:p w14:paraId="1604730E">
      <w:pPr>
        <w:rPr>
          <w:color w:val="auto"/>
          <w:highlight w:val="none"/>
        </w:rPr>
      </w:pPr>
    </w:p>
    <w:p w14:paraId="75387BB8">
      <w:pPr>
        <w:rPr>
          <w:color w:val="auto"/>
          <w:highlight w:val="none"/>
        </w:rPr>
      </w:pPr>
    </w:p>
    <w:p w14:paraId="7972F315">
      <w:pPr>
        <w:rPr>
          <w:color w:val="auto"/>
          <w:highlight w:val="none"/>
        </w:rPr>
      </w:pPr>
    </w:p>
    <w:p w14:paraId="2F4450B8">
      <w:pPr>
        <w:rPr>
          <w:color w:val="auto"/>
          <w:highlight w:val="none"/>
        </w:rPr>
      </w:pPr>
    </w:p>
    <w:p w14:paraId="45ED7B84">
      <w:pPr>
        <w:rPr>
          <w:color w:val="auto"/>
          <w:highlight w:val="none"/>
        </w:rPr>
      </w:pPr>
    </w:p>
    <w:p w14:paraId="130A025C">
      <w:pPr>
        <w:rPr>
          <w:color w:val="auto"/>
          <w:highlight w:val="none"/>
        </w:rPr>
      </w:pPr>
    </w:p>
    <w:p w14:paraId="1DBA2659">
      <w:pPr>
        <w:rPr>
          <w:color w:val="auto"/>
          <w:highlight w:val="none"/>
        </w:rPr>
      </w:pPr>
    </w:p>
    <w:p w14:paraId="6E56BBE1">
      <w:pPr>
        <w:rPr>
          <w:color w:val="auto"/>
          <w:highlight w:val="none"/>
        </w:rPr>
      </w:pPr>
    </w:p>
    <w:p w14:paraId="01E277B5">
      <w:pPr>
        <w:rPr>
          <w:color w:val="auto"/>
          <w:highlight w:val="none"/>
        </w:rPr>
      </w:pPr>
    </w:p>
    <w:p w14:paraId="29C457A7">
      <w:pPr>
        <w:rPr>
          <w:color w:val="auto"/>
          <w:highlight w:val="none"/>
        </w:rPr>
      </w:pPr>
    </w:p>
    <w:p w14:paraId="7B2A1D33">
      <w:pPr>
        <w:rPr>
          <w:color w:val="auto"/>
          <w:highlight w:val="none"/>
        </w:rPr>
      </w:pPr>
    </w:p>
    <w:p w14:paraId="3F4783FC">
      <w:pPr>
        <w:rPr>
          <w:color w:val="auto"/>
          <w:highlight w:val="none"/>
        </w:rPr>
      </w:pPr>
    </w:p>
    <w:p w14:paraId="1D04ADA4">
      <w:pPr>
        <w:rPr>
          <w:color w:val="auto"/>
          <w:highlight w:val="none"/>
        </w:rPr>
      </w:pPr>
    </w:p>
    <w:p w14:paraId="7D92F58B">
      <w:pPr>
        <w:pStyle w:val="13"/>
        <w:rPr>
          <w:color w:val="auto"/>
          <w:highlight w:val="none"/>
        </w:rPr>
      </w:pPr>
    </w:p>
    <w:p w14:paraId="4788E84C">
      <w:pPr>
        <w:rPr>
          <w:color w:val="auto"/>
          <w:highlight w:val="none"/>
        </w:rPr>
      </w:pPr>
    </w:p>
    <w:p w14:paraId="40720F44">
      <w:pPr>
        <w:pStyle w:val="13"/>
        <w:rPr>
          <w:color w:val="auto"/>
          <w:highlight w:val="none"/>
        </w:rPr>
      </w:pPr>
    </w:p>
    <w:p w14:paraId="0D4B591C">
      <w:pPr>
        <w:rPr>
          <w:color w:val="auto"/>
          <w:highlight w:val="none"/>
        </w:rPr>
      </w:pPr>
    </w:p>
    <w:p w14:paraId="2F261A6F">
      <w:pPr>
        <w:pStyle w:val="13"/>
        <w:rPr>
          <w:color w:val="auto"/>
          <w:highlight w:val="none"/>
        </w:rPr>
      </w:pPr>
    </w:p>
    <w:p w14:paraId="1060EE38">
      <w:pPr>
        <w:rPr>
          <w:color w:val="auto"/>
          <w:highlight w:val="none"/>
        </w:rPr>
      </w:pPr>
    </w:p>
    <w:p w14:paraId="50B89438">
      <w:pPr>
        <w:pStyle w:val="13"/>
        <w:rPr>
          <w:color w:val="auto"/>
          <w:highlight w:val="none"/>
        </w:rPr>
      </w:pPr>
    </w:p>
    <w:p w14:paraId="61E3FAC3">
      <w:pPr>
        <w:rPr>
          <w:color w:val="auto"/>
          <w:highlight w:val="none"/>
        </w:rPr>
      </w:pPr>
    </w:p>
    <w:p w14:paraId="630C8CAA">
      <w:pPr>
        <w:pStyle w:val="13"/>
        <w:rPr>
          <w:color w:val="auto"/>
          <w:highlight w:val="none"/>
        </w:rPr>
      </w:pPr>
    </w:p>
    <w:p w14:paraId="61396D7D">
      <w:pPr>
        <w:rPr>
          <w:color w:val="auto"/>
          <w:highlight w:val="none"/>
        </w:rPr>
      </w:pPr>
    </w:p>
    <w:p w14:paraId="1F168D80">
      <w:pPr>
        <w:pStyle w:val="13"/>
        <w:rPr>
          <w:color w:val="auto"/>
          <w:highlight w:val="none"/>
        </w:rPr>
      </w:pPr>
    </w:p>
    <w:p w14:paraId="3F391077">
      <w:pPr>
        <w:rPr>
          <w:color w:val="auto"/>
          <w:highlight w:val="none"/>
        </w:rPr>
      </w:pPr>
    </w:p>
    <w:p w14:paraId="7AF3D288">
      <w:pPr>
        <w:pStyle w:val="13"/>
        <w:rPr>
          <w:color w:val="auto"/>
          <w:highlight w:val="none"/>
        </w:rPr>
      </w:pPr>
    </w:p>
    <w:p w14:paraId="5C4F3044">
      <w:pPr>
        <w:rPr>
          <w:color w:val="auto"/>
          <w:highlight w:val="none"/>
        </w:rPr>
      </w:pPr>
    </w:p>
    <w:p w14:paraId="651E0866">
      <w:pPr>
        <w:pStyle w:val="13"/>
        <w:rPr>
          <w:color w:val="auto"/>
          <w:highlight w:val="none"/>
        </w:rPr>
      </w:pPr>
    </w:p>
    <w:p w14:paraId="36F41579">
      <w:pPr>
        <w:rPr>
          <w:color w:val="auto"/>
          <w:highlight w:val="none"/>
        </w:rPr>
      </w:pPr>
    </w:p>
    <w:p w14:paraId="01A3B06C">
      <w:pPr>
        <w:pStyle w:val="13"/>
        <w:rPr>
          <w:color w:val="auto"/>
          <w:highlight w:val="none"/>
        </w:rPr>
      </w:pPr>
    </w:p>
    <w:p w14:paraId="175E65FA">
      <w:pPr>
        <w:rPr>
          <w:color w:val="auto"/>
          <w:highlight w:val="none"/>
        </w:rPr>
      </w:pPr>
    </w:p>
    <w:p w14:paraId="39930CA3">
      <w:pPr>
        <w:pStyle w:val="2"/>
        <w:jc w:val="center"/>
        <w:rPr>
          <w:rFonts w:ascii="宋体" w:hAnsi="宋体" w:cs="宋体"/>
          <w:color w:val="auto"/>
          <w:highlight w:val="none"/>
        </w:rPr>
      </w:pPr>
      <w:r>
        <w:rPr>
          <w:rFonts w:hint="eastAsia" w:ascii="宋体" w:hAnsi="宋体" w:cs="宋体"/>
          <w:color w:val="auto"/>
          <w:highlight w:val="none"/>
        </w:rPr>
        <w:t>第五章  拟签订的合同文本</w:t>
      </w:r>
      <w:bookmarkEnd w:id="167"/>
      <w:bookmarkEnd w:id="168"/>
    </w:p>
    <w:p w14:paraId="5C59AEA0">
      <w:pPr>
        <w:snapToGrid w:val="0"/>
        <w:jc w:val="center"/>
        <w:rPr>
          <w:rFonts w:ascii="宋体" w:hAnsi="宋体" w:cs="宋体"/>
          <w:bCs/>
          <w:color w:val="auto"/>
          <w:sz w:val="32"/>
          <w:szCs w:val="32"/>
          <w:highlight w:val="none"/>
        </w:rPr>
      </w:pPr>
    </w:p>
    <w:p w14:paraId="201E31FF">
      <w:pPr>
        <w:snapToGrid w:val="0"/>
        <w:jc w:val="center"/>
        <w:rPr>
          <w:rFonts w:ascii="宋体" w:hAnsi="宋体" w:cs="宋体"/>
          <w:bCs/>
          <w:color w:val="auto"/>
          <w:sz w:val="32"/>
          <w:szCs w:val="32"/>
          <w:highlight w:val="none"/>
        </w:rPr>
      </w:pPr>
    </w:p>
    <w:p w14:paraId="34F2C78B">
      <w:pPr>
        <w:snapToGrid w:val="0"/>
        <w:jc w:val="center"/>
        <w:rPr>
          <w:rFonts w:ascii="宋体" w:hAnsi="宋体" w:cs="宋体"/>
          <w:bCs/>
          <w:color w:val="auto"/>
          <w:sz w:val="32"/>
          <w:szCs w:val="32"/>
          <w:highlight w:val="none"/>
        </w:rPr>
      </w:pPr>
    </w:p>
    <w:p w14:paraId="586799CD">
      <w:pPr>
        <w:snapToGrid w:val="0"/>
        <w:jc w:val="center"/>
        <w:rPr>
          <w:rFonts w:ascii="宋体" w:hAnsi="宋体" w:cs="宋体"/>
          <w:bCs/>
          <w:color w:val="auto"/>
          <w:sz w:val="32"/>
          <w:szCs w:val="32"/>
          <w:highlight w:val="none"/>
        </w:rPr>
      </w:pPr>
    </w:p>
    <w:p w14:paraId="0186C899">
      <w:pPr>
        <w:snapToGrid w:val="0"/>
        <w:jc w:val="center"/>
        <w:rPr>
          <w:rFonts w:ascii="宋体" w:hAnsi="宋体" w:cs="宋体"/>
          <w:bCs/>
          <w:color w:val="auto"/>
          <w:sz w:val="32"/>
          <w:szCs w:val="32"/>
          <w:highlight w:val="none"/>
        </w:rPr>
      </w:pPr>
    </w:p>
    <w:p w14:paraId="2B9700D5">
      <w:pPr>
        <w:snapToGrid w:val="0"/>
        <w:jc w:val="center"/>
        <w:rPr>
          <w:rFonts w:ascii="宋体" w:hAnsi="宋体" w:cs="宋体"/>
          <w:bCs/>
          <w:color w:val="auto"/>
          <w:sz w:val="32"/>
          <w:szCs w:val="32"/>
          <w:highlight w:val="none"/>
        </w:rPr>
      </w:pPr>
    </w:p>
    <w:p w14:paraId="489D71D0">
      <w:pPr>
        <w:widowControl/>
        <w:spacing w:line="980" w:lineRule="exact"/>
        <w:jc w:val="center"/>
        <w:rPr>
          <w:rFonts w:ascii="宋体" w:hAnsi="宋体" w:cs="宋体"/>
          <w:bCs/>
          <w:color w:val="auto"/>
          <w:sz w:val="32"/>
          <w:szCs w:val="32"/>
          <w:highlight w:val="none"/>
        </w:rPr>
      </w:pPr>
      <w:r>
        <w:rPr>
          <w:rFonts w:hint="eastAsia" w:ascii="宋体" w:hAnsi="宋体" w:cs="宋体"/>
          <w:bCs/>
          <w:color w:val="auto"/>
          <w:sz w:val="32"/>
          <w:szCs w:val="32"/>
          <w:highlight w:val="none"/>
        </w:rPr>
        <w:br w:type="page"/>
      </w:r>
      <w:bookmarkStart w:id="169" w:name="_Hlk55381736"/>
    </w:p>
    <w:p w14:paraId="6EBB6A0A">
      <w:pPr>
        <w:widowControl/>
        <w:spacing w:line="980" w:lineRule="exact"/>
        <w:jc w:val="center"/>
        <w:rPr>
          <w:rFonts w:ascii="宋体" w:hAnsi="宋体" w:cs="宋体"/>
          <w:b/>
          <w:bCs/>
          <w:color w:val="auto"/>
          <w:sz w:val="52"/>
          <w:szCs w:val="52"/>
          <w:highlight w:val="none"/>
        </w:rPr>
      </w:pPr>
      <w:r>
        <w:rPr>
          <w:rFonts w:hint="eastAsia" w:ascii="宋体" w:hAnsi="宋体" w:cs="宋体"/>
          <w:b/>
          <w:bCs/>
          <w:color w:val="auto"/>
          <w:sz w:val="52"/>
          <w:szCs w:val="52"/>
          <w:highlight w:val="none"/>
        </w:rPr>
        <w:t>广西壮族自治区政府采购</w:t>
      </w:r>
    </w:p>
    <w:p w14:paraId="52234701">
      <w:pPr>
        <w:widowControl/>
        <w:spacing w:line="980" w:lineRule="exact"/>
        <w:jc w:val="center"/>
        <w:rPr>
          <w:rFonts w:ascii="宋体" w:hAnsi="宋体" w:cs="宋体"/>
          <w:b/>
          <w:bCs/>
          <w:color w:val="auto"/>
          <w:sz w:val="52"/>
          <w:szCs w:val="52"/>
          <w:highlight w:val="none"/>
        </w:rPr>
      </w:pPr>
      <w:r>
        <w:rPr>
          <w:rFonts w:hint="eastAsia" w:ascii="宋体" w:hAnsi="宋体" w:cs="宋体"/>
          <w:b/>
          <w:bCs/>
          <w:color w:val="auto"/>
          <w:sz w:val="52"/>
          <w:szCs w:val="52"/>
          <w:highlight w:val="none"/>
        </w:rPr>
        <w:t>合同书</w:t>
      </w:r>
    </w:p>
    <w:p w14:paraId="10015E44">
      <w:pPr>
        <w:widowControl/>
        <w:spacing w:line="520" w:lineRule="exact"/>
        <w:ind w:firstLine="527"/>
        <w:jc w:val="left"/>
        <w:rPr>
          <w:rFonts w:ascii="宋体" w:hAnsi="宋体" w:cs="宋体"/>
          <w:b/>
          <w:bCs/>
          <w:color w:val="auto"/>
          <w:sz w:val="28"/>
          <w:szCs w:val="28"/>
          <w:highlight w:val="none"/>
        </w:rPr>
      </w:pPr>
    </w:p>
    <w:p w14:paraId="1F24A537">
      <w:pPr>
        <w:widowControl/>
        <w:spacing w:line="520" w:lineRule="exact"/>
        <w:ind w:firstLine="527"/>
        <w:jc w:val="left"/>
        <w:rPr>
          <w:rFonts w:ascii="宋体" w:hAnsi="宋体" w:cs="宋体"/>
          <w:color w:val="auto"/>
          <w:sz w:val="28"/>
          <w:szCs w:val="28"/>
          <w:highlight w:val="none"/>
        </w:rPr>
      </w:pPr>
      <w:r>
        <w:rPr>
          <w:rFonts w:hint="eastAsia" w:ascii="宋体" w:hAnsi="宋体" w:cs="宋体"/>
          <w:color w:val="auto"/>
          <w:sz w:val="28"/>
          <w:szCs w:val="28"/>
          <w:highlight w:val="none"/>
        </w:rPr>
        <w:t xml:space="preserve">             </w:t>
      </w:r>
    </w:p>
    <w:p w14:paraId="05F1F4A1">
      <w:pPr>
        <w:widowControl/>
        <w:spacing w:line="520" w:lineRule="exact"/>
        <w:ind w:firstLine="527"/>
        <w:jc w:val="left"/>
        <w:rPr>
          <w:rFonts w:ascii="宋体" w:hAnsi="宋体" w:cs="宋体"/>
          <w:color w:val="auto"/>
          <w:sz w:val="28"/>
          <w:szCs w:val="28"/>
          <w:highlight w:val="none"/>
        </w:rPr>
      </w:pPr>
    </w:p>
    <w:p w14:paraId="1301C4EC">
      <w:pPr>
        <w:widowControl/>
        <w:spacing w:line="520" w:lineRule="exact"/>
        <w:ind w:firstLine="527"/>
        <w:jc w:val="left"/>
        <w:rPr>
          <w:rFonts w:ascii="宋体" w:hAnsi="宋体" w:cs="宋体"/>
          <w:color w:val="auto"/>
          <w:sz w:val="28"/>
          <w:szCs w:val="28"/>
          <w:highlight w:val="none"/>
        </w:rPr>
      </w:pPr>
    </w:p>
    <w:p w14:paraId="6FC2D4DA">
      <w:pPr>
        <w:widowControl/>
        <w:spacing w:line="580" w:lineRule="exact"/>
        <w:ind w:firstLine="527"/>
        <w:jc w:val="left"/>
        <w:rPr>
          <w:rFonts w:ascii="宋体" w:hAnsi="宋体" w:cs="宋体"/>
          <w:color w:val="auto"/>
          <w:sz w:val="28"/>
          <w:szCs w:val="28"/>
          <w:highlight w:val="none"/>
        </w:rPr>
      </w:pPr>
      <w:r>
        <w:rPr>
          <w:rFonts w:hint="eastAsia" w:ascii="宋体" w:hAnsi="宋体" w:cs="宋体"/>
          <w:color w:val="auto"/>
          <w:sz w:val="28"/>
          <w:szCs w:val="28"/>
          <w:highlight w:val="none"/>
        </w:rPr>
        <w:t xml:space="preserve">                                    </w:t>
      </w:r>
    </w:p>
    <w:p w14:paraId="14F5415A">
      <w:pPr>
        <w:widowControl/>
        <w:spacing w:line="580" w:lineRule="exact"/>
        <w:ind w:left="1579" w:leftChars="472" w:hanging="588" w:hangingChars="184"/>
        <w:jc w:val="left"/>
        <w:rPr>
          <w:rFonts w:ascii="宋体" w:hAnsi="宋体" w:cs="宋体"/>
          <w:bCs/>
          <w:color w:val="auto"/>
          <w:sz w:val="32"/>
          <w:szCs w:val="32"/>
          <w:highlight w:val="none"/>
          <w:u w:val="single"/>
        </w:rPr>
      </w:pPr>
      <w:r>
        <w:rPr>
          <w:rFonts w:hint="eastAsia" w:ascii="宋体" w:hAnsi="宋体" w:cs="宋体"/>
          <w:bCs/>
          <w:color w:val="auto"/>
          <w:sz w:val="32"/>
          <w:szCs w:val="32"/>
          <w:highlight w:val="none"/>
        </w:rPr>
        <w:t>项目名称：</w:t>
      </w:r>
      <w:r>
        <w:rPr>
          <w:rFonts w:hint="eastAsia" w:ascii="宋体" w:hAnsi="宋体" w:cs="宋体"/>
          <w:bCs/>
          <w:color w:val="auto"/>
          <w:sz w:val="32"/>
          <w:szCs w:val="32"/>
          <w:highlight w:val="none"/>
          <w:u w:val="single"/>
        </w:rPr>
        <w:t xml:space="preserve">                               </w:t>
      </w:r>
    </w:p>
    <w:p w14:paraId="79E8E695">
      <w:pPr>
        <w:widowControl/>
        <w:spacing w:line="580" w:lineRule="exact"/>
        <w:ind w:left="1579" w:leftChars="472" w:hanging="588" w:hangingChars="184"/>
        <w:jc w:val="left"/>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r>
        <w:rPr>
          <w:rFonts w:hint="eastAsia" w:ascii="宋体" w:hAnsi="宋体" w:cs="宋体"/>
          <w:bCs/>
          <w:color w:val="auto"/>
          <w:sz w:val="32"/>
          <w:szCs w:val="32"/>
          <w:highlight w:val="none"/>
          <w:u w:val="single"/>
        </w:rPr>
        <w:t xml:space="preserve">                               </w:t>
      </w:r>
      <w:r>
        <w:rPr>
          <w:rFonts w:hint="eastAsia" w:ascii="宋体" w:hAnsi="宋体" w:cs="宋体"/>
          <w:bCs/>
          <w:color w:val="auto"/>
          <w:sz w:val="32"/>
          <w:szCs w:val="32"/>
          <w:highlight w:val="none"/>
        </w:rPr>
        <w:t xml:space="preserve"> </w:t>
      </w:r>
    </w:p>
    <w:p w14:paraId="219993A7">
      <w:pPr>
        <w:widowControl/>
        <w:spacing w:line="580" w:lineRule="exact"/>
        <w:ind w:left="1579" w:leftChars="472" w:hanging="588" w:hangingChars="184"/>
        <w:jc w:val="left"/>
        <w:rPr>
          <w:rFonts w:ascii="宋体" w:hAnsi="宋体" w:cs="宋体"/>
          <w:b/>
          <w:bCs/>
          <w:color w:val="auto"/>
          <w:sz w:val="32"/>
          <w:szCs w:val="32"/>
          <w:highlight w:val="none"/>
          <w:u w:val="single"/>
        </w:rPr>
      </w:pPr>
      <w:r>
        <w:rPr>
          <w:rFonts w:hint="eastAsia" w:ascii="宋体" w:hAnsi="宋体" w:cs="宋体"/>
          <w:bCs/>
          <w:color w:val="auto"/>
          <w:sz w:val="32"/>
          <w:szCs w:val="32"/>
          <w:highlight w:val="none"/>
        </w:rPr>
        <w:t>采购计划文号：</w:t>
      </w:r>
      <w:r>
        <w:rPr>
          <w:rFonts w:hint="eastAsia" w:ascii="宋体" w:hAnsi="宋体" w:cs="宋体"/>
          <w:bCs/>
          <w:color w:val="auto"/>
          <w:sz w:val="32"/>
          <w:szCs w:val="32"/>
          <w:highlight w:val="none"/>
          <w:u w:val="single"/>
        </w:rPr>
        <w:t xml:space="preserve">                           </w:t>
      </w:r>
      <w:r>
        <w:rPr>
          <w:rFonts w:hint="eastAsia" w:ascii="宋体" w:hAnsi="宋体" w:cs="宋体"/>
          <w:bCs/>
          <w:color w:val="auto"/>
          <w:sz w:val="32"/>
          <w:szCs w:val="32"/>
          <w:highlight w:val="none"/>
        </w:rPr>
        <w:t xml:space="preserve"> </w:t>
      </w:r>
    </w:p>
    <w:p w14:paraId="4200B868">
      <w:pPr>
        <w:widowControl/>
        <w:spacing w:line="580" w:lineRule="exact"/>
        <w:jc w:val="center"/>
        <w:rPr>
          <w:rFonts w:ascii="宋体" w:hAnsi="宋体" w:cs="宋体"/>
          <w:bCs/>
          <w:color w:val="auto"/>
          <w:sz w:val="32"/>
          <w:szCs w:val="32"/>
          <w:highlight w:val="none"/>
        </w:rPr>
      </w:pPr>
    </w:p>
    <w:p w14:paraId="0864AB5A">
      <w:pPr>
        <w:pStyle w:val="10"/>
        <w:spacing w:line="580" w:lineRule="exact"/>
        <w:rPr>
          <w:rFonts w:ascii="宋体" w:hAnsi="宋体" w:cs="宋体"/>
          <w:color w:val="auto"/>
          <w:highlight w:val="none"/>
        </w:rPr>
      </w:pPr>
    </w:p>
    <w:p w14:paraId="0905646E">
      <w:pPr>
        <w:widowControl/>
        <w:spacing w:line="580" w:lineRule="exact"/>
        <w:ind w:firstLine="1453"/>
        <w:jc w:val="left"/>
        <w:rPr>
          <w:rFonts w:ascii="宋体" w:hAnsi="宋体" w:cs="宋体"/>
          <w:color w:val="auto"/>
          <w:sz w:val="28"/>
          <w:szCs w:val="28"/>
          <w:highlight w:val="none"/>
          <w:u w:val="single"/>
        </w:rPr>
      </w:pPr>
    </w:p>
    <w:p w14:paraId="093A4237">
      <w:pPr>
        <w:widowControl/>
        <w:tabs>
          <w:tab w:val="left" w:pos="7200"/>
        </w:tabs>
        <w:spacing w:line="580" w:lineRule="exact"/>
        <w:ind w:left="708" w:leftChars="337" w:firstLine="426"/>
        <w:jc w:val="left"/>
        <w:rPr>
          <w:rFonts w:ascii="宋体" w:hAnsi="宋体" w:cs="宋体"/>
          <w:color w:val="auto"/>
          <w:sz w:val="32"/>
          <w:szCs w:val="32"/>
          <w:highlight w:val="none"/>
        </w:rPr>
      </w:pPr>
      <w:r>
        <w:rPr>
          <w:rFonts w:hint="eastAsia" w:ascii="宋体" w:hAnsi="宋体" w:cs="宋体"/>
          <w:color w:val="auto"/>
          <w:sz w:val="32"/>
          <w:szCs w:val="32"/>
          <w:highlight w:val="none"/>
        </w:rPr>
        <w:t>采购人：</w:t>
      </w:r>
      <w:r>
        <w:rPr>
          <w:rFonts w:hint="eastAsia" w:ascii="宋体" w:hAnsi="宋体" w:cs="宋体"/>
          <w:color w:val="auto"/>
          <w:sz w:val="32"/>
          <w:szCs w:val="32"/>
          <w:highlight w:val="none"/>
          <w:u w:val="single"/>
        </w:rPr>
        <w:t xml:space="preserve">                        </w:t>
      </w:r>
    </w:p>
    <w:p w14:paraId="6C0F217B">
      <w:pPr>
        <w:widowControl/>
        <w:tabs>
          <w:tab w:val="left" w:pos="7380"/>
        </w:tabs>
        <w:spacing w:line="580" w:lineRule="exact"/>
        <w:ind w:left="708" w:leftChars="337" w:firstLine="426"/>
        <w:jc w:val="left"/>
        <w:rPr>
          <w:rFonts w:ascii="宋体" w:hAnsi="宋体" w:cs="宋体"/>
          <w:color w:val="auto"/>
          <w:sz w:val="32"/>
          <w:szCs w:val="32"/>
          <w:highlight w:val="none"/>
        </w:rPr>
      </w:pPr>
      <w:r>
        <w:rPr>
          <w:rFonts w:hint="eastAsia" w:ascii="宋体" w:hAnsi="宋体" w:cs="宋体"/>
          <w:color w:val="auto"/>
          <w:sz w:val="32"/>
          <w:szCs w:val="32"/>
          <w:highlight w:val="none"/>
        </w:rPr>
        <w:t>中标人：</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 xml:space="preserve"> </w:t>
      </w:r>
    </w:p>
    <w:p w14:paraId="259E4C1C">
      <w:pPr>
        <w:widowControl/>
        <w:tabs>
          <w:tab w:val="left" w:pos="7380"/>
        </w:tabs>
        <w:spacing w:line="580" w:lineRule="exact"/>
        <w:jc w:val="center"/>
        <w:rPr>
          <w:rFonts w:ascii="宋体" w:hAnsi="宋体" w:cs="宋体"/>
          <w:color w:val="auto"/>
          <w:sz w:val="32"/>
          <w:szCs w:val="32"/>
          <w:highlight w:val="none"/>
        </w:rPr>
      </w:pPr>
    </w:p>
    <w:p w14:paraId="28B7A626">
      <w:pPr>
        <w:jc w:val="center"/>
        <w:rPr>
          <w:rFonts w:ascii="宋体" w:hAnsi="宋体" w:cs="宋体"/>
          <w:color w:val="auto"/>
          <w:highlight w:val="none"/>
        </w:rPr>
      </w:pPr>
      <w:r>
        <w:rPr>
          <w:rFonts w:hint="eastAsia" w:ascii="宋体" w:hAnsi="宋体" w:cs="宋体"/>
          <w:color w:val="auto"/>
          <w:sz w:val="32"/>
          <w:szCs w:val="32"/>
          <w:highlight w:val="none"/>
        </w:rPr>
        <w:t>2025年   月   日</w:t>
      </w:r>
      <w:r>
        <w:rPr>
          <w:rFonts w:hint="eastAsia" w:ascii="宋体" w:hAnsi="宋体" w:cs="宋体"/>
          <w:color w:val="auto"/>
          <w:highlight w:val="none"/>
        </w:rPr>
        <w:br w:type="page"/>
      </w:r>
    </w:p>
    <w:p w14:paraId="689C6115">
      <w:pPr>
        <w:widowControl/>
        <w:spacing w:line="52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广西壮族自治区采购合同书</w:t>
      </w:r>
    </w:p>
    <w:p w14:paraId="7E54474B">
      <w:pPr>
        <w:widowControl/>
        <w:snapToGrid w:val="0"/>
        <w:spacing w:line="360" w:lineRule="exact"/>
        <w:jc w:val="left"/>
        <w:rPr>
          <w:rFonts w:ascii="宋体" w:hAnsi="宋体" w:cs="宋体"/>
          <w:color w:val="auto"/>
          <w:sz w:val="32"/>
          <w:szCs w:val="32"/>
          <w:highlight w:val="none"/>
        </w:rPr>
      </w:pPr>
    </w:p>
    <w:bookmarkEnd w:id="169"/>
    <w:p w14:paraId="60A856DF">
      <w:pPr>
        <w:spacing w:line="520" w:lineRule="exact"/>
        <w:rPr>
          <w:rFonts w:ascii="宋体" w:hAnsi="宋体" w:cs="宋体"/>
          <w:b/>
          <w:color w:val="auto"/>
          <w:szCs w:val="21"/>
          <w:highlight w:val="none"/>
        </w:rPr>
      </w:pPr>
    </w:p>
    <w:p w14:paraId="274D7F44">
      <w:pPr>
        <w:spacing w:line="400" w:lineRule="exact"/>
        <w:ind w:right="800"/>
        <w:rPr>
          <w:rFonts w:ascii="宋体" w:hAnsi="宋体" w:cs="宋体"/>
          <w:color w:val="auto"/>
          <w:szCs w:val="21"/>
          <w:highlight w:val="none"/>
        </w:rPr>
      </w:pPr>
      <w:r>
        <w:rPr>
          <w:rFonts w:hint="eastAsia" w:ascii="宋体" w:hAnsi="宋体" w:cs="宋体"/>
          <w:color w:val="auto"/>
          <w:szCs w:val="21"/>
          <w:highlight w:val="none"/>
        </w:rPr>
        <w:t>采购计划号：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bCs/>
          <w:color w:val="auto"/>
          <w:szCs w:val="21"/>
          <w:highlight w:val="none"/>
        </w:rPr>
        <w:t>合同编号：</w:t>
      </w:r>
      <w:r>
        <w:rPr>
          <w:rFonts w:hint="eastAsia" w:ascii="宋体" w:hAnsi="宋体" w:cs="宋体"/>
          <w:color w:val="auto"/>
          <w:szCs w:val="21"/>
          <w:highlight w:val="none"/>
          <w:u w:val="single"/>
        </w:rPr>
        <w:t xml:space="preserve">                  </w:t>
      </w:r>
    </w:p>
    <w:p w14:paraId="7D1DC465">
      <w:pPr>
        <w:spacing w:line="400" w:lineRule="exact"/>
        <w:rPr>
          <w:rFonts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中标人（乙方）：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23AEBDC">
      <w:pPr>
        <w:spacing w:line="400" w:lineRule="exact"/>
        <w:rPr>
          <w:rFonts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p>
    <w:p w14:paraId="68BB29EC">
      <w:pPr>
        <w:spacing w:line="400" w:lineRule="exact"/>
        <w:rPr>
          <w:rFonts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p>
    <w:p w14:paraId="34581F86">
      <w:pPr>
        <w:spacing w:line="400" w:lineRule="exact"/>
        <w:rPr>
          <w:rFonts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（是/否）</w:t>
      </w:r>
      <w:r>
        <w:rPr>
          <w:rFonts w:hint="eastAsia" w:ascii="宋体" w:hAnsi="宋体" w:cs="宋体"/>
          <w:color w:val="auto"/>
          <w:szCs w:val="21"/>
          <w:highlight w:val="none"/>
        </w:rPr>
        <w:t>。</w:t>
      </w:r>
    </w:p>
    <w:p w14:paraId="56B780EF">
      <w:pPr>
        <w:spacing w:line="400" w:lineRule="exact"/>
        <w:ind w:firstLine="420" w:firstLineChars="200"/>
        <w:rPr>
          <w:rFonts w:ascii="宋体" w:hAnsi="宋体" w:cs="宋体"/>
          <w:color w:val="auto"/>
          <w:szCs w:val="21"/>
          <w:highlight w:val="none"/>
        </w:rPr>
      </w:pPr>
    </w:p>
    <w:p w14:paraId="06B5819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根据《中华人民共和国政府采购法》、《中华人民共和国民法典》等法律、法规规定，按照招标文件规定条款和乙方投标文件及其承诺，甲乙双方签订本合同。</w:t>
      </w:r>
    </w:p>
    <w:p w14:paraId="0D5E9520">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第一条　合同标的</w:t>
      </w:r>
    </w:p>
    <w:p w14:paraId="3C7468CB">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1、本项目中标下浮系数：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8A8A04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2、合同合计金额包括产品及服务价款，检验及技术资料和包装、运输等全部费用。采购人不再支付中标价格以外的任何费用。如招标文件对其另有规定的，从其规定。</w:t>
      </w:r>
    </w:p>
    <w:p w14:paraId="26285BAA">
      <w:pPr>
        <w:snapToGrid w:val="0"/>
        <w:spacing w:line="400" w:lineRule="exact"/>
        <w:ind w:firstLine="422" w:firstLineChars="200"/>
        <w:rPr>
          <w:rFonts w:ascii="宋体" w:hAnsi="宋体"/>
          <w:color w:val="auto"/>
          <w:szCs w:val="21"/>
          <w:highlight w:val="none"/>
        </w:rPr>
      </w:pPr>
      <w:r>
        <w:rPr>
          <w:rFonts w:hint="eastAsia" w:ascii="宋体" w:hAnsi="宋体"/>
          <w:b/>
          <w:color w:val="auto"/>
          <w:szCs w:val="21"/>
          <w:highlight w:val="none"/>
        </w:rPr>
        <w:t>第二条　质量保证</w:t>
      </w:r>
    </w:p>
    <w:p w14:paraId="1F15682F">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1、乙方所提供的产品及服务内容、技术规格、技术参数等质量必须与招标文件和承诺相一致。</w:t>
      </w:r>
    </w:p>
    <w:p w14:paraId="1E1F5C9A">
      <w:pPr>
        <w:snapToGrid w:val="0"/>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2、乙方所提供的产品及服务各项指标均达到质量要求。</w:t>
      </w:r>
    </w:p>
    <w:p w14:paraId="2ADB67EA">
      <w:pPr>
        <w:snapToGrid w:val="0"/>
        <w:spacing w:line="400" w:lineRule="exact"/>
        <w:ind w:firstLine="422" w:firstLineChars="200"/>
        <w:rPr>
          <w:rFonts w:ascii="宋体" w:hAnsi="宋体"/>
          <w:color w:val="auto"/>
          <w:szCs w:val="21"/>
          <w:highlight w:val="none"/>
        </w:rPr>
      </w:pPr>
      <w:r>
        <w:rPr>
          <w:rFonts w:hint="eastAsia" w:ascii="宋体" w:hAnsi="宋体"/>
          <w:b/>
          <w:color w:val="auto"/>
          <w:szCs w:val="21"/>
          <w:highlight w:val="none"/>
        </w:rPr>
        <w:t>第三条　权力保证</w:t>
      </w:r>
    </w:p>
    <w:p w14:paraId="700B3685">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1、乙方应保证所提供产品及服务内容不会侵犯任何第三方的专利权、商标权、工业设计权或其他权利。</w:t>
      </w:r>
    </w:p>
    <w:p w14:paraId="2C2BB083">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2、乙方应按招标文件规定的时间向甲方提供有关技术资料。</w:t>
      </w:r>
    </w:p>
    <w:p w14:paraId="456FCCEC">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没有甲方事先书面同意，乙方不得将由甲方提供的有关合同或任何合同条文、规格、计划、样品或资料提供给与履行本合同无关的任何其他人。即使向履行本合同有关的人员提供，也应注意保密并限于履行合同的必需范围。</w:t>
      </w:r>
    </w:p>
    <w:p w14:paraId="785170CE">
      <w:pPr>
        <w:snapToGrid w:val="0"/>
        <w:spacing w:line="400" w:lineRule="exact"/>
        <w:ind w:firstLine="422" w:firstLineChars="200"/>
        <w:rPr>
          <w:rFonts w:ascii="宋体" w:hAnsi="宋体"/>
          <w:color w:val="auto"/>
          <w:szCs w:val="21"/>
          <w:highlight w:val="none"/>
        </w:rPr>
      </w:pPr>
      <w:r>
        <w:rPr>
          <w:rFonts w:hint="eastAsia" w:ascii="宋体" w:hAnsi="宋体"/>
          <w:b/>
          <w:color w:val="auto"/>
          <w:szCs w:val="21"/>
          <w:highlight w:val="none"/>
        </w:rPr>
        <w:t>第四条　</w:t>
      </w:r>
      <w:r>
        <w:rPr>
          <w:rFonts w:hint="eastAsia" w:ascii="宋体" w:hAnsi="宋体" w:cs="宋体"/>
          <w:b/>
          <w:color w:val="auto"/>
          <w:szCs w:val="21"/>
          <w:highlight w:val="none"/>
        </w:rPr>
        <w:t>服务时间和服务地点</w:t>
      </w:r>
    </w:p>
    <w:p w14:paraId="7F77AA6C">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1、服务时间：</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年</w:t>
      </w:r>
      <w:r>
        <w:rPr>
          <w:rFonts w:ascii="宋体" w:hAnsi="宋体"/>
          <w:bCs/>
          <w:color w:val="auto"/>
          <w:szCs w:val="21"/>
          <w:highlight w:val="none"/>
          <w:u w:val="single"/>
        </w:rPr>
        <w:t xml:space="preserve">   </w:t>
      </w:r>
      <w:r>
        <w:rPr>
          <w:rFonts w:hint="eastAsia" w:ascii="宋体" w:hAnsi="宋体"/>
          <w:bCs/>
          <w:color w:val="auto"/>
          <w:szCs w:val="21"/>
          <w:highlight w:val="none"/>
          <w:u w:val="single"/>
        </w:rPr>
        <w:t>月</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日至</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年</w:t>
      </w:r>
      <w:r>
        <w:rPr>
          <w:rFonts w:ascii="宋体" w:hAnsi="宋体"/>
          <w:bCs/>
          <w:color w:val="auto"/>
          <w:szCs w:val="21"/>
          <w:highlight w:val="none"/>
          <w:u w:val="single"/>
        </w:rPr>
        <w:t xml:space="preserve">   </w:t>
      </w:r>
      <w:r>
        <w:rPr>
          <w:rFonts w:hint="eastAsia" w:ascii="宋体" w:hAnsi="宋体"/>
          <w:bCs/>
          <w:color w:val="auto"/>
          <w:szCs w:val="21"/>
          <w:highlight w:val="none"/>
          <w:u w:val="single"/>
        </w:rPr>
        <w:t>月</w:t>
      </w:r>
      <w:r>
        <w:rPr>
          <w:rFonts w:ascii="宋体" w:hAnsi="宋体"/>
          <w:bCs/>
          <w:color w:val="auto"/>
          <w:szCs w:val="21"/>
          <w:highlight w:val="none"/>
          <w:u w:val="single"/>
        </w:rPr>
        <w:t xml:space="preserve">  </w:t>
      </w:r>
      <w:r>
        <w:rPr>
          <w:rFonts w:hint="eastAsia" w:ascii="宋体" w:hAnsi="宋体"/>
          <w:bCs/>
          <w:color w:val="auto"/>
          <w:szCs w:val="21"/>
          <w:highlight w:val="none"/>
          <w:u w:val="single"/>
        </w:rPr>
        <w:t>日</w:t>
      </w:r>
      <w:r>
        <w:rPr>
          <w:rFonts w:hint="eastAsia" w:ascii="宋体"/>
          <w:bCs/>
          <w:color w:val="auto"/>
          <w:szCs w:val="21"/>
          <w:highlight w:val="none"/>
          <w:u w:val="single"/>
        </w:rPr>
        <w:t>，</w:t>
      </w:r>
      <w:r>
        <w:rPr>
          <w:rFonts w:hint="eastAsia" w:ascii="宋体" w:hAnsi="宋体"/>
          <w:bCs/>
          <w:color w:val="auto"/>
          <w:szCs w:val="21"/>
          <w:highlight w:val="none"/>
          <w:u w:val="single"/>
        </w:rPr>
        <w:t>共</w:t>
      </w:r>
      <w:r>
        <w:rPr>
          <w:rFonts w:ascii="宋体" w:hAnsi="宋体"/>
          <w:b/>
          <w:bCs/>
          <w:color w:val="auto"/>
          <w:szCs w:val="21"/>
          <w:highlight w:val="none"/>
          <w:u w:val="single"/>
        </w:rPr>
        <w:t xml:space="preserve"> </w:t>
      </w:r>
      <w:r>
        <w:rPr>
          <w:rFonts w:hint="eastAsia" w:ascii="宋体" w:hAnsi="宋体"/>
          <w:b/>
          <w:bCs/>
          <w:color w:val="auto"/>
          <w:szCs w:val="21"/>
          <w:highlight w:val="none"/>
          <w:u w:val="single"/>
        </w:rPr>
        <w:t xml:space="preserve"> </w:t>
      </w:r>
      <w:r>
        <w:rPr>
          <w:rFonts w:ascii="宋体" w:hAnsi="宋体"/>
          <w:b/>
          <w:bCs/>
          <w:color w:val="auto"/>
          <w:szCs w:val="21"/>
          <w:highlight w:val="none"/>
          <w:u w:val="single"/>
        </w:rPr>
        <w:t xml:space="preserve"> </w:t>
      </w:r>
      <w:r>
        <w:rPr>
          <w:rFonts w:hint="eastAsia" w:ascii="宋体" w:hAnsi="宋体"/>
          <w:bCs/>
          <w:color w:val="auto"/>
          <w:szCs w:val="21"/>
          <w:highlight w:val="none"/>
          <w:u w:val="single"/>
        </w:rPr>
        <w:t>年</w:t>
      </w:r>
      <w:r>
        <w:rPr>
          <w:rFonts w:hint="eastAsia" w:ascii="宋体" w:hAnsi="宋体"/>
          <w:color w:val="auto"/>
          <w:szCs w:val="21"/>
          <w:highlight w:val="none"/>
        </w:rPr>
        <w:t>；地点：</w:t>
      </w:r>
      <w:r>
        <w:rPr>
          <w:rFonts w:hint="eastAsia" w:ascii="宋体" w:hAnsi="宋体"/>
          <w:color w:val="auto"/>
          <w:highlight w:val="none"/>
          <w:u w:val="single"/>
        </w:rPr>
        <w:t>广西壮族自治区内采购人指定地点</w:t>
      </w:r>
      <w:r>
        <w:rPr>
          <w:rFonts w:hint="eastAsia" w:ascii="宋体" w:hAnsi="宋体"/>
          <w:color w:val="auto"/>
          <w:szCs w:val="21"/>
          <w:highlight w:val="none"/>
          <w:u w:val="single"/>
        </w:rPr>
        <w:t>。</w:t>
      </w:r>
    </w:p>
    <w:p w14:paraId="182BD18B">
      <w:pPr>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第五条 食材交付及验收</w:t>
      </w:r>
    </w:p>
    <w:p w14:paraId="45FB749E">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1、甲方通过电子邮件等书面方式提前12小时通知乙方，乙方按照甲方实际供货要求将食材运送到甲方指定交货地点。</w:t>
      </w:r>
    </w:p>
    <w:p w14:paraId="2B7F985C">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2、甲方在货到后与乙方一同进行现场验收，食材表面审查符合甲方要求的，甲方收货，并填写《验收单》。</w:t>
      </w:r>
    </w:p>
    <w:p w14:paraId="6E909D0E">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表面验收不合格的，甲方有权根据食材情况要求乙方承担换货、退货等责任。现场的表面验收并不能免除乙方责任，如果甲方在表面验收后发现食材存在外表不易发现的问题，甲方仍有权根据食材情况要求乙方承担换货、退货等责任，且甲方不承担保管责任，由此产生的风险由乙方自行承担。</w:t>
      </w:r>
    </w:p>
    <w:p w14:paraId="77CE5260">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3、如果甲方需要紧急补货，乙方接到甲方通知后应在3个小时之内将食材送至甲方指定地点，并按照前款验收。</w:t>
      </w:r>
    </w:p>
    <w:p w14:paraId="7D14AC81">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4、甲方收货前，货物毁损灭失的风险由乙方承担。</w:t>
      </w:r>
    </w:p>
    <w:p w14:paraId="6B388342">
      <w:pPr>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第六条　食材结算方式</w:t>
      </w:r>
    </w:p>
    <w:p w14:paraId="0AE7C61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1、甲方按月与乙方结算合同款项，食材结算价=食材合计价×（1-中标下浮系数）。</w:t>
      </w:r>
    </w:p>
    <w:p w14:paraId="123BF535">
      <w:pPr>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、货款结算依据：</w:t>
      </w:r>
    </w:p>
    <w:p w14:paraId="2526965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（1）乙方开具的合法正规发票；</w:t>
      </w:r>
    </w:p>
    <w:p w14:paraId="147C9C9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（2）双方签字确认的对账单总表（每天账目金额、合计数目、银行账户信息、单位盖章）和明细表（明细表上有品名、数量、单价和金额），同时提供电子文本。</w:t>
      </w:r>
    </w:p>
    <w:p w14:paraId="4F20F64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（3）《验收单》。</w:t>
      </w:r>
    </w:p>
    <w:p w14:paraId="79C69409">
      <w:pPr>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乙方收款账户信息：</w:t>
      </w:r>
      <w:r>
        <w:rPr>
          <w:rFonts w:hint="eastAsia" w:ascii="宋体" w:hAnsi="宋体"/>
          <w:color w:val="auto"/>
          <w:highlight w:val="none"/>
        </w:rPr>
        <w:t>开户名称：</w:t>
      </w:r>
      <w:r>
        <w:rPr>
          <w:rFonts w:hint="eastAsia" w:ascii="宋体" w:hAnsi="宋体"/>
          <w:color w:val="auto"/>
          <w:highlight w:val="none"/>
          <w:u w:val="single"/>
        </w:rPr>
        <w:t xml:space="preserve">          </w:t>
      </w:r>
      <w:r>
        <w:rPr>
          <w:rFonts w:hint="eastAsia" w:ascii="宋体" w:hAnsi="宋体"/>
          <w:color w:val="auto"/>
          <w:highlight w:val="none"/>
        </w:rPr>
        <w:t xml:space="preserve"> </w:t>
      </w: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银行账号：</w:t>
      </w:r>
      <w:r>
        <w:rPr>
          <w:rFonts w:hint="eastAsia" w:ascii="宋体" w:hAnsi="宋体"/>
          <w:color w:val="auto"/>
          <w:szCs w:val="21"/>
          <w:highlight w:val="none"/>
          <w:u w:val="single"/>
        </w:rPr>
        <w:t xml:space="preserve">                      </w:t>
      </w:r>
    </w:p>
    <w:p w14:paraId="447370D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若乙方变更账户信息应向甲方出具公司盖章的证明。</w:t>
      </w:r>
    </w:p>
    <w:p w14:paraId="24E7F165">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、乙方应保证提供产品价格按照双方约定执行，不得随意调价，并自觉遵守约定的结算流程，双方对结算发生争议的，甲方有权暂停结算，不视为甲方违约。</w:t>
      </w:r>
    </w:p>
    <w:p w14:paraId="111A3948">
      <w:pPr>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第七条 乙方供货承诺</w:t>
      </w:r>
    </w:p>
    <w:p w14:paraId="7B897E4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1、乙方安排专人负责甲方采购事宜，乙方提供全天候24小时服务，指定</w:t>
      </w:r>
      <w:r>
        <w:rPr>
          <w:rFonts w:hint="eastAsia" w:ascii="宋体" w:hAnsi="宋体"/>
          <w:color w:val="auto"/>
          <w:szCs w:val="21"/>
          <w:highlight w:val="none"/>
          <w:u w:val="single"/>
        </w:rPr>
        <w:t xml:space="preserve">            </w:t>
      </w:r>
      <w:r>
        <w:rPr>
          <w:rFonts w:hint="eastAsia" w:ascii="宋体" w:hAnsi="宋体"/>
          <w:color w:val="auto"/>
          <w:szCs w:val="21"/>
          <w:highlight w:val="none"/>
        </w:rPr>
        <w:t>为负责人，负责人联系电话：</w:t>
      </w:r>
      <w:r>
        <w:rPr>
          <w:rFonts w:hint="eastAsia" w:ascii="宋体" w:hAnsi="宋体"/>
          <w:color w:val="auto"/>
          <w:szCs w:val="21"/>
          <w:highlight w:val="none"/>
          <w:u w:val="single"/>
        </w:rPr>
        <w:t xml:space="preserve">        </w:t>
      </w:r>
      <w:r>
        <w:rPr>
          <w:rFonts w:hint="eastAsia" w:ascii="宋体" w:hAnsi="宋体"/>
          <w:color w:val="auto"/>
          <w:szCs w:val="21"/>
          <w:highlight w:val="none"/>
        </w:rPr>
        <w:t>，指定接收甲方单据指令的电子邮箱：</w:t>
      </w:r>
      <w:r>
        <w:rPr>
          <w:rFonts w:hint="eastAsia" w:ascii="宋体" w:hAnsi="宋体"/>
          <w:color w:val="auto"/>
          <w:szCs w:val="21"/>
          <w:highlight w:val="none"/>
          <w:u w:val="single"/>
        </w:rPr>
        <w:t xml:space="preserve">             </w:t>
      </w:r>
      <w:r>
        <w:rPr>
          <w:rFonts w:hint="eastAsia" w:ascii="宋体" w:hAnsi="宋体"/>
          <w:color w:val="auto"/>
          <w:szCs w:val="21"/>
          <w:highlight w:val="none"/>
        </w:rPr>
        <w:t>。乙方指定联系人及联系方式发生变化的，应提前通知甲方并发联系人变更函给甲方，因怠于通知导致甲方与其联络不畅或者迟延履行合同的，应属违约行为。</w:t>
      </w:r>
    </w:p>
    <w:p w14:paraId="2EE9DBE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2、乙方保证提供食材的质量，符合国家及广西壮族自治区的有关法律规定及甲方要求，不能出现假冒或者其他任何质量问题。</w:t>
      </w:r>
    </w:p>
    <w:p w14:paraId="6F90A0B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3、乙方应保证提供食材价格按照双方约定执行，不得随意调价，并自觉遵守约定的结算流程。</w:t>
      </w:r>
    </w:p>
    <w:p w14:paraId="5FF7646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4、乙方应按照甲方要求时间按时交付食材。在甲方需要紧急补货时，应保证按时送到，并保证食材新鲜。</w:t>
      </w:r>
    </w:p>
    <w:p w14:paraId="24929C5F">
      <w:pPr>
        <w:snapToGrid w:val="0"/>
        <w:spacing w:line="400" w:lineRule="exact"/>
        <w:ind w:firstLine="420" w:firstLineChars="200"/>
        <w:rPr>
          <w:rFonts w:ascii="宋体" w:hAnsi="宋体"/>
          <w:b/>
          <w:color w:val="auto"/>
          <w:szCs w:val="21"/>
          <w:highlight w:val="none"/>
        </w:rPr>
      </w:pPr>
      <w:r>
        <w:rPr>
          <w:rFonts w:hint="eastAsia" w:ascii="宋体" w:hAnsi="宋体"/>
          <w:color w:val="auto"/>
          <w:szCs w:val="21"/>
          <w:highlight w:val="none"/>
        </w:rPr>
        <w:t>5、乙方应提供利于食材运输和存储的有效包装，且在包装上注明保质期及存储方式。对于有特别储存、保鲜要求的，应充分告知甲方。</w:t>
      </w:r>
    </w:p>
    <w:p w14:paraId="1EE2D520">
      <w:pPr>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第八条 违约责任</w:t>
      </w:r>
    </w:p>
    <w:p w14:paraId="472B8048">
      <w:pPr>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除项目采购文件另有约定的，违约责任按以下执行：</w:t>
      </w:r>
    </w:p>
    <w:p w14:paraId="2B8E699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1、乙方不得以任何形式将成交项目转包、分包，否则甲方有权单方面终止合同，乙方须按本项目预算金额的1</w:t>
      </w:r>
      <w:r>
        <w:rPr>
          <w:rFonts w:ascii="宋体" w:hAnsi="宋体"/>
          <w:color w:val="auto"/>
          <w:szCs w:val="21"/>
          <w:highlight w:val="none"/>
        </w:rPr>
        <w:t>0</w:t>
      </w:r>
      <w:r>
        <w:rPr>
          <w:rFonts w:hint="eastAsia" w:ascii="宋体" w:hAnsi="宋体"/>
          <w:color w:val="auto"/>
          <w:szCs w:val="21"/>
          <w:highlight w:val="none"/>
        </w:rPr>
        <w:t>%支付违约金，由此产生的一切经济损失由乙方自行承担。</w:t>
      </w:r>
    </w:p>
    <w:p w14:paraId="3988DE55">
      <w:pPr>
        <w:spacing w:line="400" w:lineRule="exact"/>
        <w:ind w:firstLine="420" w:firstLineChars="200"/>
        <w:rPr>
          <w:rFonts w:ascii="宋体" w:hAnsi="宋体"/>
          <w:bCs/>
          <w:color w:val="auto"/>
          <w:szCs w:val="21"/>
          <w:highlight w:val="none"/>
        </w:rPr>
      </w:pPr>
      <w:r>
        <w:rPr>
          <w:rFonts w:ascii="宋体" w:hAnsi="宋体"/>
          <w:color w:val="auto"/>
          <w:szCs w:val="21"/>
          <w:highlight w:val="none"/>
        </w:rPr>
        <w:t>2</w:t>
      </w:r>
      <w:r>
        <w:rPr>
          <w:rFonts w:hint="eastAsia" w:ascii="宋体" w:hAnsi="宋体"/>
          <w:color w:val="auto"/>
          <w:szCs w:val="21"/>
          <w:highlight w:val="none"/>
        </w:rPr>
        <w:t>、</w:t>
      </w:r>
      <w:r>
        <w:rPr>
          <w:rFonts w:hint="eastAsia" w:ascii="宋体" w:hAnsi="宋体"/>
          <w:bCs/>
          <w:color w:val="auto"/>
          <w:szCs w:val="21"/>
          <w:highlight w:val="none"/>
        </w:rPr>
        <w:t>乙方对其交付的食材产品质量承担保证责任。</w:t>
      </w:r>
    </w:p>
    <w:p w14:paraId="79D1650A">
      <w:pPr>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因食材产品生产、采购、存储、运输、工艺、源材料缺陷、质保不当等原因发生质量问题（食材质量不合格、质量下降、</w:t>
      </w:r>
      <w:r>
        <w:rPr>
          <w:rFonts w:hint="eastAsia" w:ascii="宋体" w:hAnsi="宋体"/>
          <w:color w:val="auto"/>
          <w:szCs w:val="21"/>
          <w:highlight w:val="none"/>
        </w:rPr>
        <w:t>假冒</w:t>
      </w:r>
      <w:r>
        <w:rPr>
          <w:rFonts w:hint="eastAsia" w:ascii="宋体" w:hAnsi="宋体"/>
          <w:bCs/>
          <w:color w:val="auto"/>
          <w:szCs w:val="21"/>
          <w:highlight w:val="none"/>
        </w:rPr>
        <w:t>以次充好等）的，均由乙方承担责任，赔偿由此给甲方、第三人造成的全部损失，</w:t>
      </w:r>
      <w:r>
        <w:rPr>
          <w:rFonts w:hint="eastAsia" w:ascii="宋体" w:hAnsi="宋体"/>
          <w:color w:val="auto"/>
          <w:szCs w:val="21"/>
          <w:highlight w:val="none"/>
        </w:rPr>
        <w:t>甲方有权要求乙方承担</w:t>
      </w:r>
      <w:r>
        <w:rPr>
          <w:rFonts w:hint="eastAsia" w:ascii="宋体" w:hAnsi="宋体"/>
          <w:bCs/>
          <w:color w:val="auto"/>
          <w:szCs w:val="21"/>
          <w:highlight w:val="none"/>
        </w:rPr>
        <w:t>全部赔偿损失，并直接从当月货款中扣罚1-3倍相应食材产品货款。甲方先行支付赔偿费用的，有权向乙方追偿。乙方拒绝支付赔偿款的，甲方有权在未付款项中扣除相应费用</w:t>
      </w:r>
      <w:r>
        <w:rPr>
          <w:rFonts w:hint="eastAsia" w:ascii="宋体" w:hAnsi="宋体"/>
          <w:color w:val="auto"/>
          <w:szCs w:val="21"/>
          <w:highlight w:val="none"/>
        </w:rPr>
        <w:t>。</w:t>
      </w:r>
    </w:p>
    <w:p w14:paraId="11F294C4">
      <w:pPr>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乙方在供应的货物中存在下列</w:t>
      </w:r>
      <w:r>
        <w:rPr>
          <w:rFonts w:hint="eastAsia" w:ascii="宋体" w:hAnsi="宋体"/>
          <w:color w:val="auto"/>
          <w:szCs w:val="21"/>
          <w:highlight w:val="none"/>
        </w:rPr>
        <w:t>严重质量、安全问题</w:t>
      </w:r>
      <w:r>
        <w:rPr>
          <w:rFonts w:hint="eastAsia" w:ascii="宋体" w:hAnsi="宋体"/>
          <w:bCs/>
          <w:color w:val="auto"/>
          <w:szCs w:val="21"/>
          <w:highlight w:val="none"/>
        </w:rPr>
        <w:t>情形的，</w:t>
      </w:r>
      <w:r>
        <w:rPr>
          <w:rFonts w:hint="eastAsia" w:ascii="宋体" w:hAnsi="宋体"/>
          <w:color w:val="auto"/>
          <w:szCs w:val="21"/>
          <w:highlight w:val="none"/>
        </w:rPr>
        <w:t>甲方有权单方通知乙方解除本项目合同，并有权不予支付货款，并按本项目预算金额的1</w:t>
      </w:r>
      <w:r>
        <w:rPr>
          <w:rFonts w:ascii="宋体" w:hAnsi="宋体"/>
          <w:color w:val="auto"/>
          <w:szCs w:val="21"/>
          <w:highlight w:val="none"/>
        </w:rPr>
        <w:t>0</w:t>
      </w:r>
      <w:r>
        <w:rPr>
          <w:rFonts w:hint="eastAsia" w:ascii="宋体" w:hAnsi="宋体"/>
          <w:color w:val="auto"/>
          <w:szCs w:val="21"/>
          <w:highlight w:val="none"/>
        </w:rPr>
        <w:t>%追偿乙方违约。</w:t>
      </w:r>
      <w:r>
        <w:rPr>
          <w:rFonts w:hint="eastAsia" w:ascii="宋体" w:hAnsi="宋体"/>
          <w:bCs/>
          <w:color w:val="auto"/>
          <w:szCs w:val="21"/>
          <w:highlight w:val="none"/>
        </w:rPr>
        <w:t>乙方还需承担由此造成的一切经济责任和法律责任（如行政处罚、食物中毒所引起的医疗费用、法律责任等）：</w:t>
      </w:r>
    </w:p>
    <w:p w14:paraId="3A494D6D">
      <w:pPr>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（1）腐败变质、油脂酸败、霉变、生虫、污秽不洁、混有异物或者其他感官性状异常，对人体健康有害的；</w:t>
      </w:r>
    </w:p>
    <w:p w14:paraId="435AC049">
      <w:pPr>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（2）农残超标，含有毒、有害物质或者被有害物质污染，对人体健康有害的；</w:t>
      </w:r>
    </w:p>
    <w:p w14:paraId="55666DA2">
      <w:pPr>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（3）含有致病性寄生虫、微生物或者微生物含量超过国家限定标准的；</w:t>
      </w:r>
    </w:p>
    <w:p w14:paraId="1F0CA26A">
      <w:pPr>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（4）掺假、掺杂、伪造，影响营养、卫生的；</w:t>
      </w:r>
    </w:p>
    <w:p w14:paraId="1CB58576">
      <w:pPr>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（5）用非食品原料加工的，加入非食品用化学物质或者将非食品当作食品的；</w:t>
      </w:r>
    </w:p>
    <w:p w14:paraId="717A8776">
      <w:pPr>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（6）临期或超过保质期限的；</w:t>
      </w:r>
    </w:p>
    <w:p w14:paraId="456D2A33">
      <w:pPr>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（7）食材产品质量不合格引发的食品安全事故。</w:t>
      </w:r>
    </w:p>
    <w:p w14:paraId="3FBE04BD">
      <w:pPr>
        <w:spacing w:line="40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、乙方未能按甲方要求时间交货，每延迟半小时按照当笔订单总金额的千分之三向甲方支付违约金。迟延超过</w:t>
      </w:r>
      <w:r>
        <w:rPr>
          <w:rFonts w:hint="eastAsia" w:ascii="宋体" w:hAnsi="宋体"/>
          <w:color w:val="auto"/>
          <w:szCs w:val="21"/>
          <w:highlight w:val="none"/>
          <w:u w:val="single"/>
        </w:rPr>
        <w:t xml:space="preserve"> 1 </w:t>
      </w:r>
      <w:r>
        <w:rPr>
          <w:rFonts w:hint="eastAsia" w:ascii="宋体" w:hAnsi="宋体"/>
          <w:color w:val="auto"/>
          <w:szCs w:val="21"/>
          <w:highlight w:val="none"/>
        </w:rPr>
        <w:t>小时的，甲方有权选择拒收；甲方不拒收的，有权折价10%。</w:t>
      </w:r>
    </w:p>
    <w:p w14:paraId="2D26345F">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乙方提供食材与甲方要求种类、品质不符品种，乙方应在</w:t>
      </w:r>
      <w:r>
        <w:rPr>
          <w:rFonts w:hint="eastAsia" w:ascii="宋体" w:hAnsi="宋体"/>
          <w:color w:val="auto"/>
          <w:szCs w:val="21"/>
          <w:highlight w:val="none"/>
          <w:u w:val="single"/>
        </w:rPr>
        <w:t xml:space="preserve"> 3</w:t>
      </w:r>
      <w:r>
        <w:rPr>
          <w:rFonts w:hint="eastAsia" w:ascii="宋体" w:hAnsi="宋体"/>
          <w:color w:val="auto"/>
          <w:szCs w:val="21"/>
          <w:highlight w:val="none"/>
        </w:rPr>
        <w:t>小时内将不符品种予以替换，逾期未替换或替换后仍无法通过甲方验货的，或者逾期交货超过</w:t>
      </w:r>
      <w:r>
        <w:rPr>
          <w:rFonts w:hint="eastAsia" w:ascii="宋体" w:hAnsi="宋体"/>
          <w:color w:val="auto"/>
          <w:szCs w:val="21"/>
          <w:highlight w:val="none"/>
          <w:u w:val="single"/>
        </w:rPr>
        <w:t xml:space="preserve"> 3</w:t>
      </w:r>
      <w:r>
        <w:rPr>
          <w:rFonts w:hint="eastAsia" w:ascii="宋体" w:hAnsi="宋体"/>
          <w:color w:val="auto"/>
          <w:szCs w:val="21"/>
          <w:highlight w:val="none"/>
        </w:rPr>
        <w:t>小时的，甲方有权拒收并要求乙方在甲方规定时间内（5个工作日内）支付相当于该批不符品种订货价款</w:t>
      </w:r>
      <w:r>
        <w:rPr>
          <w:rFonts w:hint="eastAsia" w:ascii="宋体" w:hAnsi="宋体"/>
          <w:color w:val="auto"/>
          <w:szCs w:val="21"/>
          <w:highlight w:val="none"/>
          <w:u w:val="single"/>
        </w:rPr>
        <w:t xml:space="preserve"> 3 </w:t>
      </w:r>
      <w:r>
        <w:rPr>
          <w:rFonts w:hint="eastAsia" w:ascii="宋体" w:hAnsi="宋体"/>
          <w:color w:val="auto"/>
          <w:szCs w:val="21"/>
          <w:highlight w:val="none"/>
        </w:rPr>
        <w:t>倍的违约金并有权从未支付的货款中扣除。</w:t>
      </w:r>
    </w:p>
    <w:p w14:paraId="6261CCC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发生上述情形累计超过</w:t>
      </w:r>
      <w:r>
        <w:rPr>
          <w:rFonts w:hint="eastAsia" w:ascii="宋体" w:hAnsi="宋体"/>
          <w:color w:val="auto"/>
          <w:szCs w:val="21"/>
          <w:highlight w:val="none"/>
          <w:u w:val="single"/>
        </w:rPr>
        <w:t xml:space="preserve"> 3 </w:t>
      </w:r>
      <w:r>
        <w:rPr>
          <w:rFonts w:hint="eastAsia" w:ascii="宋体" w:hAnsi="宋体"/>
          <w:color w:val="auto"/>
          <w:szCs w:val="21"/>
          <w:highlight w:val="none"/>
        </w:rPr>
        <w:t>次，或者乙方拒不支付违约金的，或者发生一次但情节严重的（如因乙方未按时供货导致甲方开餐延误甚至停餐），甲方有权单方通知乙方解除本合同并按本项目预算金额的1</w:t>
      </w:r>
      <w:r>
        <w:rPr>
          <w:rFonts w:ascii="宋体" w:hAnsi="宋体"/>
          <w:color w:val="auto"/>
          <w:szCs w:val="21"/>
          <w:highlight w:val="none"/>
        </w:rPr>
        <w:t>0</w:t>
      </w:r>
      <w:r>
        <w:rPr>
          <w:rFonts w:hint="eastAsia" w:ascii="宋体" w:hAnsi="宋体"/>
          <w:color w:val="auto"/>
          <w:szCs w:val="21"/>
          <w:highlight w:val="none"/>
        </w:rPr>
        <w:t>%追偿乙方违约。给甲方造成损失的，甲方有权要求乙方承担，甲方有权从未支付的货款中扣除，不足部分，甲方有权追偿。</w:t>
      </w:r>
    </w:p>
    <w:p w14:paraId="695477E2">
      <w:pPr>
        <w:spacing w:line="400" w:lineRule="exact"/>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、乙方承诺的</w:t>
      </w:r>
      <w:r>
        <w:rPr>
          <w:rFonts w:hint="eastAsia" w:ascii="宋体" w:hAnsi="宋体"/>
          <w:b/>
          <w:color w:val="auto"/>
          <w:szCs w:val="21"/>
          <w:highlight w:val="none"/>
          <w:u w:val="single"/>
        </w:rPr>
        <w:t>中标下浮系数</w:t>
      </w:r>
      <w:r>
        <w:rPr>
          <w:rFonts w:hint="eastAsia" w:ascii="宋体" w:hAnsi="宋体"/>
          <w:color w:val="auto"/>
          <w:szCs w:val="21"/>
          <w:highlight w:val="none"/>
        </w:rPr>
        <w:t>在合同服务期内不得变更，否则甲方有权单方面终止合同，并按本项目预算金额的1</w:t>
      </w:r>
      <w:r>
        <w:rPr>
          <w:rFonts w:ascii="宋体" w:hAnsi="宋体"/>
          <w:color w:val="auto"/>
          <w:szCs w:val="21"/>
          <w:highlight w:val="none"/>
        </w:rPr>
        <w:t>0</w:t>
      </w:r>
      <w:r>
        <w:rPr>
          <w:rFonts w:hint="eastAsia" w:ascii="宋体" w:hAnsi="宋体"/>
          <w:color w:val="auto"/>
          <w:szCs w:val="21"/>
          <w:highlight w:val="none"/>
        </w:rPr>
        <w:t>%追偿乙方违约，由此产生的一切经济损失由乙方自行承担。</w:t>
      </w:r>
    </w:p>
    <w:p w14:paraId="3BED3F84">
      <w:pPr>
        <w:spacing w:line="400" w:lineRule="exact"/>
        <w:ind w:firstLine="42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、在合同服务期内必须按价按质按量供货</w:t>
      </w:r>
    </w:p>
    <w:p w14:paraId="3932D69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（1）必须按时按量供货，不得因市场价格上涨降低食材品质，否则按采购食材价值三倍扣罚违约金，发生此类情形累计超过3次（包括3次），甲方有权单方通知乙方解除本合同并按本项目预算金额的1</w:t>
      </w:r>
      <w:r>
        <w:rPr>
          <w:rFonts w:ascii="宋体" w:hAnsi="宋体"/>
          <w:color w:val="auto"/>
          <w:szCs w:val="21"/>
          <w:highlight w:val="none"/>
        </w:rPr>
        <w:t>0</w:t>
      </w:r>
      <w:r>
        <w:rPr>
          <w:rFonts w:hint="eastAsia" w:ascii="宋体" w:hAnsi="宋体"/>
          <w:color w:val="auto"/>
          <w:szCs w:val="21"/>
          <w:highlight w:val="none"/>
        </w:rPr>
        <w:t>%追偿乙方违约。</w:t>
      </w:r>
    </w:p>
    <w:p w14:paraId="13DD366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（2）不得因市场价格上涨停止供货，否则甲方有权单方面终止合同，并按本项目预算金额的1</w:t>
      </w:r>
      <w:r>
        <w:rPr>
          <w:rFonts w:ascii="宋体" w:hAnsi="宋体"/>
          <w:color w:val="auto"/>
          <w:szCs w:val="21"/>
          <w:highlight w:val="none"/>
        </w:rPr>
        <w:t>0</w:t>
      </w:r>
      <w:r>
        <w:rPr>
          <w:rFonts w:hint="eastAsia" w:ascii="宋体" w:hAnsi="宋体"/>
          <w:color w:val="auto"/>
          <w:szCs w:val="21"/>
          <w:highlight w:val="none"/>
        </w:rPr>
        <w:t>%追偿乙方违约，由此产生的一切经济损失和处罚由乙方自行承担。</w:t>
      </w:r>
    </w:p>
    <w:p w14:paraId="2FD089DA">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乙方安排专人负责甲方采购事宜，乙方指定联系人及联系方式发生变化的，应提前通知甲方，因怠于通知导致甲方与其联络不畅或者迟延履行合同的，属违约行为，如影响或导致逾期交货属乙方责任，甲方将按前第3项约定进行处罚。</w:t>
      </w:r>
    </w:p>
    <w:p w14:paraId="2FBD87B7">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7、乙方应确保甲方所采购的食材物资在规定时间正常交货，因乙方车辆情况导致逾期交货属乙方责任，甲方将按前第3项约定进行处罚。</w:t>
      </w:r>
    </w:p>
    <w:p w14:paraId="6A83F77A">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乙方在合同有效期内，被国家有关行业管理部门通报批评的，影响较大或取消经营资格的，甲方有权取消乙方的供货资格，终止供货合同；乙方无正当理由中断向甲方供货的，经警告后不予改正的，甲方有权取消乙方的供货资格，终止供货合同，并按本项目预算金额的1</w:t>
      </w:r>
      <w:r>
        <w:rPr>
          <w:rFonts w:ascii="宋体" w:hAnsi="宋体"/>
          <w:color w:val="auto"/>
          <w:szCs w:val="21"/>
          <w:highlight w:val="none"/>
        </w:rPr>
        <w:t>0</w:t>
      </w:r>
      <w:r>
        <w:rPr>
          <w:rFonts w:hint="eastAsia" w:ascii="宋体" w:hAnsi="宋体"/>
          <w:color w:val="auto"/>
          <w:szCs w:val="21"/>
          <w:highlight w:val="none"/>
        </w:rPr>
        <w:t>%追偿乙方违约。</w:t>
      </w:r>
    </w:p>
    <w:p w14:paraId="05435C73">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9</w:t>
      </w:r>
      <w:r>
        <w:rPr>
          <w:rFonts w:hint="eastAsia" w:ascii="宋体" w:hAnsi="宋体"/>
          <w:color w:val="auto"/>
          <w:szCs w:val="21"/>
          <w:highlight w:val="none"/>
        </w:rPr>
        <w:t>、乙方应当保证有权销售本合同的所有食材产品，不会因此侵犯到第三人的所有权、知识产权等一切权利也未对产品设置任何负担，属于第三人拥有知识产权的已经取得第三人合法授权，甲方有权不受限制的使用。若因违反本款约定引起的第三方权利纠纷的由乙方负责解决，包括甲方使用该产品所需的授权费以及解决争议发生的一切费用均由乙方承担。</w:t>
      </w:r>
    </w:p>
    <w:p w14:paraId="1064EFD3">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、本合同签订后，乙方要求提前解除合同的，扣罚全部履约保证金（如有），并按本项目预算金额的1</w:t>
      </w:r>
      <w:r>
        <w:rPr>
          <w:rFonts w:ascii="宋体" w:hAnsi="宋体"/>
          <w:color w:val="auto"/>
          <w:szCs w:val="21"/>
          <w:highlight w:val="none"/>
        </w:rPr>
        <w:t>0</w:t>
      </w:r>
      <w:r>
        <w:rPr>
          <w:rFonts w:hint="eastAsia" w:ascii="宋体" w:hAnsi="宋体"/>
          <w:color w:val="auto"/>
          <w:szCs w:val="21"/>
          <w:highlight w:val="none"/>
        </w:rPr>
        <w:t>%支付违约金。</w:t>
      </w:r>
    </w:p>
    <w:p w14:paraId="1693C79F">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11</w:t>
      </w:r>
      <w:r>
        <w:rPr>
          <w:rFonts w:hint="eastAsia" w:ascii="宋体" w:hAnsi="宋体"/>
          <w:color w:val="auto"/>
          <w:szCs w:val="21"/>
          <w:highlight w:val="none"/>
        </w:rPr>
        <w:t>、乙方应当支付给甲方的违约金、赔偿金，甲方有权从履约保证金或未支付的货款中扣除，违约金不足以赔偿给甲方造成损失的，甲方仍有权向乙方进行追偿。</w:t>
      </w:r>
    </w:p>
    <w:p w14:paraId="6C32C741">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12</w:t>
      </w:r>
      <w:r>
        <w:rPr>
          <w:rFonts w:hint="eastAsia" w:ascii="宋体" w:hAnsi="宋体"/>
          <w:color w:val="auto"/>
          <w:szCs w:val="21"/>
          <w:highlight w:val="none"/>
        </w:rPr>
        <w:t>、按本合同约定甲方选择解除合同的，自甲方解除合同的书面通知送达乙方之日起合同解除，乙方应赔偿由此给甲方造成的全部损失。甲方不支付乙方任何费用，乙方对解除合同有异议的异议期为7日。乙方应当在合同解除后5日内付清违约金、赔偿金。</w:t>
      </w:r>
    </w:p>
    <w:p w14:paraId="5E4AC9F7">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13</w:t>
      </w:r>
      <w:r>
        <w:rPr>
          <w:rFonts w:hint="eastAsia" w:ascii="宋体" w:hAnsi="宋体"/>
          <w:color w:val="auto"/>
          <w:szCs w:val="21"/>
          <w:highlight w:val="none"/>
        </w:rPr>
        <w:t>、乙方违反本合同约定或法律规定的，应当赔偿给甲方造成的全部损失，包括但不限于直接损失、预期利益损失、甲方向第三人支付的违约金、赔偿金及甲方为索赔支出的诉讼费、律师费、公证费、保全费、担保费、鉴定费、评估费等全部费用。</w:t>
      </w:r>
    </w:p>
    <w:p w14:paraId="50ED3F76">
      <w:pPr>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第九条 不可抗力事件处理</w:t>
      </w:r>
    </w:p>
    <w:p w14:paraId="014CD539">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1、不可抗力指战争、严重火灾、洪水、台风、地震、大型传染性疾病及其他双方认定的不可抗力事件。</w:t>
      </w:r>
    </w:p>
    <w:p w14:paraId="5C0047AA">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2、任何一方由于不可抗力影响合同履行时，发生不可抗力一方应尽快将事故通知另一方。在此情况下，乙方仍然有责任采取必要的措施尽力并加速供货，以最大限度的避免损失和影响。发生不可抗力的，双方应通过友好协商尽快解决本合同的履行问题。 </w:t>
      </w:r>
    </w:p>
    <w:p w14:paraId="35775333">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3、在合同有效期内，任何一方因不可抗力事件导致不能履行合同，则合同履行期可延长，其延长期与不可抗力影响期相同。</w:t>
      </w:r>
    </w:p>
    <w:p w14:paraId="2A532B6F">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4、不可抗力事件发生后，应立即通知对方，并在发生五日内向对方提交公证机关或有权政府机关出具的公证书或证明文件。</w:t>
      </w:r>
    </w:p>
    <w:p w14:paraId="1B639716">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5、不可抗力事件持续或预计将持续10天以上，双方应通过友好协商，确定是否继续履行合同，协商不成的本合同终止，甲方根据乙方履行合同义务的情况支付合同价款。</w:t>
      </w:r>
    </w:p>
    <w:p w14:paraId="41C38E04">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第十条  合同生效及其它</w:t>
      </w:r>
    </w:p>
    <w:p w14:paraId="6BB7847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1、合同经双方法定代表人或者授权代表签字并加盖单位公章后生效（委托代理人签字的需后附授权委托书，格式自拟）。</w:t>
      </w:r>
    </w:p>
    <w:p w14:paraId="4B18014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2、合同执行中涉及采购资金和采购内容修改或者补充的，须经</w:t>
      </w:r>
      <w:r>
        <w:rPr>
          <w:rFonts w:hint="eastAsia" w:hAnsi="宋体"/>
          <w:color w:val="auto"/>
          <w:szCs w:val="21"/>
          <w:highlight w:val="none"/>
        </w:rPr>
        <w:t>广西区财政厅政府采购监督管理处</w:t>
      </w:r>
      <w:r>
        <w:rPr>
          <w:rFonts w:hint="eastAsia" w:ascii="宋体" w:hAnsi="宋体" w:cs="宋体"/>
          <w:color w:val="auto"/>
          <w:szCs w:val="21"/>
          <w:highlight w:val="none"/>
        </w:rPr>
        <w:t>审批，并签书面补充协议报</w:t>
      </w:r>
      <w:r>
        <w:rPr>
          <w:rFonts w:hint="eastAsia" w:hAnsi="宋体"/>
          <w:color w:val="auto"/>
          <w:szCs w:val="21"/>
          <w:highlight w:val="none"/>
        </w:rPr>
        <w:t>广西区财政厅政府采购监督管理处</w:t>
      </w:r>
      <w:r>
        <w:rPr>
          <w:rFonts w:hint="eastAsia" w:ascii="宋体" w:hAnsi="宋体" w:cs="宋体"/>
          <w:color w:val="auto"/>
          <w:szCs w:val="21"/>
          <w:highlight w:val="none"/>
        </w:rPr>
        <w:t>备案，方可作为主合同不可分割的一部分。</w:t>
      </w:r>
    </w:p>
    <w:p w14:paraId="099C9C7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3、本合同未尽事宜，遵照《中华人民共和国民法典》有关条文执行。</w:t>
      </w:r>
    </w:p>
    <w:p w14:paraId="4EC7EF92">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第十一条　合同的变更、终止与转让</w:t>
      </w:r>
    </w:p>
    <w:p w14:paraId="2050AE2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1、除《中华人民共和国政府采购法》第五十条规定的情形外，本合同一经签订，甲乙双方不得擅自变更、中止或者终止。</w:t>
      </w:r>
    </w:p>
    <w:p w14:paraId="20E1CD1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hAnsi="宋体"/>
          <w:color w:val="auto"/>
          <w:szCs w:val="21"/>
          <w:highlight w:val="none"/>
        </w:rPr>
        <w:t>未经甲方书面同意，乙方不得转让其应履行的任何合同义务</w:t>
      </w:r>
      <w:r>
        <w:rPr>
          <w:rFonts w:hint="eastAsia" w:ascii="宋体" w:hAnsi="宋体" w:cs="宋体"/>
          <w:color w:val="auto"/>
          <w:szCs w:val="21"/>
          <w:highlight w:val="none"/>
        </w:rPr>
        <w:t>。</w:t>
      </w:r>
    </w:p>
    <w:p w14:paraId="3C8337FE">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第十二条　签订本合同依据</w:t>
      </w:r>
    </w:p>
    <w:p w14:paraId="70EFDCF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1、中标通知书；</w:t>
      </w:r>
    </w:p>
    <w:p w14:paraId="3E8D2C8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2、投标报价表；</w:t>
      </w:r>
    </w:p>
    <w:p w14:paraId="24C0DA5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3、商务要求偏离表和技术要求偏离表；</w:t>
      </w:r>
    </w:p>
    <w:p w14:paraId="3385FCD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4、服务方案；</w:t>
      </w:r>
    </w:p>
    <w:p w14:paraId="4424C2FB">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5、投标文件中的其他相关文件。</w:t>
      </w:r>
    </w:p>
    <w:p w14:paraId="21E5F5E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6、上述合同文件互相补充和解释。如果合同文件之间存在矛盾或者不一致之处，以上述文件的排列顺序在先者为准。</w:t>
      </w:r>
    </w:p>
    <w:p w14:paraId="5E5E0CFD">
      <w:pPr>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第十三条　</w:t>
      </w:r>
      <w:r>
        <w:rPr>
          <w:rFonts w:hint="eastAsia" w:ascii="宋体" w:hAnsi="宋体" w:cs="宋体"/>
          <w:color w:val="auto"/>
          <w:szCs w:val="21"/>
          <w:highlight w:val="none"/>
        </w:rPr>
        <w:t>本合同一式七份，具有同等法律效力，甲乙双方各三份（可根据需要另增加），采购代理机构一份。</w:t>
      </w:r>
    </w:p>
    <w:p w14:paraId="1D1760C9">
      <w:pPr>
        <w:snapToGrid w:val="0"/>
        <w:spacing w:line="400" w:lineRule="exact"/>
        <w:ind w:firstLine="420" w:firstLineChars="200"/>
        <w:rPr>
          <w:rFonts w:ascii="宋体" w:hAnsi="宋体"/>
          <w:color w:val="auto"/>
          <w:szCs w:val="21"/>
          <w:highlight w:val="none"/>
        </w:rPr>
      </w:pPr>
      <w:r>
        <w:rPr>
          <w:rFonts w:hint="eastAsia" w:ascii="宋体" w:hAnsi="宋体" w:cs="宋体"/>
          <w:color w:val="auto"/>
          <w:szCs w:val="21"/>
          <w:highlight w:val="none"/>
        </w:rPr>
        <w:t>本合同自签订之日起2个工作日内，甲方应当将采购合同在广西壮族自治区财政厅指定的媒体上公告。</w:t>
      </w:r>
    </w:p>
    <w:tbl>
      <w:tblPr>
        <w:tblStyle w:val="19"/>
        <w:tblpPr w:leftFromText="180" w:rightFromText="180" w:vertAnchor="text" w:horzAnchor="margin" w:tblpXSpec="center"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0231A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trPr>
        <w:tc>
          <w:tcPr>
            <w:tcW w:w="4582" w:type="dxa"/>
            <w:tcBorders>
              <w:top w:val="single" w:color="auto" w:sz="4" w:space="0"/>
              <w:left w:val="single" w:color="auto" w:sz="4" w:space="0"/>
              <w:bottom w:val="single" w:color="auto" w:sz="4" w:space="0"/>
              <w:right w:val="single" w:color="auto" w:sz="4" w:space="0"/>
            </w:tcBorders>
            <w:vAlign w:val="center"/>
          </w:tcPr>
          <w:p w14:paraId="3E4659A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甲方：（章）</w:t>
            </w:r>
          </w:p>
          <w:p w14:paraId="5C1F7DEA">
            <w:pPr>
              <w:spacing w:line="400" w:lineRule="exact"/>
              <w:ind w:firstLine="420" w:firstLineChars="200"/>
              <w:jc w:val="left"/>
              <w:rPr>
                <w:rFonts w:ascii="宋体" w:hAnsi="宋体" w:cs="宋体"/>
                <w:color w:val="auto"/>
                <w:szCs w:val="21"/>
                <w:highlight w:val="none"/>
              </w:rPr>
            </w:pPr>
          </w:p>
          <w:p w14:paraId="55799BA3">
            <w:pPr>
              <w:spacing w:line="400" w:lineRule="exact"/>
              <w:rPr>
                <w:rFonts w:ascii="宋体" w:hAnsi="宋体" w:cs="宋体"/>
                <w:color w:val="auto"/>
                <w:szCs w:val="21"/>
                <w:highlight w:val="none"/>
              </w:rPr>
            </w:pPr>
          </w:p>
          <w:p w14:paraId="543E0153">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年   月   日</w:t>
            </w:r>
          </w:p>
        </w:tc>
        <w:tc>
          <w:tcPr>
            <w:tcW w:w="4583" w:type="dxa"/>
            <w:tcBorders>
              <w:top w:val="single" w:color="auto" w:sz="4" w:space="0"/>
              <w:left w:val="single" w:color="auto" w:sz="4" w:space="0"/>
              <w:bottom w:val="single" w:color="auto" w:sz="4" w:space="0"/>
              <w:right w:val="single" w:color="auto" w:sz="4" w:space="0"/>
            </w:tcBorders>
            <w:vAlign w:val="center"/>
          </w:tcPr>
          <w:p w14:paraId="67FDC12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乙方：（章）       </w:t>
            </w:r>
          </w:p>
          <w:p w14:paraId="72E63F4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w:t>
            </w:r>
          </w:p>
          <w:p w14:paraId="31358CF5">
            <w:pPr>
              <w:spacing w:line="400" w:lineRule="exact"/>
              <w:ind w:firstLine="420" w:firstLineChars="200"/>
              <w:jc w:val="left"/>
              <w:rPr>
                <w:rFonts w:ascii="宋体" w:hAnsi="宋体" w:cs="宋体"/>
                <w:color w:val="auto"/>
                <w:szCs w:val="21"/>
                <w:highlight w:val="none"/>
              </w:rPr>
            </w:pPr>
          </w:p>
          <w:p w14:paraId="20A50AA0">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年   月   日</w:t>
            </w:r>
          </w:p>
        </w:tc>
      </w:tr>
      <w:tr w14:paraId="1844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5EC08AAA">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单位地址： </w:t>
            </w:r>
          </w:p>
        </w:tc>
        <w:tc>
          <w:tcPr>
            <w:tcW w:w="4583" w:type="dxa"/>
            <w:tcBorders>
              <w:top w:val="single" w:color="auto" w:sz="4" w:space="0"/>
              <w:left w:val="single" w:color="auto" w:sz="4" w:space="0"/>
              <w:bottom w:val="single" w:color="auto" w:sz="4" w:space="0"/>
              <w:right w:val="single" w:color="auto" w:sz="4" w:space="0"/>
            </w:tcBorders>
            <w:vAlign w:val="center"/>
          </w:tcPr>
          <w:p w14:paraId="548EBE38">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单位地址： </w:t>
            </w:r>
          </w:p>
        </w:tc>
      </w:tr>
      <w:tr w14:paraId="6FFAE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5A603E41">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法定代表人或委托代理人：</w:t>
            </w:r>
          </w:p>
        </w:tc>
        <w:tc>
          <w:tcPr>
            <w:tcW w:w="4583" w:type="dxa"/>
            <w:tcBorders>
              <w:top w:val="single" w:color="auto" w:sz="4" w:space="0"/>
              <w:left w:val="single" w:color="auto" w:sz="4" w:space="0"/>
              <w:bottom w:val="single" w:color="auto" w:sz="4" w:space="0"/>
              <w:right w:val="single" w:color="auto" w:sz="4" w:space="0"/>
            </w:tcBorders>
            <w:vAlign w:val="center"/>
          </w:tcPr>
          <w:p w14:paraId="37E1C23A">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法定代表人或委托代理人：</w:t>
            </w:r>
          </w:p>
        </w:tc>
      </w:tr>
      <w:tr w14:paraId="7C431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15060C6C">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电话：</w:t>
            </w:r>
          </w:p>
        </w:tc>
        <w:tc>
          <w:tcPr>
            <w:tcW w:w="4583" w:type="dxa"/>
            <w:tcBorders>
              <w:top w:val="single" w:color="auto" w:sz="4" w:space="0"/>
              <w:left w:val="single" w:color="auto" w:sz="4" w:space="0"/>
              <w:bottom w:val="single" w:color="auto" w:sz="4" w:space="0"/>
              <w:right w:val="single" w:color="auto" w:sz="4" w:space="0"/>
            </w:tcBorders>
            <w:vAlign w:val="center"/>
          </w:tcPr>
          <w:p w14:paraId="59D7BAEA">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电话：</w:t>
            </w:r>
          </w:p>
        </w:tc>
      </w:tr>
      <w:tr w14:paraId="4572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2A16BA2F">
            <w:pPr>
              <w:snapToGrid w:val="0"/>
              <w:spacing w:line="400" w:lineRule="exact"/>
              <w:rPr>
                <w:rFonts w:ascii="宋体" w:hAnsi="宋体" w:cs="宋体"/>
                <w:color w:val="auto"/>
                <w:szCs w:val="21"/>
                <w:highlight w:val="none"/>
              </w:rPr>
            </w:pPr>
            <w:r>
              <w:rPr>
                <w:rFonts w:hint="eastAsia" w:ascii="宋体" w:hAnsi="宋体"/>
                <w:color w:val="auto"/>
                <w:highlight w:val="none"/>
              </w:rPr>
              <w:t>开户名称：</w:t>
            </w:r>
          </w:p>
        </w:tc>
        <w:tc>
          <w:tcPr>
            <w:tcW w:w="4583" w:type="dxa"/>
            <w:tcBorders>
              <w:top w:val="single" w:color="auto" w:sz="4" w:space="0"/>
              <w:left w:val="single" w:color="auto" w:sz="4" w:space="0"/>
              <w:bottom w:val="single" w:color="auto" w:sz="4" w:space="0"/>
              <w:right w:val="single" w:color="auto" w:sz="4" w:space="0"/>
            </w:tcBorders>
            <w:vAlign w:val="center"/>
          </w:tcPr>
          <w:p w14:paraId="0819C83C">
            <w:pPr>
              <w:snapToGrid w:val="0"/>
              <w:spacing w:line="400" w:lineRule="exact"/>
              <w:rPr>
                <w:rFonts w:ascii="宋体" w:hAnsi="宋体" w:cs="宋体"/>
                <w:color w:val="auto"/>
                <w:szCs w:val="21"/>
                <w:highlight w:val="none"/>
              </w:rPr>
            </w:pPr>
            <w:r>
              <w:rPr>
                <w:rFonts w:hint="eastAsia" w:ascii="宋体" w:hAnsi="宋体"/>
                <w:color w:val="auto"/>
                <w:highlight w:val="none"/>
              </w:rPr>
              <w:t>开户名称：</w:t>
            </w:r>
          </w:p>
        </w:tc>
      </w:tr>
      <w:tr w14:paraId="3322D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38F0F227">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开户银行： </w:t>
            </w:r>
          </w:p>
        </w:tc>
        <w:tc>
          <w:tcPr>
            <w:tcW w:w="4583" w:type="dxa"/>
            <w:tcBorders>
              <w:top w:val="single" w:color="auto" w:sz="4" w:space="0"/>
              <w:left w:val="single" w:color="auto" w:sz="4" w:space="0"/>
              <w:bottom w:val="single" w:color="auto" w:sz="4" w:space="0"/>
              <w:right w:val="single" w:color="auto" w:sz="4" w:space="0"/>
            </w:tcBorders>
            <w:vAlign w:val="center"/>
          </w:tcPr>
          <w:p w14:paraId="69966187">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开户银行： </w:t>
            </w:r>
          </w:p>
        </w:tc>
      </w:tr>
      <w:tr w14:paraId="5AD73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6461FF65">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银行账号：</w:t>
            </w:r>
          </w:p>
        </w:tc>
        <w:tc>
          <w:tcPr>
            <w:tcW w:w="4583" w:type="dxa"/>
            <w:tcBorders>
              <w:top w:val="single" w:color="auto" w:sz="4" w:space="0"/>
              <w:left w:val="single" w:color="auto" w:sz="4" w:space="0"/>
              <w:bottom w:val="single" w:color="auto" w:sz="4" w:space="0"/>
              <w:right w:val="single" w:color="auto" w:sz="4" w:space="0"/>
            </w:tcBorders>
            <w:vAlign w:val="center"/>
          </w:tcPr>
          <w:p w14:paraId="1C6197DA">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银行账号：</w:t>
            </w:r>
          </w:p>
        </w:tc>
      </w:tr>
      <w:tr w14:paraId="39863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165298B8">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邮政编码：</w:t>
            </w:r>
          </w:p>
        </w:tc>
        <w:tc>
          <w:tcPr>
            <w:tcW w:w="4583" w:type="dxa"/>
            <w:tcBorders>
              <w:top w:val="single" w:color="auto" w:sz="4" w:space="0"/>
              <w:left w:val="single" w:color="auto" w:sz="4" w:space="0"/>
              <w:bottom w:val="single" w:color="auto" w:sz="4" w:space="0"/>
              <w:right w:val="single" w:color="auto" w:sz="4" w:space="0"/>
            </w:tcBorders>
            <w:vAlign w:val="center"/>
          </w:tcPr>
          <w:p w14:paraId="607F7B3E">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邮政编码：</w:t>
            </w:r>
          </w:p>
        </w:tc>
      </w:tr>
    </w:tbl>
    <w:p w14:paraId="28973C95">
      <w:pPr>
        <w:snapToGrid w:val="0"/>
        <w:spacing w:line="400" w:lineRule="exact"/>
        <w:jc w:val="center"/>
        <w:rPr>
          <w:rFonts w:ascii="宋体" w:hAnsi="宋体" w:cs="宋体"/>
          <w:bCs/>
          <w:color w:val="auto"/>
          <w:szCs w:val="21"/>
          <w:highlight w:val="none"/>
        </w:rPr>
      </w:pPr>
    </w:p>
    <w:p w14:paraId="60AD0520">
      <w:pPr>
        <w:snapToGrid w:val="0"/>
        <w:jc w:val="center"/>
        <w:rPr>
          <w:rFonts w:ascii="宋体" w:hAnsi="宋体" w:cs="宋体"/>
          <w:bCs/>
          <w:color w:val="auto"/>
          <w:sz w:val="32"/>
          <w:szCs w:val="32"/>
          <w:highlight w:val="none"/>
        </w:rPr>
      </w:pPr>
      <w:r>
        <w:rPr>
          <w:rFonts w:hint="eastAsia" w:ascii="宋体" w:hAnsi="宋体" w:cs="宋体"/>
          <w:bCs/>
          <w:color w:val="auto"/>
          <w:sz w:val="32"/>
          <w:szCs w:val="32"/>
          <w:highlight w:val="none"/>
        </w:rPr>
        <w:br w:type="page"/>
      </w:r>
    </w:p>
    <w:p w14:paraId="6EA049FE">
      <w:pPr>
        <w:rPr>
          <w:color w:val="auto"/>
          <w:highlight w:val="none"/>
        </w:rPr>
      </w:pPr>
      <w:bookmarkStart w:id="170" w:name="_Toc14269"/>
      <w:bookmarkStart w:id="171" w:name="_Toc31465"/>
    </w:p>
    <w:p w14:paraId="1ED2A734">
      <w:pPr>
        <w:rPr>
          <w:color w:val="auto"/>
          <w:highlight w:val="none"/>
        </w:rPr>
      </w:pPr>
    </w:p>
    <w:p w14:paraId="0979DBE9">
      <w:pPr>
        <w:rPr>
          <w:color w:val="auto"/>
          <w:highlight w:val="none"/>
        </w:rPr>
      </w:pPr>
    </w:p>
    <w:p w14:paraId="3A3120F7">
      <w:pPr>
        <w:rPr>
          <w:color w:val="auto"/>
          <w:highlight w:val="none"/>
        </w:rPr>
      </w:pPr>
    </w:p>
    <w:p w14:paraId="749B696C">
      <w:pPr>
        <w:rPr>
          <w:color w:val="auto"/>
          <w:highlight w:val="none"/>
        </w:rPr>
      </w:pPr>
    </w:p>
    <w:p w14:paraId="7072DFCD">
      <w:pPr>
        <w:rPr>
          <w:color w:val="auto"/>
          <w:highlight w:val="none"/>
        </w:rPr>
      </w:pPr>
    </w:p>
    <w:p w14:paraId="5D639B39">
      <w:pPr>
        <w:rPr>
          <w:color w:val="auto"/>
          <w:highlight w:val="none"/>
        </w:rPr>
      </w:pPr>
    </w:p>
    <w:p w14:paraId="748FEBD4">
      <w:pPr>
        <w:rPr>
          <w:color w:val="auto"/>
          <w:highlight w:val="none"/>
        </w:rPr>
      </w:pPr>
    </w:p>
    <w:p w14:paraId="5F1875C9">
      <w:pPr>
        <w:rPr>
          <w:color w:val="auto"/>
          <w:highlight w:val="none"/>
        </w:rPr>
      </w:pPr>
    </w:p>
    <w:p w14:paraId="5D240612">
      <w:pPr>
        <w:rPr>
          <w:color w:val="auto"/>
          <w:highlight w:val="none"/>
        </w:rPr>
      </w:pPr>
    </w:p>
    <w:p w14:paraId="00BE19C1">
      <w:pPr>
        <w:rPr>
          <w:color w:val="auto"/>
          <w:highlight w:val="none"/>
        </w:rPr>
      </w:pPr>
    </w:p>
    <w:p w14:paraId="2DC2232C">
      <w:pPr>
        <w:rPr>
          <w:color w:val="auto"/>
          <w:highlight w:val="none"/>
        </w:rPr>
      </w:pPr>
    </w:p>
    <w:p w14:paraId="3019CD7C">
      <w:pPr>
        <w:rPr>
          <w:color w:val="auto"/>
          <w:highlight w:val="none"/>
        </w:rPr>
      </w:pPr>
    </w:p>
    <w:p w14:paraId="0512759B">
      <w:pPr>
        <w:rPr>
          <w:color w:val="auto"/>
          <w:highlight w:val="none"/>
        </w:rPr>
      </w:pPr>
    </w:p>
    <w:p w14:paraId="109BFF1B">
      <w:pPr>
        <w:pStyle w:val="2"/>
        <w:jc w:val="center"/>
        <w:rPr>
          <w:rFonts w:ascii="宋体" w:hAnsi="宋体" w:cs="宋体"/>
          <w:color w:val="auto"/>
          <w:highlight w:val="none"/>
        </w:rPr>
      </w:pPr>
      <w:r>
        <w:rPr>
          <w:rFonts w:hint="eastAsia" w:ascii="宋体" w:hAnsi="宋体" w:cs="宋体"/>
          <w:color w:val="auto"/>
          <w:highlight w:val="none"/>
        </w:rPr>
        <w:t>第六章　投标文件格式</w:t>
      </w:r>
      <w:bookmarkEnd w:id="170"/>
      <w:bookmarkEnd w:id="171"/>
    </w:p>
    <w:p w14:paraId="7FE725F4">
      <w:pPr>
        <w:rPr>
          <w:color w:val="auto"/>
          <w:highlight w:val="none"/>
        </w:rPr>
      </w:pPr>
    </w:p>
    <w:p w14:paraId="11EF6F98">
      <w:pPr>
        <w:rPr>
          <w:color w:val="auto"/>
          <w:highlight w:val="none"/>
        </w:rPr>
      </w:pPr>
    </w:p>
    <w:p w14:paraId="6D6CCC94">
      <w:pPr>
        <w:rPr>
          <w:color w:val="auto"/>
          <w:highlight w:val="none"/>
        </w:rPr>
      </w:pPr>
    </w:p>
    <w:p w14:paraId="4050ED9B">
      <w:pPr>
        <w:rPr>
          <w:color w:val="auto"/>
          <w:highlight w:val="none"/>
        </w:rPr>
      </w:pPr>
    </w:p>
    <w:p w14:paraId="0A39E63E">
      <w:pPr>
        <w:rPr>
          <w:color w:val="auto"/>
          <w:highlight w:val="none"/>
        </w:rPr>
      </w:pPr>
    </w:p>
    <w:p w14:paraId="00E9D317">
      <w:pPr>
        <w:rPr>
          <w:color w:val="auto"/>
          <w:highlight w:val="none"/>
        </w:rPr>
      </w:pPr>
    </w:p>
    <w:p w14:paraId="0FA6D445">
      <w:pPr>
        <w:rPr>
          <w:color w:val="auto"/>
          <w:highlight w:val="none"/>
        </w:rPr>
      </w:pPr>
    </w:p>
    <w:p w14:paraId="6D303C68">
      <w:pPr>
        <w:rPr>
          <w:color w:val="auto"/>
          <w:highlight w:val="none"/>
        </w:rPr>
      </w:pPr>
    </w:p>
    <w:p w14:paraId="2026B6C3">
      <w:pPr>
        <w:rPr>
          <w:color w:val="auto"/>
          <w:highlight w:val="none"/>
        </w:rPr>
      </w:pPr>
    </w:p>
    <w:p w14:paraId="6090614C">
      <w:pPr>
        <w:rPr>
          <w:color w:val="auto"/>
          <w:highlight w:val="none"/>
        </w:rPr>
      </w:pPr>
    </w:p>
    <w:p w14:paraId="7EB24F7C">
      <w:pPr>
        <w:rPr>
          <w:color w:val="auto"/>
          <w:highlight w:val="none"/>
        </w:rPr>
      </w:pPr>
    </w:p>
    <w:p w14:paraId="5CA4F713">
      <w:pPr>
        <w:jc w:val="left"/>
        <w:rPr>
          <w:color w:val="auto"/>
          <w:highlight w:val="none"/>
        </w:rPr>
      </w:pPr>
    </w:p>
    <w:p w14:paraId="475FFD27">
      <w:pPr>
        <w:rPr>
          <w:rFonts w:ascii="宋体" w:hAnsi="宋体" w:cs="宋体"/>
          <w:b/>
          <w:color w:val="auto"/>
          <w:sz w:val="28"/>
          <w:szCs w:val="28"/>
          <w:highlight w:val="none"/>
        </w:rPr>
      </w:pPr>
      <w:bookmarkStart w:id="172" w:name="_Toc19686836"/>
      <w:bookmarkStart w:id="173" w:name="_Toc254970698"/>
      <w:bookmarkStart w:id="174" w:name="_Toc254970557"/>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第一节、报价文件格式</w:t>
      </w:r>
      <w:bookmarkEnd w:id="172"/>
    </w:p>
    <w:p w14:paraId="26A1970E">
      <w:pPr>
        <w:snapToGrid w:val="0"/>
        <w:spacing w:before="120" w:beforeLines="50" w:after="50"/>
        <w:ind w:left="142"/>
        <w:jc w:val="left"/>
        <w:rPr>
          <w:rFonts w:ascii="宋体" w:hAnsi="宋体" w:cs="宋体"/>
          <w:b/>
          <w:color w:val="auto"/>
          <w:sz w:val="24"/>
          <w:highlight w:val="none"/>
        </w:rPr>
      </w:pPr>
    </w:p>
    <w:p w14:paraId="13A72375">
      <w:pPr>
        <w:snapToGrid w:val="0"/>
        <w:spacing w:before="120" w:beforeLines="50" w:after="50"/>
        <w:ind w:left="142"/>
        <w:jc w:val="left"/>
        <w:rPr>
          <w:rFonts w:ascii="宋体" w:hAnsi="宋体" w:cs="宋体"/>
          <w:b/>
          <w:color w:val="auto"/>
          <w:sz w:val="24"/>
          <w:highlight w:val="none"/>
        </w:rPr>
      </w:pPr>
    </w:p>
    <w:p w14:paraId="02C26902">
      <w:pPr>
        <w:snapToGrid w:val="0"/>
        <w:spacing w:before="120" w:beforeLines="50" w:after="50"/>
        <w:ind w:left="142"/>
        <w:jc w:val="left"/>
        <w:rPr>
          <w:rFonts w:ascii="宋体" w:hAnsi="宋体" w:cs="宋体"/>
          <w:b/>
          <w:color w:val="auto"/>
          <w:sz w:val="24"/>
          <w:highlight w:val="none"/>
        </w:rPr>
      </w:pPr>
    </w:p>
    <w:p w14:paraId="19046F57">
      <w:pPr>
        <w:snapToGrid w:val="0"/>
        <w:spacing w:before="120" w:beforeLines="50" w:after="50" w:line="400" w:lineRule="exact"/>
        <w:jc w:val="right"/>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33C84A11">
      <w:pPr>
        <w:snapToGrid w:val="0"/>
        <w:spacing w:before="120" w:beforeLines="50" w:after="50" w:line="400" w:lineRule="exact"/>
        <w:jc w:val="center"/>
        <w:rPr>
          <w:rFonts w:ascii="宋体" w:hAnsi="宋体" w:cs="宋体"/>
          <w:bCs/>
          <w:color w:val="auto"/>
          <w:sz w:val="24"/>
          <w:szCs w:val="20"/>
          <w:highlight w:val="none"/>
        </w:rPr>
      </w:pPr>
    </w:p>
    <w:p w14:paraId="73BCDCD5">
      <w:pPr>
        <w:snapToGrid w:val="0"/>
        <w:spacing w:before="120" w:beforeLines="50" w:after="50" w:line="40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报价文件（封面）</w:t>
      </w:r>
    </w:p>
    <w:p w14:paraId="67D87DD6">
      <w:pPr>
        <w:snapToGrid w:val="0"/>
        <w:spacing w:before="120" w:beforeLines="50" w:after="50" w:line="400" w:lineRule="exact"/>
        <w:rPr>
          <w:rFonts w:ascii="宋体" w:hAnsi="宋体" w:cs="宋体"/>
          <w:bCs/>
          <w:color w:val="auto"/>
          <w:sz w:val="24"/>
          <w:szCs w:val="20"/>
          <w:highlight w:val="none"/>
        </w:rPr>
      </w:pPr>
    </w:p>
    <w:p w14:paraId="5ECD070F">
      <w:pPr>
        <w:snapToGrid w:val="0"/>
        <w:spacing w:before="120" w:beforeLines="50" w:after="50" w:line="400" w:lineRule="exact"/>
        <w:rPr>
          <w:rFonts w:ascii="宋体" w:hAnsi="宋体" w:cs="宋体"/>
          <w:bCs/>
          <w:color w:val="auto"/>
          <w:sz w:val="24"/>
          <w:szCs w:val="20"/>
          <w:highlight w:val="none"/>
        </w:rPr>
      </w:pPr>
    </w:p>
    <w:p w14:paraId="6DBE1564">
      <w:pPr>
        <w:snapToGrid w:val="0"/>
        <w:spacing w:before="120" w:beforeLines="50" w:after="50" w:line="400" w:lineRule="exact"/>
        <w:rPr>
          <w:rFonts w:ascii="宋体" w:hAnsi="宋体" w:cs="宋体"/>
          <w:bCs/>
          <w:color w:val="auto"/>
          <w:sz w:val="24"/>
          <w:szCs w:val="20"/>
          <w:highlight w:val="none"/>
        </w:rPr>
      </w:pPr>
    </w:p>
    <w:p w14:paraId="2589F58E">
      <w:pPr>
        <w:snapToGrid w:val="0"/>
        <w:spacing w:before="120" w:beforeLines="50" w:after="50" w:line="400" w:lineRule="exact"/>
        <w:rPr>
          <w:rFonts w:ascii="宋体" w:hAnsi="宋体" w:cs="宋体"/>
          <w:bCs/>
          <w:color w:val="auto"/>
          <w:sz w:val="24"/>
          <w:szCs w:val="20"/>
          <w:highlight w:val="none"/>
        </w:rPr>
      </w:pPr>
    </w:p>
    <w:p w14:paraId="557D89A0">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781D39F9">
      <w:pPr>
        <w:snapToGrid w:val="0"/>
        <w:spacing w:before="120" w:beforeLines="50" w:after="50" w:line="400" w:lineRule="exact"/>
        <w:ind w:firstLine="360" w:firstLineChars="150"/>
        <w:rPr>
          <w:rFonts w:ascii="宋体" w:hAnsi="宋体" w:cs="宋体"/>
          <w:bCs/>
          <w:color w:val="auto"/>
          <w:sz w:val="24"/>
          <w:highlight w:val="none"/>
        </w:rPr>
      </w:pPr>
    </w:p>
    <w:p w14:paraId="22A046CB">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5A5374F1">
      <w:pPr>
        <w:snapToGrid w:val="0"/>
        <w:spacing w:before="120" w:beforeLines="50" w:after="50" w:line="400" w:lineRule="exact"/>
        <w:ind w:firstLine="360" w:firstLineChars="150"/>
        <w:rPr>
          <w:rFonts w:ascii="宋体" w:hAnsi="宋体" w:cs="宋体"/>
          <w:bCs/>
          <w:color w:val="auto"/>
          <w:sz w:val="24"/>
          <w:highlight w:val="none"/>
        </w:rPr>
      </w:pPr>
    </w:p>
    <w:p w14:paraId="5A37C288">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所投分标：</w:t>
      </w:r>
    </w:p>
    <w:p w14:paraId="7FB1866C">
      <w:pPr>
        <w:snapToGrid w:val="0"/>
        <w:spacing w:before="120" w:beforeLines="50" w:after="50" w:line="400" w:lineRule="exact"/>
        <w:ind w:firstLine="360" w:firstLineChars="150"/>
        <w:rPr>
          <w:rFonts w:ascii="宋体" w:hAnsi="宋体" w:cs="宋体"/>
          <w:bCs/>
          <w:color w:val="auto"/>
          <w:sz w:val="24"/>
          <w:highlight w:val="none"/>
        </w:rPr>
      </w:pPr>
    </w:p>
    <w:p w14:paraId="6EB9AF38">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2B4F1B2B">
      <w:pPr>
        <w:snapToGrid w:val="0"/>
        <w:spacing w:before="120" w:beforeLines="50" w:after="50" w:line="400" w:lineRule="exact"/>
        <w:ind w:firstLine="360" w:firstLineChars="150"/>
        <w:rPr>
          <w:rFonts w:ascii="宋体" w:hAnsi="宋体" w:cs="宋体"/>
          <w:bCs/>
          <w:color w:val="auto"/>
          <w:sz w:val="24"/>
          <w:highlight w:val="none"/>
        </w:rPr>
      </w:pPr>
    </w:p>
    <w:p w14:paraId="43BF449B">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295BEC9F">
      <w:pPr>
        <w:pStyle w:val="7"/>
        <w:snapToGrid w:val="0"/>
        <w:spacing w:before="50" w:after="50" w:line="400" w:lineRule="exact"/>
        <w:ind w:firstLine="960" w:firstLineChars="400"/>
        <w:rPr>
          <w:rFonts w:ascii="宋体" w:hAnsi="宋体" w:cs="宋体"/>
          <w:bCs/>
          <w:color w:val="auto"/>
          <w:sz w:val="24"/>
          <w:szCs w:val="24"/>
          <w:highlight w:val="none"/>
        </w:rPr>
      </w:pPr>
    </w:p>
    <w:p w14:paraId="3BFD7819">
      <w:pPr>
        <w:snapToGrid w:val="0"/>
        <w:spacing w:before="120" w:beforeLines="50" w:after="50" w:line="400" w:lineRule="exact"/>
        <w:rPr>
          <w:rFonts w:ascii="宋体" w:hAnsi="宋体" w:cs="宋体"/>
          <w:color w:val="auto"/>
          <w:sz w:val="24"/>
          <w:highlight w:val="none"/>
        </w:rPr>
        <w:sectPr>
          <w:pgSz w:w="11906" w:h="16838"/>
          <w:pgMar w:top="1134" w:right="1247" w:bottom="1134" w:left="1247" w:header="720" w:footer="720" w:gutter="0"/>
          <w:cols w:space="720" w:num="1"/>
          <w:docGrid w:linePitch="331" w:charSpace="0"/>
        </w:sectPr>
      </w:pPr>
      <w:r>
        <w:rPr>
          <w:rFonts w:hint="eastAsia" w:ascii="宋体" w:hAnsi="宋体" w:cs="宋体"/>
          <w:color w:val="auto"/>
          <w:sz w:val="24"/>
          <w:highlight w:val="none"/>
        </w:rPr>
        <w:t xml:space="preserve">                                                       年  月  日</w:t>
      </w:r>
    </w:p>
    <w:p w14:paraId="757EA824">
      <w:pPr>
        <w:rPr>
          <w:rFonts w:ascii="宋体" w:hAnsi="宋体" w:cs="宋体"/>
          <w:color w:val="auto"/>
          <w:highlight w:val="none"/>
        </w:rPr>
      </w:pPr>
    </w:p>
    <w:p w14:paraId="19A9BF9F">
      <w:pPr>
        <w:snapToGrid w:val="0"/>
        <w:spacing w:before="120" w:beforeLines="50" w:after="50" w:line="40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报价文件目录</w:t>
      </w:r>
    </w:p>
    <w:p w14:paraId="0181A66D">
      <w:pPr>
        <w:rPr>
          <w:rFonts w:ascii="宋体" w:hAnsi="宋体" w:cs="宋体"/>
          <w:color w:val="auto"/>
          <w:highlight w:val="none"/>
        </w:rPr>
      </w:pPr>
    </w:p>
    <w:p w14:paraId="68CE4854">
      <w:pPr>
        <w:spacing w:line="360" w:lineRule="auto"/>
        <w:rPr>
          <w:rFonts w:ascii="宋体" w:hAnsi="宋体" w:cs="宋体"/>
          <w:color w:val="auto"/>
          <w:sz w:val="24"/>
          <w:highlight w:val="none"/>
        </w:rPr>
      </w:pPr>
      <w:r>
        <w:rPr>
          <w:rFonts w:hint="eastAsia" w:ascii="宋体" w:hAnsi="宋体" w:cs="宋体"/>
          <w:color w:val="auto"/>
          <w:sz w:val="24"/>
          <w:highlight w:val="none"/>
        </w:rPr>
        <w:t>一、投标函………………………………………………………（页码）</w:t>
      </w:r>
    </w:p>
    <w:p w14:paraId="2A38B399">
      <w:pPr>
        <w:spacing w:line="360" w:lineRule="auto"/>
        <w:rPr>
          <w:rFonts w:ascii="宋体" w:hAnsi="宋体" w:cs="宋体"/>
          <w:color w:val="auto"/>
          <w:sz w:val="24"/>
          <w:highlight w:val="none"/>
        </w:rPr>
      </w:pPr>
      <w:r>
        <w:rPr>
          <w:rFonts w:hint="eastAsia" w:ascii="宋体" w:hAnsi="宋体" w:cs="宋体"/>
          <w:color w:val="auto"/>
          <w:sz w:val="24"/>
          <w:highlight w:val="none"/>
        </w:rPr>
        <w:t>二、开标一览表…………………………………………………（页码）</w:t>
      </w:r>
    </w:p>
    <w:p w14:paraId="1C50729E">
      <w:pPr>
        <w:spacing w:line="360" w:lineRule="auto"/>
        <w:jc w:val="left"/>
        <w:rPr>
          <w:rFonts w:ascii="宋体" w:hAnsi="宋体" w:cs="宋体"/>
          <w:color w:val="auto"/>
          <w:sz w:val="24"/>
          <w:highlight w:val="none"/>
        </w:rPr>
      </w:pPr>
      <w:r>
        <w:rPr>
          <w:rFonts w:hint="eastAsia" w:ascii="宋体" w:hAnsi="宋体" w:cs="宋体"/>
          <w:color w:val="auto"/>
          <w:sz w:val="24"/>
          <w:highlight w:val="none"/>
        </w:rPr>
        <w:t>三、投标人针对报价需要说明的其他文件和说明。…………（页码）</w:t>
      </w:r>
    </w:p>
    <w:p w14:paraId="679D2AEF">
      <w:pPr>
        <w:snapToGrid w:val="0"/>
        <w:spacing w:before="120" w:beforeLines="50" w:after="50"/>
        <w:ind w:left="142"/>
        <w:jc w:val="left"/>
        <w:rPr>
          <w:rFonts w:ascii="宋体" w:hAnsi="宋体" w:cs="宋体"/>
          <w:b/>
          <w:color w:val="auto"/>
          <w:sz w:val="24"/>
          <w:highlight w:val="none"/>
        </w:rPr>
      </w:pPr>
    </w:p>
    <w:p w14:paraId="275FF98A">
      <w:pPr>
        <w:snapToGrid w:val="0"/>
        <w:spacing w:before="120" w:beforeLines="50" w:after="50"/>
        <w:ind w:left="142"/>
        <w:jc w:val="left"/>
        <w:rPr>
          <w:rFonts w:ascii="宋体" w:hAnsi="宋体" w:cs="宋体"/>
          <w:b/>
          <w:color w:val="auto"/>
          <w:sz w:val="24"/>
          <w:highlight w:val="none"/>
        </w:rPr>
      </w:pPr>
    </w:p>
    <w:p w14:paraId="18E50B17">
      <w:pPr>
        <w:snapToGrid w:val="0"/>
        <w:spacing w:before="120" w:beforeLines="50" w:after="50"/>
        <w:ind w:left="142"/>
        <w:jc w:val="left"/>
        <w:rPr>
          <w:rFonts w:ascii="宋体" w:hAnsi="宋体" w:cs="宋体"/>
          <w:b/>
          <w:color w:val="auto"/>
          <w:sz w:val="24"/>
          <w:highlight w:val="none"/>
        </w:rPr>
      </w:pPr>
    </w:p>
    <w:p w14:paraId="76F9CDB1">
      <w:pPr>
        <w:snapToGrid w:val="0"/>
        <w:spacing w:before="120" w:beforeLines="50" w:after="50"/>
        <w:ind w:left="142"/>
        <w:jc w:val="left"/>
        <w:rPr>
          <w:rFonts w:ascii="宋体" w:hAnsi="宋体" w:cs="宋体"/>
          <w:b/>
          <w:color w:val="auto"/>
          <w:sz w:val="24"/>
          <w:highlight w:val="none"/>
        </w:rPr>
      </w:pPr>
    </w:p>
    <w:p w14:paraId="4413F42E">
      <w:pPr>
        <w:snapToGrid w:val="0"/>
        <w:spacing w:before="120" w:beforeLines="50" w:after="50"/>
        <w:ind w:left="142"/>
        <w:jc w:val="left"/>
        <w:rPr>
          <w:rFonts w:ascii="宋体" w:hAnsi="宋体" w:cs="宋体"/>
          <w:b/>
          <w:color w:val="auto"/>
          <w:sz w:val="24"/>
          <w:highlight w:val="none"/>
        </w:rPr>
      </w:pPr>
    </w:p>
    <w:p w14:paraId="4297F5A6">
      <w:pPr>
        <w:snapToGrid w:val="0"/>
        <w:spacing w:before="120" w:beforeLines="50" w:after="50"/>
        <w:ind w:left="142"/>
        <w:jc w:val="left"/>
        <w:rPr>
          <w:rFonts w:ascii="宋体" w:hAnsi="宋体" w:cs="宋体"/>
          <w:b/>
          <w:color w:val="auto"/>
          <w:sz w:val="24"/>
          <w:highlight w:val="none"/>
        </w:rPr>
      </w:pPr>
    </w:p>
    <w:p w14:paraId="49DC24FC">
      <w:pPr>
        <w:snapToGrid w:val="0"/>
        <w:spacing w:before="120" w:beforeLines="50" w:after="50"/>
        <w:ind w:left="142"/>
        <w:jc w:val="left"/>
        <w:rPr>
          <w:rFonts w:ascii="宋体" w:hAnsi="宋体" w:cs="宋体"/>
          <w:b/>
          <w:color w:val="auto"/>
          <w:sz w:val="24"/>
          <w:highlight w:val="none"/>
        </w:rPr>
      </w:pPr>
    </w:p>
    <w:p w14:paraId="7F0A33CD">
      <w:pPr>
        <w:snapToGrid w:val="0"/>
        <w:spacing w:before="120" w:beforeLines="50" w:after="50"/>
        <w:ind w:left="142"/>
        <w:jc w:val="left"/>
        <w:rPr>
          <w:rFonts w:ascii="宋体" w:hAnsi="宋体" w:cs="宋体"/>
          <w:b/>
          <w:color w:val="auto"/>
          <w:sz w:val="24"/>
          <w:highlight w:val="none"/>
        </w:rPr>
      </w:pPr>
    </w:p>
    <w:p w14:paraId="7E5B164E">
      <w:pPr>
        <w:snapToGrid w:val="0"/>
        <w:spacing w:before="120" w:beforeLines="50" w:after="50"/>
        <w:ind w:left="142"/>
        <w:jc w:val="left"/>
        <w:rPr>
          <w:rFonts w:ascii="宋体" w:hAnsi="宋体" w:cs="宋体"/>
          <w:b/>
          <w:color w:val="auto"/>
          <w:sz w:val="24"/>
          <w:highlight w:val="none"/>
        </w:rPr>
      </w:pPr>
    </w:p>
    <w:p w14:paraId="5B7D1F1A">
      <w:pPr>
        <w:snapToGrid w:val="0"/>
        <w:spacing w:before="120" w:beforeLines="50" w:after="50"/>
        <w:ind w:left="142"/>
        <w:jc w:val="left"/>
        <w:rPr>
          <w:rFonts w:ascii="宋体" w:hAnsi="宋体" w:cs="宋体"/>
          <w:b/>
          <w:color w:val="auto"/>
          <w:sz w:val="24"/>
          <w:highlight w:val="none"/>
        </w:rPr>
      </w:pPr>
    </w:p>
    <w:p w14:paraId="05E31DBC">
      <w:pPr>
        <w:snapToGrid w:val="0"/>
        <w:spacing w:before="120" w:beforeLines="50" w:after="50"/>
        <w:ind w:left="142"/>
        <w:jc w:val="left"/>
        <w:rPr>
          <w:rFonts w:ascii="宋体" w:hAnsi="宋体" w:cs="宋体"/>
          <w:b/>
          <w:color w:val="auto"/>
          <w:sz w:val="24"/>
          <w:highlight w:val="none"/>
        </w:rPr>
      </w:pPr>
    </w:p>
    <w:p w14:paraId="4695F764">
      <w:pPr>
        <w:snapToGrid w:val="0"/>
        <w:spacing w:before="120" w:beforeLines="50" w:after="50"/>
        <w:ind w:left="142"/>
        <w:jc w:val="left"/>
        <w:rPr>
          <w:rFonts w:ascii="宋体" w:hAnsi="宋体" w:cs="宋体"/>
          <w:b/>
          <w:color w:val="auto"/>
          <w:sz w:val="24"/>
          <w:highlight w:val="none"/>
        </w:rPr>
      </w:pPr>
    </w:p>
    <w:p w14:paraId="1B5A68A8">
      <w:pPr>
        <w:snapToGrid w:val="0"/>
        <w:spacing w:before="120" w:beforeLines="50" w:after="50"/>
        <w:ind w:left="142"/>
        <w:jc w:val="left"/>
        <w:rPr>
          <w:rFonts w:ascii="宋体" w:hAnsi="宋体" w:cs="宋体"/>
          <w:b/>
          <w:color w:val="auto"/>
          <w:sz w:val="24"/>
          <w:highlight w:val="none"/>
        </w:rPr>
      </w:pPr>
    </w:p>
    <w:p w14:paraId="6F30092E">
      <w:pPr>
        <w:snapToGrid w:val="0"/>
        <w:spacing w:before="120" w:beforeLines="50" w:after="50"/>
        <w:ind w:left="142"/>
        <w:jc w:val="left"/>
        <w:rPr>
          <w:rFonts w:ascii="宋体" w:hAnsi="宋体" w:cs="宋体"/>
          <w:b/>
          <w:color w:val="auto"/>
          <w:sz w:val="24"/>
          <w:highlight w:val="none"/>
        </w:rPr>
      </w:pPr>
    </w:p>
    <w:p w14:paraId="7D4C8666">
      <w:pPr>
        <w:snapToGrid w:val="0"/>
        <w:spacing w:before="120" w:beforeLines="50" w:after="50"/>
        <w:ind w:left="142"/>
        <w:jc w:val="left"/>
        <w:rPr>
          <w:rFonts w:ascii="宋体" w:hAnsi="宋体" w:cs="宋体"/>
          <w:b/>
          <w:color w:val="auto"/>
          <w:sz w:val="24"/>
          <w:highlight w:val="none"/>
        </w:rPr>
      </w:pPr>
    </w:p>
    <w:p w14:paraId="33527F0F">
      <w:pPr>
        <w:snapToGrid w:val="0"/>
        <w:spacing w:before="120" w:beforeLines="50" w:after="50"/>
        <w:ind w:left="142"/>
        <w:jc w:val="left"/>
        <w:rPr>
          <w:rFonts w:ascii="宋体" w:hAnsi="宋体" w:cs="宋体"/>
          <w:b/>
          <w:color w:val="auto"/>
          <w:sz w:val="24"/>
          <w:highlight w:val="none"/>
        </w:rPr>
      </w:pPr>
    </w:p>
    <w:p w14:paraId="3B34917F">
      <w:pPr>
        <w:snapToGrid w:val="0"/>
        <w:spacing w:before="120" w:beforeLines="50" w:after="50"/>
        <w:ind w:left="142"/>
        <w:jc w:val="left"/>
        <w:rPr>
          <w:rFonts w:ascii="宋体" w:hAnsi="宋体" w:cs="宋体"/>
          <w:b/>
          <w:color w:val="auto"/>
          <w:sz w:val="24"/>
          <w:highlight w:val="none"/>
        </w:rPr>
      </w:pPr>
    </w:p>
    <w:p w14:paraId="0754AF23">
      <w:pPr>
        <w:snapToGrid w:val="0"/>
        <w:spacing w:before="120" w:beforeLines="50" w:after="50"/>
        <w:ind w:left="142"/>
        <w:jc w:val="left"/>
        <w:rPr>
          <w:rFonts w:ascii="宋体" w:hAnsi="宋体" w:cs="宋体"/>
          <w:b/>
          <w:color w:val="auto"/>
          <w:sz w:val="24"/>
          <w:highlight w:val="none"/>
        </w:rPr>
      </w:pPr>
    </w:p>
    <w:p w14:paraId="697FA2CB">
      <w:pPr>
        <w:snapToGrid w:val="0"/>
        <w:spacing w:before="120" w:beforeLines="50" w:after="50"/>
        <w:ind w:left="142"/>
        <w:jc w:val="left"/>
        <w:rPr>
          <w:rFonts w:ascii="宋体" w:hAnsi="宋体" w:cs="宋体"/>
          <w:b/>
          <w:color w:val="auto"/>
          <w:sz w:val="24"/>
          <w:highlight w:val="none"/>
        </w:rPr>
      </w:pPr>
    </w:p>
    <w:p w14:paraId="4BB925A7">
      <w:pPr>
        <w:snapToGrid w:val="0"/>
        <w:spacing w:before="120" w:beforeLines="50" w:after="50"/>
        <w:ind w:left="142"/>
        <w:jc w:val="left"/>
        <w:rPr>
          <w:rFonts w:ascii="宋体" w:hAnsi="宋体" w:cs="宋体"/>
          <w:b/>
          <w:color w:val="auto"/>
          <w:sz w:val="24"/>
          <w:highlight w:val="none"/>
        </w:rPr>
      </w:pPr>
    </w:p>
    <w:p w14:paraId="3B8C2261">
      <w:pPr>
        <w:snapToGrid w:val="0"/>
        <w:spacing w:before="120" w:beforeLines="50" w:after="50"/>
        <w:ind w:left="142"/>
        <w:jc w:val="left"/>
        <w:rPr>
          <w:rFonts w:ascii="宋体" w:hAnsi="宋体" w:cs="宋体"/>
          <w:b/>
          <w:color w:val="auto"/>
          <w:sz w:val="24"/>
          <w:highlight w:val="none"/>
        </w:rPr>
      </w:pPr>
    </w:p>
    <w:p w14:paraId="14CCF602">
      <w:pPr>
        <w:snapToGrid w:val="0"/>
        <w:spacing w:before="120" w:beforeLines="50" w:after="50"/>
        <w:ind w:left="142"/>
        <w:jc w:val="left"/>
        <w:rPr>
          <w:rFonts w:ascii="宋体" w:hAnsi="宋体" w:cs="宋体"/>
          <w:b/>
          <w:color w:val="auto"/>
          <w:sz w:val="24"/>
          <w:highlight w:val="none"/>
        </w:rPr>
      </w:pPr>
    </w:p>
    <w:p w14:paraId="726E6ED2">
      <w:pPr>
        <w:snapToGrid w:val="0"/>
        <w:spacing w:before="120" w:beforeLines="50" w:after="50"/>
        <w:ind w:left="142"/>
        <w:jc w:val="left"/>
        <w:rPr>
          <w:rFonts w:ascii="宋体" w:hAnsi="宋体" w:cs="宋体"/>
          <w:b/>
          <w:color w:val="auto"/>
          <w:sz w:val="24"/>
          <w:highlight w:val="none"/>
        </w:rPr>
      </w:pPr>
    </w:p>
    <w:p w14:paraId="721684E5">
      <w:pPr>
        <w:snapToGrid w:val="0"/>
        <w:spacing w:before="120" w:beforeLines="50" w:after="50"/>
        <w:ind w:left="142"/>
        <w:jc w:val="left"/>
        <w:rPr>
          <w:rFonts w:ascii="宋体" w:hAnsi="宋体" w:cs="宋体"/>
          <w:b/>
          <w:color w:val="auto"/>
          <w:sz w:val="24"/>
          <w:highlight w:val="none"/>
        </w:rPr>
      </w:pPr>
    </w:p>
    <w:p w14:paraId="30481D4B">
      <w:pPr>
        <w:pStyle w:val="31"/>
        <w:rPr>
          <w:rFonts w:ascii="宋体" w:hAnsi="宋体" w:cs="宋体"/>
          <w:b/>
          <w:color w:val="auto"/>
          <w:sz w:val="24"/>
          <w:highlight w:val="none"/>
        </w:rPr>
      </w:pPr>
    </w:p>
    <w:p w14:paraId="1684EBB8">
      <w:pPr>
        <w:pStyle w:val="31"/>
        <w:rPr>
          <w:rFonts w:ascii="宋体" w:hAnsi="宋体" w:cs="宋体"/>
          <w:b/>
          <w:color w:val="auto"/>
          <w:sz w:val="24"/>
          <w:highlight w:val="none"/>
        </w:rPr>
      </w:pPr>
    </w:p>
    <w:p w14:paraId="3419EF42">
      <w:pPr>
        <w:snapToGrid w:val="0"/>
        <w:spacing w:before="120" w:beforeLines="50" w:after="50"/>
        <w:ind w:left="142"/>
        <w:jc w:val="left"/>
        <w:rPr>
          <w:rFonts w:ascii="宋体" w:hAnsi="宋体" w:cs="宋体"/>
          <w:b/>
          <w:color w:val="auto"/>
          <w:sz w:val="24"/>
          <w:highlight w:val="none"/>
        </w:rPr>
      </w:pPr>
    </w:p>
    <w:p w14:paraId="5AAAB4C7">
      <w:pPr>
        <w:snapToGrid w:val="0"/>
        <w:spacing w:before="120" w:beforeLines="50" w:after="50"/>
        <w:ind w:left="142"/>
        <w:jc w:val="left"/>
        <w:rPr>
          <w:rFonts w:ascii="宋体" w:hAnsi="宋体" w:cs="宋体"/>
          <w:b/>
          <w:color w:val="auto"/>
          <w:sz w:val="24"/>
          <w:highlight w:val="none"/>
        </w:rPr>
      </w:pPr>
    </w:p>
    <w:p w14:paraId="73D58EEE">
      <w:pPr>
        <w:snapToGrid w:val="0"/>
        <w:spacing w:before="120" w:beforeLines="50" w:after="50"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一、投 标 函</w:t>
      </w:r>
    </w:p>
    <w:p w14:paraId="1EA48906">
      <w:pPr>
        <w:spacing w:line="440" w:lineRule="exact"/>
        <w:contextualSpacing/>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p>
    <w:p w14:paraId="4FC1B29C">
      <w:pPr>
        <w:pStyle w:val="11"/>
        <w:spacing w:line="440" w:lineRule="exact"/>
        <w:ind w:firstLine="420" w:firstLineChars="200"/>
        <w:rPr>
          <w:rFonts w:hAnsi="宋体" w:cs="宋体"/>
          <w:color w:val="auto"/>
          <w:sz w:val="21"/>
          <w:highlight w:val="none"/>
        </w:rPr>
      </w:pPr>
      <w:r>
        <w:rPr>
          <w:rFonts w:hint="eastAsia" w:hAnsi="宋体" w:cs="宋体"/>
          <w:color w:val="auto"/>
          <w:sz w:val="21"/>
          <w:highlight w:val="none"/>
        </w:rPr>
        <w:t>我方已仔细阅读了贵方组织的</w:t>
      </w:r>
      <w:r>
        <w:rPr>
          <w:rFonts w:hint="eastAsia" w:hAnsi="宋体" w:cs="宋体"/>
          <w:color w:val="auto"/>
          <w:sz w:val="21"/>
          <w:highlight w:val="none"/>
          <w:u w:val="single"/>
        </w:rPr>
        <w:t xml:space="preserve">                 </w:t>
      </w:r>
      <w:r>
        <w:rPr>
          <w:rFonts w:hint="eastAsia" w:hAnsi="宋体" w:cs="宋体"/>
          <w:color w:val="auto"/>
          <w:sz w:val="21"/>
          <w:highlight w:val="none"/>
        </w:rPr>
        <w:t>项目（项目编号：</w:t>
      </w:r>
      <w:r>
        <w:rPr>
          <w:rFonts w:hint="eastAsia" w:hAnsi="宋体" w:cs="宋体"/>
          <w:color w:val="auto"/>
          <w:sz w:val="21"/>
          <w:highlight w:val="none"/>
          <w:u w:val="single"/>
        </w:rPr>
        <w:t xml:space="preserve">             </w:t>
      </w:r>
      <w:r>
        <w:rPr>
          <w:rFonts w:hint="eastAsia" w:hAnsi="宋体" w:cs="宋体"/>
          <w:color w:val="auto"/>
          <w:sz w:val="21"/>
          <w:highlight w:val="none"/>
        </w:rPr>
        <w:t>）的招标文件的全部内容，授权</w:t>
      </w:r>
      <w:r>
        <w:rPr>
          <w:rFonts w:hint="eastAsia" w:hAnsi="宋体" w:cs="宋体"/>
          <w:color w:val="auto"/>
          <w:sz w:val="21"/>
          <w:highlight w:val="none"/>
          <w:u w:val="single"/>
        </w:rPr>
        <w:t xml:space="preserve">                      </w:t>
      </w:r>
      <w:r>
        <w:rPr>
          <w:rFonts w:hint="eastAsia" w:hAnsi="宋体" w:cs="宋体"/>
          <w:color w:val="auto"/>
          <w:sz w:val="21"/>
          <w:highlight w:val="none"/>
        </w:rPr>
        <w:t>(全权代表姓名)</w:t>
      </w:r>
      <w:r>
        <w:rPr>
          <w:rFonts w:hint="eastAsia" w:hAnsi="宋体" w:cs="宋体"/>
          <w:color w:val="auto"/>
          <w:sz w:val="21"/>
          <w:highlight w:val="none"/>
          <w:u w:val="single"/>
        </w:rPr>
        <w:t xml:space="preserve">          </w:t>
      </w:r>
      <w:r>
        <w:rPr>
          <w:rFonts w:hint="eastAsia" w:hAnsi="宋体" w:cs="宋体"/>
          <w:color w:val="auto"/>
          <w:sz w:val="21"/>
          <w:highlight w:val="none"/>
        </w:rPr>
        <w:t xml:space="preserve"> (职务、职称)为全权代表，现正式递交下述文件参加贵方组织的本次政府采购活动： </w:t>
      </w:r>
    </w:p>
    <w:p w14:paraId="55CBE3A3">
      <w:pPr>
        <w:pStyle w:val="11"/>
        <w:spacing w:line="440" w:lineRule="exact"/>
        <w:ind w:firstLine="420" w:firstLineChars="200"/>
        <w:rPr>
          <w:rFonts w:hAnsi="宋体" w:cs="宋体"/>
          <w:color w:val="auto"/>
          <w:sz w:val="21"/>
          <w:highlight w:val="none"/>
        </w:rPr>
      </w:pPr>
      <w:r>
        <w:rPr>
          <w:rFonts w:hint="eastAsia" w:hAnsi="宋体" w:cs="宋体"/>
          <w:color w:val="auto"/>
          <w:sz w:val="21"/>
          <w:highlight w:val="none"/>
        </w:rPr>
        <w:t>一、报价文件电子版一份（包含按投标人须知前附表要求提交的全部文件）；</w:t>
      </w:r>
    </w:p>
    <w:p w14:paraId="7178DB0E">
      <w:pPr>
        <w:pStyle w:val="11"/>
        <w:spacing w:line="440" w:lineRule="exact"/>
        <w:ind w:firstLine="420" w:firstLineChars="200"/>
        <w:rPr>
          <w:rFonts w:hAnsi="宋体" w:cs="宋体"/>
          <w:color w:val="auto"/>
          <w:sz w:val="21"/>
          <w:highlight w:val="none"/>
        </w:rPr>
      </w:pPr>
      <w:r>
        <w:rPr>
          <w:rFonts w:hint="eastAsia" w:hAnsi="宋体" w:cs="宋体"/>
          <w:color w:val="auto"/>
          <w:sz w:val="21"/>
          <w:highlight w:val="none"/>
        </w:rPr>
        <w:t>二、资格文件电子版一份（包含按投标人须知前附表要求提交的全部文件）；</w:t>
      </w:r>
    </w:p>
    <w:p w14:paraId="487ED42B">
      <w:pPr>
        <w:pStyle w:val="11"/>
        <w:spacing w:line="440" w:lineRule="exact"/>
        <w:ind w:firstLine="420" w:firstLineChars="200"/>
        <w:rPr>
          <w:rFonts w:hAnsi="宋体" w:cs="宋体"/>
          <w:color w:val="auto"/>
          <w:sz w:val="21"/>
          <w:highlight w:val="none"/>
        </w:rPr>
      </w:pPr>
      <w:r>
        <w:rPr>
          <w:rFonts w:hint="eastAsia" w:hAnsi="宋体" w:cs="宋体"/>
          <w:color w:val="auto"/>
          <w:sz w:val="21"/>
          <w:highlight w:val="none"/>
        </w:rPr>
        <w:t>三、技术文件电子版一份（包含按投标人须知前附表要求提交的全部文件）；</w:t>
      </w:r>
    </w:p>
    <w:p w14:paraId="40DCAC93">
      <w:pPr>
        <w:pStyle w:val="11"/>
        <w:spacing w:line="440" w:lineRule="exact"/>
        <w:ind w:firstLine="420" w:firstLineChars="200"/>
        <w:rPr>
          <w:rFonts w:hAnsi="宋体" w:cs="宋体"/>
          <w:color w:val="auto"/>
          <w:sz w:val="21"/>
          <w:highlight w:val="none"/>
        </w:rPr>
      </w:pPr>
      <w:r>
        <w:rPr>
          <w:rFonts w:hint="eastAsia" w:hAnsi="宋体" w:cs="宋体"/>
          <w:color w:val="auto"/>
          <w:sz w:val="21"/>
          <w:highlight w:val="none"/>
        </w:rPr>
        <w:t>四、商务文件电子版一份（包含按投标人须知前附表要求提交的全部文件）；</w:t>
      </w:r>
    </w:p>
    <w:p w14:paraId="2D050CD2">
      <w:pPr>
        <w:pStyle w:val="11"/>
        <w:spacing w:line="440" w:lineRule="exact"/>
        <w:ind w:firstLine="420"/>
        <w:rPr>
          <w:rFonts w:hAnsi="宋体" w:cs="宋体"/>
          <w:color w:val="auto"/>
          <w:sz w:val="21"/>
          <w:highlight w:val="none"/>
        </w:rPr>
      </w:pPr>
      <w:r>
        <w:rPr>
          <w:rFonts w:hint="eastAsia" w:hAnsi="宋体" w:cs="宋体"/>
          <w:color w:val="auto"/>
          <w:sz w:val="21"/>
          <w:highlight w:val="none"/>
        </w:rPr>
        <w:t>据此函，我方宣布同意如下：</w:t>
      </w:r>
    </w:p>
    <w:p w14:paraId="238F54DA">
      <w:pPr>
        <w:pStyle w:val="11"/>
        <w:spacing w:line="440" w:lineRule="exact"/>
        <w:ind w:firstLine="420"/>
        <w:rPr>
          <w:rFonts w:hAnsi="宋体" w:cs="宋体"/>
          <w:color w:val="auto"/>
          <w:sz w:val="21"/>
          <w:highlight w:val="none"/>
        </w:rPr>
      </w:pPr>
      <w:r>
        <w:rPr>
          <w:rFonts w:hint="eastAsia" w:hAnsi="宋体" w:cs="宋体"/>
          <w:color w:val="auto"/>
          <w:sz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1FA9B769">
      <w:pPr>
        <w:pStyle w:val="11"/>
        <w:spacing w:line="440" w:lineRule="exact"/>
        <w:ind w:firstLine="420"/>
        <w:rPr>
          <w:rFonts w:hAnsi="宋体" w:cs="宋体"/>
          <w:color w:val="auto"/>
          <w:sz w:val="21"/>
          <w:highlight w:val="none"/>
        </w:rPr>
      </w:pPr>
      <w:r>
        <w:rPr>
          <w:rFonts w:hint="eastAsia" w:hAnsi="宋体" w:cs="宋体"/>
          <w:color w:val="auto"/>
          <w:sz w:val="21"/>
          <w:highlight w:val="none"/>
        </w:rPr>
        <w:t>2、我方在投标之前已经完全理解并接受招标文件的各项规定和要求，对招标文件的合理性、合法性不再有异议。</w:t>
      </w:r>
    </w:p>
    <w:p w14:paraId="237467CD">
      <w:pPr>
        <w:pStyle w:val="11"/>
        <w:spacing w:line="440" w:lineRule="exact"/>
        <w:ind w:firstLine="420"/>
        <w:rPr>
          <w:rFonts w:hAnsi="宋体" w:cs="宋体"/>
          <w:color w:val="auto"/>
          <w:sz w:val="21"/>
          <w:highlight w:val="none"/>
        </w:rPr>
      </w:pPr>
      <w:r>
        <w:rPr>
          <w:rFonts w:hint="eastAsia" w:hAnsi="宋体" w:cs="宋体"/>
          <w:color w:val="auto"/>
          <w:sz w:val="21"/>
          <w:highlight w:val="none"/>
        </w:rPr>
        <w:t>3、本投标有效期自投标截止之日起</w:t>
      </w:r>
      <w:r>
        <w:rPr>
          <w:rFonts w:hint="eastAsia" w:hAnsi="宋体" w:cs="宋体"/>
          <w:color w:val="auto"/>
          <w:sz w:val="21"/>
          <w:highlight w:val="none"/>
          <w:u w:val="single"/>
        </w:rPr>
        <w:t xml:space="preserve">    </w:t>
      </w:r>
      <w:r>
        <w:rPr>
          <w:rFonts w:hint="eastAsia" w:hAnsi="宋体" w:cs="宋体"/>
          <w:color w:val="auto"/>
          <w:sz w:val="21"/>
          <w:highlight w:val="none"/>
        </w:rPr>
        <w:t>日。</w:t>
      </w:r>
    </w:p>
    <w:p w14:paraId="09F930AC">
      <w:pPr>
        <w:pStyle w:val="11"/>
        <w:spacing w:line="440" w:lineRule="exact"/>
        <w:ind w:firstLine="420"/>
        <w:rPr>
          <w:rFonts w:hAnsi="宋体" w:cs="宋体"/>
          <w:color w:val="auto"/>
          <w:sz w:val="21"/>
          <w:highlight w:val="none"/>
        </w:rPr>
      </w:pPr>
      <w:r>
        <w:rPr>
          <w:rFonts w:hint="eastAsia" w:hAnsi="宋体" w:cs="宋体"/>
          <w:color w:val="auto"/>
          <w:sz w:val="21"/>
          <w:highlight w:val="none"/>
        </w:rPr>
        <w:t>4、如中标，本投标文件至本项目合同履行完毕止均保持有效，我方将按“招标文件”及政府采购法律、法规的规定履行合同责任和义务。</w:t>
      </w:r>
    </w:p>
    <w:p w14:paraId="465AD8F7">
      <w:pPr>
        <w:pStyle w:val="11"/>
        <w:spacing w:line="440" w:lineRule="exact"/>
        <w:ind w:firstLine="420"/>
        <w:rPr>
          <w:rFonts w:hAnsi="宋体" w:cs="宋体"/>
          <w:color w:val="auto"/>
          <w:sz w:val="21"/>
          <w:highlight w:val="none"/>
        </w:rPr>
      </w:pPr>
      <w:r>
        <w:rPr>
          <w:rFonts w:hint="eastAsia" w:hAnsi="宋体" w:cs="宋体"/>
          <w:color w:val="auto"/>
          <w:sz w:val="21"/>
          <w:highlight w:val="none"/>
        </w:rPr>
        <w:t>5、我方同意按照贵方要求提供与投标有关的一切数据或者资料。</w:t>
      </w:r>
    </w:p>
    <w:p w14:paraId="2F198D42">
      <w:pPr>
        <w:pStyle w:val="11"/>
        <w:spacing w:line="440" w:lineRule="exact"/>
        <w:ind w:firstLine="420"/>
        <w:rPr>
          <w:rFonts w:hAnsi="宋体" w:cs="宋体"/>
          <w:color w:val="auto"/>
          <w:sz w:val="21"/>
          <w:highlight w:val="none"/>
        </w:rPr>
      </w:pPr>
      <w:r>
        <w:rPr>
          <w:rFonts w:hint="eastAsia" w:hAnsi="宋体" w:cs="宋体"/>
          <w:color w:val="auto"/>
          <w:sz w:val="21"/>
          <w:highlight w:val="none"/>
        </w:rPr>
        <w:t>6、我方向贵方提交的所有投标文件、资料都是准确的和真实的。</w:t>
      </w:r>
    </w:p>
    <w:p w14:paraId="2E624491">
      <w:pPr>
        <w:pStyle w:val="11"/>
        <w:spacing w:line="440" w:lineRule="exact"/>
        <w:ind w:firstLine="420"/>
        <w:rPr>
          <w:rFonts w:hAnsi="宋体" w:cs="宋体"/>
          <w:color w:val="auto"/>
          <w:sz w:val="21"/>
          <w:highlight w:val="none"/>
        </w:rPr>
      </w:pPr>
      <w:r>
        <w:rPr>
          <w:rFonts w:hint="eastAsia" w:hAnsi="宋体" w:cs="宋体"/>
          <w:color w:val="auto"/>
          <w:sz w:val="21"/>
          <w:highlight w:val="none"/>
        </w:rPr>
        <w:t>7、以上事项如有虚假或者隐瞒，我方愿意承担一切后果，并不再寻求任何旨在减轻或者免除法律责任的辩解。</w:t>
      </w:r>
    </w:p>
    <w:p w14:paraId="0A89C86A">
      <w:pPr>
        <w:pStyle w:val="11"/>
        <w:spacing w:line="440" w:lineRule="exact"/>
        <w:ind w:firstLine="420"/>
        <w:rPr>
          <w:rFonts w:hAnsi="宋体" w:cs="宋体"/>
          <w:color w:val="auto"/>
          <w:sz w:val="21"/>
          <w:highlight w:val="none"/>
        </w:rPr>
      </w:pPr>
      <w:r>
        <w:rPr>
          <w:rFonts w:hint="eastAsia" w:hAnsi="宋体" w:cs="宋体"/>
          <w:color w:val="auto"/>
          <w:sz w:val="21"/>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163573EB">
      <w:pPr>
        <w:pStyle w:val="11"/>
        <w:spacing w:line="440" w:lineRule="exact"/>
        <w:ind w:firstLine="420"/>
        <w:rPr>
          <w:rFonts w:hAnsi="宋体" w:cs="宋体"/>
          <w:color w:val="auto"/>
          <w:sz w:val="21"/>
          <w:highlight w:val="none"/>
        </w:rPr>
      </w:pPr>
      <w:r>
        <w:rPr>
          <w:rFonts w:hint="eastAsia" w:hAnsi="宋体" w:cs="宋体"/>
          <w:color w:val="auto"/>
          <w:sz w:val="21"/>
          <w:highlight w:val="none"/>
        </w:rPr>
        <w:t>□我方本次投标文件内容中未涉及商业秘密；</w:t>
      </w:r>
    </w:p>
    <w:p w14:paraId="355618D5">
      <w:pPr>
        <w:pStyle w:val="11"/>
        <w:spacing w:line="440" w:lineRule="exact"/>
        <w:ind w:firstLine="420"/>
        <w:rPr>
          <w:rFonts w:hAnsi="宋体" w:cs="宋体"/>
          <w:color w:val="auto"/>
          <w:sz w:val="21"/>
          <w:highlight w:val="none"/>
        </w:rPr>
      </w:pPr>
      <w:r>
        <w:rPr>
          <w:rFonts w:hint="eastAsia" w:hAnsi="宋体" w:cs="宋体"/>
          <w:color w:val="auto"/>
          <w:sz w:val="21"/>
          <w:highlight w:val="none"/>
        </w:rPr>
        <w:t>□我方本次投标文件涉及商业秘密的内容有：</w:t>
      </w:r>
      <w:r>
        <w:rPr>
          <w:rFonts w:hint="eastAsia" w:hAnsi="宋体" w:cs="宋体"/>
          <w:color w:val="auto"/>
          <w:sz w:val="21"/>
          <w:highlight w:val="none"/>
          <w:u w:val="single"/>
        </w:rPr>
        <w:t xml:space="preserve">                         </w:t>
      </w:r>
      <w:r>
        <w:rPr>
          <w:rFonts w:hint="eastAsia" w:hAnsi="宋体" w:cs="宋体"/>
          <w:color w:val="auto"/>
          <w:sz w:val="21"/>
          <w:highlight w:val="none"/>
        </w:rPr>
        <w:t>；</w:t>
      </w:r>
    </w:p>
    <w:p w14:paraId="18AF0503">
      <w:pPr>
        <w:pStyle w:val="11"/>
        <w:spacing w:line="440" w:lineRule="exact"/>
        <w:ind w:firstLine="420"/>
        <w:rPr>
          <w:rFonts w:hAnsi="宋体" w:cs="宋体"/>
          <w:color w:val="auto"/>
          <w:sz w:val="21"/>
          <w:highlight w:val="none"/>
        </w:rPr>
      </w:pPr>
      <w:r>
        <w:rPr>
          <w:rFonts w:hint="eastAsia" w:hAnsi="宋体" w:cs="宋体"/>
          <w:color w:val="auto"/>
          <w:sz w:val="21"/>
          <w:highlight w:val="none"/>
        </w:rPr>
        <w:t>9、与本投标有关的一切正式往来信函请寄：</w:t>
      </w:r>
    </w:p>
    <w:p w14:paraId="3DC1FF8A">
      <w:pPr>
        <w:pStyle w:val="11"/>
        <w:spacing w:line="440" w:lineRule="exact"/>
        <w:ind w:firstLine="420" w:firstLineChars="200"/>
        <w:rPr>
          <w:rFonts w:hAnsi="宋体" w:cs="宋体"/>
          <w:color w:val="auto"/>
          <w:sz w:val="21"/>
          <w:highlight w:val="none"/>
        </w:rPr>
      </w:pPr>
      <w:r>
        <w:rPr>
          <w:rFonts w:hint="eastAsia" w:hAnsi="宋体" w:cs="宋体"/>
          <w:color w:val="auto"/>
          <w:sz w:val="21"/>
          <w:highlight w:val="none"/>
        </w:rPr>
        <w:t>地址：</w:t>
      </w:r>
      <w:r>
        <w:rPr>
          <w:rFonts w:hint="eastAsia" w:hAnsi="宋体" w:cs="宋体"/>
          <w:color w:val="auto"/>
          <w:sz w:val="21"/>
          <w:highlight w:val="none"/>
          <w:u w:val="single"/>
        </w:rPr>
        <w:t xml:space="preserve">                                                        </w:t>
      </w:r>
      <w:r>
        <w:rPr>
          <w:rFonts w:hint="eastAsia" w:hAnsi="宋体" w:cs="宋体"/>
          <w:color w:val="auto"/>
          <w:sz w:val="21"/>
          <w:highlight w:val="none"/>
        </w:rPr>
        <w:t xml:space="preserve"> </w:t>
      </w:r>
    </w:p>
    <w:p w14:paraId="4E29F894">
      <w:pPr>
        <w:pStyle w:val="11"/>
        <w:spacing w:line="440" w:lineRule="exact"/>
        <w:ind w:firstLine="420"/>
        <w:rPr>
          <w:rFonts w:hAnsi="宋体" w:cs="宋体"/>
          <w:color w:val="auto"/>
          <w:sz w:val="21"/>
          <w:highlight w:val="none"/>
          <w:u w:val="single"/>
        </w:rPr>
      </w:pPr>
      <w:r>
        <w:rPr>
          <w:rFonts w:hint="eastAsia" w:hAnsi="宋体" w:cs="宋体"/>
          <w:color w:val="auto"/>
          <w:sz w:val="21"/>
          <w:highlight w:val="none"/>
        </w:rPr>
        <w:t>电话：</w:t>
      </w:r>
      <w:r>
        <w:rPr>
          <w:rFonts w:hint="eastAsia" w:hAnsi="宋体" w:cs="宋体"/>
          <w:color w:val="auto"/>
          <w:sz w:val="21"/>
          <w:highlight w:val="none"/>
          <w:u w:val="single"/>
        </w:rPr>
        <w:t xml:space="preserve">                                      　　　　　　　　　</w:t>
      </w:r>
    </w:p>
    <w:p w14:paraId="43A765D3">
      <w:pPr>
        <w:pStyle w:val="11"/>
        <w:spacing w:line="440" w:lineRule="exact"/>
        <w:ind w:firstLine="420"/>
        <w:rPr>
          <w:rFonts w:hAnsi="宋体" w:cs="宋体"/>
          <w:color w:val="auto"/>
          <w:sz w:val="21"/>
          <w:highlight w:val="none"/>
        </w:rPr>
      </w:pPr>
      <w:r>
        <w:rPr>
          <w:rFonts w:hint="eastAsia" w:hAnsi="宋体" w:cs="宋体"/>
          <w:color w:val="auto"/>
          <w:sz w:val="21"/>
          <w:highlight w:val="none"/>
        </w:rPr>
        <w:t>传真：</w:t>
      </w:r>
      <w:r>
        <w:rPr>
          <w:rFonts w:hint="eastAsia" w:hAnsi="宋体" w:cs="宋体"/>
          <w:color w:val="auto"/>
          <w:sz w:val="21"/>
          <w:highlight w:val="none"/>
          <w:u w:val="single"/>
        </w:rPr>
        <w:t>　　　　　　　　　　　　　　　　　　　　　　　　　　　　</w:t>
      </w:r>
    </w:p>
    <w:p w14:paraId="7791B3B6">
      <w:pPr>
        <w:pStyle w:val="11"/>
        <w:spacing w:line="440" w:lineRule="exact"/>
        <w:ind w:firstLine="420"/>
        <w:rPr>
          <w:rFonts w:hAnsi="宋体" w:cs="宋体"/>
          <w:color w:val="auto"/>
          <w:sz w:val="21"/>
          <w:highlight w:val="none"/>
          <w:u w:val="single"/>
        </w:rPr>
      </w:pPr>
      <w:r>
        <w:rPr>
          <w:rFonts w:hint="eastAsia" w:hAnsi="宋体" w:cs="宋体"/>
          <w:color w:val="auto"/>
          <w:sz w:val="21"/>
          <w:highlight w:val="none"/>
        </w:rPr>
        <w:t>邮政编码：</w:t>
      </w:r>
      <w:r>
        <w:rPr>
          <w:rFonts w:hint="eastAsia" w:hAnsi="宋体" w:cs="宋体"/>
          <w:color w:val="auto"/>
          <w:sz w:val="21"/>
          <w:highlight w:val="none"/>
          <w:u w:val="single"/>
        </w:rPr>
        <w:t xml:space="preserve">                                                    </w:t>
      </w:r>
    </w:p>
    <w:p w14:paraId="18D73122">
      <w:pPr>
        <w:pStyle w:val="11"/>
        <w:spacing w:line="440" w:lineRule="exact"/>
        <w:ind w:firstLine="420"/>
        <w:rPr>
          <w:rFonts w:hAnsi="宋体" w:cs="宋体"/>
          <w:color w:val="auto"/>
          <w:sz w:val="21"/>
          <w:highlight w:val="none"/>
          <w:u w:val="single"/>
        </w:rPr>
      </w:pPr>
      <w:r>
        <w:rPr>
          <w:rFonts w:hint="eastAsia" w:hAnsi="宋体" w:cs="宋体"/>
          <w:color w:val="auto"/>
          <w:sz w:val="21"/>
          <w:highlight w:val="none"/>
        </w:rPr>
        <w:t>开户名称：</w:t>
      </w:r>
      <w:r>
        <w:rPr>
          <w:rFonts w:hint="eastAsia" w:hAnsi="宋体" w:cs="宋体"/>
          <w:color w:val="auto"/>
          <w:sz w:val="21"/>
          <w:highlight w:val="none"/>
          <w:u w:val="single"/>
        </w:rPr>
        <w:t xml:space="preserve">                                                    </w:t>
      </w:r>
    </w:p>
    <w:p w14:paraId="7D186539">
      <w:pPr>
        <w:pStyle w:val="11"/>
        <w:spacing w:line="440" w:lineRule="exact"/>
        <w:ind w:firstLine="420"/>
        <w:rPr>
          <w:rFonts w:hAnsi="宋体" w:cs="宋体"/>
          <w:color w:val="auto"/>
          <w:sz w:val="21"/>
          <w:highlight w:val="none"/>
          <w:u w:val="single"/>
        </w:rPr>
      </w:pPr>
      <w:r>
        <w:rPr>
          <w:rFonts w:hint="eastAsia" w:hAnsi="宋体" w:cs="宋体"/>
          <w:color w:val="auto"/>
          <w:sz w:val="21"/>
          <w:highlight w:val="none"/>
        </w:rPr>
        <w:t>开户银行：</w:t>
      </w:r>
      <w:r>
        <w:rPr>
          <w:rFonts w:hint="eastAsia" w:hAnsi="宋体" w:cs="宋体"/>
          <w:color w:val="auto"/>
          <w:sz w:val="21"/>
          <w:highlight w:val="none"/>
          <w:u w:val="single"/>
        </w:rPr>
        <w:t xml:space="preserve">                                                    </w:t>
      </w:r>
    </w:p>
    <w:p w14:paraId="1117839D">
      <w:pPr>
        <w:pStyle w:val="11"/>
        <w:spacing w:line="440" w:lineRule="exact"/>
        <w:ind w:firstLine="420"/>
        <w:rPr>
          <w:rFonts w:hAnsi="宋体" w:cs="宋体"/>
          <w:color w:val="auto"/>
          <w:sz w:val="21"/>
          <w:highlight w:val="none"/>
          <w:u w:val="single"/>
        </w:rPr>
      </w:pPr>
      <w:r>
        <w:rPr>
          <w:rFonts w:hint="eastAsia" w:hAnsi="宋体" w:cs="宋体"/>
          <w:color w:val="auto"/>
          <w:sz w:val="21"/>
          <w:highlight w:val="none"/>
        </w:rPr>
        <w:t>银行账号：</w:t>
      </w:r>
      <w:r>
        <w:rPr>
          <w:rFonts w:hint="eastAsia" w:hAnsi="宋体" w:cs="宋体"/>
          <w:color w:val="auto"/>
          <w:sz w:val="21"/>
          <w:highlight w:val="none"/>
          <w:u w:val="single"/>
        </w:rPr>
        <w:t xml:space="preserve">                                                    </w:t>
      </w:r>
    </w:p>
    <w:p w14:paraId="315FFF60">
      <w:pPr>
        <w:spacing w:line="440" w:lineRule="exact"/>
        <w:ind w:firstLine="420"/>
        <w:rPr>
          <w:rFonts w:ascii="宋体" w:hAnsi="宋体" w:cs="宋体"/>
          <w:color w:val="auto"/>
          <w:szCs w:val="21"/>
          <w:highlight w:val="none"/>
          <w:lang w:val="zh-CN"/>
        </w:rPr>
      </w:pPr>
    </w:p>
    <w:p w14:paraId="60C9A840">
      <w:pPr>
        <w:spacing w:line="440" w:lineRule="exact"/>
        <w:ind w:firstLine="420"/>
        <w:rPr>
          <w:rFonts w:ascii="宋体" w:hAnsi="宋体" w:cs="宋体"/>
          <w:color w:val="auto"/>
          <w:szCs w:val="21"/>
          <w:highlight w:val="none"/>
          <w:lang w:val="zh-CN"/>
        </w:rPr>
      </w:pPr>
    </w:p>
    <w:p w14:paraId="3D8489C0">
      <w:pPr>
        <w:spacing w:line="440" w:lineRule="exact"/>
        <w:ind w:firstLine="3570" w:firstLineChars="1700"/>
        <w:rPr>
          <w:rFonts w:ascii="宋体" w:hAnsi="宋体" w:cs="宋体"/>
          <w:color w:val="auto"/>
          <w:szCs w:val="21"/>
          <w:highlight w:val="none"/>
        </w:rPr>
      </w:pPr>
      <w:r>
        <w:rPr>
          <w:rFonts w:hint="eastAsia" w:ascii="宋体" w:hAnsi="宋体" w:cs="宋体"/>
          <w:color w:val="auto"/>
          <w:szCs w:val="21"/>
          <w:highlight w:val="none"/>
          <w:lang w:val="zh-CN"/>
        </w:rPr>
        <w:t>投标人名称(电子签章)：</w:t>
      </w:r>
    </w:p>
    <w:p w14:paraId="0C33338C">
      <w:pPr>
        <w:spacing w:line="440" w:lineRule="exact"/>
        <w:ind w:firstLine="3570" w:firstLineChars="1700"/>
        <w:rPr>
          <w:rFonts w:ascii="宋体" w:hAnsi="宋体" w:cs="宋体"/>
          <w:color w:val="auto"/>
          <w:szCs w:val="21"/>
          <w:highlight w:val="none"/>
        </w:rPr>
      </w:pPr>
      <w:r>
        <w:rPr>
          <w:rFonts w:hint="eastAsia" w:ascii="宋体" w:hAnsi="宋体" w:cs="宋体"/>
          <w:color w:val="auto"/>
          <w:szCs w:val="21"/>
          <w:highlight w:val="none"/>
          <w:lang w:val="zh-CN"/>
        </w:rPr>
        <w:t>日期</w:t>
      </w:r>
      <w:r>
        <w:rPr>
          <w:rFonts w:hint="eastAsia" w:ascii="宋体" w:hAnsi="宋体" w:cs="宋体"/>
          <w:color w:val="auto"/>
          <w:szCs w:val="21"/>
          <w:highlight w:val="none"/>
        </w:rPr>
        <w:t xml:space="preserve">：  年  </w:t>
      </w:r>
      <w:r>
        <w:rPr>
          <w:rFonts w:hint="eastAsia" w:ascii="宋体" w:hAnsi="宋体" w:cs="宋体"/>
          <w:color w:val="auto"/>
          <w:szCs w:val="21"/>
          <w:highlight w:val="none"/>
          <w:lang w:val="zh-CN"/>
        </w:rPr>
        <w:t>月</w:t>
      </w:r>
      <w:r>
        <w:rPr>
          <w:rFonts w:hint="eastAsia" w:ascii="宋体" w:hAnsi="宋体" w:cs="宋体"/>
          <w:color w:val="auto"/>
          <w:szCs w:val="21"/>
          <w:highlight w:val="none"/>
        </w:rPr>
        <w:t xml:space="preserve">   </w:t>
      </w:r>
      <w:r>
        <w:rPr>
          <w:rFonts w:hint="eastAsia" w:ascii="宋体" w:hAnsi="宋体" w:cs="宋体"/>
          <w:color w:val="auto"/>
          <w:szCs w:val="21"/>
          <w:highlight w:val="none"/>
          <w:lang w:val="zh-CN"/>
        </w:rPr>
        <w:t>日</w:t>
      </w:r>
    </w:p>
    <w:p w14:paraId="1AB9477B">
      <w:pPr>
        <w:snapToGrid w:val="0"/>
        <w:spacing w:before="120" w:beforeLines="50" w:after="50" w:line="440" w:lineRule="exact"/>
        <w:jc w:val="center"/>
        <w:rPr>
          <w:rFonts w:ascii="宋体" w:hAnsi="宋体" w:cs="宋体"/>
          <w:b/>
          <w:color w:val="auto"/>
          <w:sz w:val="30"/>
          <w:highlight w:val="none"/>
        </w:rPr>
      </w:pPr>
      <w:r>
        <w:rPr>
          <w:rFonts w:hint="eastAsia" w:ascii="宋体" w:hAnsi="宋体" w:cs="宋体"/>
          <w:color w:val="auto"/>
          <w:highlight w:val="none"/>
          <w:u w:val="single"/>
        </w:rPr>
        <w:br w:type="page"/>
      </w:r>
      <w:r>
        <w:rPr>
          <w:rFonts w:hint="eastAsia" w:ascii="宋体" w:hAnsi="宋体" w:cs="宋体"/>
          <w:b/>
          <w:color w:val="auto"/>
          <w:sz w:val="30"/>
          <w:highlight w:val="none"/>
        </w:rPr>
        <w:t>二、开标一览表</w:t>
      </w:r>
    </w:p>
    <w:p w14:paraId="25E91C5C">
      <w:pPr>
        <w:snapToGrid w:val="0"/>
        <w:spacing w:before="50" w:after="50"/>
        <w:jc w:val="center"/>
        <w:rPr>
          <w:rFonts w:ascii="宋体" w:hAnsi="宋体" w:cs="宋体"/>
          <w:b/>
          <w:color w:val="auto"/>
          <w:sz w:val="30"/>
          <w:szCs w:val="20"/>
          <w:highlight w:val="none"/>
        </w:rPr>
      </w:pPr>
    </w:p>
    <w:p w14:paraId="0F6CA55A">
      <w:pPr>
        <w:snapToGrid w:val="0"/>
        <w:spacing w:before="50" w:after="50" w:line="36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A5677F4">
      <w:pPr>
        <w:snapToGrid w:val="0"/>
        <w:spacing w:before="50" w:after="50" w:line="360" w:lineRule="auto"/>
        <w:rPr>
          <w:rFonts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单位：元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947"/>
        <w:gridCol w:w="1521"/>
        <w:gridCol w:w="3091"/>
        <w:gridCol w:w="1184"/>
      </w:tblGrid>
      <w:tr w14:paraId="12D5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04707F09">
            <w:pPr>
              <w:spacing w:line="360" w:lineRule="auto"/>
              <w:jc w:val="center"/>
              <w:rPr>
                <w:rFonts w:ascii="宋体" w:hAnsi="宋体" w:cs="仿宋_GB2312"/>
                <w:color w:val="auto"/>
                <w:szCs w:val="21"/>
                <w:highlight w:val="none"/>
              </w:rPr>
            </w:pPr>
            <w:r>
              <w:rPr>
                <w:rFonts w:ascii="宋体" w:hAnsi="宋体" w:cs="仿宋_GB2312"/>
                <w:color w:val="auto"/>
                <w:szCs w:val="21"/>
                <w:highlight w:val="none"/>
              </w:rPr>
              <w:t>序号</w:t>
            </w:r>
          </w:p>
        </w:tc>
        <w:tc>
          <w:tcPr>
            <w:tcW w:w="2947" w:type="dxa"/>
            <w:tcBorders>
              <w:top w:val="single" w:color="auto" w:sz="4" w:space="0"/>
              <w:left w:val="single" w:color="auto" w:sz="4" w:space="0"/>
              <w:bottom w:val="single" w:color="auto" w:sz="4" w:space="0"/>
              <w:right w:val="single" w:color="auto" w:sz="4" w:space="0"/>
            </w:tcBorders>
            <w:vAlign w:val="center"/>
          </w:tcPr>
          <w:p w14:paraId="676B6A7F">
            <w:pPr>
              <w:spacing w:line="360" w:lineRule="auto"/>
              <w:jc w:val="center"/>
              <w:rPr>
                <w:rFonts w:ascii="宋体" w:hAnsi="宋体" w:cs="仿宋_GB2312"/>
                <w:color w:val="auto"/>
                <w:szCs w:val="21"/>
                <w:highlight w:val="none"/>
              </w:rPr>
            </w:pPr>
            <w:r>
              <w:rPr>
                <w:rFonts w:hint="eastAsia" w:ascii="宋体" w:hAnsi="宋体"/>
                <w:b/>
                <w:color w:val="auto"/>
                <w:szCs w:val="21"/>
                <w:highlight w:val="none"/>
              </w:rPr>
              <w:t>标的的名称</w:t>
            </w:r>
          </w:p>
        </w:tc>
        <w:tc>
          <w:tcPr>
            <w:tcW w:w="1521" w:type="dxa"/>
            <w:tcBorders>
              <w:top w:val="single" w:color="auto" w:sz="4" w:space="0"/>
              <w:left w:val="single" w:color="auto" w:sz="4" w:space="0"/>
              <w:bottom w:val="single" w:color="auto" w:sz="4" w:space="0"/>
              <w:right w:val="single" w:color="auto" w:sz="4" w:space="0"/>
            </w:tcBorders>
            <w:vAlign w:val="center"/>
          </w:tcPr>
          <w:p w14:paraId="6FBFCE04">
            <w:pPr>
              <w:spacing w:line="360" w:lineRule="auto"/>
              <w:jc w:val="center"/>
              <w:rPr>
                <w:rFonts w:ascii="宋体" w:hAnsi="宋体" w:cs="仿宋_GB2312"/>
                <w:color w:val="auto"/>
                <w:szCs w:val="21"/>
                <w:highlight w:val="none"/>
              </w:rPr>
            </w:pPr>
            <w:r>
              <w:rPr>
                <w:rFonts w:hint="eastAsia" w:ascii="宋体" w:hAnsi="宋体" w:cs="仿宋_GB2312"/>
                <w:color w:val="auto"/>
                <w:szCs w:val="21"/>
                <w:highlight w:val="none"/>
              </w:rPr>
              <w:t>数量及单位</w:t>
            </w:r>
          </w:p>
        </w:tc>
        <w:tc>
          <w:tcPr>
            <w:tcW w:w="3091" w:type="dxa"/>
            <w:tcBorders>
              <w:top w:val="single" w:color="auto" w:sz="4" w:space="0"/>
              <w:left w:val="single" w:color="auto" w:sz="4" w:space="0"/>
              <w:bottom w:val="single" w:color="auto" w:sz="4" w:space="0"/>
              <w:right w:val="single" w:color="auto" w:sz="4" w:space="0"/>
            </w:tcBorders>
            <w:vAlign w:val="center"/>
          </w:tcPr>
          <w:p w14:paraId="556D287A">
            <w:pPr>
              <w:spacing w:line="360" w:lineRule="auto"/>
              <w:jc w:val="center"/>
              <w:rPr>
                <w:rFonts w:ascii="宋体" w:hAnsi="宋体" w:cs="仿宋_GB2312"/>
                <w:color w:val="auto"/>
                <w:szCs w:val="21"/>
                <w:highlight w:val="none"/>
              </w:rPr>
            </w:pPr>
            <w:r>
              <w:rPr>
                <w:rFonts w:hint="eastAsia" w:ascii="宋体" w:hAnsi="宋体" w:cs="仿宋_GB2312"/>
                <w:color w:val="auto"/>
                <w:szCs w:val="21"/>
                <w:highlight w:val="none"/>
              </w:rPr>
              <w:t>投标报价</w:t>
            </w:r>
          </w:p>
        </w:tc>
        <w:tc>
          <w:tcPr>
            <w:tcW w:w="1184" w:type="dxa"/>
            <w:tcBorders>
              <w:top w:val="single" w:color="auto" w:sz="4" w:space="0"/>
              <w:left w:val="single" w:color="auto" w:sz="4" w:space="0"/>
              <w:bottom w:val="single" w:color="auto" w:sz="4" w:space="0"/>
              <w:right w:val="single" w:color="auto" w:sz="4" w:space="0"/>
            </w:tcBorders>
            <w:vAlign w:val="center"/>
          </w:tcPr>
          <w:p w14:paraId="1B7F2BE6">
            <w:pPr>
              <w:spacing w:line="360" w:lineRule="auto"/>
              <w:jc w:val="center"/>
              <w:rPr>
                <w:rFonts w:ascii="宋体" w:hAnsi="宋体" w:cs="仿宋_GB2312"/>
                <w:color w:val="auto"/>
                <w:szCs w:val="21"/>
                <w:highlight w:val="none"/>
              </w:rPr>
            </w:pPr>
            <w:r>
              <w:rPr>
                <w:rFonts w:ascii="宋体" w:hAnsi="宋体" w:cs="仿宋_GB2312"/>
                <w:color w:val="auto"/>
                <w:szCs w:val="21"/>
                <w:highlight w:val="none"/>
              </w:rPr>
              <w:t>备注</w:t>
            </w:r>
          </w:p>
        </w:tc>
      </w:tr>
      <w:tr w14:paraId="601F0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44585949">
            <w:pPr>
              <w:spacing w:line="360" w:lineRule="auto"/>
              <w:jc w:val="center"/>
              <w:rPr>
                <w:rFonts w:ascii="宋体" w:hAnsi="宋体" w:cs="仿宋_GB2312"/>
                <w:color w:val="auto"/>
                <w:szCs w:val="21"/>
                <w:highlight w:val="none"/>
              </w:rPr>
            </w:pPr>
            <w:r>
              <w:rPr>
                <w:rFonts w:ascii="宋体" w:hAnsi="宋体" w:cs="仿宋_GB2312"/>
                <w:color w:val="auto"/>
                <w:szCs w:val="21"/>
                <w:highlight w:val="none"/>
              </w:rPr>
              <w:t>1</w:t>
            </w:r>
          </w:p>
        </w:tc>
        <w:tc>
          <w:tcPr>
            <w:tcW w:w="2947" w:type="dxa"/>
            <w:tcBorders>
              <w:top w:val="single" w:color="auto" w:sz="4" w:space="0"/>
              <w:left w:val="single" w:color="auto" w:sz="4" w:space="0"/>
              <w:bottom w:val="single" w:color="auto" w:sz="4" w:space="0"/>
              <w:right w:val="single" w:color="auto" w:sz="4" w:space="0"/>
            </w:tcBorders>
            <w:vAlign w:val="center"/>
          </w:tcPr>
          <w:p w14:paraId="0E09B357">
            <w:pPr>
              <w:spacing w:line="360" w:lineRule="auto"/>
              <w:jc w:val="center"/>
              <w:rPr>
                <w:rFonts w:ascii="宋体" w:hAnsi="宋体" w:cs="宋体"/>
                <w:color w:val="auto"/>
                <w:szCs w:val="21"/>
                <w:highlight w:val="none"/>
              </w:rPr>
            </w:pPr>
          </w:p>
          <w:p w14:paraId="4105419E">
            <w:pPr>
              <w:spacing w:line="360" w:lineRule="auto"/>
              <w:jc w:val="center"/>
              <w:rPr>
                <w:rFonts w:ascii="宋体" w:hAnsi="宋体" w:cs="仿宋_GB2312"/>
                <w:color w:val="auto"/>
                <w:szCs w:val="21"/>
                <w:highlight w:val="none"/>
              </w:rPr>
            </w:pPr>
            <w:r>
              <w:rPr>
                <w:rFonts w:hint="eastAsia" w:ascii="宋体" w:hAnsi="宋体" w:cs="宋体"/>
                <w:color w:val="auto"/>
                <w:szCs w:val="21"/>
                <w:highlight w:val="none"/>
              </w:rPr>
              <w:t>自然资源厅数据服务基地食堂食材配送服务采购</w:t>
            </w:r>
          </w:p>
        </w:tc>
        <w:tc>
          <w:tcPr>
            <w:tcW w:w="1521" w:type="dxa"/>
            <w:tcBorders>
              <w:top w:val="single" w:color="auto" w:sz="4" w:space="0"/>
              <w:left w:val="single" w:color="auto" w:sz="4" w:space="0"/>
              <w:bottom w:val="single" w:color="auto" w:sz="4" w:space="0"/>
              <w:right w:val="single" w:color="auto" w:sz="4" w:space="0"/>
            </w:tcBorders>
            <w:vAlign w:val="center"/>
          </w:tcPr>
          <w:p w14:paraId="378BFB06">
            <w:pPr>
              <w:spacing w:line="360" w:lineRule="auto"/>
              <w:jc w:val="center"/>
              <w:rPr>
                <w:rFonts w:ascii="宋体" w:hAnsi="宋体" w:cs="仿宋_GB2312"/>
                <w:color w:val="auto"/>
                <w:szCs w:val="21"/>
                <w:highlight w:val="none"/>
              </w:rPr>
            </w:pPr>
            <w:r>
              <w:rPr>
                <w:rFonts w:hint="eastAsia" w:ascii="宋体" w:hAnsi="宋体" w:cs="仿宋_GB2312"/>
                <w:color w:val="auto"/>
                <w:szCs w:val="21"/>
                <w:highlight w:val="none"/>
              </w:rPr>
              <w:t>1项</w:t>
            </w:r>
          </w:p>
        </w:tc>
        <w:tc>
          <w:tcPr>
            <w:tcW w:w="3091" w:type="dxa"/>
            <w:tcBorders>
              <w:top w:val="single" w:color="auto" w:sz="4" w:space="0"/>
              <w:left w:val="single" w:color="auto" w:sz="4" w:space="0"/>
              <w:bottom w:val="single" w:color="auto" w:sz="4" w:space="0"/>
              <w:right w:val="single" w:color="auto" w:sz="4" w:space="0"/>
            </w:tcBorders>
            <w:vAlign w:val="center"/>
          </w:tcPr>
          <w:p w14:paraId="1DC19100">
            <w:pPr>
              <w:spacing w:line="360" w:lineRule="auto"/>
              <w:jc w:val="center"/>
              <w:rPr>
                <w:rFonts w:ascii="宋体" w:hAnsi="宋体" w:cs="仿宋_GB2312"/>
                <w:color w:val="auto"/>
                <w:szCs w:val="21"/>
                <w:highlight w:val="none"/>
              </w:rPr>
            </w:pPr>
            <w:r>
              <w:rPr>
                <w:rFonts w:hint="eastAsia" w:ascii="宋体" w:hAnsi="宋体" w:cs="仿宋_GB2312"/>
                <w:color w:val="auto"/>
                <w:szCs w:val="21"/>
                <w:highlight w:val="none"/>
              </w:rPr>
              <w:t>下浮系数：</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w:t>
            </w:r>
          </w:p>
        </w:tc>
        <w:tc>
          <w:tcPr>
            <w:tcW w:w="1184" w:type="dxa"/>
            <w:tcBorders>
              <w:top w:val="single" w:color="auto" w:sz="4" w:space="0"/>
              <w:left w:val="single" w:color="auto" w:sz="4" w:space="0"/>
              <w:bottom w:val="single" w:color="auto" w:sz="4" w:space="0"/>
              <w:right w:val="single" w:color="auto" w:sz="4" w:space="0"/>
            </w:tcBorders>
            <w:vAlign w:val="center"/>
          </w:tcPr>
          <w:p w14:paraId="7C6CCC74">
            <w:pPr>
              <w:spacing w:line="360" w:lineRule="auto"/>
              <w:rPr>
                <w:rFonts w:ascii="宋体" w:hAnsi="宋体" w:cs="仿宋_GB2312"/>
                <w:color w:val="auto"/>
                <w:szCs w:val="21"/>
                <w:highlight w:val="none"/>
              </w:rPr>
            </w:pPr>
          </w:p>
        </w:tc>
      </w:tr>
    </w:tbl>
    <w:p w14:paraId="3B400A24">
      <w:pPr>
        <w:snapToGrid w:val="0"/>
        <w:spacing w:before="50" w:after="50" w:line="360" w:lineRule="auto"/>
        <w:jc w:val="left"/>
        <w:rPr>
          <w:rFonts w:ascii="宋体" w:hAnsi="宋体"/>
          <w:color w:val="auto"/>
          <w:sz w:val="24"/>
          <w:highlight w:val="none"/>
        </w:rPr>
      </w:pPr>
      <w:r>
        <w:rPr>
          <w:rFonts w:hint="eastAsia" w:ascii="宋体" w:hAnsi="宋体"/>
          <w:color w:val="auto"/>
          <w:sz w:val="24"/>
          <w:highlight w:val="none"/>
        </w:rPr>
        <w:t xml:space="preserve">注: </w:t>
      </w:r>
    </w:p>
    <w:p w14:paraId="1C9FBFC0">
      <w:pPr>
        <w:spacing w:line="360" w:lineRule="auto"/>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1.保留小数点两位。</w:t>
      </w:r>
    </w:p>
    <w:p w14:paraId="4FD4A927">
      <w:pPr>
        <w:snapToGrid w:val="0"/>
        <w:spacing w:before="50" w:after="50"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2.投标人的开标一览表必须加盖投标人公章并由</w:t>
      </w:r>
      <w:r>
        <w:rPr>
          <w:rFonts w:ascii="宋体" w:hAnsi="宋体"/>
          <w:color w:val="auto"/>
          <w:sz w:val="24"/>
          <w:highlight w:val="none"/>
        </w:rPr>
        <w:t>法定代表人或者委托代理人</w:t>
      </w:r>
      <w:r>
        <w:rPr>
          <w:rFonts w:hint="eastAsia" w:ascii="宋体" w:hAnsi="宋体"/>
          <w:color w:val="auto"/>
          <w:sz w:val="24"/>
          <w:highlight w:val="none"/>
        </w:rPr>
        <w:t>签字，</w:t>
      </w:r>
      <w:r>
        <w:rPr>
          <w:rFonts w:hint="eastAsia" w:ascii="宋体" w:hAnsi="宋体"/>
          <w:b/>
          <w:color w:val="auto"/>
          <w:sz w:val="24"/>
          <w:highlight w:val="none"/>
        </w:rPr>
        <w:t>否则其投标作无效标处理</w:t>
      </w:r>
      <w:r>
        <w:rPr>
          <w:rFonts w:hint="eastAsia" w:ascii="宋体" w:hAnsi="宋体"/>
          <w:color w:val="auto"/>
          <w:sz w:val="24"/>
          <w:highlight w:val="none"/>
        </w:rPr>
        <w:t>。</w:t>
      </w:r>
    </w:p>
    <w:p w14:paraId="4B60D891">
      <w:pPr>
        <w:snapToGrid w:val="0"/>
        <w:spacing w:before="50" w:after="50" w:line="360" w:lineRule="auto"/>
        <w:ind w:firstLine="480" w:firstLineChars="200"/>
        <w:jc w:val="left"/>
        <w:rPr>
          <w:rFonts w:ascii="宋体" w:hAnsi="宋体"/>
          <w:b/>
          <w:color w:val="auto"/>
          <w:sz w:val="24"/>
          <w:highlight w:val="none"/>
        </w:rPr>
      </w:pPr>
      <w:r>
        <w:rPr>
          <w:rFonts w:hint="eastAsia" w:ascii="宋体" w:hAnsi="宋体"/>
          <w:bCs/>
          <w:color w:val="auto"/>
          <w:sz w:val="24"/>
          <w:highlight w:val="none"/>
        </w:rPr>
        <w:t>3.</w:t>
      </w:r>
      <w:r>
        <w:rPr>
          <w:rFonts w:hint="eastAsia" w:ascii="宋体" w:hAnsi="宋体"/>
          <w:color w:val="auto"/>
          <w:sz w:val="24"/>
          <w:highlight w:val="none"/>
        </w:rPr>
        <w:t>报价一经涂改，应在涂改处加盖投标人公章或者由法定代表人或者委托代理人签字或者盖章</w:t>
      </w:r>
      <w:r>
        <w:rPr>
          <w:rFonts w:hint="eastAsia" w:ascii="宋体" w:hAnsi="宋体"/>
          <w:b/>
          <w:color w:val="auto"/>
          <w:sz w:val="24"/>
          <w:highlight w:val="none"/>
        </w:rPr>
        <w:t>，否则其投标作无效标处理。</w:t>
      </w:r>
    </w:p>
    <w:p w14:paraId="7E3C0F92">
      <w:pPr>
        <w:snapToGrid w:val="0"/>
        <w:spacing w:before="50" w:after="50"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4.如为联合体投标，“投标人名称”处必须列明联合体各方名称，并标注联合体牵头人名称，</w:t>
      </w:r>
      <w:r>
        <w:rPr>
          <w:rFonts w:hint="eastAsia" w:ascii="宋体" w:hAnsi="宋体"/>
          <w:b/>
          <w:color w:val="auto"/>
          <w:sz w:val="24"/>
          <w:highlight w:val="none"/>
        </w:rPr>
        <w:t>否则其投标作无效标处理。</w:t>
      </w:r>
    </w:p>
    <w:p w14:paraId="7809DCF2">
      <w:pPr>
        <w:snapToGrid w:val="0"/>
        <w:spacing w:before="50" w:after="50" w:line="360" w:lineRule="auto"/>
        <w:ind w:firstLine="456" w:firstLineChars="200"/>
        <w:jc w:val="left"/>
        <w:rPr>
          <w:rFonts w:ascii="宋体" w:hAnsi="宋体"/>
          <w:color w:val="auto"/>
          <w:spacing w:val="-6"/>
          <w:sz w:val="24"/>
          <w:highlight w:val="none"/>
        </w:rPr>
      </w:pPr>
      <w:r>
        <w:rPr>
          <w:rFonts w:hint="eastAsia" w:ascii="宋体" w:hAnsi="宋体"/>
          <w:color w:val="auto"/>
          <w:spacing w:val="-6"/>
          <w:sz w:val="24"/>
          <w:highlight w:val="none"/>
        </w:rPr>
        <w:t>5.如为联合体投标，盖章处须加盖联合体各方公章，</w:t>
      </w:r>
      <w:r>
        <w:rPr>
          <w:rFonts w:hint="eastAsia" w:ascii="宋体" w:hAnsi="宋体"/>
          <w:b/>
          <w:color w:val="auto"/>
          <w:spacing w:val="-6"/>
          <w:sz w:val="24"/>
          <w:highlight w:val="none"/>
        </w:rPr>
        <w:t>否则其投标作无效标处理。</w:t>
      </w:r>
    </w:p>
    <w:p w14:paraId="42632968">
      <w:pPr>
        <w:snapToGrid w:val="0"/>
        <w:spacing w:before="50" w:after="50" w:line="360" w:lineRule="auto"/>
        <w:ind w:firstLine="480" w:firstLineChars="200"/>
        <w:rPr>
          <w:rFonts w:ascii="宋体" w:hAnsi="宋体"/>
          <w:b/>
          <w:color w:val="auto"/>
          <w:sz w:val="24"/>
          <w:highlight w:val="none"/>
        </w:rPr>
      </w:pPr>
      <w:r>
        <w:rPr>
          <w:rFonts w:hint="eastAsia" w:ascii="宋体" w:hAnsi="宋体"/>
          <w:color w:val="auto"/>
          <w:sz w:val="24"/>
          <w:highlight w:val="none"/>
        </w:rPr>
        <w:t>6.如有多分标，按分标分别提供开标一览表，</w:t>
      </w:r>
      <w:r>
        <w:rPr>
          <w:rFonts w:hint="eastAsia" w:ascii="宋体" w:hAnsi="宋体"/>
          <w:b/>
          <w:color w:val="auto"/>
          <w:sz w:val="24"/>
          <w:highlight w:val="none"/>
        </w:rPr>
        <w:t>否则投标无效。</w:t>
      </w:r>
    </w:p>
    <w:p w14:paraId="79CA3E73">
      <w:pPr>
        <w:snapToGrid w:val="0"/>
        <w:spacing w:line="360" w:lineRule="auto"/>
        <w:ind w:firstLine="420" w:firstLineChars="200"/>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                     </w:t>
      </w:r>
    </w:p>
    <w:p w14:paraId="491EC1AD">
      <w:pPr>
        <w:snapToGrid w:val="0"/>
        <w:spacing w:line="360" w:lineRule="auto"/>
        <w:ind w:firstLine="420" w:firstLineChars="200"/>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         法定代表人或者委托代理人（签字）：</w:t>
      </w:r>
    </w:p>
    <w:p w14:paraId="22C1C5D6">
      <w:pPr>
        <w:snapToGrid w:val="0"/>
        <w:spacing w:line="360" w:lineRule="auto"/>
        <w:ind w:firstLine="420" w:firstLineChars="200"/>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投标人名称(电子签章)：</w:t>
      </w:r>
    </w:p>
    <w:p w14:paraId="334E7224">
      <w:pPr>
        <w:snapToGrid w:val="0"/>
        <w:spacing w:before="50" w:after="50" w:line="360" w:lineRule="auto"/>
        <w:ind w:left="-6" w:leftChars="-15" w:right="-817" w:rightChars="-389" w:hanging="25" w:hangingChars="12"/>
        <w:rPr>
          <w:rFonts w:ascii="宋体" w:hAnsi="宋体" w:cs="宋体"/>
          <w:color w:val="auto"/>
          <w:szCs w:val="21"/>
          <w:highlight w:val="none"/>
        </w:rPr>
      </w:pPr>
      <w:r>
        <w:rPr>
          <w:rFonts w:hint="eastAsia" w:ascii="宋体" w:hAnsi="宋体" w:cs="宋体"/>
          <w:color w:val="auto"/>
          <w:kern w:val="0"/>
          <w:szCs w:val="21"/>
          <w:highlight w:val="none"/>
          <w:lang w:val="zh-CN"/>
        </w:rPr>
        <w:t xml:space="preserve">                 </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zh-CN"/>
        </w:rPr>
        <w:t>日期：  年  月   日</w:t>
      </w:r>
    </w:p>
    <w:p w14:paraId="0F85C980">
      <w:pPr>
        <w:rPr>
          <w:rFonts w:ascii="宋体" w:hAnsi="宋体" w:cs="宋体"/>
          <w:b/>
          <w:bCs/>
          <w:color w:val="auto"/>
          <w:sz w:val="24"/>
          <w:highlight w:val="none"/>
        </w:rPr>
      </w:pPr>
    </w:p>
    <w:p w14:paraId="4A18A742">
      <w:pPr>
        <w:rPr>
          <w:rFonts w:ascii="宋体" w:hAnsi="宋体" w:cs="宋体"/>
          <w:b/>
          <w:bCs/>
          <w:color w:val="auto"/>
          <w:sz w:val="24"/>
          <w:highlight w:val="none"/>
        </w:rPr>
      </w:pPr>
    </w:p>
    <w:p w14:paraId="42EF2E44">
      <w:pPr>
        <w:pStyle w:val="10"/>
        <w:rPr>
          <w:rFonts w:ascii="宋体" w:hAnsi="宋体" w:cs="宋体"/>
          <w:b/>
          <w:bCs/>
          <w:color w:val="auto"/>
          <w:highlight w:val="none"/>
        </w:rPr>
      </w:pPr>
    </w:p>
    <w:p w14:paraId="416A9EDD">
      <w:pPr>
        <w:rPr>
          <w:rFonts w:ascii="宋体" w:hAnsi="宋体" w:cs="宋体"/>
          <w:b/>
          <w:bCs/>
          <w:color w:val="auto"/>
          <w:sz w:val="24"/>
          <w:highlight w:val="none"/>
        </w:rPr>
      </w:pPr>
    </w:p>
    <w:p w14:paraId="2B9DBE4C">
      <w:pPr>
        <w:pStyle w:val="10"/>
        <w:rPr>
          <w:rFonts w:ascii="宋体" w:hAnsi="宋体" w:cs="宋体"/>
          <w:b/>
          <w:bCs/>
          <w:color w:val="auto"/>
          <w:highlight w:val="none"/>
        </w:rPr>
      </w:pPr>
    </w:p>
    <w:p w14:paraId="7A1A963E">
      <w:pPr>
        <w:rPr>
          <w:rFonts w:ascii="宋体" w:hAnsi="宋体" w:cs="宋体"/>
          <w:b/>
          <w:bCs/>
          <w:color w:val="auto"/>
          <w:sz w:val="24"/>
          <w:highlight w:val="none"/>
        </w:rPr>
      </w:pPr>
    </w:p>
    <w:p w14:paraId="777474D4">
      <w:pPr>
        <w:pStyle w:val="10"/>
        <w:rPr>
          <w:color w:val="auto"/>
          <w:highlight w:val="none"/>
        </w:rPr>
      </w:pPr>
    </w:p>
    <w:p w14:paraId="2FFCFB24">
      <w:pPr>
        <w:rPr>
          <w:rFonts w:ascii="宋体" w:hAnsi="宋体" w:cs="宋体"/>
          <w:b/>
          <w:color w:val="auto"/>
          <w:sz w:val="30"/>
          <w:szCs w:val="30"/>
          <w:highlight w:val="none"/>
        </w:rPr>
      </w:pPr>
    </w:p>
    <w:p w14:paraId="44566F51">
      <w:pPr>
        <w:pStyle w:val="31"/>
        <w:rPr>
          <w:rFonts w:ascii="宋体" w:hAnsi="宋体" w:cs="宋体"/>
          <w:b/>
          <w:color w:val="auto"/>
          <w:sz w:val="30"/>
          <w:szCs w:val="30"/>
          <w:highlight w:val="none"/>
        </w:rPr>
      </w:pPr>
    </w:p>
    <w:p w14:paraId="35CD6273">
      <w:pPr>
        <w:pStyle w:val="31"/>
        <w:rPr>
          <w:rFonts w:ascii="宋体" w:hAnsi="宋体" w:cs="宋体"/>
          <w:b/>
          <w:color w:val="auto"/>
          <w:sz w:val="30"/>
          <w:szCs w:val="30"/>
          <w:highlight w:val="none"/>
        </w:rPr>
      </w:pPr>
    </w:p>
    <w:p w14:paraId="3A1F1326">
      <w:pPr>
        <w:rPr>
          <w:rFonts w:ascii="宋体" w:hAnsi="宋体" w:cs="宋体"/>
          <w:b/>
          <w:bCs/>
          <w:color w:val="auto"/>
          <w:sz w:val="24"/>
          <w:highlight w:val="none"/>
        </w:rPr>
      </w:pPr>
      <w:r>
        <w:rPr>
          <w:rFonts w:hint="eastAsia" w:ascii="宋体" w:hAnsi="宋体" w:cs="宋体"/>
          <w:b/>
          <w:color w:val="auto"/>
          <w:sz w:val="30"/>
          <w:szCs w:val="30"/>
          <w:highlight w:val="none"/>
        </w:rPr>
        <w:t>三、投标人针对报价需要说明的其他文件和说明。</w:t>
      </w:r>
    </w:p>
    <w:p w14:paraId="6FF102DD">
      <w:pPr>
        <w:rPr>
          <w:rFonts w:ascii="宋体" w:hAnsi="宋体" w:cs="宋体"/>
          <w:b/>
          <w:bCs/>
          <w:color w:val="auto"/>
          <w:sz w:val="24"/>
          <w:highlight w:val="none"/>
        </w:rPr>
      </w:pPr>
    </w:p>
    <w:p w14:paraId="753750A4">
      <w:pPr>
        <w:pStyle w:val="31"/>
        <w:rPr>
          <w:rFonts w:ascii="宋体" w:hAnsi="宋体" w:cs="宋体"/>
          <w:b/>
          <w:bCs/>
          <w:color w:val="auto"/>
          <w:sz w:val="24"/>
          <w:highlight w:val="none"/>
        </w:rPr>
      </w:pPr>
    </w:p>
    <w:p w14:paraId="30750A3E">
      <w:pPr>
        <w:pStyle w:val="31"/>
        <w:rPr>
          <w:rFonts w:ascii="宋体" w:hAnsi="宋体" w:cs="宋体"/>
          <w:b/>
          <w:bCs/>
          <w:color w:val="auto"/>
          <w:sz w:val="24"/>
          <w:highlight w:val="none"/>
        </w:rPr>
      </w:pPr>
    </w:p>
    <w:p w14:paraId="73000E8F">
      <w:pPr>
        <w:pStyle w:val="31"/>
        <w:rPr>
          <w:rFonts w:ascii="宋体" w:hAnsi="宋体" w:cs="宋体"/>
          <w:b/>
          <w:bCs/>
          <w:color w:val="auto"/>
          <w:sz w:val="24"/>
          <w:highlight w:val="none"/>
        </w:rPr>
      </w:pPr>
    </w:p>
    <w:p w14:paraId="42F52098">
      <w:pPr>
        <w:pStyle w:val="31"/>
        <w:rPr>
          <w:rFonts w:ascii="宋体" w:hAnsi="宋体" w:cs="宋体"/>
          <w:b/>
          <w:bCs/>
          <w:color w:val="auto"/>
          <w:sz w:val="24"/>
          <w:highlight w:val="none"/>
        </w:rPr>
      </w:pPr>
    </w:p>
    <w:p w14:paraId="6198A177">
      <w:pPr>
        <w:pStyle w:val="31"/>
        <w:rPr>
          <w:rFonts w:ascii="宋体" w:hAnsi="宋体" w:cs="宋体"/>
          <w:b/>
          <w:bCs/>
          <w:color w:val="auto"/>
          <w:sz w:val="24"/>
          <w:highlight w:val="none"/>
        </w:rPr>
      </w:pPr>
    </w:p>
    <w:p w14:paraId="07B17CC3">
      <w:pPr>
        <w:spacing w:line="360" w:lineRule="auto"/>
        <w:ind w:firstLine="3570" w:firstLineChars="1700"/>
        <w:rPr>
          <w:rFonts w:ascii="宋体" w:hAnsi="宋体" w:cs="宋体"/>
          <w:color w:val="auto"/>
          <w:szCs w:val="20"/>
          <w:highlight w:val="none"/>
        </w:rPr>
      </w:pPr>
      <w:r>
        <w:rPr>
          <w:rFonts w:hint="eastAsia" w:ascii="宋体" w:hAnsi="宋体" w:cs="宋体"/>
          <w:color w:val="auto"/>
          <w:szCs w:val="20"/>
          <w:highlight w:val="none"/>
          <w:lang w:val="zh-CN"/>
        </w:rPr>
        <w:t>投标人名称(电子签章)：</w:t>
      </w:r>
    </w:p>
    <w:p w14:paraId="5E4E0F27">
      <w:pPr>
        <w:spacing w:line="360" w:lineRule="auto"/>
        <w:ind w:firstLine="3570" w:firstLineChars="1700"/>
        <w:contextualSpacing/>
        <w:rPr>
          <w:rFonts w:ascii="宋体" w:hAnsi="宋体" w:cs="宋体"/>
          <w:color w:val="auto"/>
          <w:szCs w:val="20"/>
          <w:highlight w:val="none"/>
        </w:rPr>
      </w:pPr>
      <w:r>
        <w:rPr>
          <w:rFonts w:hint="eastAsia" w:ascii="宋体" w:hAnsi="宋体" w:cs="宋体"/>
          <w:color w:val="auto"/>
          <w:szCs w:val="20"/>
          <w:highlight w:val="none"/>
          <w:lang w:val="zh-CN"/>
        </w:rPr>
        <w:t>日期</w:t>
      </w:r>
      <w:r>
        <w:rPr>
          <w:rFonts w:hint="eastAsia" w:ascii="宋体" w:hAnsi="宋体" w:cs="宋体"/>
          <w:color w:val="auto"/>
          <w:szCs w:val="20"/>
          <w:highlight w:val="none"/>
        </w:rPr>
        <w:t xml:space="preserve">：  年  </w:t>
      </w:r>
      <w:r>
        <w:rPr>
          <w:rFonts w:hint="eastAsia" w:ascii="宋体" w:hAnsi="宋体" w:cs="宋体"/>
          <w:color w:val="auto"/>
          <w:szCs w:val="20"/>
          <w:highlight w:val="none"/>
          <w:lang w:val="zh-CN"/>
        </w:rPr>
        <w:t>月</w:t>
      </w:r>
      <w:r>
        <w:rPr>
          <w:rFonts w:hint="eastAsia" w:ascii="宋体" w:hAnsi="宋体" w:cs="宋体"/>
          <w:color w:val="auto"/>
          <w:szCs w:val="20"/>
          <w:highlight w:val="none"/>
        </w:rPr>
        <w:t xml:space="preserve">   </w:t>
      </w:r>
      <w:r>
        <w:rPr>
          <w:rFonts w:hint="eastAsia" w:ascii="宋体" w:hAnsi="宋体" w:cs="宋体"/>
          <w:color w:val="auto"/>
          <w:szCs w:val="20"/>
          <w:highlight w:val="none"/>
          <w:lang w:val="zh-CN"/>
        </w:rPr>
        <w:t>日</w:t>
      </w:r>
    </w:p>
    <w:p w14:paraId="16E97688">
      <w:pPr>
        <w:pStyle w:val="31"/>
        <w:rPr>
          <w:rFonts w:ascii="宋体" w:hAnsi="宋体" w:cs="宋体"/>
          <w:b/>
          <w:bCs/>
          <w:color w:val="auto"/>
          <w:sz w:val="24"/>
          <w:highlight w:val="none"/>
        </w:rPr>
      </w:pPr>
    </w:p>
    <w:p w14:paraId="3271D82C">
      <w:pPr>
        <w:pStyle w:val="31"/>
        <w:rPr>
          <w:rFonts w:ascii="宋体" w:hAnsi="宋体" w:cs="宋体"/>
          <w:b/>
          <w:bCs/>
          <w:color w:val="auto"/>
          <w:sz w:val="24"/>
          <w:highlight w:val="none"/>
        </w:rPr>
      </w:pPr>
    </w:p>
    <w:p w14:paraId="238728E5">
      <w:pPr>
        <w:pStyle w:val="31"/>
        <w:rPr>
          <w:rFonts w:ascii="宋体" w:hAnsi="宋体" w:cs="宋体"/>
          <w:b/>
          <w:bCs/>
          <w:color w:val="auto"/>
          <w:sz w:val="24"/>
          <w:highlight w:val="none"/>
        </w:rPr>
      </w:pPr>
    </w:p>
    <w:p w14:paraId="4A181C07">
      <w:pPr>
        <w:pStyle w:val="31"/>
        <w:rPr>
          <w:rFonts w:ascii="宋体" w:hAnsi="宋体" w:cs="宋体"/>
          <w:b/>
          <w:bCs/>
          <w:color w:val="auto"/>
          <w:sz w:val="24"/>
          <w:highlight w:val="none"/>
        </w:rPr>
      </w:pPr>
    </w:p>
    <w:p w14:paraId="2096B537">
      <w:pPr>
        <w:pStyle w:val="31"/>
        <w:rPr>
          <w:rFonts w:ascii="宋体" w:hAnsi="宋体" w:cs="宋体"/>
          <w:b/>
          <w:bCs/>
          <w:color w:val="auto"/>
          <w:sz w:val="24"/>
          <w:highlight w:val="none"/>
        </w:rPr>
      </w:pPr>
    </w:p>
    <w:p w14:paraId="08413A54">
      <w:pPr>
        <w:pStyle w:val="31"/>
        <w:rPr>
          <w:rFonts w:ascii="宋体" w:hAnsi="宋体" w:cs="宋体"/>
          <w:b/>
          <w:bCs/>
          <w:color w:val="auto"/>
          <w:sz w:val="24"/>
          <w:highlight w:val="none"/>
        </w:rPr>
      </w:pPr>
    </w:p>
    <w:p w14:paraId="0B24D2F0">
      <w:pPr>
        <w:pStyle w:val="31"/>
        <w:rPr>
          <w:rFonts w:ascii="宋体" w:hAnsi="宋体" w:cs="宋体"/>
          <w:b/>
          <w:bCs/>
          <w:color w:val="auto"/>
          <w:sz w:val="24"/>
          <w:highlight w:val="none"/>
        </w:rPr>
      </w:pPr>
    </w:p>
    <w:p w14:paraId="2AFBD7BF">
      <w:pPr>
        <w:pStyle w:val="31"/>
        <w:rPr>
          <w:rFonts w:ascii="宋体" w:hAnsi="宋体" w:cs="宋体"/>
          <w:b/>
          <w:bCs/>
          <w:color w:val="auto"/>
          <w:sz w:val="24"/>
          <w:highlight w:val="none"/>
        </w:rPr>
      </w:pPr>
    </w:p>
    <w:p w14:paraId="5EE486B3">
      <w:pPr>
        <w:pStyle w:val="31"/>
        <w:rPr>
          <w:rFonts w:ascii="宋体" w:hAnsi="宋体" w:cs="宋体"/>
          <w:b/>
          <w:bCs/>
          <w:color w:val="auto"/>
          <w:sz w:val="24"/>
          <w:highlight w:val="none"/>
        </w:rPr>
      </w:pPr>
    </w:p>
    <w:p w14:paraId="2C4C881A">
      <w:pPr>
        <w:rPr>
          <w:rFonts w:ascii="宋体" w:hAnsi="宋体" w:cs="宋体"/>
          <w:b/>
          <w:bCs/>
          <w:color w:val="auto"/>
          <w:sz w:val="24"/>
          <w:highlight w:val="none"/>
        </w:rPr>
      </w:pPr>
      <w:r>
        <w:rPr>
          <w:rFonts w:hint="eastAsia" w:ascii="宋体" w:hAnsi="宋体" w:cs="宋体"/>
          <w:b/>
          <w:bCs/>
          <w:color w:val="auto"/>
          <w:sz w:val="24"/>
          <w:highlight w:val="none"/>
        </w:rPr>
        <w:br w:type="page"/>
      </w:r>
    </w:p>
    <w:p w14:paraId="3692B4B4">
      <w:pPr>
        <w:rPr>
          <w:rFonts w:ascii="宋体" w:hAnsi="宋体" w:cs="宋体"/>
          <w:b/>
          <w:color w:val="auto"/>
          <w:sz w:val="28"/>
          <w:szCs w:val="28"/>
          <w:highlight w:val="none"/>
        </w:rPr>
      </w:pPr>
      <w:bookmarkStart w:id="175" w:name="_Toc19686837"/>
      <w:r>
        <w:rPr>
          <w:rFonts w:hint="eastAsia" w:ascii="宋体" w:hAnsi="宋体" w:cs="宋体"/>
          <w:b/>
          <w:color w:val="auto"/>
          <w:sz w:val="28"/>
          <w:szCs w:val="28"/>
          <w:highlight w:val="none"/>
        </w:rPr>
        <w:t>第二节、资格证明文件格式</w:t>
      </w:r>
      <w:bookmarkEnd w:id="173"/>
      <w:bookmarkEnd w:id="174"/>
      <w:bookmarkEnd w:id="175"/>
    </w:p>
    <w:p w14:paraId="0DD74EC2">
      <w:pPr>
        <w:snapToGrid w:val="0"/>
        <w:spacing w:before="120" w:beforeLines="50" w:after="50"/>
        <w:jc w:val="right"/>
        <w:rPr>
          <w:rFonts w:ascii="宋体" w:hAnsi="宋体" w:cs="宋体"/>
          <w:bCs/>
          <w:color w:val="auto"/>
          <w:sz w:val="32"/>
          <w:szCs w:val="20"/>
          <w:highlight w:val="none"/>
        </w:rPr>
      </w:pPr>
      <w:r>
        <w:rPr>
          <w:rFonts w:hint="eastAsia" w:ascii="宋体" w:hAnsi="宋体" w:cs="宋体"/>
          <w:bCs/>
          <w:color w:val="auto"/>
          <w:highlight w:val="none"/>
        </w:rPr>
        <w:t xml:space="preserve">  电子投标文件</w:t>
      </w:r>
    </w:p>
    <w:p w14:paraId="56CD9722">
      <w:pPr>
        <w:snapToGrid w:val="0"/>
        <w:spacing w:before="120" w:beforeLines="50" w:after="50"/>
        <w:rPr>
          <w:rFonts w:ascii="宋体" w:hAnsi="宋体" w:cs="宋体"/>
          <w:color w:val="auto"/>
          <w:sz w:val="24"/>
          <w:szCs w:val="20"/>
          <w:highlight w:val="none"/>
        </w:rPr>
      </w:pPr>
    </w:p>
    <w:p w14:paraId="5F3ED3C3">
      <w:pPr>
        <w:snapToGrid w:val="0"/>
        <w:spacing w:before="120" w:beforeLines="50" w:after="50"/>
        <w:jc w:val="center"/>
        <w:rPr>
          <w:rFonts w:ascii="宋体" w:hAnsi="宋体" w:cs="宋体"/>
          <w:b/>
          <w:color w:val="auto"/>
          <w:sz w:val="24"/>
          <w:szCs w:val="20"/>
          <w:highlight w:val="none"/>
        </w:rPr>
      </w:pPr>
      <w:r>
        <w:rPr>
          <w:rFonts w:hint="eastAsia" w:ascii="宋体" w:hAnsi="宋体" w:cs="宋体"/>
          <w:b/>
          <w:color w:val="auto"/>
          <w:sz w:val="32"/>
          <w:szCs w:val="32"/>
          <w:highlight w:val="none"/>
        </w:rPr>
        <w:t>资格证明文件（封面）</w:t>
      </w:r>
    </w:p>
    <w:p w14:paraId="4CE9F16B">
      <w:pPr>
        <w:snapToGrid w:val="0"/>
        <w:spacing w:before="120" w:beforeLines="50" w:after="50"/>
        <w:rPr>
          <w:rFonts w:ascii="宋体" w:hAnsi="宋体" w:cs="宋体"/>
          <w:bCs/>
          <w:color w:val="auto"/>
          <w:sz w:val="24"/>
          <w:szCs w:val="20"/>
          <w:highlight w:val="none"/>
        </w:rPr>
      </w:pPr>
    </w:p>
    <w:p w14:paraId="786CF66D">
      <w:pPr>
        <w:snapToGrid w:val="0"/>
        <w:spacing w:before="120" w:beforeLines="50" w:after="50"/>
        <w:rPr>
          <w:rFonts w:ascii="宋体" w:hAnsi="宋体" w:cs="宋体"/>
          <w:bCs/>
          <w:color w:val="auto"/>
          <w:sz w:val="24"/>
          <w:szCs w:val="20"/>
          <w:highlight w:val="none"/>
        </w:rPr>
      </w:pPr>
    </w:p>
    <w:p w14:paraId="726CAA19">
      <w:pPr>
        <w:snapToGrid w:val="0"/>
        <w:spacing w:before="120" w:beforeLines="50" w:after="50"/>
        <w:rPr>
          <w:rFonts w:ascii="宋体" w:hAnsi="宋体" w:cs="宋体"/>
          <w:bCs/>
          <w:color w:val="auto"/>
          <w:sz w:val="24"/>
          <w:szCs w:val="20"/>
          <w:highlight w:val="none"/>
        </w:rPr>
      </w:pPr>
    </w:p>
    <w:p w14:paraId="5D5A6485">
      <w:pPr>
        <w:snapToGrid w:val="0"/>
        <w:spacing w:before="120" w:beforeLines="50" w:after="50"/>
        <w:rPr>
          <w:rFonts w:ascii="宋体" w:hAnsi="宋体" w:cs="宋体"/>
          <w:bCs/>
          <w:color w:val="auto"/>
          <w:sz w:val="24"/>
          <w:szCs w:val="20"/>
          <w:highlight w:val="none"/>
        </w:rPr>
      </w:pPr>
    </w:p>
    <w:p w14:paraId="6C522B1A">
      <w:pPr>
        <w:snapToGrid w:val="0"/>
        <w:spacing w:before="120" w:beforeLines="50" w:after="50"/>
        <w:rPr>
          <w:rFonts w:ascii="宋体" w:hAnsi="宋体" w:cs="宋体"/>
          <w:bCs/>
          <w:color w:val="auto"/>
          <w:sz w:val="24"/>
          <w:szCs w:val="20"/>
          <w:highlight w:val="none"/>
        </w:rPr>
      </w:pPr>
    </w:p>
    <w:p w14:paraId="2A173ACE">
      <w:pPr>
        <w:snapToGrid w:val="0"/>
        <w:spacing w:before="120" w:beforeLines="50" w:after="50"/>
        <w:rPr>
          <w:rFonts w:ascii="宋体" w:hAnsi="宋体" w:cs="宋体"/>
          <w:bCs/>
          <w:color w:val="auto"/>
          <w:sz w:val="24"/>
          <w:szCs w:val="20"/>
          <w:highlight w:val="none"/>
        </w:rPr>
      </w:pPr>
    </w:p>
    <w:p w14:paraId="51E3335D">
      <w:pPr>
        <w:snapToGrid w:val="0"/>
        <w:spacing w:before="120" w:beforeLines="50" w:after="50"/>
        <w:rPr>
          <w:rFonts w:ascii="宋体" w:hAnsi="宋体" w:cs="宋体"/>
          <w:bCs/>
          <w:color w:val="auto"/>
          <w:sz w:val="24"/>
          <w:szCs w:val="20"/>
          <w:highlight w:val="none"/>
        </w:rPr>
      </w:pPr>
    </w:p>
    <w:p w14:paraId="5DB10239">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110373FB">
      <w:pPr>
        <w:snapToGrid w:val="0"/>
        <w:spacing w:before="120" w:beforeLines="50" w:after="50" w:line="400" w:lineRule="exact"/>
        <w:ind w:firstLine="360" w:firstLineChars="150"/>
        <w:rPr>
          <w:rFonts w:ascii="宋体" w:hAnsi="宋体" w:cs="宋体"/>
          <w:bCs/>
          <w:color w:val="auto"/>
          <w:sz w:val="24"/>
          <w:highlight w:val="none"/>
        </w:rPr>
      </w:pPr>
    </w:p>
    <w:p w14:paraId="300D33AB">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1A0F57C2">
      <w:pPr>
        <w:snapToGrid w:val="0"/>
        <w:spacing w:before="120" w:beforeLines="50" w:after="50" w:line="400" w:lineRule="exact"/>
        <w:ind w:firstLine="360" w:firstLineChars="150"/>
        <w:rPr>
          <w:rFonts w:ascii="宋体" w:hAnsi="宋体" w:cs="宋体"/>
          <w:bCs/>
          <w:color w:val="auto"/>
          <w:sz w:val="24"/>
          <w:highlight w:val="none"/>
        </w:rPr>
      </w:pPr>
    </w:p>
    <w:p w14:paraId="31DD98B0">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所投分标：</w:t>
      </w:r>
    </w:p>
    <w:p w14:paraId="6B664FB7">
      <w:pPr>
        <w:snapToGrid w:val="0"/>
        <w:spacing w:before="120" w:beforeLines="50" w:after="50" w:line="400" w:lineRule="exact"/>
        <w:ind w:firstLine="360" w:firstLineChars="150"/>
        <w:rPr>
          <w:rFonts w:ascii="宋体" w:hAnsi="宋体" w:cs="宋体"/>
          <w:bCs/>
          <w:color w:val="auto"/>
          <w:sz w:val="24"/>
          <w:highlight w:val="none"/>
        </w:rPr>
      </w:pPr>
    </w:p>
    <w:p w14:paraId="68E85589">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44E8EE60">
      <w:pPr>
        <w:snapToGrid w:val="0"/>
        <w:spacing w:before="120" w:beforeLines="50" w:after="50" w:line="400" w:lineRule="exact"/>
        <w:ind w:firstLine="360" w:firstLineChars="150"/>
        <w:rPr>
          <w:rFonts w:ascii="宋体" w:hAnsi="宋体" w:cs="宋体"/>
          <w:bCs/>
          <w:color w:val="auto"/>
          <w:sz w:val="24"/>
          <w:highlight w:val="none"/>
        </w:rPr>
      </w:pPr>
    </w:p>
    <w:p w14:paraId="2AF016C6">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30C5B82A">
      <w:pPr>
        <w:pStyle w:val="7"/>
        <w:snapToGrid w:val="0"/>
        <w:spacing w:before="50" w:after="50" w:line="400" w:lineRule="exact"/>
        <w:ind w:firstLine="960" w:firstLineChars="400"/>
        <w:rPr>
          <w:rFonts w:ascii="宋体" w:hAnsi="宋体" w:cs="宋体"/>
          <w:bCs/>
          <w:color w:val="auto"/>
          <w:sz w:val="24"/>
          <w:szCs w:val="24"/>
          <w:highlight w:val="none"/>
        </w:rPr>
      </w:pPr>
    </w:p>
    <w:p w14:paraId="79A90A86">
      <w:pPr>
        <w:pStyle w:val="7"/>
        <w:snapToGrid w:val="0"/>
        <w:spacing w:before="50" w:after="50"/>
        <w:ind w:firstLine="540" w:firstLineChars="225"/>
        <w:rPr>
          <w:rFonts w:ascii="宋体" w:hAnsi="宋体" w:cs="宋体"/>
          <w:bCs/>
          <w:color w:val="auto"/>
          <w:sz w:val="24"/>
          <w:szCs w:val="24"/>
          <w:highlight w:val="none"/>
        </w:rPr>
      </w:pPr>
    </w:p>
    <w:p w14:paraId="63B25019">
      <w:pPr>
        <w:pStyle w:val="7"/>
        <w:snapToGrid w:val="0"/>
        <w:spacing w:before="50" w:after="50"/>
        <w:ind w:firstLine="540" w:firstLineChars="225"/>
        <w:rPr>
          <w:rFonts w:ascii="宋体" w:hAnsi="宋体" w:cs="宋体"/>
          <w:bCs/>
          <w:color w:val="auto"/>
          <w:sz w:val="24"/>
          <w:szCs w:val="24"/>
          <w:highlight w:val="none"/>
        </w:rPr>
      </w:pPr>
    </w:p>
    <w:p w14:paraId="7A012293">
      <w:pPr>
        <w:pStyle w:val="7"/>
        <w:snapToGrid w:val="0"/>
        <w:spacing w:before="50" w:after="50"/>
        <w:ind w:firstLine="960" w:firstLineChars="400"/>
        <w:rPr>
          <w:rFonts w:ascii="宋体" w:hAnsi="宋体" w:cs="宋体"/>
          <w:bCs/>
          <w:color w:val="auto"/>
          <w:sz w:val="24"/>
          <w:szCs w:val="24"/>
          <w:highlight w:val="none"/>
        </w:rPr>
      </w:pPr>
    </w:p>
    <w:p w14:paraId="38B7B094">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年  月  日</w:t>
      </w:r>
    </w:p>
    <w:p w14:paraId="64921CA2">
      <w:pPr>
        <w:spacing w:line="360" w:lineRule="auto"/>
        <w:ind w:firstLine="420"/>
        <w:rPr>
          <w:rFonts w:ascii="宋体" w:hAnsi="宋体" w:cs="宋体"/>
          <w:color w:val="auto"/>
          <w:sz w:val="30"/>
          <w:highlight w:val="none"/>
        </w:rPr>
        <w:sectPr>
          <w:headerReference r:id="rId8" w:type="default"/>
          <w:footerReference r:id="rId9" w:type="default"/>
          <w:pgSz w:w="11906" w:h="16838"/>
          <w:pgMar w:top="1134" w:right="1247" w:bottom="1134" w:left="1247" w:header="720" w:footer="720" w:gutter="0"/>
          <w:cols w:space="720" w:num="1"/>
          <w:docGrid w:linePitch="331" w:charSpace="0"/>
        </w:sectPr>
      </w:pPr>
    </w:p>
    <w:p w14:paraId="3726309C">
      <w:pPr>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177A85D1">
      <w:pPr>
        <w:snapToGrid w:val="0"/>
        <w:spacing w:line="360" w:lineRule="auto"/>
        <w:rPr>
          <w:rFonts w:ascii="宋体" w:hAnsi="宋体" w:cs="宋体"/>
          <w:color w:val="auto"/>
          <w:kern w:val="0"/>
          <w:sz w:val="24"/>
          <w:highlight w:val="none"/>
        </w:rPr>
      </w:pPr>
    </w:p>
    <w:p w14:paraId="1C3984D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营业执照(或事业法人登记证或其他工商等登记证明材料)（投标人为自然人的，须提供</w:t>
      </w:r>
      <w:r>
        <w:rPr>
          <w:rFonts w:hint="eastAsia" w:ascii="宋体" w:hAnsi="宋体" w:cs="宋体"/>
          <w:color w:val="auto"/>
          <w:kern w:val="0"/>
          <w:sz w:val="24"/>
          <w:highlight w:val="none"/>
        </w:rPr>
        <w:t>自然人的身份证明</w:t>
      </w:r>
      <w:r>
        <w:rPr>
          <w:rFonts w:hint="eastAsia" w:ascii="宋体" w:hAnsi="宋体" w:cs="宋体"/>
          <w:color w:val="auto"/>
          <w:sz w:val="24"/>
          <w:highlight w:val="none"/>
        </w:rPr>
        <w:t>）</w:t>
      </w:r>
      <w:r>
        <w:rPr>
          <w:rFonts w:hint="eastAsia" w:ascii="宋体" w:hAnsi="宋体" w:cs="宋体"/>
          <w:color w:val="auto"/>
          <w:kern w:val="0"/>
          <w:sz w:val="24"/>
          <w:highlight w:val="none"/>
        </w:rPr>
        <w:t>……………………………………………………………（页码）</w:t>
      </w:r>
    </w:p>
    <w:p w14:paraId="7C9C0D2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二、依法缴纳税收的相关材料…………………………………………………………（页码）</w:t>
      </w:r>
    </w:p>
    <w:p w14:paraId="6AA3E5E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三、依法缴纳社会保障资金的相关材料………………………………………………（页码）</w:t>
      </w:r>
    </w:p>
    <w:p w14:paraId="246A2E4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四、财务状况报告方面的材料…………………………………………………………（页码）</w:t>
      </w:r>
    </w:p>
    <w:p w14:paraId="18CC2403">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五、投标人直接控股、管理关系信息表</w:t>
      </w:r>
      <w:r>
        <w:rPr>
          <w:rFonts w:hint="eastAsia" w:ascii="宋体" w:hAnsi="宋体" w:cs="宋体"/>
          <w:color w:val="auto"/>
          <w:kern w:val="0"/>
          <w:sz w:val="24"/>
          <w:highlight w:val="none"/>
        </w:rPr>
        <w:t>………………………………………………（页码）</w:t>
      </w:r>
    </w:p>
    <w:p w14:paraId="6359FC3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六、投标资格声明函……………………………………………………………………（页码）</w:t>
      </w:r>
    </w:p>
    <w:p w14:paraId="5DD920CA">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七、联合体协议书</w:t>
      </w:r>
      <w:r>
        <w:rPr>
          <w:rFonts w:hint="eastAsia" w:ascii="宋体" w:hAnsi="宋体" w:cs="宋体"/>
          <w:color w:val="auto"/>
          <w:kern w:val="0"/>
          <w:sz w:val="24"/>
          <w:highlight w:val="none"/>
        </w:rPr>
        <w:t>（以联合体形式投标的，提供联合体协议；本项目不接受联合体投标或者投标人不以联合体形式投标的，则不需要提供）……………………………………（页码）</w:t>
      </w:r>
    </w:p>
    <w:p w14:paraId="59B0087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八、中小企业声明函或残疾人福利性单位声明函或省级以上监狱管理局、戒毒管理局（含新疆生产建设兵团）出具的属于监狱企业的证明文件（如本项目属于专门面向中小企业采购的则必须提供）…………………………………………………………………………（页码）</w:t>
      </w:r>
    </w:p>
    <w:p w14:paraId="4EC3C4F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九、符合特定资格条件（如有）的有关证明材料……………………………………（页码）</w:t>
      </w:r>
    </w:p>
    <w:p w14:paraId="47FD5F4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十、除招标文件规定必须提供以外，投标人认为需要提供的其他证明材料………（页码）</w:t>
      </w:r>
    </w:p>
    <w:p w14:paraId="635AA2E1">
      <w:pPr>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4AB4F24D">
      <w:pPr>
        <w:spacing w:line="360" w:lineRule="auto"/>
        <w:ind w:firstLine="420"/>
        <w:rPr>
          <w:rFonts w:ascii="宋体" w:hAnsi="宋体" w:cs="宋体"/>
          <w:color w:val="auto"/>
          <w:sz w:val="30"/>
          <w:highlight w:val="none"/>
        </w:rPr>
        <w:sectPr>
          <w:pgSz w:w="11906" w:h="16838"/>
          <w:pgMar w:top="1134" w:right="1247" w:bottom="1134" w:left="1247" w:header="720" w:footer="720" w:gutter="0"/>
          <w:cols w:space="720" w:num="1"/>
          <w:docGrid w:linePitch="331" w:charSpace="0"/>
        </w:sectPr>
      </w:pPr>
    </w:p>
    <w:p w14:paraId="7128F541">
      <w:pPr>
        <w:spacing w:line="360" w:lineRule="auto"/>
        <w:jc w:val="center"/>
        <w:rPr>
          <w:rFonts w:ascii="宋体" w:hAnsi="宋体" w:cs="宋体"/>
          <w:b/>
          <w:color w:val="auto"/>
          <w:sz w:val="30"/>
          <w:szCs w:val="30"/>
          <w:highlight w:val="none"/>
        </w:rPr>
      </w:pPr>
      <w:r>
        <w:rPr>
          <w:rFonts w:hint="eastAsia" w:ascii="宋体" w:hAnsi="宋体" w:cs="宋体"/>
          <w:b/>
          <w:color w:val="auto"/>
          <w:kern w:val="0"/>
          <w:sz w:val="32"/>
          <w:szCs w:val="32"/>
          <w:highlight w:val="none"/>
          <w:lang w:val="zh-CN"/>
        </w:rPr>
        <w:t>一、</w:t>
      </w:r>
      <w:r>
        <w:rPr>
          <w:rFonts w:hint="eastAsia" w:ascii="宋体" w:hAnsi="宋体" w:cs="宋体"/>
          <w:b/>
          <w:color w:val="auto"/>
          <w:sz w:val="30"/>
          <w:szCs w:val="30"/>
          <w:highlight w:val="none"/>
        </w:rPr>
        <w:t>营业执照(或事业法人登记证或其他工商等登记证明材料)（投标人为自然人的，提供自然人的身份证明）</w:t>
      </w:r>
    </w:p>
    <w:p w14:paraId="57E1C68C">
      <w:pPr>
        <w:spacing w:line="360" w:lineRule="auto"/>
        <w:rPr>
          <w:rFonts w:ascii="宋体" w:hAnsi="宋体" w:cs="宋体"/>
          <w:b/>
          <w:color w:val="auto"/>
          <w:sz w:val="30"/>
          <w:szCs w:val="30"/>
          <w:highlight w:val="none"/>
        </w:rPr>
      </w:pPr>
    </w:p>
    <w:p w14:paraId="57A1A881">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投标人名称(电子签章)：          </w:t>
      </w:r>
    </w:p>
    <w:p w14:paraId="07E64541">
      <w:pPr>
        <w:spacing w:line="360" w:lineRule="auto"/>
        <w:jc w:val="center"/>
        <w:rPr>
          <w:rFonts w:ascii="宋体" w:hAnsi="宋体" w:cs="宋体"/>
          <w:b/>
          <w:color w:val="auto"/>
          <w:sz w:val="30"/>
          <w:szCs w:val="30"/>
          <w:highlight w:val="none"/>
        </w:rPr>
      </w:pPr>
      <w:r>
        <w:rPr>
          <w:rFonts w:hint="eastAsia" w:ascii="宋体" w:hAnsi="宋体" w:cs="宋体"/>
          <w:color w:val="auto"/>
          <w:kern w:val="0"/>
          <w:sz w:val="24"/>
          <w:highlight w:val="none"/>
          <w:lang w:val="zh-CN"/>
        </w:rPr>
        <w:t xml:space="preserve">                   日期：  年  月</w:t>
      </w:r>
    </w:p>
    <w:p w14:paraId="0384CEBF">
      <w:pPr>
        <w:spacing w:line="360" w:lineRule="auto"/>
        <w:jc w:val="center"/>
        <w:rPr>
          <w:rFonts w:ascii="宋体" w:hAnsi="宋体" w:cs="宋体"/>
          <w:b/>
          <w:color w:val="auto"/>
          <w:sz w:val="30"/>
          <w:szCs w:val="30"/>
          <w:highlight w:val="none"/>
        </w:rPr>
      </w:pPr>
    </w:p>
    <w:p w14:paraId="75ACA1FB">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sz w:val="30"/>
          <w:szCs w:val="30"/>
          <w:highlight w:val="none"/>
        </w:rPr>
        <w:t>二、依法缴纳税收的相关材料</w:t>
      </w:r>
    </w:p>
    <w:p w14:paraId="3E9C33E4">
      <w:pPr>
        <w:snapToGrid w:val="0"/>
        <w:spacing w:line="360" w:lineRule="auto"/>
        <w:ind w:firstLine="480" w:firstLineChars="200"/>
        <w:rPr>
          <w:rFonts w:ascii="宋体" w:hAnsi="宋体" w:cs="宋体"/>
          <w:color w:val="auto"/>
          <w:sz w:val="24"/>
          <w:highlight w:val="none"/>
        </w:rPr>
      </w:pPr>
    </w:p>
    <w:p w14:paraId="62965F05">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214C1C3">
      <w:pPr>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投标人名称(电子签章)：</w:t>
      </w:r>
    </w:p>
    <w:p w14:paraId="30CE3D2E">
      <w:pPr>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8A9051F">
      <w:pPr>
        <w:pStyle w:val="8"/>
        <w:rPr>
          <w:rFonts w:ascii="宋体" w:hAnsi="宋体" w:eastAsia="宋体" w:cs="宋体"/>
          <w:color w:val="auto"/>
          <w:highlight w:val="none"/>
          <w:lang w:val="zh-CN" w:eastAsia="zh-CN"/>
        </w:rPr>
      </w:pPr>
    </w:p>
    <w:p w14:paraId="4BF6D506">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sz w:val="30"/>
          <w:szCs w:val="30"/>
          <w:highlight w:val="none"/>
        </w:rPr>
        <w:t>三、依法缴纳社会保障资金的相关材料</w:t>
      </w:r>
    </w:p>
    <w:p w14:paraId="2E8F6AF5">
      <w:pPr>
        <w:snapToGrid w:val="0"/>
        <w:spacing w:line="360" w:lineRule="auto"/>
        <w:ind w:firstLine="480" w:firstLineChars="200"/>
        <w:rPr>
          <w:rFonts w:ascii="宋体" w:hAnsi="宋体" w:cs="宋体"/>
          <w:color w:val="auto"/>
          <w:sz w:val="24"/>
          <w:highlight w:val="none"/>
        </w:rPr>
      </w:pPr>
    </w:p>
    <w:p w14:paraId="0E5CF610">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407AE923">
      <w:pPr>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投标人名称(电子签章)：</w:t>
      </w:r>
    </w:p>
    <w:p w14:paraId="427DD835">
      <w:pPr>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D54B880">
      <w:pPr>
        <w:snapToGrid w:val="0"/>
        <w:spacing w:line="360" w:lineRule="auto"/>
        <w:ind w:firstLine="5160" w:firstLineChars="2150"/>
        <w:rPr>
          <w:rFonts w:ascii="宋体" w:hAnsi="宋体" w:cs="宋体"/>
          <w:color w:val="auto"/>
          <w:kern w:val="0"/>
          <w:sz w:val="24"/>
          <w:highlight w:val="none"/>
          <w:lang w:val="zh-CN"/>
        </w:rPr>
      </w:pPr>
    </w:p>
    <w:p w14:paraId="3A70DE58">
      <w:pPr>
        <w:snapToGrid w:val="0"/>
        <w:spacing w:line="360" w:lineRule="auto"/>
        <w:ind w:firstLine="643" w:firstLineChars="200"/>
        <w:jc w:val="center"/>
        <w:rPr>
          <w:rFonts w:ascii="宋体" w:hAnsi="宋体" w:cs="宋体"/>
          <w:color w:val="auto"/>
          <w:sz w:val="24"/>
          <w:highlight w:val="none"/>
        </w:rPr>
      </w:pPr>
      <w:r>
        <w:rPr>
          <w:rFonts w:hint="eastAsia" w:ascii="宋体" w:hAnsi="宋体" w:cs="宋体"/>
          <w:b/>
          <w:color w:val="auto"/>
          <w:kern w:val="0"/>
          <w:sz w:val="32"/>
          <w:szCs w:val="32"/>
          <w:highlight w:val="none"/>
          <w:lang w:val="zh-CN"/>
        </w:rPr>
        <w:t>四、财务状况报告方面的材料</w:t>
      </w:r>
    </w:p>
    <w:p w14:paraId="4A8CAA83">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7B674D47">
      <w:pPr>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投标人名称(电子签章)：</w:t>
      </w:r>
    </w:p>
    <w:p w14:paraId="0A1001FE">
      <w:pPr>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18E171E">
      <w:pPr>
        <w:snapToGrid w:val="0"/>
        <w:spacing w:line="360" w:lineRule="auto"/>
        <w:ind w:right="480"/>
        <w:jc w:val="center"/>
        <w:rPr>
          <w:rFonts w:ascii="宋体" w:hAnsi="宋体" w:cs="宋体"/>
          <w:b/>
          <w:color w:val="auto"/>
          <w:kern w:val="0"/>
          <w:sz w:val="32"/>
          <w:szCs w:val="32"/>
          <w:highlight w:val="none"/>
          <w:lang w:val="zh-CN"/>
        </w:rPr>
      </w:pPr>
    </w:p>
    <w:p w14:paraId="768028B1">
      <w:pPr>
        <w:snapToGrid w:val="0"/>
        <w:spacing w:line="360" w:lineRule="auto"/>
        <w:ind w:right="480"/>
        <w:jc w:val="center"/>
        <w:rPr>
          <w:rFonts w:ascii="宋体" w:hAnsi="宋体" w:cs="宋体"/>
          <w:b/>
          <w:color w:val="auto"/>
          <w:sz w:val="28"/>
          <w:szCs w:val="28"/>
          <w:highlight w:val="none"/>
        </w:rPr>
      </w:pPr>
      <w:r>
        <w:rPr>
          <w:rFonts w:hint="eastAsia" w:ascii="宋体" w:hAnsi="宋体" w:cs="宋体"/>
          <w:b/>
          <w:color w:val="auto"/>
          <w:kern w:val="0"/>
          <w:sz w:val="32"/>
          <w:szCs w:val="32"/>
          <w:highlight w:val="none"/>
        </w:rPr>
        <w:br w:type="page"/>
      </w:r>
    </w:p>
    <w:p w14:paraId="356BA307">
      <w:pPr>
        <w:snapToGrid w:val="0"/>
        <w:spacing w:before="50" w:after="165" w:afterLines="50"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五、投标人直接控股、管理关系信息表</w:t>
      </w:r>
    </w:p>
    <w:p w14:paraId="70A741A4">
      <w:pPr>
        <w:snapToGrid w:val="0"/>
        <w:spacing w:before="50" w:after="165" w:afterLines="50"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（1）投标人直接控股股东信息表</w:t>
      </w:r>
    </w:p>
    <w:tbl>
      <w:tblPr>
        <w:tblStyle w:val="19"/>
        <w:tblW w:w="0" w:type="auto"/>
        <w:jc w:val="center"/>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647E40B">
        <w:tblPrEx>
          <w:shd w:val="clear" w:color="auto" w:fill="FBFBFB"/>
          <w:tblCellMar>
            <w:top w:w="0" w:type="dxa"/>
            <w:left w:w="0" w:type="dxa"/>
            <w:bottom w:w="0" w:type="dxa"/>
            <w:right w:w="0" w:type="dxa"/>
          </w:tblCellMar>
        </w:tblPrEx>
        <w:trPr>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BF1D561">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63029D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C31F44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3CA59A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A0F3D1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55D77A1">
        <w:tblPrEx>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F9F1AD">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D3E8A8">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E26AEF">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9896AE">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E8EB6D">
            <w:pPr>
              <w:spacing w:line="360" w:lineRule="auto"/>
              <w:jc w:val="center"/>
              <w:rPr>
                <w:rFonts w:ascii="宋体" w:hAnsi="宋体" w:cs="宋体"/>
                <w:color w:val="auto"/>
                <w:kern w:val="0"/>
                <w:sz w:val="24"/>
                <w:highlight w:val="none"/>
              </w:rPr>
            </w:pPr>
          </w:p>
        </w:tc>
      </w:tr>
      <w:tr w14:paraId="2E187D29">
        <w:tblPrEx>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62CDF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1AA56B">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89B47F">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ACA697">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4F4618">
            <w:pPr>
              <w:spacing w:line="360" w:lineRule="auto"/>
              <w:jc w:val="center"/>
              <w:rPr>
                <w:rFonts w:ascii="宋体" w:hAnsi="宋体" w:cs="宋体"/>
                <w:color w:val="auto"/>
                <w:kern w:val="0"/>
                <w:sz w:val="24"/>
                <w:highlight w:val="none"/>
              </w:rPr>
            </w:pPr>
          </w:p>
        </w:tc>
      </w:tr>
      <w:tr w14:paraId="565EB36B">
        <w:tblPrEx>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D9B476">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945C61">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2767ED">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F6479D">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5C4C73">
            <w:pPr>
              <w:spacing w:line="360" w:lineRule="auto"/>
              <w:jc w:val="center"/>
              <w:rPr>
                <w:rFonts w:ascii="宋体" w:hAnsi="宋体" w:cs="宋体"/>
                <w:color w:val="auto"/>
                <w:kern w:val="0"/>
                <w:sz w:val="24"/>
                <w:highlight w:val="none"/>
              </w:rPr>
            </w:pPr>
          </w:p>
        </w:tc>
      </w:tr>
      <w:tr w14:paraId="10DDA6D8">
        <w:tblPrEx>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A59FA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BE2793">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89E026">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C26848">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EF9603">
            <w:pPr>
              <w:spacing w:line="360" w:lineRule="auto"/>
              <w:jc w:val="center"/>
              <w:rPr>
                <w:rFonts w:ascii="宋体" w:hAnsi="宋体" w:cs="宋体"/>
                <w:color w:val="auto"/>
                <w:kern w:val="0"/>
                <w:sz w:val="24"/>
                <w:highlight w:val="none"/>
              </w:rPr>
            </w:pPr>
          </w:p>
        </w:tc>
      </w:tr>
    </w:tbl>
    <w:p w14:paraId="5839B134">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注：</w:t>
      </w:r>
    </w:p>
    <w:p w14:paraId="14F6AF35">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0452B37">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4E5FA6A3">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3.供应商不存在直接控股股东的，则填“无”。</w:t>
      </w:r>
    </w:p>
    <w:p w14:paraId="44D05BA9">
      <w:pPr>
        <w:snapToGrid w:val="0"/>
        <w:spacing w:line="360" w:lineRule="auto"/>
        <w:jc w:val="left"/>
        <w:rPr>
          <w:rFonts w:ascii="宋体" w:hAnsi="宋体" w:cs="宋体"/>
          <w:color w:val="auto"/>
          <w:szCs w:val="21"/>
          <w:highlight w:val="none"/>
        </w:rPr>
      </w:pPr>
    </w:p>
    <w:p w14:paraId="16C7E04F">
      <w:pPr>
        <w:snapToGrid w:val="0"/>
        <w:spacing w:line="360" w:lineRule="auto"/>
        <w:jc w:val="left"/>
        <w:rPr>
          <w:rFonts w:ascii="宋体" w:hAnsi="宋体" w:cs="宋体"/>
          <w:color w:val="auto"/>
          <w:szCs w:val="21"/>
          <w:highlight w:val="none"/>
        </w:rPr>
      </w:pPr>
    </w:p>
    <w:p w14:paraId="7C453DD8">
      <w:pPr>
        <w:snapToGrid w:val="0"/>
        <w:spacing w:line="360" w:lineRule="auto"/>
        <w:jc w:val="left"/>
        <w:rPr>
          <w:rFonts w:ascii="宋体" w:hAnsi="宋体" w:cs="宋体"/>
          <w:color w:val="auto"/>
          <w:sz w:val="24"/>
          <w:highlight w:val="none"/>
        </w:rPr>
      </w:pPr>
    </w:p>
    <w:p w14:paraId="5D6676BF">
      <w:pPr>
        <w:snapToGrid w:val="0"/>
        <w:spacing w:line="360" w:lineRule="auto"/>
        <w:jc w:val="left"/>
        <w:rPr>
          <w:rFonts w:ascii="宋体" w:hAnsi="宋体" w:cs="宋体"/>
          <w:color w:val="auto"/>
          <w:sz w:val="24"/>
          <w:highlight w:val="none"/>
        </w:rPr>
      </w:pPr>
    </w:p>
    <w:p w14:paraId="08CD2B71">
      <w:pPr>
        <w:snapToGrid w:val="0"/>
        <w:spacing w:line="360" w:lineRule="auto"/>
        <w:jc w:val="left"/>
        <w:rPr>
          <w:rFonts w:ascii="宋体" w:hAnsi="宋体" w:cs="宋体"/>
          <w:color w:val="auto"/>
          <w:sz w:val="24"/>
          <w:highlight w:val="none"/>
        </w:rPr>
      </w:pPr>
    </w:p>
    <w:p w14:paraId="3EEF5C5B">
      <w:pPr>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5883E090">
      <w:pPr>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256B406">
      <w:pPr>
        <w:snapToGrid w:val="0"/>
        <w:jc w:val="cente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6DAEB432">
      <w:pPr>
        <w:snapToGrid w:val="0"/>
        <w:spacing w:line="360" w:lineRule="auto"/>
        <w:jc w:val="center"/>
        <w:rPr>
          <w:rFonts w:ascii="宋体" w:hAnsi="宋体" w:cs="宋体"/>
          <w:color w:val="auto"/>
          <w:sz w:val="32"/>
          <w:szCs w:val="32"/>
          <w:highlight w:val="none"/>
        </w:rPr>
      </w:pPr>
      <w:r>
        <w:rPr>
          <w:rFonts w:hint="eastAsia" w:ascii="宋体" w:hAnsi="宋体" w:cs="宋体"/>
          <w:b/>
          <w:color w:val="auto"/>
          <w:sz w:val="32"/>
          <w:szCs w:val="32"/>
          <w:highlight w:val="none"/>
        </w:rPr>
        <w:t>（2）投标人直接管理关系信息表</w:t>
      </w:r>
    </w:p>
    <w:tbl>
      <w:tblPr>
        <w:tblStyle w:val="19"/>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107B39B3">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744B27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E905E6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6D92FB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28C71D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EB6514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F9BF7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148EEF">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7C7B0A">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BC1645">
            <w:pPr>
              <w:spacing w:line="360" w:lineRule="auto"/>
              <w:jc w:val="center"/>
              <w:rPr>
                <w:rFonts w:ascii="宋体" w:hAnsi="宋体" w:cs="宋体"/>
                <w:color w:val="auto"/>
                <w:kern w:val="0"/>
                <w:sz w:val="24"/>
                <w:highlight w:val="none"/>
              </w:rPr>
            </w:pPr>
          </w:p>
        </w:tc>
      </w:tr>
      <w:tr w14:paraId="70E45696">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FF483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D98547">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A2AA22">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829E1A">
            <w:pPr>
              <w:spacing w:line="360" w:lineRule="auto"/>
              <w:jc w:val="center"/>
              <w:rPr>
                <w:rFonts w:ascii="宋体" w:hAnsi="宋体" w:cs="宋体"/>
                <w:color w:val="auto"/>
                <w:kern w:val="0"/>
                <w:sz w:val="24"/>
                <w:highlight w:val="none"/>
              </w:rPr>
            </w:pPr>
          </w:p>
        </w:tc>
      </w:tr>
      <w:tr w14:paraId="04820BEF">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5176C6">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B2F538">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4CAA9A">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48B8B5">
            <w:pPr>
              <w:spacing w:line="360" w:lineRule="auto"/>
              <w:jc w:val="center"/>
              <w:rPr>
                <w:rFonts w:ascii="宋体" w:hAnsi="宋体" w:cs="宋体"/>
                <w:color w:val="auto"/>
                <w:kern w:val="0"/>
                <w:sz w:val="24"/>
                <w:highlight w:val="none"/>
              </w:rPr>
            </w:pPr>
          </w:p>
        </w:tc>
      </w:tr>
      <w:tr w14:paraId="46E99E8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99BAFC">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0691CDC">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F8A7A45">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BDCBC2">
            <w:pPr>
              <w:spacing w:line="360" w:lineRule="auto"/>
              <w:jc w:val="center"/>
              <w:rPr>
                <w:rFonts w:ascii="宋体" w:hAnsi="宋体" w:cs="宋体"/>
                <w:color w:val="auto"/>
                <w:kern w:val="0"/>
                <w:sz w:val="24"/>
                <w:highlight w:val="none"/>
              </w:rPr>
            </w:pPr>
          </w:p>
        </w:tc>
      </w:tr>
    </w:tbl>
    <w:p w14:paraId="61EE0BC1">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注：</w:t>
      </w:r>
    </w:p>
    <w:p w14:paraId="54073440">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7CC3E57C">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pacing w:val="-6"/>
          <w:szCs w:val="21"/>
          <w:highlight w:val="none"/>
        </w:rPr>
        <w:t>本表所指的管理关系仅限于直接管理关系，不包括间接的管理关系。</w:t>
      </w:r>
    </w:p>
    <w:p w14:paraId="776DE631">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3.供应商不存在直接管理关系的，则填“无”。</w:t>
      </w:r>
    </w:p>
    <w:p w14:paraId="6933A9F5">
      <w:pPr>
        <w:snapToGrid w:val="0"/>
        <w:spacing w:line="360" w:lineRule="auto"/>
        <w:jc w:val="left"/>
        <w:rPr>
          <w:rFonts w:ascii="宋体" w:hAnsi="宋体" w:cs="宋体"/>
          <w:color w:val="auto"/>
          <w:sz w:val="24"/>
          <w:highlight w:val="none"/>
        </w:rPr>
      </w:pPr>
    </w:p>
    <w:p w14:paraId="0B9EA9D2">
      <w:pPr>
        <w:snapToGrid w:val="0"/>
        <w:spacing w:line="360" w:lineRule="auto"/>
        <w:jc w:val="left"/>
        <w:rPr>
          <w:rFonts w:ascii="宋体" w:hAnsi="宋体" w:cs="宋体"/>
          <w:color w:val="auto"/>
          <w:sz w:val="24"/>
          <w:highlight w:val="none"/>
        </w:rPr>
      </w:pPr>
    </w:p>
    <w:p w14:paraId="468630A8">
      <w:pPr>
        <w:snapToGrid w:val="0"/>
        <w:spacing w:line="360" w:lineRule="auto"/>
        <w:jc w:val="left"/>
        <w:rPr>
          <w:rFonts w:ascii="宋体" w:hAnsi="宋体" w:cs="宋体"/>
          <w:color w:val="auto"/>
          <w:sz w:val="24"/>
          <w:highlight w:val="none"/>
        </w:rPr>
      </w:pPr>
    </w:p>
    <w:p w14:paraId="001339F9">
      <w:pPr>
        <w:snapToGrid w:val="0"/>
        <w:spacing w:line="360" w:lineRule="auto"/>
        <w:jc w:val="left"/>
        <w:rPr>
          <w:rFonts w:ascii="宋体" w:hAnsi="宋体" w:cs="宋体"/>
          <w:color w:val="auto"/>
          <w:sz w:val="24"/>
          <w:highlight w:val="none"/>
        </w:rPr>
      </w:pPr>
    </w:p>
    <w:p w14:paraId="4A02F5ED">
      <w:pPr>
        <w:snapToGrid w:val="0"/>
        <w:spacing w:line="360" w:lineRule="auto"/>
        <w:jc w:val="left"/>
        <w:rPr>
          <w:rFonts w:ascii="宋体" w:hAnsi="宋体" w:cs="宋体"/>
          <w:color w:val="auto"/>
          <w:sz w:val="24"/>
          <w:highlight w:val="none"/>
        </w:rPr>
      </w:pPr>
    </w:p>
    <w:p w14:paraId="0C7D248A">
      <w:pPr>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624C7FFB">
      <w:pPr>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3607E02">
      <w:pPr>
        <w:snapToGrid w:val="0"/>
        <w:spacing w:before="165" w:beforeLines="50" w:after="50"/>
        <w:jc w:val="left"/>
        <w:rPr>
          <w:rFonts w:ascii="宋体" w:hAnsi="宋体" w:cs="宋体"/>
          <w:b/>
          <w:color w:val="auto"/>
          <w:sz w:val="24"/>
          <w:szCs w:val="20"/>
          <w:highlight w:val="none"/>
        </w:rPr>
      </w:pPr>
    </w:p>
    <w:p w14:paraId="38108BB8">
      <w:pPr>
        <w:snapToGrid w:val="0"/>
        <w:spacing w:before="50" w:after="165" w:afterLines="50"/>
        <w:jc w:val="left"/>
        <w:rPr>
          <w:rFonts w:ascii="宋体" w:hAnsi="宋体" w:cs="宋体"/>
          <w:color w:val="auto"/>
          <w:highlight w:val="none"/>
        </w:rPr>
      </w:pPr>
    </w:p>
    <w:p w14:paraId="0BE461B5">
      <w:pPr>
        <w:snapToGrid w:val="0"/>
        <w:spacing w:before="50" w:after="165" w:afterLines="50"/>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六、投标资格声明函</w:t>
      </w:r>
    </w:p>
    <w:p w14:paraId="53FFF3ED">
      <w:pPr>
        <w:tabs>
          <w:tab w:val="left" w:pos="7200"/>
        </w:tabs>
        <w:spacing w:line="360" w:lineRule="auto"/>
        <w:rPr>
          <w:rFonts w:ascii="宋体" w:hAnsi="宋体" w:cs="宋体"/>
          <w:color w:val="auto"/>
          <w:szCs w:val="21"/>
          <w:highlight w:val="none"/>
        </w:rPr>
      </w:pPr>
    </w:p>
    <w:p w14:paraId="556A3A4A">
      <w:pPr>
        <w:tabs>
          <w:tab w:val="left" w:pos="7200"/>
        </w:tabs>
        <w:spacing w:line="360" w:lineRule="auto"/>
        <w:rPr>
          <w:rFonts w:ascii="宋体" w:hAnsi="宋体" w:cs="宋体"/>
          <w:color w:val="auto"/>
          <w:szCs w:val="21"/>
          <w:highlight w:val="none"/>
        </w:rPr>
      </w:pPr>
      <w:r>
        <w:rPr>
          <w:rFonts w:hint="eastAsia" w:ascii="宋体" w:hAnsi="宋体" w:cs="宋体"/>
          <w:color w:val="auto"/>
          <w:szCs w:val="21"/>
          <w:highlight w:val="none"/>
        </w:rPr>
        <w:t>致：_</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（采购代理机构名称）</w:t>
      </w:r>
    </w:p>
    <w:p w14:paraId="6A00EF71">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_（项目编号：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）项目的投标，为便于贵方公正、择优地确定中标人，我方就本次投标有关事项郑重声明如下：</w:t>
      </w:r>
    </w:p>
    <w:p w14:paraId="73CB1B67">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1.我方承诺已经具备《中华人民共和国政府采购法》第二十二条中规定的参加政府采购活动的供应商应当具备的条件：</w:t>
      </w:r>
    </w:p>
    <w:p w14:paraId="3705CE67">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（1）具有独立承担民事责任的能力；</w:t>
      </w:r>
    </w:p>
    <w:p w14:paraId="72074B7A">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326CF816">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14CE498D">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094EA05E">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051DFDD1">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（6）法律、行政法规规定的其他条件。</w:t>
      </w:r>
    </w:p>
    <w:p w14:paraId="66C691FB">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69DEBF8">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3.经查询，在“信用中国”和“中国政府采购网”网站我方未被列入失信被执行人、重大税收违法失信主体、政府采购严重违法失信行为记录名单。</w:t>
      </w:r>
    </w:p>
    <w:p w14:paraId="3D968DE9">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4.以上事项如有虚假或隐瞒，我方愿意承担一切后果，并不再寻求任何旨在减轻或免除法律责任的辩解。 </w:t>
      </w:r>
    </w:p>
    <w:p w14:paraId="092061DD">
      <w:pPr>
        <w:snapToGrid w:val="0"/>
        <w:spacing w:before="50" w:after="331" w:afterLines="100" w:line="360" w:lineRule="auto"/>
        <w:jc w:val="left"/>
        <w:rPr>
          <w:rFonts w:ascii="宋体" w:hAnsi="宋体" w:cs="宋体"/>
          <w:color w:val="auto"/>
          <w:szCs w:val="21"/>
          <w:highlight w:val="none"/>
        </w:rPr>
      </w:pPr>
      <w:r>
        <w:rPr>
          <w:rFonts w:hint="eastAsia" w:ascii="宋体" w:hAnsi="宋体" w:cs="宋体"/>
          <w:color w:val="auto"/>
          <w:sz w:val="24"/>
          <w:highlight w:val="none"/>
        </w:rPr>
        <w:t xml:space="preserve">                                     </w:t>
      </w:r>
    </w:p>
    <w:p w14:paraId="23BE2BD1">
      <w:pPr>
        <w:snapToGrid w:val="0"/>
        <w:spacing w:before="50" w:after="331" w:afterLines="100" w:line="360" w:lineRule="auto"/>
        <w:ind w:firstLine="3990" w:firstLineChars="1900"/>
        <w:jc w:val="left"/>
        <w:rPr>
          <w:rFonts w:ascii="宋体" w:hAnsi="宋体" w:cs="宋体"/>
          <w:color w:val="auto"/>
          <w:szCs w:val="21"/>
          <w:highlight w:val="none"/>
        </w:rPr>
      </w:pPr>
      <w:r>
        <w:rPr>
          <w:rFonts w:hint="eastAsia" w:ascii="宋体" w:hAnsi="宋体" w:cs="宋体"/>
          <w:color w:val="auto"/>
          <w:kern w:val="0"/>
          <w:szCs w:val="21"/>
          <w:highlight w:val="none"/>
          <w:lang w:val="zh-CN"/>
        </w:rPr>
        <w:t>投标人名称(电子签章)：</w:t>
      </w:r>
      <w:r>
        <w:rPr>
          <w:rFonts w:hint="eastAsia" w:ascii="宋体" w:hAnsi="宋体" w:cs="宋体"/>
          <w:color w:val="auto"/>
          <w:szCs w:val="21"/>
          <w:highlight w:val="none"/>
        </w:rPr>
        <w:t xml:space="preserve">  </w:t>
      </w:r>
    </w:p>
    <w:p w14:paraId="2007AD9B">
      <w:pPr>
        <w:snapToGrid w:val="0"/>
        <w:spacing w:before="50" w:after="331" w:afterLines="100" w:line="360" w:lineRule="auto"/>
        <w:ind w:firstLine="4200" w:firstLineChars="20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日期：  年  月   日</w:t>
      </w:r>
    </w:p>
    <w:p w14:paraId="31300E78">
      <w:pPr>
        <w:spacing w:line="600" w:lineRule="exact"/>
        <w:jc w:val="center"/>
        <w:rPr>
          <w:rFonts w:ascii="宋体" w:hAnsi="宋体" w:cs="宋体"/>
          <w:b/>
          <w:bCs/>
          <w:color w:val="auto"/>
          <w:sz w:val="30"/>
          <w:szCs w:val="30"/>
          <w:highlight w:val="none"/>
        </w:rPr>
      </w:pPr>
    </w:p>
    <w:p w14:paraId="28CF46DB">
      <w:pPr>
        <w:tabs>
          <w:tab w:val="left" w:pos="2155"/>
        </w:tabs>
        <w:rPr>
          <w:rFonts w:ascii="宋体" w:hAnsi="宋体" w:cs="宋体"/>
          <w:b/>
          <w:bCs/>
          <w:color w:val="auto"/>
          <w:sz w:val="30"/>
          <w:szCs w:val="30"/>
          <w:highlight w:val="none"/>
        </w:rPr>
      </w:pPr>
    </w:p>
    <w:p w14:paraId="0F3C88C8">
      <w:pPr>
        <w:rPr>
          <w:rFonts w:ascii="宋体" w:hAnsi="宋体" w:cs="宋体"/>
          <w:b/>
          <w:bCs/>
          <w:color w:val="auto"/>
          <w:sz w:val="30"/>
          <w:szCs w:val="30"/>
          <w:highlight w:val="none"/>
        </w:rPr>
      </w:pPr>
    </w:p>
    <w:p w14:paraId="33AD8F32">
      <w:pPr>
        <w:pStyle w:val="13"/>
        <w:rPr>
          <w:rFonts w:ascii="宋体" w:hAnsi="宋体" w:cs="宋体"/>
          <w:b/>
          <w:bCs/>
          <w:color w:val="auto"/>
          <w:sz w:val="30"/>
          <w:szCs w:val="30"/>
          <w:highlight w:val="none"/>
        </w:rPr>
      </w:pPr>
    </w:p>
    <w:p w14:paraId="6953F723">
      <w:pPr>
        <w:pStyle w:val="13"/>
        <w:rPr>
          <w:rFonts w:ascii="宋体" w:hAnsi="宋体" w:cs="宋体"/>
          <w:b/>
          <w:bCs/>
          <w:color w:val="auto"/>
          <w:sz w:val="30"/>
          <w:szCs w:val="30"/>
          <w:highlight w:val="none"/>
        </w:rPr>
      </w:pPr>
    </w:p>
    <w:p w14:paraId="761054EC">
      <w:pPr>
        <w:pStyle w:val="13"/>
        <w:rPr>
          <w:rFonts w:ascii="宋体" w:hAnsi="宋体" w:cs="宋体"/>
          <w:b/>
          <w:bCs/>
          <w:color w:val="auto"/>
          <w:sz w:val="30"/>
          <w:szCs w:val="30"/>
          <w:highlight w:val="none"/>
        </w:rPr>
      </w:pPr>
    </w:p>
    <w:p w14:paraId="08096723">
      <w:pPr>
        <w:pStyle w:val="13"/>
        <w:rPr>
          <w:rFonts w:ascii="宋体" w:hAnsi="宋体" w:cs="宋体"/>
          <w:b/>
          <w:bCs/>
          <w:color w:val="auto"/>
          <w:sz w:val="30"/>
          <w:szCs w:val="30"/>
          <w:highlight w:val="none"/>
        </w:rPr>
      </w:pPr>
    </w:p>
    <w:p w14:paraId="0D0A9357">
      <w:pPr>
        <w:pStyle w:val="13"/>
        <w:rPr>
          <w:rFonts w:ascii="宋体" w:hAnsi="宋体" w:cs="宋体"/>
          <w:b/>
          <w:bCs/>
          <w:color w:val="auto"/>
          <w:sz w:val="30"/>
          <w:szCs w:val="30"/>
          <w:highlight w:val="none"/>
        </w:rPr>
      </w:pPr>
    </w:p>
    <w:p w14:paraId="303D9BD3">
      <w:pPr>
        <w:snapToGrid w:val="0"/>
        <w:spacing w:before="50" w:after="165" w:afterLines="50"/>
        <w:jc w:val="center"/>
        <w:rPr>
          <w:rFonts w:ascii="宋体" w:hAnsi="宋体" w:cs="宋体"/>
          <w:b/>
          <w:color w:val="auto"/>
          <w:sz w:val="32"/>
          <w:szCs w:val="32"/>
          <w:highlight w:val="none"/>
        </w:rPr>
      </w:pPr>
      <w:r>
        <w:rPr>
          <w:rFonts w:hint="eastAsia" w:ascii="宋体" w:hAnsi="宋体" w:cs="宋体"/>
          <w:b/>
          <w:color w:val="auto"/>
          <w:sz w:val="32"/>
          <w:szCs w:val="32"/>
          <w:highlight w:val="none"/>
        </w:rPr>
        <w:t>七、联合体协议书</w:t>
      </w:r>
    </w:p>
    <w:p w14:paraId="1391F908">
      <w:pPr>
        <w:autoSpaceDE w:val="0"/>
        <w:autoSpaceDN w:val="0"/>
        <w:adjustRightInd w:val="0"/>
        <w:spacing w:line="360" w:lineRule="auto"/>
        <w:jc w:val="left"/>
        <w:rPr>
          <w:rFonts w:ascii="宋体" w:hAnsi="宋体" w:cs="宋体"/>
          <w:color w:val="auto"/>
          <w:kern w:val="0"/>
          <w:szCs w:val="21"/>
          <w:highlight w:val="none"/>
          <w:u w:val="single"/>
        </w:rPr>
      </w:pPr>
    </w:p>
    <w:p w14:paraId="08DEA61B">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（所有成员单位名称）自愿组成联合体，共同参加</w:t>
      </w:r>
      <w:r>
        <w:rPr>
          <w:rFonts w:hint="eastAsia" w:ascii="宋体" w:hAnsi="宋体" w:cs="宋体"/>
          <w:color w:val="auto"/>
          <w:kern w:val="0"/>
          <w:szCs w:val="21"/>
          <w:highlight w:val="none"/>
          <w:u w:val="single"/>
        </w:rPr>
        <w:t xml:space="preserve">   (采购代理机构)       </w:t>
      </w:r>
      <w:r>
        <w:rPr>
          <w:rFonts w:hint="eastAsia" w:ascii="宋体" w:hAnsi="宋体" w:cs="宋体"/>
          <w:color w:val="auto"/>
          <w:kern w:val="0"/>
          <w:szCs w:val="21"/>
          <w:highlight w:val="none"/>
        </w:rPr>
        <w:t>组织的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（项目编号：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）投标。现就联合体投标事宜订立如下协议：</w:t>
      </w:r>
    </w:p>
    <w:p w14:paraId="6CD6C8B8">
      <w:pP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highlight w:val="none"/>
        </w:rPr>
        <w:t>________________________</w:t>
      </w:r>
      <w:r>
        <w:rPr>
          <w:rFonts w:hint="eastAsia" w:ascii="宋体" w:hAnsi="宋体" w:cs="宋体"/>
          <w:color w:val="auto"/>
          <w:kern w:val="0"/>
          <w:szCs w:val="21"/>
          <w:highlight w:val="none"/>
        </w:rPr>
        <w:t>（某成员单位名称）为联合体名称牵头人。</w:t>
      </w:r>
    </w:p>
    <w:p w14:paraId="45127E11">
      <w:pP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723F5CE0">
      <w:pP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6C00066F">
      <w:pP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4、联合体各成员单位内部的职责分工如下：____________________________________。</w:t>
      </w:r>
    </w:p>
    <w:p w14:paraId="69B47AA6">
      <w:pPr>
        <w:pStyle w:val="11"/>
        <w:spacing w:line="360" w:lineRule="auto"/>
        <w:ind w:firstLine="420" w:firstLineChars="200"/>
        <w:rPr>
          <w:rFonts w:hAnsi="宋体" w:cs="宋体"/>
          <w:color w:val="auto"/>
          <w:sz w:val="21"/>
          <w:highlight w:val="none"/>
        </w:rPr>
      </w:pPr>
      <w:r>
        <w:rPr>
          <w:rFonts w:hint="eastAsia" w:hAnsi="宋体" w:cs="宋体"/>
          <w:color w:val="auto"/>
          <w:sz w:val="21"/>
          <w:highlight w:val="none"/>
        </w:rPr>
        <w:t>5、本联合体中</w:t>
      </w:r>
      <w:r>
        <w:rPr>
          <w:rFonts w:hint="eastAsia" w:hAnsi="宋体" w:cs="宋体"/>
          <w:color w:val="auto"/>
          <w:sz w:val="21"/>
          <w:highlight w:val="none"/>
          <w:u w:val="single"/>
        </w:rPr>
        <w:t xml:space="preserve">，                 （某成员单位名称）为            </w:t>
      </w:r>
      <w:r>
        <w:rPr>
          <w:rFonts w:hint="eastAsia" w:hAnsi="宋体" w:cs="宋体"/>
          <w:color w:val="auto"/>
          <w:sz w:val="21"/>
          <w:highlight w:val="none"/>
        </w:rPr>
        <w:t>（请填写：中型、小型、微型）企业，其协议合同金额占联合体协议合同合计金额的</w:t>
      </w:r>
      <w:r>
        <w:rPr>
          <w:rFonts w:hint="eastAsia" w:hAnsi="宋体" w:cs="宋体"/>
          <w:color w:val="auto"/>
          <w:sz w:val="21"/>
          <w:highlight w:val="none"/>
          <w:u w:val="single"/>
        </w:rPr>
        <w:t>______</w:t>
      </w:r>
      <w:r>
        <w:rPr>
          <w:rFonts w:hint="eastAsia" w:hAnsi="宋体" w:cs="宋体"/>
          <w:color w:val="auto"/>
          <w:sz w:val="21"/>
          <w:highlight w:val="none"/>
        </w:rPr>
        <w:t>%。【如联合体成员中有小型、微型企业的，请填写此条，否则无需填写；如联合体成员中有多个小型、微型企业的，请逐一列出。】</w:t>
      </w:r>
    </w:p>
    <w:p w14:paraId="3E35ACB5">
      <w:pP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6、本协议书自签署之日起生效，合同履行完毕后自动失效。</w:t>
      </w:r>
    </w:p>
    <w:p w14:paraId="4E49298F">
      <w:pP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7、本协议书一式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份，联合体成员和采购代理机构各执一份。</w:t>
      </w:r>
    </w:p>
    <w:p w14:paraId="0DB4377B">
      <w:pP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注：本协议书由法定代表人签字的，应附法定代表人身份证明；本协议书由委托代理人签字的，应附法定代表人授权委托书。</w:t>
      </w:r>
    </w:p>
    <w:p w14:paraId="6B2DC9DD">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牵头人名称：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（公章/电子签章）</w:t>
      </w:r>
    </w:p>
    <w:p w14:paraId="4174EDA0">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（手写签名/电子签名）</w:t>
      </w:r>
    </w:p>
    <w:p w14:paraId="6A9428EC">
      <w:pPr>
        <w:autoSpaceDE w:val="0"/>
        <w:autoSpaceDN w:val="0"/>
        <w:adjustRightInd w:val="0"/>
        <w:spacing w:line="360" w:lineRule="auto"/>
        <w:jc w:val="left"/>
        <w:rPr>
          <w:rFonts w:ascii="宋体" w:hAnsi="宋体" w:cs="宋体"/>
          <w:color w:val="auto"/>
          <w:kern w:val="0"/>
          <w:szCs w:val="21"/>
          <w:highlight w:val="none"/>
        </w:rPr>
      </w:pPr>
    </w:p>
    <w:p w14:paraId="700BE497">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成员一名称：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（公章/电子签章）</w:t>
      </w:r>
    </w:p>
    <w:p w14:paraId="1FF44199">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（手写签名/电子签名）</w:t>
      </w:r>
    </w:p>
    <w:p w14:paraId="04491936">
      <w:pPr>
        <w:autoSpaceDE w:val="0"/>
        <w:autoSpaceDN w:val="0"/>
        <w:adjustRightInd w:val="0"/>
        <w:spacing w:line="360" w:lineRule="auto"/>
        <w:jc w:val="left"/>
        <w:rPr>
          <w:rFonts w:ascii="宋体" w:hAnsi="宋体" w:cs="宋体"/>
          <w:color w:val="auto"/>
          <w:kern w:val="0"/>
          <w:szCs w:val="21"/>
          <w:highlight w:val="none"/>
        </w:rPr>
      </w:pPr>
    </w:p>
    <w:p w14:paraId="3104AA77">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成员二名称：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（公章/电子签章）</w:t>
      </w:r>
    </w:p>
    <w:p w14:paraId="45A71188">
      <w:pPr>
        <w:pStyle w:val="11"/>
        <w:spacing w:line="600" w:lineRule="exact"/>
        <w:rPr>
          <w:rFonts w:hAnsi="宋体" w:cs="宋体"/>
          <w:color w:val="auto"/>
          <w:sz w:val="21"/>
          <w:highlight w:val="none"/>
        </w:rPr>
      </w:pPr>
      <w:r>
        <w:rPr>
          <w:rFonts w:hint="eastAsia" w:hAnsi="宋体" w:cs="宋体"/>
          <w:color w:val="auto"/>
          <w:sz w:val="21"/>
          <w:highlight w:val="none"/>
        </w:rPr>
        <w:t>法定代表人或其委托代理人：</w:t>
      </w:r>
      <w:r>
        <w:rPr>
          <w:rFonts w:hint="eastAsia" w:hAnsi="宋体" w:cs="宋体"/>
          <w:color w:val="auto"/>
          <w:sz w:val="21"/>
          <w:highlight w:val="none"/>
          <w:u w:val="single"/>
        </w:rPr>
        <w:t xml:space="preserve">                         </w:t>
      </w:r>
      <w:r>
        <w:rPr>
          <w:rFonts w:hint="eastAsia" w:hAnsi="宋体" w:cs="宋体"/>
          <w:color w:val="auto"/>
          <w:sz w:val="21"/>
          <w:highlight w:val="none"/>
        </w:rPr>
        <w:t>（手写签名/电子签名）</w:t>
      </w:r>
    </w:p>
    <w:p w14:paraId="0A0481CF">
      <w:pPr>
        <w:snapToGrid w:val="0"/>
        <w:spacing w:line="360" w:lineRule="auto"/>
        <w:jc w:val="center"/>
        <w:rPr>
          <w:rFonts w:ascii="宋体" w:hAnsi="宋体"/>
          <w:b/>
          <w:color w:val="auto"/>
          <w:sz w:val="32"/>
          <w:szCs w:val="32"/>
          <w:highlight w:val="none"/>
        </w:rPr>
      </w:pPr>
    </w:p>
    <w:p w14:paraId="2D1C213C">
      <w:pPr>
        <w:snapToGrid w:val="0"/>
        <w:spacing w:line="360" w:lineRule="auto"/>
        <w:rPr>
          <w:b/>
          <w:bCs/>
          <w:color w:val="auto"/>
          <w:sz w:val="30"/>
          <w:szCs w:val="30"/>
          <w:highlight w:val="none"/>
        </w:rPr>
      </w:pPr>
      <w:r>
        <w:rPr>
          <w:rFonts w:hint="eastAsia"/>
          <w:b/>
          <w:bCs/>
          <w:color w:val="auto"/>
          <w:sz w:val="30"/>
          <w:szCs w:val="30"/>
          <w:highlight w:val="none"/>
        </w:rPr>
        <w:t>八、中小企业声明函或残疾人福利性单位声明函或省级以上监狱管理局、戒毒管理局（含新疆生产建设兵团）出具的属于监狱企业的证明文件</w:t>
      </w:r>
    </w:p>
    <w:p w14:paraId="4155826B">
      <w:pPr>
        <w:pStyle w:val="10"/>
        <w:rPr>
          <w:color w:val="auto"/>
          <w:highlight w:val="none"/>
        </w:rPr>
      </w:pPr>
    </w:p>
    <w:p w14:paraId="7774B622">
      <w:pPr>
        <w:snapToGrid w:val="0"/>
        <w:spacing w:before="165" w:beforeLines="50" w:after="50"/>
        <w:jc w:val="left"/>
        <w:rPr>
          <w:rFonts w:ascii="宋体" w:hAnsi="宋体" w:cs="宋体"/>
          <w:color w:val="auto"/>
          <w:highlight w:val="none"/>
        </w:rPr>
      </w:pPr>
      <w:r>
        <w:rPr>
          <w:rFonts w:hint="eastAsia" w:ascii="宋体" w:hAnsi="宋体" w:cs="宋体"/>
          <w:b/>
          <w:color w:val="auto"/>
          <w:sz w:val="24"/>
          <w:highlight w:val="none"/>
        </w:rPr>
        <w:t xml:space="preserve"> 1.中小企业声明函格式</w:t>
      </w:r>
    </w:p>
    <w:p w14:paraId="7D682FB0">
      <w:pPr>
        <w:rPr>
          <w:rFonts w:ascii="宋体" w:hAnsi="宋体" w:cs="宋体"/>
          <w:color w:val="auto"/>
          <w:highlight w:val="none"/>
        </w:rPr>
      </w:pPr>
    </w:p>
    <w:p w14:paraId="5E606951">
      <w:pPr>
        <w:spacing w:line="5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5186D100">
      <w:pPr>
        <w:spacing w:before="2" w:line="500" w:lineRule="exact"/>
        <w:ind w:firstLine="708" w:firstLineChars="294"/>
        <w:rPr>
          <w:rFonts w:ascii="宋体" w:hAnsi="宋体" w:cs="宋体"/>
          <w:b/>
          <w:bCs/>
          <w:color w:val="auto"/>
          <w:sz w:val="24"/>
          <w:highlight w:val="none"/>
        </w:rPr>
      </w:pPr>
    </w:p>
    <w:p w14:paraId="3E670EAB">
      <w:pPr>
        <w:pStyle w:val="10"/>
        <w:spacing w:line="500" w:lineRule="exact"/>
        <w:ind w:right="142" w:firstLine="617" w:firstLineChars="294"/>
        <w:rPr>
          <w:rFonts w:ascii="宋体" w:hAnsi="宋体" w:cs="宋体"/>
          <w:color w:val="auto"/>
          <w:sz w:val="21"/>
          <w:szCs w:val="21"/>
          <w:highlight w:val="none"/>
        </w:rPr>
      </w:pPr>
      <w:r>
        <w:rPr>
          <w:rFonts w:hint="eastAsia" w:ascii="宋体" w:hAnsi="宋体" w:cs="宋体"/>
          <w:color w:val="auto"/>
          <w:sz w:val="21"/>
          <w:szCs w:val="21"/>
          <w:highlight w:val="none"/>
        </w:rPr>
        <w:t>本公司（联合体）郑重声明，根据《政府采购促进中小企业发展管理办法》（财库﹝2020﹞46号）的规定，本公司（联合体）参加</w:t>
      </w:r>
      <w:r>
        <w:rPr>
          <w:rFonts w:hint="eastAsia" w:ascii="宋体" w:hAnsi="宋体" w:cs="宋体"/>
          <w:color w:val="auto"/>
          <w:sz w:val="21"/>
          <w:szCs w:val="21"/>
          <w:highlight w:val="none"/>
          <w:u w:val="single"/>
        </w:rPr>
        <w:t>（单位名称）</w:t>
      </w:r>
      <w:r>
        <w:rPr>
          <w:rFonts w:hint="eastAsia" w:ascii="宋体" w:hAnsi="宋体" w:cs="宋体"/>
          <w:color w:val="auto"/>
          <w:sz w:val="21"/>
          <w:szCs w:val="21"/>
          <w:highlight w:val="none"/>
        </w:rPr>
        <w:t>的</w:t>
      </w:r>
      <w:r>
        <w:rPr>
          <w:rFonts w:hint="eastAsia" w:ascii="宋体" w:hAnsi="宋体" w:cs="宋体"/>
          <w:color w:val="auto"/>
          <w:sz w:val="21"/>
          <w:szCs w:val="21"/>
          <w:highlight w:val="none"/>
          <w:u w:val="single"/>
        </w:rPr>
        <w:t>（项目名称）</w:t>
      </w:r>
      <w:r>
        <w:rPr>
          <w:rFonts w:hint="eastAsia" w:ascii="宋体" w:hAnsi="宋体" w:cs="宋体"/>
          <w:color w:val="auto"/>
          <w:sz w:val="21"/>
          <w:szCs w:val="21"/>
          <w:highlight w:val="none"/>
        </w:rPr>
        <w:t>采购活动，服务全部由符合政策要求的中小企业承接。相关企业（含联合体中的中小企业、签订分包意向协议的中小企业）的具体情况如下：</w:t>
      </w:r>
    </w:p>
    <w:p w14:paraId="12B4A6CA">
      <w:pPr>
        <w:tabs>
          <w:tab w:val="left" w:pos="1384"/>
          <w:tab w:val="left" w:pos="4562"/>
          <w:tab w:val="left" w:pos="6803"/>
        </w:tabs>
        <w:spacing w:before="13" w:line="500" w:lineRule="exact"/>
        <w:ind w:right="142" w:firstLine="676" w:firstLineChars="322"/>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68E8F840">
      <w:pPr>
        <w:tabs>
          <w:tab w:val="left" w:pos="1065"/>
          <w:tab w:val="left" w:pos="4262"/>
          <w:tab w:val="left" w:pos="6477"/>
        </w:tabs>
        <w:spacing w:before="20" w:line="500" w:lineRule="exact"/>
        <w:ind w:right="84" w:firstLine="676" w:firstLineChars="322"/>
        <w:rPr>
          <w:rFonts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3ECF561F">
      <w:pPr>
        <w:pStyle w:val="10"/>
        <w:spacing w:before="34" w:line="500" w:lineRule="exact"/>
        <w:ind w:right="142" w:firstLine="617" w:firstLineChars="294"/>
        <w:rPr>
          <w:rFonts w:ascii="宋体" w:hAnsi="宋体" w:cs="宋体"/>
          <w:color w:val="auto"/>
          <w:sz w:val="21"/>
          <w:szCs w:val="21"/>
          <w:highlight w:val="none"/>
        </w:rPr>
      </w:pPr>
      <w:r>
        <w:rPr>
          <w:rFonts w:hint="eastAsia" w:ascii="宋体" w:hAnsi="宋体" w:cs="宋体"/>
          <w:color w:val="auto"/>
          <w:sz w:val="21"/>
          <w:szCs w:val="21"/>
          <w:highlight w:val="none"/>
        </w:rPr>
        <w:t xml:space="preserve">…… </w:t>
      </w:r>
    </w:p>
    <w:p w14:paraId="2C3F3818">
      <w:pPr>
        <w:pStyle w:val="10"/>
        <w:spacing w:before="34" w:line="500" w:lineRule="exact"/>
        <w:ind w:right="142" w:firstLine="617" w:firstLineChars="294"/>
        <w:rPr>
          <w:rFonts w:ascii="宋体" w:hAnsi="宋体" w:cs="宋体"/>
          <w:color w:val="auto"/>
          <w:sz w:val="21"/>
          <w:szCs w:val="21"/>
          <w:highlight w:val="none"/>
        </w:rPr>
      </w:pPr>
      <w:r>
        <w:rPr>
          <w:rFonts w:hint="eastAsia" w:ascii="宋体" w:hAnsi="宋体" w:cs="宋体"/>
          <w:color w:val="auto"/>
          <w:sz w:val="21"/>
          <w:szCs w:val="21"/>
          <w:highlight w:val="none"/>
        </w:rPr>
        <w:t>以上企业，不属于大企业的分支机构，不存在控股股东为大企业的情形，也不存在与大企业的负责人为同一人的情形。</w:t>
      </w:r>
    </w:p>
    <w:p w14:paraId="2190B3BD">
      <w:pPr>
        <w:pStyle w:val="10"/>
        <w:spacing w:before="25" w:line="500" w:lineRule="exact"/>
        <w:ind w:right="142" w:firstLine="617" w:firstLineChars="294"/>
        <w:rPr>
          <w:rFonts w:ascii="宋体" w:hAnsi="宋体" w:cs="宋体"/>
          <w:color w:val="auto"/>
          <w:sz w:val="21"/>
          <w:szCs w:val="21"/>
          <w:highlight w:val="none"/>
        </w:rPr>
      </w:pPr>
      <w:r>
        <w:rPr>
          <w:rFonts w:hint="eastAsia" w:ascii="宋体" w:hAnsi="宋体" w:cs="宋体"/>
          <w:color w:val="auto"/>
          <w:sz w:val="21"/>
          <w:szCs w:val="21"/>
          <w:highlight w:val="none"/>
        </w:rPr>
        <w:t>本企业对上述声明内容的真实性负责。如有虚假，将依法承担相应责任。</w:t>
      </w:r>
    </w:p>
    <w:p w14:paraId="0018A465">
      <w:pPr>
        <w:pStyle w:val="10"/>
        <w:spacing w:before="56" w:line="500" w:lineRule="exact"/>
        <w:ind w:right="1808" w:firstLine="617" w:firstLineChars="294"/>
        <w:rPr>
          <w:rFonts w:ascii="宋体" w:hAnsi="宋体" w:cs="宋体"/>
          <w:color w:val="auto"/>
          <w:sz w:val="21"/>
          <w:szCs w:val="21"/>
          <w:highlight w:val="none"/>
        </w:rPr>
      </w:pPr>
    </w:p>
    <w:p w14:paraId="4F0E8A4F">
      <w:pPr>
        <w:pStyle w:val="10"/>
        <w:spacing w:before="56" w:line="500" w:lineRule="exact"/>
        <w:ind w:right="650" w:firstLine="4922" w:firstLineChars="2344"/>
        <w:rPr>
          <w:rFonts w:ascii="宋体" w:hAnsi="宋体" w:cs="宋体"/>
          <w:color w:val="auto"/>
          <w:sz w:val="21"/>
          <w:szCs w:val="21"/>
          <w:highlight w:val="none"/>
        </w:rPr>
      </w:pPr>
      <w:r>
        <w:rPr>
          <w:rFonts w:hint="eastAsia" w:ascii="宋体" w:hAnsi="宋体" w:cs="宋体"/>
          <w:color w:val="auto"/>
          <w:sz w:val="21"/>
          <w:szCs w:val="21"/>
          <w:highlight w:val="none"/>
          <w:lang w:val="zh-CN"/>
        </w:rPr>
        <w:t>投标人名称(电子签章)</w:t>
      </w:r>
      <w:r>
        <w:rPr>
          <w:rFonts w:hint="eastAsia" w:ascii="宋体" w:hAnsi="宋体" w:cs="宋体"/>
          <w:color w:val="auto"/>
          <w:sz w:val="21"/>
          <w:szCs w:val="21"/>
          <w:highlight w:val="none"/>
        </w:rPr>
        <w:t xml:space="preserve">： </w:t>
      </w:r>
    </w:p>
    <w:p w14:paraId="54F23941">
      <w:pPr>
        <w:pStyle w:val="10"/>
        <w:spacing w:before="56" w:line="500" w:lineRule="exact"/>
        <w:ind w:right="1808" w:firstLine="4922" w:firstLineChars="2344"/>
        <w:rPr>
          <w:rFonts w:ascii="宋体" w:hAnsi="宋体" w:cs="宋体"/>
          <w:color w:val="auto"/>
          <w:sz w:val="21"/>
          <w:szCs w:val="21"/>
          <w:highlight w:val="none"/>
        </w:rPr>
      </w:pPr>
      <w:r>
        <w:rPr>
          <w:rFonts w:hint="eastAsia" w:ascii="宋体" w:hAnsi="宋体" w:cs="宋体"/>
          <w:color w:val="auto"/>
          <w:sz w:val="21"/>
          <w:szCs w:val="21"/>
          <w:highlight w:val="none"/>
        </w:rPr>
        <w:t>日 期：</w:t>
      </w:r>
    </w:p>
    <w:p w14:paraId="376D628E">
      <w:pPr>
        <w:pStyle w:val="10"/>
        <w:spacing w:line="360" w:lineRule="auto"/>
        <w:ind w:left="-426" w:right="142" w:firstLine="567"/>
        <w:contextualSpacing/>
        <w:rPr>
          <w:rFonts w:ascii="宋体" w:hAnsi="宋体" w:cs="宋体"/>
          <w:color w:val="auto"/>
          <w:sz w:val="21"/>
          <w:szCs w:val="21"/>
          <w:highlight w:val="none"/>
        </w:rPr>
      </w:pPr>
      <w:r>
        <w:rPr>
          <w:rFonts w:hint="eastAsia" w:ascii="宋体" w:hAnsi="宋体" w:cs="宋体"/>
          <w:color w:val="auto"/>
          <w:sz w:val="21"/>
          <w:szCs w:val="21"/>
          <w:highlight w:val="none"/>
        </w:rPr>
        <w:t>注：</w:t>
      </w:r>
    </w:p>
    <w:p w14:paraId="41A3D150">
      <w:pPr>
        <w:pStyle w:val="10"/>
        <w:spacing w:line="360" w:lineRule="auto"/>
        <w:ind w:left="-426" w:right="142" w:firstLine="567"/>
        <w:contextualSpacing/>
        <w:rPr>
          <w:rFonts w:ascii="宋体" w:hAnsi="宋体" w:cs="宋体"/>
          <w:color w:val="auto"/>
          <w:sz w:val="21"/>
          <w:szCs w:val="21"/>
          <w:highlight w:val="none"/>
        </w:rPr>
      </w:pPr>
      <w:r>
        <w:rPr>
          <w:rFonts w:hint="eastAsia" w:ascii="宋体" w:hAnsi="宋体" w:cs="宋体"/>
          <w:color w:val="auto"/>
          <w:sz w:val="21"/>
          <w:szCs w:val="21"/>
          <w:highlight w:val="none"/>
        </w:rPr>
        <w:t>1、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E206692">
      <w:pPr>
        <w:pStyle w:val="10"/>
        <w:spacing w:line="360" w:lineRule="auto"/>
        <w:ind w:left="-426" w:right="142" w:firstLine="567"/>
        <w:contextualSpacing/>
        <w:rPr>
          <w:rFonts w:ascii="宋体" w:hAnsi="宋体" w:cs="宋体"/>
          <w:color w:val="auto"/>
          <w:sz w:val="21"/>
          <w:szCs w:val="21"/>
          <w:highlight w:val="none"/>
        </w:rPr>
      </w:pPr>
      <w:r>
        <w:rPr>
          <w:rFonts w:hint="eastAsia" w:ascii="宋体" w:hAnsi="宋体" w:cs="宋体"/>
          <w:color w:val="auto"/>
          <w:sz w:val="21"/>
          <w:szCs w:val="21"/>
          <w:highlight w:val="none"/>
        </w:rPr>
        <w:t>2、请根据自己的真实情况出具《中小企业声明函》。依法享受中小企业优惠政策的，采购人或者采购代理机构在公告中标结果时，同时公告其《中小企业声明函》，接受社会监督。</w:t>
      </w:r>
    </w:p>
    <w:p w14:paraId="14F6DFBA">
      <w:pPr>
        <w:spacing w:line="360" w:lineRule="auto"/>
        <w:jc w:val="center"/>
        <w:rPr>
          <w:rFonts w:ascii="宋体" w:hAnsi="宋体" w:cs="宋体"/>
          <w:b/>
          <w:color w:val="auto"/>
          <w:sz w:val="24"/>
          <w:highlight w:val="none"/>
        </w:rPr>
      </w:pPr>
    </w:p>
    <w:p w14:paraId="37464224">
      <w:pPr>
        <w:pStyle w:val="31"/>
        <w:rPr>
          <w:rFonts w:ascii="宋体" w:hAnsi="宋体" w:cs="宋体"/>
          <w:color w:val="auto"/>
          <w:highlight w:val="none"/>
        </w:rPr>
      </w:pPr>
    </w:p>
    <w:p w14:paraId="7E0AFEAF">
      <w:pPr>
        <w:pStyle w:val="31"/>
        <w:rPr>
          <w:rFonts w:ascii="宋体" w:hAnsi="宋体" w:cs="宋体"/>
          <w:color w:val="auto"/>
          <w:highlight w:val="none"/>
        </w:rPr>
      </w:pPr>
      <w:r>
        <w:rPr>
          <w:rFonts w:hint="eastAsia" w:ascii="宋体" w:hAnsi="宋体" w:cs="宋体"/>
          <w:color w:val="auto"/>
          <w:highlight w:val="none"/>
        </w:rPr>
        <w:br w:type="page"/>
      </w:r>
    </w:p>
    <w:p w14:paraId="72AC53D1">
      <w:pPr>
        <w:numPr>
          <w:ilvl w:val="0"/>
          <w:numId w:val="2"/>
        </w:numPr>
        <w:spacing w:line="360" w:lineRule="auto"/>
        <w:jc w:val="left"/>
        <w:rPr>
          <w:rFonts w:ascii="宋体" w:hAnsi="宋体" w:cs="宋体"/>
          <w:b/>
          <w:color w:val="auto"/>
          <w:sz w:val="24"/>
          <w:highlight w:val="none"/>
        </w:rPr>
      </w:pPr>
      <w:r>
        <w:rPr>
          <w:rFonts w:hint="eastAsia" w:ascii="宋体" w:hAnsi="宋体" w:cs="宋体"/>
          <w:b/>
          <w:color w:val="auto"/>
          <w:sz w:val="24"/>
          <w:highlight w:val="none"/>
        </w:rPr>
        <w:t>残疾人福利性单位声明函格式</w:t>
      </w:r>
    </w:p>
    <w:p w14:paraId="1D11C171">
      <w:pPr>
        <w:spacing w:line="360" w:lineRule="auto"/>
        <w:jc w:val="center"/>
        <w:rPr>
          <w:rFonts w:ascii="宋体" w:hAnsi="宋体" w:cs="宋体"/>
          <w:b/>
          <w:color w:val="auto"/>
          <w:sz w:val="24"/>
          <w:highlight w:val="none"/>
        </w:rPr>
      </w:pPr>
    </w:p>
    <w:p w14:paraId="7E92D3E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残疾人福利性单位声明函</w:t>
      </w:r>
    </w:p>
    <w:p w14:paraId="150D331C">
      <w:pPr>
        <w:spacing w:line="360" w:lineRule="auto"/>
        <w:jc w:val="center"/>
        <w:rPr>
          <w:rFonts w:ascii="宋体" w:hAnsi="宋体" w:cs="宋体"/>
          <w:b/>
          <w:color w:val="auto"/>
          <w:szCs w:val="21"/>
          <w:highlight w:val="none"/>
        </w:rPr>
      </w:pPr>
    </w:p>
    <w:p w14:paraId="0E48E43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本公司郑重声明，根据《财政部 民政部 中国残疾人联合会关于促进残疾人就业政府采购政策的通知》（财库〔2017〕 141号）的规定，本公司为符合条件的残疾人福利性单位，且本公司参加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单位的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项目采购活动提供本公司制造的货物（由本公司承担工程/提供服务），或者提供其他残疾人福利性单位制造的货物（不包括使用非残疾人福利性单位注册商标的货物）。</w:t>
      </w:r>
    </w:p>
    <w:p w14:paraId="7F1A5BD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本公司对上述声明的真实性负责。如有虚假，将依法承担相应责任。</w:t>
      </w:r>
    </w:p>
    <w:p w14:paraId="4A319908">
      <w:pPr>
        <w:spacing w:line="360" w:lineRule="auto"/>
        <w:jc w:val="left"/>
        <w:rPr>
          <w:rFonts w:ascii="宋体" w:hAnsi="宋体" w:cs="宋体"/>
          <w:b/>
          <w:color w:val="auto"/>
          <w:szCs w:val="21"/>
          <w:highlight w:val="none"/>
        </w:rPr>
      </w:pPr>
    </w:p>
    <w:p w14:paraId="6F4C5816">
      <w:pPr>
        <w:snapToGrid w:val="0"/>
        <w:spacing w:line="360" w:lineRule="auto"/>
        <w:ind w:left="6097" w:leftChars="2100" w:hanging="1687" w:hangingChars="800"/>
        <w:rPr>
          <w:rFonts w:ascii="宋体" w:hAnsi="宋体" w:cs="宋体"/>
          <w:color w:val="auto"/>
          <w:kern w:val="0"/>
          <w:sz w:val="24"/>
          <w:highlight w:val="none"/>
          <w:lang w:val="zh-CN"/>
        </w:rPr>
      </w:pPr>
      <w:r>
        <w:rPr>
          <w:rFonts w:hint="eastAsia" w:ascii="宋体" w:hAnsi="宋体" w:cs="宋体"/>
          <w:b/>
          <w:color w:val="auto"/>
          <w:szCs w:val="21"/>
          <w:highlight w:val="none"/>
        </w:rPr>
        <w:t xml:space="preserve">             </w:t>
      </w:r>
      <w:r>
        <w:rPr>
          <w:rFonts w:hint="eastAsia" w:ascii="宋体" w:hAnsi="宋体" w:cs="宋体"/>
          <w:color w:val="auto"/>
          <w:kern w:val="0"/>
          <w:sz w:val="24"/>
          <w:highlight w:val="none"/>
          <w:lang w:val="zh-CN"/>
        </w:rPr>
        <w:t>投标人名称(电子签章)：</w:t>
      </w:r>
    </w:p>
    <w:p w14:paraId="16077BBA">
      <w:pPr>
        <w:snapToGrid w:val="0"/>
        <w:spacing w:line="360" w:lineRule="auto"/>
        <w:ind w:firstLine="5520" w:firstLineChars="23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43B4C21D">
      <w:pPr>
        <w:spacing w:line="360" w:lineRule="auto"/>
        <w:ind w:left="5180" w:leftChars="1979" w:hanging="1024" w:hangingChars="488"/>
        <w:rPr>
          <w:rFonts w:ascii="宋体" w:hAnsi="宋体" w:cs="宋体"/>
          <w:color w:val="auto"/>
          <w:szCs w:val="21"/>
          <w:highlight w:val="none"/>
        </w:rPr>
      </w:pPr>
    </w:p>
    <w:p w14:paraId="33D8377B">
      <w:pPr>
        <w:spacing w:line="360" w:lineRule="auto"/>
        <w:ind w:right="420" w:firstLine="420" w:firstLineChars="200"/>
        <w:rPr>
          <w:rFonts w:ascii="宋体" w:hAnsi="宋体" w:cs="宋体"/>
          <w:color w:val="auto"/>
          <w:szCs w:val="21"/>
          <w:highlight w:val="none"/>
        </w:rPr>
      </w:pPr>
      <w:r>
        <w:rPr>
          <w:rFonts w:hint="eastAsia" w:ascii="宋体" w:hAnsi="宋体" w:cs="宋体"/>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70814DC4">
      <w:pPr>
        <w:spacing w:line="360" w:lineRule="auto"/>
        <w:ind w:right="420" w:firstLine="420" w:firstLineChars="200"/>
        <w:rPr>
          <w:rFonts w:ascii="宋体" w:hAnsi="宋体" w:cs="宋体"/>
          <w:color w:val="auto"/>
          <w:szCs w:val="21"/>
          <w:highlight w:val="none"/>
        </w:rPr>
      </w:pPr>
    </w:p>
    <w:p w14:paraId="3D29897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监狱企业证明</w:t>
      </w:r>
    </w:p>
    <w:p w14:paraId="0C85002B">
      <w:pPr>
        <w:spacing w:line="520" w:lineRule="exact"/>
        <w:ind w:firstLine="420" w:firstLineChars="200"/>
        <w:jc w:val="left"/>
        <w:rPr>
          <w:rFonts w:ascii="宋体" w:hAnsi="宋体" w:cs="宋体"/>
          <w:color w:val="auto"/>
          <w:szCs w:val="21"/>
          <w:highlight w:val="none"/>
        </w:rPr>
      </w:pPr>
    </w:p>
    <w:p w14:paraId="30F4CB0F">
      <w:pPr>
        <w:spacing w:line="5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提供由省级以上监狱管理局、戒毒管理局（含新疆生产建设兵团）出具的属于监狱企业的证明文件。</w:t>
      </w:r>
    </w:p>
    <w:p w14:paraId="5AFE8152">
      <w:pPr>
        <w:spacing w:line="520" w:lineRule="exact"/>
        <w:jc w:val="center"/>
        <w:rPr>
          <w:rFonts w:ascii="宋体" w:hAnsi="宋体" w:cs="宋体"/>
          <w:color w:val="auto"/>
          <w:szCs w:val="21"/>
          <w:highlight w:val="none"/>
        </w:rPr>
      </w:pPr>
    </w:p>
    <w:p w14:paraId="29744558">
      <w:pPr>
        <w:spacing w:line="360" w:lineRule="auto"/>
        <w:jc w:val="center"/>
        <w:rPr>
          <w:rFonts w:ascii="宋体" w:hAnsi="宋体" w:cs="宋体"/>
          <w:b/>
          <w:bCs/>
          <w:color w:val="auto"/>
          <w:szCs w:val="21"/>
          <w:highlight w:val="none"/>
        </w:rPr>
      </w:pPr>
    </w:p>
    <w:p w14:paraId="617ABD1F">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投标人名称（电子签章）：</w:t>
      </w:r>
    </w:p>
    <w:p w14:paraId="3427E087">
      <w:pPr>
        <w:snapToGrid w:val="0"/>
        <w:spacing w:line="360" w:lineRule="auto"/>
        <w:ind w:firstLine="5040" w:firstLineChars="2100"/>
        <w:rPr>
          <w:rFonts w:ascii="宋体" w:hAnsi="宋体" w:cs="宋体"/>
          <w:color w:val="auto"/>
          <w:szCs w:val="21"/>
          <w:highlight w:val="none"/>
        </w:rPr>
      </w:pPr>
      <w:r>
        <w:rPr>
          <w:rFonts w:hint="eastAsia" w:ascii="宋体" w:hAnsi="宋体" w:cs="宋体"/>
          <w:color w:val="auto"/>
          <w:kern w:val="0"/>
          <w:sz w:val="24"/>
          <w:highlight w:val="none"/>
          <w:lang w:val="zh-CN"/>
        </w:rPr>
        <w:t>日  期：     年   月   日</w:t>
      </w:r>
    </w:p>
    <w:p w14:paraId="690F3060">
      <w:pPr>
        <w:snapToGrid w:val="0"/>
        <w:spacing w:line="360" w:lineRule="auto"/>
        <w:rPr>
          <w:rFonts w:ascii="宋体" w:hAnsi="宋体" w:cs="宋体"/>
          <w:b/>
          <w:bCs/>
          <w:color w:val="auto"/>
          <w:sz w:val="30"/>
          <w:szCs w:val="30"/>
          <w:highlight w:val="none"/>
        </w:rPr>
      </w:pPr>
    </w:p>
    <w:p w14:paraId="680C884B">
      <w:pPr>
        <w:snapToGrid w:val="0"/>
        <w:spacing w:line="360" w:lineRule="auto"/>
        <w:rPr>
          <w:rFonts w:ascii="宋体" w:hAnsi="宋体" w:cs="宋体"/>
          <w:b/>
          <w:bCs/>
          <w:color w:val="auto"/>
          <w:sz w:val="30"/>
          <w:szCs w:val="30"/>
          <w:highlight w:val="none"/>
        </w:rPr>
      </w:pPr>
    </w:p>
    <w:p w14:paraId="6117DE46">
      <w:pPr>
        <w:snapToGrid w:val="0"/>
        <w:spacing w:line="360" w:lineRule="auto"/>
        <w:rPr>
          <w:rFonts w:ascii="宋体" w:hAnsi="宋体" w:cs="宋体"/>
          <w:b/>
          <w:bCs/>
          <w:color w:val="auto"/>
          <w:sz w:val="30"/>
          <w:szCs w:val="30"/>
          <w:highlight w:val="none"/>
        </w:rPr>
      </w:pPr>
    </w:p>
    <w:p w14:paraId="51284483">
      <w:pPr>
        <w:snapToGrid w:val="0"/>
        <w:spacing w:line="360" w:lineRule="auto"/>
        <w:rPr>
          <w:rFonts w:ascii="宋体" w:hAnsi="宋体" w:cs="宋体"/>
          <w:b/>
          <w:bCs/>
          <w:color w:val="auto"/>
          <w:sz w:val="30"/>
          <w:szCs w:val="30"/>
          <w:highlight w:val="none"/>
        </w:rPr>
      </w:pPr>
    </w:p>
    <w:p w14:paraId="2091C91F">
      <w:pPr>
        <w:snapToGrid w:val="0"/>
        <w:spacing w:line="360" w:lineRule="auto"/>
        <w:rPr>
          <w:rFonts w:ascii="宋体" w:hAnsi="宋体" w:cs="宋体"/>
          <w:color w:val="auto"/>
          <w:kern w:val="0"/>
          <w:sz w:val="24"/>
          <w:highlight w:val="none"/>
        </w:rPr>
      </w:pPr>
      <w:r>
        <w:rPr>
          <w:rFonts w:hint="eastAsia" w:ascii="宋体" w:hAnsi="宋体" w:cs="宋体"/>
          <w:b/>
          <w:bCs/>
          <w:color w:val="auto"/>
          <w:sz w:val="30"/>
          <w:szCs w:val="30"/>
          <w:highlight w:val="none"/>
        </w:rPr>
        <w:t>九、</w:t>
      </w:r>
      <w:r>
        <w:rPr>
          <w:rFonts w:hint="eastAsia"/>
          <w:b/>
          <w:bCs/>
          <w:color w:val="auto"/>
          <w:sz w:val="30"/>
          <w:szCs w:val="30"/>
          <w:highlight w:val="none"/>
        </w:rPr>
        <w:t>符合特定资格条件（如有）的有关证明材料</w:t>
      </w:r>
      <w:r>
        <w:rPr>
          <w:rFonts w:hint="eastAsia" w:ascii="宋体" w:hAnsi="宋体" w:cs="宋体"/>
          <w:color w:val="auto"/>
          <w:kern w:val="0"/>
          <w:sz w:val="24"/>
          <w:highlight w:val="none"/>
        </w:rPr>
        <w:t>。</w:t>
      </w:r>
    </w:p>
    <w:p w14:paraId="005CEADD">
      <w:pPr>
        <w:pStyle w:val="29"/>
        <w:ind w:firstLine="480"/>
        <w:rPr>
          <w:rFonts w:ascii="宋体" w:hAnsi="宋体" w:cs="宋体"/>
          <w:color w:val="auto"/>
          <w:kern w:val="0"/>
          <w:sz w:val="24"/>
          <w:highlight w:val="none"/>
          <w:lang w:val="zh-CN"/>
        </w:rPr>
      </w:pPr>
    </w:p>
    <w:p w14:paraId="14FAF6BF">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2D1168A0">
      <w:pPr>
        <w:pStyle w:val="29"/>
        <w:ind w:firstLine="480"/>
        <w:rPr>
          <w:rFonts w:ascii="宋体" w:hAnsi="宋体" w:cs="宋体"/>
          <w:color w:val="auto"/>
          <w:kern w:val="0"/>
          <w:sz w:val="24"/>
          <w:highlight w:val="none"/>
          <w:lang w:val="zh-CN"/>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2DA071E">
      <w:pPr>
        <w:pStyle w:val="29"/>
        <w:ind w:firstLine="480"/>
        <w:rPr>
          <w:rFonts w:ascii="宋体" w:hAnsi="宋体" w:cs="宋体"/>
          <w:color w:val="auto"/>
          <w:kern w:val="0"/>
          <w:sz w:val="24"/>
          <w:highlight w:val="none"/>
          <w:lang w:val="zh-CN"/>
        </w:rPr>
      </w:pPr>
    </w:p>
    <w:p w14:paraId="0501F1DB">
      <w:pPr>
        <w:pStyle w:val="29"/>
        <w:ind w:firstLine="480"/>
        <w:rPr>
          <w:rFonts w:ascii="宋体" w:hAnsi="宋体" w:cs="宋体"/>
          <w:color w:val="auto"/>
          <w:kern w:val="0"/>
          <w:sz w:val="24"/>
          <w:highlight w:val="none"/>
          <w:lang w:val="zh-CN"/>
        </w:rPr>
      </w:pPr>
    </w:p>
    <w:p w14:paraId="33FABBDA">
      <w:pPr>
        <w:pStyle w:val="29"/>
        <w:ind w:firstLine="480"/>
        <w:rPr>
          <w:rFonts w:ascii="宋体" w:hAnsi="宋体" w:cs="宋体"/>
          <w:color w:val="auto"/>
          <w:kern w:val="0"/>
          <w:sz w:val="24"/>
          <w:highlight w:val="none"/>
          <w:lang w:val="zh-CN"/>
        </w:rPr>
      </w:pPr>
    </w:p>
    <w:p w14:paraId="46EFBF16">
      <w:pPr>
        <w:pStyle w:val="29"/>
        <w:ind w:firstLine="480"/>
        <w:rPr>
          <w:rFonts w:ascii="宋体" w:hAnsi="宋体" w:cs="宋体"/>
          <w:color w:val="auto"/>
          <w:kern w:val="0"/>
          <w:sz w:val="24"/>
          <w:highlight w:val="none"/>
          <w:lang w:val="zh-CN"/>
        </w:rPr>
      </w:pPr>
    </w:p>
    <w:p w14:paraId="4E4AC8CF">
      <w:pPr>
        <w:pStyle w:val="29"/>
        <w:ind w:firstLine="480"/>
        <w:rPr>
          <w:rFonts w:ascii="宋体" w:hAnsi="宋体" w:cs="宋体"/>
          <w:color w:val="auto"/>
          <w:kern w:val="0"/>
          <w:sz w:val="24"/>
          <w:highlight w:val="none"/>
          <w:lang w:val="zh-CN"/>
        </w:rPr>
      </w:pPr>
    </w:p>
    <w:p w14:paraId="3BE3A3E1">
      <w:pPr>
        <w:pStyle w:val="29"/>
        <w:ind w:firstLine="480"/>
        <w:rPr>
          <w:rFonts w:ascii="宋体" w:hAnsi="宋体" w:cs="宋体"/>
          <w:color w:val="auto"/>
          <w:kern w:val="0"/>
          <w:sz w:val="24"/>
          <w:highlight w:val="none"/>
          <w:lang w:val="zh-CN"/>
        </w:rPr>
      </w:pPr>
    </w:p>
    <w:p w14:paraId="21AF066C">
      <w:pPr>
        <w:pStyle w:val="29"/>
        <w:ind w:firstLine="480"/>
        <w:rPr>
          <w:rFonts w:ascii="宋体" w:hAnsi="宋体" w:cs="宋体"/>
          <w:color w:val="auto"/>
          <w:kern w:val="0"/>
          <w:sz w:val="24"/>
          <w:highlight w:val="none"/>
          <w:lang w:val="zh-CN"/>
        </w:rPr>
      </w:pPr>
    </w:p>
    <w:p w14:paraId="46BA6E78">
      <w:pPr>
        <w:pStyle w:val="29"/>
        <w:ind w:firstLine="480"/>
        <w:rPr>
          <w:rFonts w:ascii="宋体" w:hAnsi="宋体" w:cs="宋体"/>
          <w:color w:val="auto"/>
          <w:kern w:val="0"/>
          <w:sz w:val="24"/>
          <w:highlight w:val="none"/>
          <w:lang w:val="zh-CN"/>
        </w:rPr>
      </w:pPr>
    </w:p>
    <w:p w14:paraId="0AFBA5E0">
      <w:pPr>
        <w:pStyle w:val="29"/>
        <w:ind w:firstLine="480"/>
        <w:rPr>
          <w:rFonts w:ascii="宋体" w:hAnsi="宋体" w:cs="宋体"/>
          <w:color w:val="auto"/>
          <w:kern w:val="0"/>
          <w:sz w:val="24"/>
          <w:highlight w:val="none"/>
          <w:lang w:val="zh-CN"/>
        </w:rPr>
      </w:pPr>
    </w:p>
    <w:p w14:paraId="636323BF">
      <w:pPr>
        <w:pStyle w:val="29"/>
        <w:ind w:firstLine="480"/>
        <w:rPr>
          <w:rFonts w:ascii="宋体" w:hAnsi="宋体" w:cs="宋体"/>
          <w:color w:val="auto"/>
          <w:kern w:val="0"/>
          <w:sz w:val="24"/>
          <w:highlight w:val="none"/>
          <w:lang w:val="zh-CN"/>
        </w:rPr>
      </w:pPr>
    </w:p>
    <w:p w14:paraId="231106A0">
      <w:pPr>
        <w:pStyle w:val="29"/>
        <w:ind w:firstLine="480"/>
        <w:rPr>
          <w:rFonts w:ascii="宋体" w:hAnsi="宋体" w:cs="宋体"/>
          <w:color w:val="auto"/>
          <w:kern w:val="0"/>
          <w:sz w:val="24"/>
          <w:highlight w:val="none"/>
          <w:lang w:val="zh-CN"/>
        </w:rPr>
      </w:pPr>
    </w:p>
    <w:p w14:paraId="37824C29">
      <w:pPr>
        <w:pStyle w:val="29"/>
        <w:ind w:firstLine="480"/>
        <w:rPr>
          <w:rFonts w:ascii="宋体" w:hAnsi="宋体" w:cs="宋体"/>
          <w:color w:val="auto"/>
          <w:kern w:val="0"/>
          <w:sz w:val="24"/>
          <w:highlight w:val="none"/>
          <w:lang w:val="zh-CN"/>
        </w:rPr>
      </w:pPr>
    </w:p>
    <w:p w14:paraId="48F361E9">
      <w:pPr>
        <w:spacing w:line="600" w:lineRule="exact"/>
        <w:rPr>
          <w:rFonts w:ascii="宋体" w:hAnsi="宋体" w:cs="宋体"/>
          <w:b/>
          <w:bCs/>
          <w:color w:val="auto"/>
          <w:sz w:val="30"/>
          <w:szCs w:val="30"/>
          <w:highlight w:val="none"/>
        </w:rPr>
      </w:pPr>
      <w:r>
        <w:rPr>
          <w:rFonts w:hint="eastAsia" w:ascii="宋体" w:hAnsi="宋体" w:cs="宋体"/>
          <w:b/>
          <w:bCs/>
          <w:color w:val="auto"/>
          <w:sz w:val="30"/>
          <w:szCs w:val="30"/>
          <w:highlight w:val="none"/>
        </w:rPr>
        <w:t>十、除招标文件规定必须提供以外，投标人认为需要提供的其他证明材料。</w:t>
      </w:r>
    </w:p>
    <w:p w14:paraId="5F20F195">
      <w:pPr>
        <w:spacing w:line="600" w:lineRule="exact"/>
        <w:jc w:val="center"/>
        <w:rPr>
          <w:rFonts w:ascii="宋体" w:hAnsi="宋体" w:cs="宋体"/>
          <w:b/>
          <w:bCs/>
          <w:color w:val="auto"/>
          <w:sz w:val="30"/>
          <w:szCs w:val="30"/>
          <w:highlight w:val="none"/>
        </w:rPr>
      </w:pPr>
    </w:p>
    <w:p w14:paraId="002C825C">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332AFD96">
      <w:pPr>
        <w:rPr>
          <w:rFonts w:ascii="宋体" w:hAnsi="宋体" w:cs="宋体"/>
          <w:b/>
          <w:color w:val="auto"/>
          <w:sz w:val="28"/>
          <w:szCs w:val="28"/>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bookmarkStart w:id="176" w:name="_Toc19686838"/>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第三节、商务文件格式</w:t>
      </w:r>
      <w:bookmarkEnd w:id="176"/>
    </w:p>
    <w:p w14:paraId="32424B3B">
      <w:pPr>
        <w:snapToGrid w:val="0"/>
        <w:spacing w:before="165" w:beforeLines="50" w:after="50"/>
        <w:jc w:val="right"/>
        <w:rPr>
          <w:rFonts w:ascii="宋体" w:hAnsi="宋体" w:cs="宋体"/>
          <w:bCs/>
          <w:color w:val="auto"/>
          <w:sz w:val="32"/>
          <w:szCs w:val="20"/>
          <w:highlight w:val="none"/>
        </w:rPr>
      </w:pPr>
      <w:r>
        <w:rPr>
          <w:rFonts w:hint="eastAsia" w:ascii="宋体" w:hAnsi="宋体" w:cs="宋体"/>
          <w:bCs/>
          <w:color w:val="auto"/>
          <w:highlight w:val="none"/>
        </w:rPr>
        <w:t xml:space="preserve">     电子投标文件</w:t>
      </w:r>
    </w:p>
    <w:p w14:paraId="2B7E7DF2">
      <w:pPr>
        <w:snapToGrid w:val="0"/>
        <w:spacing w:before="165" w:beforeLines="50" w:after="50"/>
        <w:rPr>
          <w:rFonts w:ascii="宋体" w:hAnsi="宋体" w:cs="宋体"/>
          <w:color w:val="auto"/>
          <w:sz w:val="24"/>
          <w:szCs w:val="20"/>
          <w:highlight w:val="none"/>
        </w:rPr>
      </w:pPr>
    </w:p>
    <w:p w14:paraId="0A31AA2F">
      <w:pPr>
        <w:snapToGrid w:val="0"/>
        <w:spacing w:before="165" w:beforeLines="50" w:after="50"/>
        <w:jc w:val="center"/>
        <w:rPr>
          <w:rFonts w:ascii="宋体" w:hAnsi="宋体" w:cs="宋体"/>
          <w:b/>
          <w:color w:val="auto"/>
          <w:sz w:val="24"/>
          <w:szCs w:val="20"/>
          <w:highlight w:val="none"/>
        </w:rPr>
      </w:pPr>
      <w:r>
        <w:rPr>
          <w:rFonts w:hint="eastAsia" w:ascii="宋体" w:hAnsi="宋体" w:cs="宋体"/>
          <w:b/>
          <w:color w:val="auto"/>
          <w:sz w:val="32"/>
          <w:szCs w:val="32"/>
          <w:highlight w:val="none"/>
        </w:rPr>
        <w:t>商务文件（封面）</w:t>
      </w:r>
    </w:p>
    <w:p w14:paraId="50A82E9C">
      <w:pPr>
        <w:snapToGrid w:val="0"/>
        <w:spacing w:before="165" w:beforeLines="50" w:after="50"/>
        <w:rPr>
          <w:rFonts w:ascii="宋体" w:hAnsi="宋体" w:cs="宋体"/>
          <w:bCs/>
          <w:color w:val="auto"/>
          <w:sz w:val="24"/>
          <w:szCs w:val="20"/>
          <w:highlight w:val="none"/>
        </w:rPr>
      </w:pPr>
    </w:p>
    <w:p w14:paraId="42F2D747">
      <w:pPr>
        <w:snapToGrid w:val="0"/>
        <w:spacing w:before="165"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3942D689">
      <w:pPr>
        <w:snapToGrid w:val="0"/>
        <w:spacing w:before="165" w:beforeLines="50" w:after="50" w:line="400" w:lineRule="exact"/>
        <w:ind w:firstLine="360" w:firstLineChars="150"/>
        <w:rPr>
          <w:rFonts w:ascii="宋体" w:hAnsi="宋体" w:cs="宋体"/>
          <w:bCs/>
          <w:color w:val="auto"/>
          <w:sz w:val="24"/>
          <w:highlight w:val="none"/>
        </w:rPr>
      </w:pPr>
    </w:p>
    <w:p w14:paraId="61B21621">
      <w:pPr>
        <w:snapToGrid w:val="0"/>
        <w:spacing w:before="165"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4539787A">
      <w:pPr>
        <w:snapToGrid w:val="0"/>
        <w:spacing w:before="165" w:beforeLines="50" w:after="50" w:line="400" w:lineRule="exact"/>
        <w:ind w:firstLine="360" w:firstLineChars="150"/>
        <w:rPr>
          <w:rFonts w:ascii="宋体" w:hAnsi="宋体" w:cs="宋体"/>
          <w:bCs/>
          <w:color w:val="auto"/>
          <w:sz w:val="24"/>
          <w:highlight w:val="none"/>
        </w:rPr>
      </w:pPr>
    </w:p>
    <w:p w14:paraId="31F69D12">
      <w:pPr>
        <w:snapToGrid w:val="0"/>
        <w:spacing w:before="165"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所投分标：</w:t>
      </w:r>
    </w:p>
    <w:p w14:paraId="7B55A207">
      <w:pPr>
        <w:snapToGrid w:val="0"/>
        <w:spacing w:before="165" w:beforeLines="50" w:after="50" w:line="400" w:lineRule="exact"/>
        <w:ind w:firstLine="360" w:firstLineChars="150"/>
        <w:rPr>
          <w:rFonts w:ascii="宋体" w:hAnsi="宋体" w:cs="宋体"/>
          <w:bCs/>
          <w:color w:val="auto"/>
          <w:sz w:val="24"/>
          <w:highlight w:val="none"/>
        </w:rPr>
      </w:pPr>
    </w:p>
    <w:p w14:paraId="76C6FE3A">
      <w:pPr>
        <w:snapToGrid w:val="0"/>
        <w:spacing w:before="165"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01B18B5E">
      <w:pPr>
        <w:snapToGrid w:val="0"/>
        <w:spacing w:before="165" w:beforeLines="50" w:after="50" w:line="400" w:lineRule="exact"/>
        <w:ind w:firstLine="360" w:firstLineChars="150"/>
        <w:rPr>
          <w:rFonts w:ascii="宋体" w:hAnsi="宋体" w:cs="宋体"/>
          <w:bCs/>
          <w:color w:val="auto"/>
          <w:sz w:val="24"/>
          <w:highlight w:val="none"/>
        </w:rPr>
      </w:pPr>
    </w:p>
    <w:p w14:paraId="6BB8F086">
      <w:pPr>
        <w:snapToGrid w:val="0"/>
        <w:spacing w:before="165"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464C832E">
      <w:pPr>
        <w:pStyle w:val="7"/>
        <w:snapToGrid w:val="0"/>
        <w:spacing w:before="50" w:after="50" w:line="400" w:lineRule="exact"/>
        <w:ind w:firstLine="960" w:firstLineChars="400"/>
        <w:rPr>
          <w:rFonts w:ascii="宋体" w:hAnsi="宋体" w:cs="宋体"/>
          <w:bCs/>
          <w:color w:val="auto"/>
          <w:sz w:val="24"/>
          <w:szCs w:val="24"/>
          <w:highlight w:val="none"/>
        </w:rPr>
      </w:pPr>
    </w:p>
    <w:p w14:paraId="455AE57F">
      <w:pPr>
        <w:pStyle w:val="7"/>
        <w:snapToGrid w:val="0"/>
        <w:spacing w:before="50" w:after="50"/>
        <w:ind w:firstLine="540" w:firstLineChars="225"/>
        <w:rPr>
          <w:rFonts w:ascii="宋体" w:hAnsi="宋体" w:cs="宋体"/>
          <w:bCs/>
          <w:color w:val="auto"/>
          <w:sz w:val="24"/>
          <w:szCs w:val="24"/>
          <w:highlight w:val="none"/>
        </w:rPr>
      </w:pPr>
    </w:p>
    <w:p w14:paraId="64FA5286">
      <w:pPr>
        <w:pStyle w:val="7"/>
        <w:snapToGrid w:val="0"/>
        <w:spacing w:before="50" w:after="50"/>
        <w:ind w:firstLine="960" w:firstLineChars="400"/>
        <w:rPr>
          <w:rFonts w:ascii="宋体" w:hAnsi="宋体" w:cs="宋体"/>
          <w:bCs/>
          <w:color w:val="auto"/>
          <w:sz w:val="24"/>
          <w:szCs w:val="24"/>
          <w:highlight w:val="none"/>
        </w:rPr>
      </w:pPr>
    </w:p>
    <w:p w14:paraId="705AC096">
      <w:pPr>
        <w:snapToGrid w:val="0"/>
        <w:spacing w:before="165" w:beforeLines="50" w:after="50"/>
        <w:ind w:firstLine="645"/>
        <w:rPr>
          <w:rFonts w:ascii="宋体" w:hAnsi="宋体" w:cs="宋体"/>
          <w:color w:val="auto"/>
          <w:sz w:val="24"/>
          <w:highlight w:val="none"/>
        </w:rPr>
      </w:pPr>
      <w:r>
        <w:rPr>
          <w:rFonts w:hint="eastAsia" w:ascii="宋体" w:hAnsi="宋体" w:cs="宋体"/>
          <w:color w:val="auto"/>
          <w:sz w:val="24"/>
          <w:highlight w:val="none"/>
        </w:rPr>
        <w:t xml:space="preserve">                        年  月  日</w:t>
      </w:r>
    </w:p>
    <w:p w14:paraId="1857A2B9">
      <w:pPr>
        <w:snapToGrid w:val="0"/>
        <w:spacing w:before="165" w:beforeLines="50" w:after="50"/>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2660EBBD">
      <w:pPr>
        <w:spacing w:line="360" w:lineRule="auto"/>
        <w:ind w:right="420"/>
        <w:rPr>
          <w:rFonts w:ascii="宋体" w:hAnsi="宋体" w:cs="宋体"/>
          <w:color w:val="auto"/>
          <w:sz w:val="24"/>
          <w:szCs w:val="20"/>
          <w:highlight w:val="none"/>
        </w:rPr>
      </w:pPr>
    </w:p>
    <w:p w14:paraId="64CDBDB7">
      <w:pPr>
        <w:spacing w:line="360" w:lineRule="auto"/>
        <w:ind w:right="420"/>
        <w:rPr>
          <w:rFonts w:ascii="宋体" w:hAnsi="宋体" w:cs="宋体"/>
          <w:color w:val="auto"/>
          <w:sz w:val="24"/>
          <w:szCs w:val="20"/>
          <w:highlight w:val="none"/>
        </w:rPr>
      </w:pPr>
    </w:p>
    <w:p w14:paraId="5429F4EF">
      <w:pPr>
        <w:spacing w:line="360" w:lineRule="auto"/>
        <w:ind w:right="420"/>
        <w:rPr>
          <w:rFonts w:ascii="宋体" w:hAnsi="宋体" w:cs="宋体"/>
          <w:color w:val="auto"/>
          <w:sz w:val="24"/>
          <w:szCs w:val="20"/>
          <w:highlight w:val="none"/>
        </w:rPr>
      </w:pPr>
    </w:p>
    <w:p w14:paraId="2316A8A5">
      <w:pPr>
        <w:spacing w:line="360" w:lineRule="auto"/>
        <w:ind w:right="420"/>
        <w:rPr>
          <w:rFonts w:ascii="宋体" w:hAnsi="宋体" w:cs="宋体"/>
          <w:color w:val="auto"/>
          <w:sz w:val="24"/>
          <w:szCs w:val="20"/>
          <w:highlight w:val="none"/>
        </w:rPr>
      </w:pPr>
    </w:p>
    <w:p w14:paraId="0D609D8F">
      <w:pPr>
        <w:spacing w:line="360" w:lineRule="auto"/>
        <w:ind w:right="420"/>
        <w:rPr>
          <w:rFonts w:ascii="宋体" w:hAnsi="宋体" w:cs="宋体"/>
          <w:color w:val="auto"/>
          <w:sz w:val="24"/>
          <w:szCs w:val="20"/>
          <w:highlight w:val="none"/>
        </w:rPr>
      </w:pPr>
    </w:p>
    <w:p w14:paraId="3AF90D68">
      <w:pPr>
        <w:spacing w:line="360" w:lineRule="auto"/>
        <w:ind w:right="420"/>
        <w:rPr>
          <w:rFonts w:ascii="宋体" w:hAnsi="宋体" w:cs="宋体"/>
          <w:color w:val="auto"/>
          <w:sz w:val="24"/>
          <w:szCs w:val="20"/>
          <w:highlight w:val="none"/>
        </w:rPr>
      </w:pPr>
    </w:p>
    <w:p w14:paraId="21D5E83A">
      <w:pPr>
        <w:spacing w:line="360" w:lineRule="auto"/>
        <w:ind w:right="420"/>
        <w:rPr>
          <w:rFonts w:ascii="宋体" w:hAnsi="宋体" w:cs="宋体"/>
          <w:color w:val="auto"/>
          <w:sz w:val="24"/>
          <w:szCs w:val="20"/>
          <w:highlight w:val="none"/>
        </w:rPr>
      </w:pPr>
    </w:p>
    <w:p w14:paraId="02DBD979">
      <w:pPr>
        <w:spacing w:line="360" w:lineRule="auto"/>
        <w:ind w:right="420"/>
        <w:rPr>
          <w:rFonts w:ascii="宋体" w:hAnsi="宋体" w:cs="宋体"/>
          <w:color w:val="auto"/>
          <w:sz w:val="24"/>
          <w:szCs w:val="20"/>
          <w:highlight w:val="none"/>
        </w:rPr>
      </w:pPr>
    </w:p>
    <w:p w14:paraId="08C2B78E">
      <w:pPr>
        <w:spacing w:line="360" w:lineRule="auto"/>
        <w:ind w:right="420"/>
        <w:rPr>
          <w:rFonts w:ascii="宋体" w:hAnsi="宋体" w:cs="宋体"/>
          <w:color w:val="auto"/>
          <w:sz w:val="24"/>
          <w:szCs w:val="20"/>
          <w:highlight w:val="none"/>
        </w:rPr>
      </w:pPr>
    </w:p>
    <w:p w14:paraId="10BEE1F3">
      <w:pPr>
        <w:spacing w:line="360" w:lineRule="auto"/>
        <w:ind w:right="420"/>
        <w:rPr>
          <w:rFonts w:ascii="宋体" w:hAnsi="宋体" w:cs="宋体"/>
          <w:b/>
          <w:color w:val="auto"/>
          <w:kern w:val="0"/>
          <w:sz w:val="24"/>
          <w:highlight w:val="none"/>
        </w:rPr>
      </w:pPr>
      <w:r>
        <w:rPr>
          <w:rFonts w:hint="eastAsia" w:ascii="宋体" w:hAnsi="宋体" w:cs="宋体"/>
          <w:b/>
          <w:color w:val="auto"/>
          <w:kern w:val="0"/>
          <w:sz w:val="36"/>
          <w:szCs w:val="36"/>
          <w:highlight w:val="none"/>
        </w:rPr>
        <w:t xml:space="preserve"> </w:t>
      </w:r>
    </w:p>
    <w:p w14:paraId="16007245">
      <w:pPr>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商务文件目录</w:t>
      </w:r>
    </w:p>
    <w:p w14:paraId="45850F4E">
      <w:pPr>
        <w:pStyle w:val="34"/>
        <w:numPr>
          <w:ilvl w:val="0"/>
          <w:numId w:val="3"/>
        </w:numPr>
        <w:spacing w:line="360" w:lineRule="auto"/>
        <w:rPr>
          <w:rFonts w:ascii="宋体" w:hAnsi="宋体" w:eastAsia="宋体" w:cs="宋体"/>
          <w:color w:val="auto"/>
          <w:highlight w:val="none"/>
        </w:rPr>
      </w:pPr>
      <w:r>
        <w:rPr>
          <w:rFonts w:hint="eastAsia" w:ascii="宋体" w:hAnsi="宋体" w:eastAsia="宋体" w:cs="宋体"/>
          <w:color w:val="auto"/>
          <w:highlight w:val="none"/>
        </w:rPr>
        <w:t>无串标行为承诺函………………………………………………………（页码）</w:t>
      </w:r>
    </w:p>
    <w:p w14:paraId="3A5C34BD">
      <w:pPr>
        <w:pStyle w:val="34"/>
        <w:numPr>
          <w:ilvl w:val="0"/>
          <w:numId w:val="3"/>
        </w:numPr>
        <w:spacing w:line="360" w:lineRule="auto"/>
        <w:rPr>
          <w:rFonts w:ascii="宋体" w:hAnsi="宋体" w:eastAsia="宋体" w:cs="宋体"/>
          <w:color w:val="auto"/>
          <w:highlight w:val="none"/>
        </w:rPr>
      </w:pPr>
      <w:r>
        <w:rPr>
          <w:rFonts w:hint="eastAsia" w:ascii="宋体" w:hAnsi="宋体" w:eastAsia="宋体" w:cs="宋体"/>
          <w:color w:val="auto"/>
          <w:szCs w:val="21"/>
          <w:highlight w:val="none"/>
        </w:rPr>
        <w:t>投标保证金提交凭证</w:t>
      </w:r>
      <w:r>
        <w:rPr>
          <w:rFonts w:hint="eastAsia" w:ascii="宋体" w:hAnsi="宋体" w:eastAsia="宋体" w:cs="宋体"/>
          <w:color w:val="auto"/>
          <w:highlight w:val="none"/>
        </w:rPr>
        <w:t>……………………………………………………（页码）</w:t>
      </w:r>
    </w:p>
    <w:p w14:paraId="41466A81">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三、法定代表人身份证明及法定代表人有效身份证正反面………………（页码）</w:t>
      </w:r>
    </w:p>
    <w:p w14:paraId="6C3B857C">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四、法定代表人授权委托书（如有委托时）………………………………（页码）</w:t>
      </w:r>
    </w:p>
    <w:p w14:paraId="7858137F">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五、</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4E0C4781">
      <w:pPr>
        <w:pStyle w:val="34"/>
        <w:spacing w:line="360" w:lineRule="auto"/>
        <w:rPr>
          <w:rFonts w:ascii="宋体" w:hAnsi="宋体" w:eastAsia="宋体" w:cs="宋体"/>
          <w:color w:val="auto"/>
          <w:highlight w:val="none"/>
        </w:rPr>
      </w:pPr>
      <w:bookmarkStart w:id="177" w:name="OLE_LINK7"/>
      <w:bookmarkStart w:id="178" w:name="OLE_LINK6"/>
      <w:bookmarkStart w:id="179" w:name="OLE_LINK5"/>
      <w:r>
        <w:rPr>
          <w:rFonts w:hint="eastAsia" w:ascii="宋体" w:hAnsi="宋体" w:eastAsia="宋体" w:cs="宋体"/>
          <w:color w:val="auto"/>
          <w:highlight w:val="none"/>
        </w:rPr>
        <w:t>六、投标人情况介绍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1DD25272">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七、投标人类似业绩的证明文件</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177"/>
      <w:bookmarkEnd w:id="178"/>
    </w:p>
    <w:p w14:paraId="3FA0E6B6">
      <w:pPr>
        <w:pStyle w:val="34"/>
        <w:spacing w:line="360" w:lineRule="auto"/>
        <w:rPr>
          <w:rFonts w:ascii="宋体" w:hAnsi="宋体" w:eastAsia="宋体" w:cs="宋体"/>
          <w:color w:val="auto"/>
          <w:highlight w:val="none"/>
        </w:rPr>
      </w:pPr>
      <w:r>
        <w:rPr>
          <w:rFonts w:hint="eastAsia" w:ascii="宋体" w:hAnsi="宋体" w:eastAsia="宋体" w:cs="宋体"/>
          <w:color w:val="auto"/>
          <w:highlight w:val="none"/>
        </w:rPr>
        <w:t>八、</w:t>
      </w:r>
      <w:r>
        <w:rPr>
          <w:rFonts w:hint="eastAsia" w:ascii="宋体" w:hAnsi="宋体" w:eastAsia="宋体" w:cs="宋体"/>
          <w:color w:val="auto"/>
          <w:szCs w:val="21"/>
          <w:highlight w:val="none"/>
        </w:rPr>
        <w:t>除招标文件规定必须提供以外，投标人认为需要提供的其他证明材料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79"/>
    <w:p w14:paraId="597A9767">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4FEAA8A4">
      <w:pPr>
        <w:widowControl/>
        <w:spacing w:line="360" w:lineRule="auto"/>
        <w:jc w:val="left"/>
        <w:rPr>
          <w:rFonts w:ascii="宋体" w:hAnsi="宋体" w:cs="宋体"/>
          <w:color w:val="auto"/>
          <w:highlight w:val="none"/>
        </w:rPr>
        <w:sectPr>
          <w:pgSz w:w="11906" w:h="16838"/>
          <w:pgMar w:top="1134" w:right="1134" w:bottom="1134" w:left="1134" w:header="720" w:footer="720" w:gutter="0"/>
          <w:cols w:space="720" w:num="1"/>
          <w:docGrid w:type="lines" w:linePitch="331" w:charSpace="0"/>
        </w:sectPr>
      </w:pPr>
    </w:p>
    <w:p w14:paraId="7D80ED94">
      <w:pPr>
        <w:snapToGrid w:val="0"/>
        <w:spacing w:before="120" w:beforeLines="50" w:after="50"/>
        <w:ind w:left="42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一、无串标行为承诺函</w:t>
      </w:r>
    </w:p>
    <w:p w14:paraId="2476303F">
      <w:pPr>
        <w:snapToGrid w:val="0"/>
        <w:spacing w:before="120" w:beforeLines="50" w:after="50"/>
        <w:ind w:left="420"/>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投标人参加本项目无围标串标行为的承诺函</w:t>
      </w:r>
    </w:p>
    <w:p w14:paraId="45B99954">
      <w:pPr>
        <w:snapToGrid w:val="0"/>
        <w:spacing w:before="120" w:beforeLines="50" w:after="50"/>
        <w:rPr>
          <w:rFonts w:ascii="宋体" w:hAnsi="宋体" w:cs="宋体"/>
          <w:b/>
          <w:color w:val="auto"/>
          <w:szCs w:val="21"/>
          <w:highlight w:val="none"/>
        </w:rPr>
      </w:pPr>
    </w:p>
    <w:p w14:paraId="1C5A4CD2">
      <w:pPr>
        <w:snapToGrid w:val="0"/>
        <w:spacing w:before="120" w:beforeLines="50" w:after="50" w:line="360" w:lineRule="auto"/>
        <w:jc w:val="left"/>
        <w:rPr>
          <w:rFonts w:ascii="宋体" w:hAnsi="宋体" w:cs="宋体"/>
          <w:b/>
          <w:color w:val="auto"/>
          <w:szCs w:val="21"/>
          <w:highlight w:val="none"/>
        </w:rPr>
      </w:pPr>
      <w:r>
        <w:rPr>
          <w:rFonts w:hint="eastAsia" w:ascii="宋体" w:hAnsi="宋体" w:cs="宋体"/>
          <w:b/>
          <w:color w:val="auto"/>
          <w:szCs w:val="21"/>
          <w:highlight w:val="none"/>
        </w:rPr>
        <w:t>一、我方承诺无下列相互串通投标的情形：</w:t>
      </w:r>
    </w:p>
    <w:p w14:paraId="2CF0BBCE">
      <w:pPr>
        <w:snapToGrid w:val="0"/>
        <w:spacing w:before="120"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1.不同投标人的投标文件由同一单位或者个人编制；或者不同投标人报名的IP地址一致的；或者编制标书硬件设备CPU编号、硬盘编号、网卡地址一致的情况。</w:t>
      </w:r>
    </w:p>
    <w:p w14:paraId="583460D8">
      <w:pPr>
        <w:snapToGrid w:val="0"/>
        <w:spacing w:before="120"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52169571">
      <w:pPr>
        <w:snapToGrid w:val="0"/>
        <w:spacing w:before="120"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3.不同的投标人的投标文件载明的项目管理员为同一个人；</w:t>
      </w:r>
    </w:p>
    <w:p w14:paraId="0D85FF4B">
      <w:pPr>
        <w:snapToGrid w:val="0"/>
        <w:spacing w:before="120"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1EDF65B8">
      <w:pPr>
        <w:snapToGrid w:val="0"/>
        <w:spacing w:before="120"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47D61098">
      <w:pPr>
        <w:snapToGrid w:val="0"/>
        <w:spacing w:before="120"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6.不同投标人的投标保证金从同一单位或者个人账户转出。</w:t>
      </w:r>
    </w:p>
    <w:p w14:paraId="6C40AE4F">
      <w:pPr>
        <w:snapToGrid w:val="0"/>
        <w:spacing w:before="120" w:beforeLines="50" w:after="50" w:line="360" w:lineRule="auto"/>
        <w:jc w:val="left"/>
        <w:rPr>
          <w:rFonts w:ascii="宋体" w:hAnsi="宋体" w:cs="宋体"/>
          <w:color w:val="auto"/>
          <w:szCs w:val="21"/>
          <w:highlight w:val="none"/>
        </w:rPr>
      </w:pPr>
      <w:r>
        <w:rPr>
          <w:rFonts w:hint="eastAsia" w:ascii="宋体" w:hAnsi="宋体" w:cs="宋体"/>
          <w:b/>
          <w:color w:val="auto"/>
          <w:szCs w:val="21"/>
          <w:highlight w:val="none"/>
        </w:rPr>
        <w:t>二、我方承诺无下列恶意串通的情形：</w:t>
      </w:r>
    </w:p>
    <w:p w14:paraId="7210E32A">
      <w:pPr>
        <w:snapToGrid w:val="0"/>
        <w:spacing w:before="120"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1.投标人直接或者间接从采购人或者采购代理机构处获得其他投标人的相关信息并修改其投标文件或者投标文件；</w:t>
      </w:r>
    </w:p>
    <w:p w14:paraId="6C5BA3CC">
      <w:pPr>
        <w:snapToGrid w:val="0"/>
        <w:spacing w:before="120"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2.投标人按照采购人或者采购代理机构的授意撤换、修改投标文件或者投标文件；</w:t>
      </w:r>
    </w:p>
    <w:p w14:paraId="7F2CE563">
      <w:pPr>
        <w:snapToGrid w:val="0"/>
        <w:spacing w:before="120"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3.投标人之间协商报价、技术方案等投标文件或者投标文件的实质性内容；</w:t>
      </w:r>
    </w:p>
    <w:p w14:paraId="0F0847B5">
      <w:pPr>
        <w:snapToGrid w:val="0"/>
        <w:spacing w:before="120"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4.属于同一集团、协会、商会等组织成员的投标人按照该组织要求协同参加政府采购活动；</w:t>
      </w:r>
    </w:p>
    <w:p w14:paraId="2460C34E">
      <w:pPr>
        <w:snapToGrid w:val="0"/>
        <w:spacing w:before="120"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18D9ECEC">
      <w:pPr>
        <w:snapToGrid w:val="0"/>
        <w:spacing w:before="120"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6.投标人之间商定部分投标人放弃参加政府采购活动或者放弃中标；</w:t>
      </w:r>
    </w:p>
    <w:p w14:paraId="1DF0B792">
      <w:pPr>
        <w:snapToGrid w:val="0"/>
        <w:spacing w:before="120" w:beforeLines="50" w:after="50"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7.投标人与采购人或者采购代理机构之间、投标人相互之间，为谋求特定投标人中标或者排斥其他投标人的其他串通行为。</w:t>
      </w:r>
    </w:p>
    <w:p w14:paraId="60365574">
      <w:pPr>
        <w:snapToGrid w:val="0"/>
        <w:spacing w:before="120" w:beforeLines="50" w:after="50"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以上情形一经核查属实，接受政府采购监管部门对我方认定存在围标串标行为，我方愿意承担一切后果，并不再寻求任何旨在减轻或者免除法律责任的辩解。</w:t>
      </w:r>
    </w:p>
    <w:p w14:paraId="0ADD51AB">
      <w:pPr>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4750ABD9">
      <w:pPr>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E806B0D">
      <w:pPr>
        <w:pStyle w:val="11"/>
        <w:snapToGrid w:val="0"/>
        <w:spacing w:before="295" w:after="295" w:line="360" w:lineRule="auto"/>
        <w:ind w:left="420" w:leftChars="200"/>
        <w:jc w:val="center"/>
        <w:rPr>
          <w:rFonts w:hAnsi="宋体" w:cs="宋体"/>
          <w:b/>
          <w:color w:val="auto"/>
          <w:sz w:val="24"/>
          <w:highlight w:val="none"/>
        </w:rPr>
      </w:pPr>
      <w:r>
        <w:rPr>
          <w:rFonts w:hint="eastAsia" w:hAnsi="宋体" w:cs="宋体"/>
          <w:b/>
          <w:color w:val="auto"/>
          <w:sz w:val="24"/>
          <w:highlight w:val="none"/>
        </w:rPr>
        <w:br w:type="page"/>
      </w:r>
      <w:r>
        <w:rPr>
          <w:rFonts w:hint="eastAsia" w:hAnsi="宋体" w:cs="宋体"/>
          <w:b/>
          <w:bCs/>
          <w:color w:val="auto"/>
          <w:sz w:val="30"/>
          <w:szCs w:val="30"/>
          <w:highlight w:val="none"/>
        </w:rPr>
        <w:t>二、投标保证金提交证明</w:t>
      </w:r>
    </w:p>
    <w:p w14:paraId="3C483483">
      <w:pPr>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68DE478B">
      <w:pPr>
        <w:snapToGrid w:val="0"/>
        <w:spacing w:line="360" w:lineRule="auto"/>
        <w:ind w:firstLine="4935" w:firstLineChars="2350"/>
        <w:rPr>
          <w:rFonts w:ascii="宋体" w:hAnsi="宋体" w:cs="宋体"/>
          <w:color w:val="auto"/>
          <w:szCs w:val="21"/>
          <w:highlight w:val="none"/>
        </w:rPr>
      </w:pPr>
    </w:p>
    <w:p w14:paraId="7E7607C3">
      <w:pPr>
        <w:snapToGrid w:val="0"/>
        <w:spacing w:line="360" w:lineRule="auto"/>
        <w:ind w:firstLine="4935" w:firstLineChars="2350"/>
        <w:rPr>
          <w:rFonts w:ascii="宋体" w:hAnsi="宋体" w:cs="宋体"/>
          <w:color w:val="auto"/>
          <w:szCs w:val="21"/>
          <w:highlight w:val="none"/>
        </w:rPr>
      </w:pPr>
    </w:p>
    <w:p w14:paraId="07A0E1BB">
      <w:pPr>
        <w:snapToGrid w:val="0"/>
        <w:spacing w:line="360" w:lineRule="auto"/>
        <w:ind w:firstLine="5640" w:firstLineChars="23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04A20D6D">
      <w:pPr>
        <w:snapToGrid w:val="0"/>
        <w:spacing w:line="360" w:lineRule="auto"/>
        <w:ind w:firstLine="5640" w:firstLineChars="23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81B3D2A">
      <w:pPr>
        <w:pStyle w:val="11"/>
        <w:snapToGrid w:val="0"/>
        <w:spacing w:before="295" w:after="295" w:line="360" w:lineRule="auto"/>
        <w:ind w:left="420" w:leftChars="200"/>
        <w:rPr>
          <w:rFonts w:hAnsi="宋体" w:cs="宋体"/>
          <w:b/>
          <w:color w:val="auto"/>
          <w:sz w:val="24"/>
          <w:highlight w:val="none"/>
        </w:rPr>
      </w:pPr>
    </w:p>
    <w:p w14:paraId="605E25BD">
      <w:pPr>
        <w:rPr>
          <w:rFonts w:ascii="Arial" w:hAnsi="Arial"/>
          <w:b/>
          <w:color w:val="auto"/>
          <w:sz w:val="28"/>
          <w:highlight w:val="none"/>
        </w:rPr>
      </w:pPr>
    </w:p>
    <w:p w14:paraId="5CE171FA">
      <w:pPr>
        <w:rPr>
          <w:color w:val="auto"/>
          <w:highlight w:val="none"/>
        </w:rPr>
      </w:pPr>
    </w:p>
    <w:p w14:paraId="6788262A">
      <w:pPr>
        <w:rPr>
          <w:color w:val="auto"/>
          <w:highlight w:val="none"/>
        </w:rPr>
      </w:pPr>
    </w:p>
    <w:p w14:paraId="58147FBB">
      <w:pPr>
        <w:rPr>
          <w:color w:val="auto"/>
          <w:highlight w:val="none"/>
        </w:rPr>
      </w:pPr>
    </w:p>
    <w:p w14:paraId="7887C938">
      <w:pPr>
        <w:pStyle w:val="11"/>
        <w:snapToGrid w:val="0"/>
        <w:spacing w:before="295" w:after="295" w:line="360" w:lineRule="auto"/>
        <w:ind w:left="420" w:leftChars="200"/>
        <w:jc w:val="center"/>
        <w:rPr>
          <w:rFonts w:hAnsi="宋体" w:cs="宋体"/>
          <w:b/>
          <w:color w:val="auto"/>
          <w:sz w:val="24"/>
          <w:highlight w:val="none"/>
        </w:rPr>
      </w:pPr>
      <w:r>
        <w:rPr>
          <w:rFonts w:hint="eastAsia" w:hAnsi="宋体" w:cs="宋体"/>
          <w:b/>
          <w:bCs/>
          <w:color w:val="auto"/>
          <w:sz w:val="30"/>
          <w:szCs w:val="30"/>
          <w:highlight w:val="none"/>
        </w:rPr>
        <w:br w:type="page"/>
      </w:r>
      <w:r>
        <w:rPr>
          <w:rFonts w:hint="eastAsia" w:hAnsi="宋体" w:cs="宋体"/>
          <w:b/>
          <w:bCs/>
          <w:color w:val="auto"/>
          <w:sz w:val="30"/>
          <w:szCs w:val="30"/>
          <w:highlight w:val="none"/>
        </w:rPr>
        <w:t>三、法定代表人身份证明</w:t>
      </w:r>
    </w:p>
    <w:p w14:paraId="0660FF1F">
      <w:pPr>
        <w:spacing w:before="240" w:beforeLines="100" w:after="120" w:afterLines="50"/>
        <w:ind w:left="540"/>
        <w:jc w:val="center"/>
        <w:rPr>
          <w:rFonts w:ascii="宋体" w:hAnsi="宋体" w:cs="宋体"/>
          <w:b/>
          <w:color w:val="auto"/>
          <w:sz w:val="32"/>
          <w:szCs w:val="32"/>
          <w:highlight w:val="none"/>
        </w:rPr>
      </w:pPr>
    </w:p>
    <w:p w14:paraId="2A680381">
      <w:pPr>
        <w:spacing w:before="240" w:beforeLines="100" w:after="120" w:afterLines="50"/>
        <w:ind w:left="540"/>
        <w:jc w:val="center"/>
        <w:rPr>
          <w:rFonts w:ascii="宋体" w:hAnsi="宋体" w:cs="宋体"/>
          <w:color w:val="auto"/>
          <w:sz w:val="32"/>
          <w:szCs w:val="32"/>
          <w:highlight w:val="none"/>
        </w:rPr>
      </w:pPr>
      <w:r>
        <w:rPr>
          <w:rFonts w:hint="eastAsia" w:ascii="宋体" w:hAnsi="宋体" w:cs="宋体"/>
          <w:b/>
          <w:color w:val="auto"/>
          <w:sz w:val="32"/>
          <w:szCs w:val="32"/>
          <w:highlight w:val="none"/>
        </w:rPr>
        <w:t>法定代表人身份证明</w:t>
      </w:r>
    </w:p>
    <w:p w14:paraId="776740D6">
      <w:pPr>
        <w:spacing w:line="500" w:lineRule="exact"/>
        <w:ind w:left="540"/>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                                                        </w:t>
      </w:r>
    </w:p>
    <w:p w14:paraId="34353311">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4A640A2F">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2EB5522F">
      <w:pPr>
        <w:spacing w:line="500" w:lineRule="exact"/>
        <w:ind w:left="540"/>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6B18E212">
      <w:pPr>
        <w:spacing w:line="500" w:lineRule="exact"/>
        <w:ind w:left="54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43C646B8">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246CA865">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特此证明。</w:t>
      </w:r>
    </w:p>
    <w:p w14:paraId="0073347A">
      <w:pPr>
        <w:spacing w:line="500" w:lineRule="exact"/>
        <w:ind w:left="540"/>
        <w:rPr>
          <w:rFonts w:ascii="宋体" w:hAnsi="宋体" w:cs="宋体"/>
          <w:color w:val="auto"/>
          <w:sz w:val="24"/>
          <w:highlight w:val="none"/>
        </w:rPr>
      </w:pPr>
    </w:p>
    <w:p w14:paraId="0089D2B0">
      <w:pPr>
        <w:spacing w:line="500" w:lineRule="exact"/>
        <w:ind w:left="540"/>
        <w:rPr>
          <w:rFonts w:ascii="宋体" w:hAnsi="宋体" w:cs="宋体"/>
          <w:color w:val="auto"/>
          <w:sz w:val="24"/>
          <w:highlight w:val="none"/>
        </w:rPr>
      </w:pPr>
    </w:p>
    <w:p w14:paraId="235020E4">
      <w:pPr>
        <w:spacing w:line="500" w:lineRule="exact"/>
        <w:ind w:left="540"/>
        <w:rPr>
          <w:rFonts w:ascii="宋体" w:hAnsi="宋体" w:cs="宋体"/>
          <w:color w:val="auto"/>
          <w:sz w:val="24"/>
          <w:highlight w:val="none"/>
        </w:rPr>
      </w:pPr>
      <w:r>
        <w:rPr>
          <w:rFonts w:hint="eastAsia" w:ascii="宋体" w:hAnsi="宋体" w:cs="宋体"/>
          <w:color w:val="auto"/>
          <w:sz w:val="24"/>
          <w:highlight w:val="none"/>
        </w:rPr>
        <w:t>附件：法定代表人有效身份证正反面</w:t>
      </w:r>
    </w:p>
    <w:p w14:paraId="3F714AF0">
      <w:pPr>
        <w:spacing w:line="500" w:lineRule="exact"/>
        <w:ind w:left="540"/>
        <w:rPr>
          <w:rFonts w:ascii="宋体" w:hAnsi="宋体" w:cs="宋体"/>
          <w:color w:val="auto"/>
          <w:sz w:val="24"/>
          <w:highlight w:val="none"/>
        </w:rPr>
      </w:pPr>
    </w:p>
    <w:p w14:paraId="5783846D">
      <w:pPr>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0B0D387D">
      <w:pPr>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7F07D1A">
      <w:pPr>
        <w:snapToGrid w:val="0"/>
        <w:spacing w:before="120" w:beforeLines="50" w:after="50"/>
        <w:jc w:val="center"/>
        <w:rPr>
          <w:rFonts w:ascii="宋体" w:hAnsi="宋体" w:cs="宋体"/>
          <w:b/>
          <w:color w:val="auto"/>
          <w:sz w:val="24"/>
          <w:highlight w:val="none"/>
        </w:rPr>
      </w:pPr>
    </w:p>
    <w:p w14:paraId="551FCCAB">
      <w:pPr>
        <w:snapToGrid w:val="0"/>
        <w:spacing w:before="120" w:beforeLines="50" w:after="50"/>
        <w:ind w:firstLine="600" w:firstLineChars="250"/>
        <w:jc w:val="left"/>
        <w:rPr>
          <w:rFonts w:ascii="宋体" w:hAnsi="宋体" w:cs="宋体"/>
          <w:color w:val="auto"/>
          <w:sz w:val="24"/>
          <w:highlight w:val="none"/>
        </w:rPr>
      </w:pPr>
      <w:r>
        <w:rPr>
          <w:rFonts w:hint="eastAsia" w:ascii="宋体" w:hAnsi="宋体" w:cs="宋体"/>
          <w:color w:val="auto"/>
          <w:sz w:val="24"/>
          <w:highlight w:val="none"/>
        </w:rPr>
        <w:t>注：自然人投标只需提供有效身份证正反面。</w:t>
      </w:r>
    </w:p>
    <w:p w14:paraId="07B8DEB0">
      <w:pPr>
        <w:snapToGrid w:val="0"/>
        <w:spacing w:before="120" w:beforeLines="50" w:after="50"/>
        <w:ind w:firstLine="600" w:firstLineChars="250"/>
        <w:jc w:val="left"/>
        <w:rPr>
          <w:rFonts w:ascii="宋体" w:hAnsi="宋体" w:cs="宋体"/>
          <w:color w:val="auto"/>
          <w:sz w:val="24"/>
          <w:highlight w:val="none"/>
        </w:rPr>
      </w:pPr>
    </w:p>
    <w:p w14:paraId="4E7CB3E9">
      <w:pPr>
        <w:snapToGrid w:val="0"/>
        <w:spacing w:before="120" w:beforeLines="50" w:after="50"/>
        <w:ind w:firstLine="602" w:firstLineChars="250"/>
        <w:jc w:val="left"/>
        <w:rPr>
          <w:rFonts w:ascii="宋体" w:hAnsi="宋体" w:cs="宋体"/>
          <w:b/>
          <w:color w:val="auto"/>
          <w:sz w:val="24"/>
          <w:szCs w:val="20"/>
          <w:highlight w:val="none"/>
        </w:rPr>
      </w:pPr>
    </w:p>
    <w:tbl>
      <w:tblPr>
        <w:tblStyle w:val="19"/>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21F97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tcPr>
          <w:p w14:paraId="4C443210">
            <w:pPr>
              <w:spacing w:line="360" w:lineRule="auto"/>
              <w:rPr>
                <w:rFonts w:ascii="宋体" w:hAnsi="宋体" w:cs="宋体"/>
                <w:b/>
                <w:color w:val="auto"/>
                <w:sz w:val="24"/>
                <w:highlight w:val="none"/>
              </w:rPr>
            </w:pPr>
          </w:p>
          <w:p w14:paraId="345E3C36">
            <w:pPr>
              <w:spacing w:line="360" w:lineRule="auto"/>
              <w:rPr>
                <w:rFonts w:ascii="宋体" w:hAnsi="宋体" w:cs="宋体"/>
                <w:b/>
                <w:color w:val="auto"/>
                <w:sz w:val="24"/>
                <w:highlight w:val="none"/>
              </w:rPr>
            </w:pPr>
            <w:r>
              <w:rPr>
                <w:rFonts w:hint="eastAsia" w:ascii="宋体" w:hAnsi="宋体" w:cs="宋体"/>
                <w:b/>
                <w:color w:val="auto"/>
                <w:sz w:val="24"/>
                <w:highlight w:val="none"/>
              </w:rPr>
              <w:t>法定代表身份证（正、反面）</w:t>
            </w:r>
          </w:p>
        </w:tc>
      </w:tr>
    </w:tbl>
    <w:p w14:paraId="4D483981">
      <w:pPr>
        <w:pStyle w:val="11"/>
        <w:snapToGrid w:val="0"/>
        <w:spacing w:before="295" w:after="295" w:line="360" w:lineRule="auto"/>
        <w:jc w:val="center"/>
        <w:rPr>
          <w:rFonts w:hAnsi="宋体" w:cs="宋体"/>
          <w:b/>
          <w:color w:val="auto"/>
          <w:sz w:val="24"/>
          <w:highlight w:val="none"/>
        </w:rPr>
      </w:pPr>
      <w:r>
        <w:rPr>
          <w:rFonts w:hint="eastAsia" w:hAnsi="宋体" w:cs="宋体"/>
          <w:b/>
          <w:color w:val="auto"/>
          <w:sz w:val="24"/>
          <w:highlight w:val="none"/>
        </w:rPr>
        <w:t>附件：</w:t>
      </w:r>
      <w:r>
        <w:rPr>
          <w:rFonts w:hint="eastAsia" w:hAnsi="宋体" w:cs="宋体"/>
          <w:b/>
          <w:color w:val="auto"/>
          <w:sz w:val="24"/>
          <w:highlight w:val="none"/>
        </w:rPr>
        <w:br w:type="page"/>
      </w:r>
      <w:r>
        <w:rPr>
          <w:rFonts w:hint="eastAsia" w:hAnsi="宋体" w:cs="宋体"/>
          <w:b/>
          <w:bCs/>
          <w:color w:val="auto"/>
          <w:sz w:val="30"/>
          <w:szCs w:val="30"/>
          <w:highlight w:val="none"/>
        </w:rPr>
        <w:t>四、法定代表人授权委托书（如有委托时）</w:t>
      </w:r>
    </w:p>
    <w:p w14:paraId="0562F464">
      <w:pPr>
        <w:snapToGrid w:val="0"/>
        <w:spacing w:before="120" w:beforeLines="50" w:after="50"/>
        <w:jc w:val="center"/>
        <w:rPr>
          <w:rFonts w:ascii="宋体" w:hAnsi="宋体"/>
          <w:b/>
          <w:color w:val="auto"/>
          <w:sz w:val="24"/>
          <w:highlight w:val="none"/>
        </w:rPr>
      </w:pPr>
      <w:r>
        <w:rPr>
          <w:rFonts w:hint="eastAsia" w:ascii="宋体" w:hAnsi="宋体"/>
          <w:b/>
          <w:color w:val="auto"/>
          <w:sz w:val="24"/>
          <w:highlight w:val="none"/>
        </w:rPr>
        <w:t>法定代表人授权委托书</w:t>
      </w:r>
    </w:p>
    <w:p w14:paraId="17D2252A">
      <w:pPr>
        <w:snapToGrid w:val="0"/>
        <w:spacing w:before="120" w:beforeLines="50" w:after="50"/>
        <w:jc w:val="center"/>
        <w:rPr>
          <w:rFonts w:ascii="宋体" w:hAnsi="宋体"/>
          <w:b/>
          <w:color w:val="auto"/>
          <w:sz w:val="24"/>
          <w:highlight w:val="none"/>
        </w:rPr>
      </w:pPr>
      <w:r>
        <w:rPr>
          <w:rFonts w:hint="eastAsia" w:ascii="宋体" w:hAnsi="宋体"/>
          <w:b/>
          <w:color w:val="auto"/>
          <w:sz w:val="24"/>
          <w:highlight w:val="none"/>
        </w:rPr>
        <w:t>（非联合体投标格式）</w:t>
      </w:r>
    </w:p>
    <w:p w14:paraId="0476688C">
      <w:pPr>
        <w:snapToGrid w:val="0"/>
        <w:spacing w:before="120" w:beforeLines="50" w:after="50"/>
        <w:jc w:val="center"/>
        <w:rPr>
          <w:rFonts w:ascii="宋体" w:hAnsi="宋体"/>
          <w:b/>
          <w:color w:val="auto"/>
          <w:sz w:val="24"/>
          <w:highlight w:val="none"/>
        </w:rPr>
      </w:pPr>
    </w:p>
    <w:p w14:paraId="21CE587B">
      <w:pPr>
        <w:snapToGrid w:val="0"/>
        <w:spacing w:line="360" w:lineRule="auto"/>
        <w:rPr>
          <w:rFonts w:ascii="宋体" w:hAnsi="宋体"/>
          <w:b/>
          <w:bCs/>
          <w:color w:val="auto"/>
          <w:szCs w:val="21"/>
          <w:highlight w:val="none"/>
        </w:rPr>
      </w:pPr>
      <w:r>
        <w:rPr>
          <w:rFonts w:hint="eastAsia" w:ascii="宋体" w:hAnsi="宋体"/>
          <w:bCs/>
          <w:color w:val="auto"/>
          <w:szCs w:val="21"/>
          <w:highlight w:val="none"/>
        </w:rPr>
        <w:t>致：</w:t>
      </w:r>
      <w:r>
        <w:rPr>
          <w:rFonts w:hint="eastAsia" w:ascii="宋体" w:hAnsi="宋体"/>
          <w:color w:val="auto"/>
          <w:szCs w:val="21"/>
          <w:highlight w:val="none"/>
          <w:u w:val="single"/>
        </w:rPr>
        <w:t>采购人名称</w:t>
      </w:r>
      <w:r>
        <w:rPr>
          <w:rFonts w:hint="eastAsia" w:ascii="宋体" w:hAnsi="宋体"/>
          <w:color w:val="auto"/>
          <w:szCs w:val="21"/>
          <w:highlight w:val="none"/>
        </w:rPr>
        <w:t>：</w:t>
      </w:r>
    </w:p>
    <w:p w14:paraId="44022596">
      <w:pPr>
        <w:snapToGrid w:val="0"/>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（投标人名称）的法定代表人，现授权委托</w:t>
      </w:r>
      <w:r>
        <w:rPr>
          <w:rFonts w:hint="eastAsia" w:ascii="宋体" w:hAnsi="宋体"/>
          <w:color w:val="auto"/>
          <w:szCs w:val="21"/>
          <w:highlight w:val="none"/>
          <w:u w:val="single"/>
        </w:rPr>
        <w:t xml:space="preserve">              （姓名）</w:t>
      </w:r>
      <w:r>
        <w:rPr>
          <w:rFonts w:hint="eastAsia" w:ascii="宋体" w:hAnsi="宋体"/>
          <w:color w:val="auto"/>
          <w:szCs w:val="21"/>
          <w:highlight w:val="none"/>
        </w:rPr>
        <w:t>以我方的名义参加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项目的投标活动，并代表我方全权办理针对上述项目的所有采购程序和环节的具体事务和签署相关文件。</w:t>
      </w:r>
    </w:p>
    <w:p w14:paraId="0FB61EA8">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    我方对委托代理人的签字事项负全部责任。</w:t>
      </w:r>
    </w:p>
    <w:p w14:paraId="008D0E88">
      <w:pPr>
        <w:snapToGrid w:val="0"/>
        <w:spacing w:line="360" w:lineRule="auto"/>
        <w:ind w:firstLine="480"/>
        <w:rPr>
          <w:rFonts w:ascii="宋体" w:hAnsi="宋体"/>
          <w:color w:val="auto"/>
          <w:szCs w:val="21"/>
          <w:highlight w:val="none"/>
        </w:rPr>
      </w:pPr>
      <w:r>
        <w:rPr>
          <w:rFonts w:hint="eastAsia" w:ascii="宋体" w:hAnsi="宋体"/>
          <w:color w:val="auto"/>
          <w:szCs w:val="21"/>
          <w:highlight w:val="none"/>
          <w:u w:val="single"/>
        </w:rPr>
        <w:t>本授权书自签署之日起生效，在撤销授权的书面通知以前，本授权书一直有效。委托代理人在授权书有效期内签署的所有文件不因授权的撤销而失效。</w:t>
      </w:r>
    </w:p>
    <w:p w14:paraId="33104664">
      <w:pPr>
        <w:snapToGrid w:val="0"/>
        <w:spacing w:line="360" w:lineRule="auto"/>
        <w:ind w:firstLine="480"/>
        <w:rPr>
          <w:rFonts w:ascii="宋体" w:hAnsi="宋体"/>
          <w:color w:val="auto"/>
          <w:szCs w:val="21"/>
          <w:highlight w:val="none"/>
        </w:rPr>
      </w:pPr>
      <w:r>
        <w:rPr>
          <w:rFonts w:hint="eastAsia" w:ascii="宋体" w:hAnsi="宋体"/>
          <w:color w:val="auto"/>
          <w:szCs w:val="21"/>
          <w:highlight w:val="none"/>
        </w:rPr>
        <w:t>委托代理人无转委托权，特此委托。</w:t>
      </w:r>
    </w:p>
    <w:p w14:paraId="0B648636">
      <w:pPr>
        <w:snapToGrid w:val="0"/>
        <w:spacing w:line="360" w:lineRule="auto"/>
        <w:ind w:firstLine="480"/>
        <w:rPr>
          <w:rFonts w:ascii="宋体" w:hAnsi="宋体"/>
          <w:color w:val="auto"/>
          <w:szCs w:val="21"/>
          <w:highlight w:val="none"/>
        </w:rPr>
      </w:pPr>
      <w:r>
        <w:rPr>
          <w:rFonts w:hint="eastAsia" w:ascii="宋体" w:hAnsi="宋体"/>
          <w:color w:val="auto"/>
          <w:szCs w:val="21"/>
          <w:highlight w:val="none"/>
        </w:rPr>
        <w:t>附：委托代理人有效身份证正反面</w:t>
      </w:r>
    </w:p>
    <w:p w14:paraId="63104B7F">
      <w:pPr>
        <w:snapToGrid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我已在下面签字，以资证明。</w:t>
      </w:r>
    </w:p>
    <w:p w14:paraId="1C2815AA">
      <w:pPr>
        <w:snapToGrid w:val="0"/>
        <w:spacing w:before="120" w:beforeLines="50" w:after="50"/>
        <w:rPr>
          <w:rFonts w:ascii="宋体" w:hAnsi="宋体"/>
          <w:color w:val="auto"/>
          <w:sz w:val="24"/>
          <w:highlight w:val="none"/>
        </w:rPr>
      </w:pPr>
    </w:p>
    <w:p w14:paraId="2226B481">
      <w:pPr>
        <w:snapToGrid w:val="0"/>
        <w:spacing w:line="480" w:lineRule="auto"/>
        <w:ind w:firstLine="420"/>
        <w:rPr>
          <w:rFonts w:ascii="宋体" w:hAnsi="宋体" w:cs="宋体"/>
          <w:color w:val="auto"/>
          <w:szCs w:val="21"/>
          <w:highlight w:val="none"/>
          <w:u w:val="single"/>
        </w:rPr>
      </w:pPr>
      <w:r>
        <w:rPr>
          <w:rFonts w:hint="eastAsia" w:ascii="宋体" w:hAnsi="宋体" w:cs="宋体"/>
          <w:color w:val="auto"/>
          <w:szCs w:val="21"/>
          <w:highlight w:val="none"/>
        </w:rPr>
        <w:t>投标人[公章（CA签章）]：</w:t>
      </w:r>
      <w:r>
        <w:rPr>
          <w:rFonts w:hint="eastAsia" w:ascii="宋体" w:hAnsi="宋体" w:cs="宋体"/>
          <w:color w:val="auto"/>
          <w:szCs w:val="21"/>
          <w:highlight w:val="none"/>
          <w:u w:val="single"/>
        </w:rPr>
        <w:t xml:space="preserve">                                   </w:t>
      </w:r>
    </w:p>
    <w:p w14:paraId="1A75BAAE">
      <w:pPr>
        <w:snapToGrid w:val="0"/>
        <w:spacing w:line="480" w:lineRule="auto"/>
        <w:ind w:firstLine="420"/>
        <w:jc w:val="left"/>
        <w:rPr>
          <w:rFonts w:ascii="宋体" w:hAnsi="宋体" w:cs="宋体"/>
          <w:color w:val="auto"/>
          <w:szCs w:val="21"/>
          <w:highlight w:val="none"/>
        </w:rPr>
      </w:pPr>
      <w:r>
        <w:rPr>
          <w:rFonts w:hint="eastAsia" w:ascii="宋体" w:hAnsi="宋体" w:cs="宋体"/>
          <w:color w:val="auto"/>
          <w:szCs w:val="21"/>
          <w:highlight w:val="none"/>
        </w:rPr>
        <w:t>法定代表人（负责人）签字</w:t>
      </w:r>
      <w:r>
        <w:rPr>
          <w:rFonts w:hint="eastAsia" w:ascii="宋体" w:hAnsi="宋体"/>
          <w:b/>
          <w:bCs/>
          <w:color w:val="auto"/>
          <w:szCs w:val="21"/>
          <w:highlight w:val="none"/>
        </w:rPr>
        <w:t>或盖章(</w:t>
      </w:r>
      <w:r>
        <w:rPr>
          <w:rFonts w:hint="eastAsia" w:ascii="宋体" w:hAnsi="宋体"/>
          <w:color w:val="auto"/>
          <w:szCs w:val="21"/>
          <w:highlight w:val="none"/>
        </w:rPr>
        <w:t>个人</w:t>
      </w:r>
      <w:r>
        <w:rPr>
          <w:rFonts w:hint="eastAsia" w:ascii="宋体" w:hAnsi="宋体"/>
          <w:b/>
          <w:bCs/>
          <w:color w:val="auto"/>
          <w:szCs w:val="21"/>
          <w:highlight w:val="none"/>
        </w:rPr>
        <w:t>CA签章)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5A41146">
      <w:pPr>
        <w:snapToGrid w:val="0"/>
        <w:spacing w:line="480" w:lineRule="auto"/>
        <w:ind w:firstLine="420"/>
        <w:jc w:val="left"/>
        <w:rPr>
          <w:rFonts w:ascii="宋体" w:hAnsi="宋体" w:cs="宋体"/>
          <w:color w:val="auto"/>
          <w:szCs w:val="21"/>
          <w:highlight w:val="none"/>
        </w:rPr>
      </w:pPr>
      <w:r>
        <w:rPr>
          <w:rFonts w:hint="eastAsia" w:ascii="宋体" w:hAnsi="宋体"/>
          <w:b/>
          <w:bCs/>
          <w:color w:val="auto"/>
          <w:szCs w:val="21"/>
          <w:highlight w:val="none"/>
        </w:rPr>
        <w:t>委托代理人签字或盖章(</w:t>
      </w:r>
      <w:r>
        <w:rPr>
          <w:rFonts w:hint="eastAsia" w:ascii="宋体" w:hAnsi="宋体"/>
          <w:color w:val="auto"/>
          <w:szCs w:val="21"/>
          <w:highlight w:val="none"/>
        </w:rPr>
        <w:t>个人</w:t>
      </w:r>
      <w:r>
        <w:rPr>
          <w:rFonts w:hint="eastAsia" w:ascii="宋体" w:hAnsi="宋体"/>
          <w:b/>
          <w:bCs/>
          <w:color w:val="auto"/>
          <w:szCs w:val="21"/>
          <w:highlight w:val="none"/>
        </w:rPr>
        <w:t>CA签章)</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p w14:paraId="445B212D">
      <w:pPr>
        <w:snapToGrid w:val="0"/>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07F3C5B">
      <w:pPr>
        <w:snapToGrid w:val="0"/>
        <w:spacing w:before="120" w:beforeLines="50" w:after="50"/>
        <w:jc w:val="center"/>
        <w:rPr>
          <w:rFonts w:ascii="宋体" w:hAnsi="宋体"/>
          <w:color w:val="auto"/>
          <w:sz w:val="24"/>
          <w:highlight w:val="none"/>
        </w:rPr>
      </w:pPr>
    </w:p>
    <w:p w14:paraId="694CEE5F">
      <w:pPr>
        <w:snapToGrid w:val="0"/>
        <w:spacing w:before="120" w:beforeLines="50" w:after="50"/>
        <w:jc w:val="center"/>
        <w:rPr>
          <w:rFonts w:ascii="宋体" w:hAnsi="宋体"/>
          <w:color w:val="auto"/>
          <w:sz w:val="24"/>
          <w:highlight w:val="none"/>
        </w:rPr>
      </w:pPr>
    </w:p>
    <w:p w14:paraId="363DA5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注：1.法定代表人及委托代理人必须在授权委托书上签字</w:t>
      </w:r>
      <w:r>
        <w:rPr>
          <w:rFonts w:hint="eastAsia" w:ascii="宋体" w:hAnsi="宋体"/>
          <w:b/>
          <w:bCs/>
          <w:color w:val="auto"/>
          <w:szCs w:val="21"/>
          <w:highlight w:val="none"/>
        </w:rPr>
        <w:t>或盖章(个人CA签章)</w:t>
      </w:r>
      <w:r>
        <w:rPr>
          <w:rFonts w:hint="eastAsia" w:ascii="宋体" w:hAnsi="宋体" w:cs="宋体"/>
          <w:color w:val="auto"/>
          <w:szCs w:val="21"/>
          <w:highlight w:val="none"/>
        </w:rPr>
        <w:t>，</w:t>
      </w:r>
      <w:r>
        <w:rPr>
          <w:rFonts w:hint="eastAsia" w:ascii="宋体" w:hAnsi="宋体" w:cs="宋体"/>
          <w:b/>
          <w:bCs/>
          <w:color w:val="auto"/>
          <w:szCs w:val="21"/>
          <w:highlight w:val="none"/>
        </w:rPr>
        <w:t>否则作无效投标处理</w:t>
      </w:r>
      <w:r>
        <w:rPr>
          <w:rFonts w:hint="eastAsia" w:ascii="宋体" w:hAnsi="宋体" w:cs="宋体"/>
          <w:color w:val="auto"/>
          <w:szCs w:val="21"/>
          <w:highlight w:val="none"/>
        </w:rPr>
        <w:t>；</w:t>
      </w:r>
    </w:p>
    <w:p w14:paraId="737B701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2.以联合体形式投标的，本授权委托书应由联合体牵头人的法定代表人按上述规定签署。</w:t>
      </w:r>
    </w:p>
    <w:p w14:paraId="5F48A237">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1C220B4A">
      <w:pPr>
        <w:snapToGrid w:val="0"/>
        <w:spacing w:before="120" w:beforeLines="50" w:after="50"/>
        <w:ind w:firstLine="566" w:firstLineChars="236"/>
        <w:jc w:val="center"/>
        <w:rPr>
          <w:rFonts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24"/>
          <w:highlight w:val="none"/>
        </w:rPr>
        <w:t>法定代表人授权委托书</w:t>
      </w:r>
    </w:p>
    <w:p w14:paraId="2B8B1F96">
      <w:pPr>
        <w:snapToGrid w:val="0"/>
        <w:spacing w:before="120" w:beforeLines="50" w:after="50"/>
        <w:ind w:firstLine="569" w:firstLineChars="236"/>
        <w:jc w:val="center"/>
        <w:rPr>
          <w:rFonts w:ascii="宋体" w:hAnsi="宋体"/>
          <w:b/>
          <w:bCs/>
          <w:color w:val="auto"/>
          <w:sz w:val="24"/>
          <w:highlight w:val="none"/>
        </w:rPr>
      </w:pPr>
      <w:r>
        <w:rPr>
          <w:rFonts w:hint="eastAsia" w:ascii="宋体" w:hAnsi="宋体"/>
          <w:b/>
          <w:bCs/>
          <w:color w:val="auto"/>
          <w:sz w:val="24"/>
          <w:highlight w:val="none"/>
        </w:rPr>
        <w:t>（联合体投标格式）</w:t>
      </w:r>
    </w:p>
    <w:p w14:paraId="2A854131">
      <w:pPr>
        <w:snapToGrid w:val="0"/>
        <w:spacing w:line="360" w:lineRule="auto"/>
        <w:jc w:val="left"/>
        <w:rPr>
          <w:rFonts w:ascii="宋体" w:hAnsi="宋体"/>
          <w:color w:val="auto"/>
          <w:szCs w:val="21"/>
          <w:highlight w:val="none"/>
        </w:rPr>
      </w:pPr>
      <w:r>
        <w:rPr>
          <w:rFonts w:hint="eastAsia" w:ascii="宋体" w:hAnsi="宋体"/>
          <w:bCs/>
          <w:color w:val="auto"/>
          <w:szCs w:val="21"/>
          <w:highlight w:val="none"/>
        </w:rPr>
        <w:t>致：</w:t>
      </w:r>
      <w:r>
        <w:rPr>
          <w:rFonts w:hint="eastAsia" w:ascii="宋体" w:hAnsi="宋体"/>
          <w:color w:val="auto"/>
          <w:szCs w:val="21"/>
          <w:highlight w:val="none"/>
          <w:u w:val="single"/>
        </w:rPr>
        <w:t>采购人名称</w:t>
      </w:r>
      <w:r>
        <w:rPr>
          <w:rFonts w:hint="eastAsia" w:ascii="宋体" w:hAnsi="宋体"/>
          <w:color w:val="auto"/>
          <w:szCs w:val="21"/>
          <w:highlight w:val="none"/>
        </w:rPr>
        <w:t>：</w:t>
      </w:r>
    </w:p>
    <w:p w14:paraId="377F063D">
      <w:pPr>
        <w:snapToGrid w:val="0"/>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 xml:space="preserve">根据 </w:t>
      </w:r>
      <w:r>
        <w:rPr>
          <w:rFonts w:hint="eastAsia" w:ascii="宋体" w:hAnsi="宋体"/>
          <w:color w:val="auto"/>
          <w:szCs w:val="21"/>
          <w:highlight w:val="none"/>
          <w:u w:val="single"/>
        </w:rPr>
        <w:t xml:space="preserve"> （牵头人名称）</w:t>
      </w:r>
      <w:r>
        <w:rPr>
          <w:rFonts w:hint="eastAsia" w:ascii="宋体" w:hAnsi="宋体"/>
          <w:color w:val="auto"/>
          <w:szCs w:val="21"/>
          <w:highlight w:val="none"/>
        </w:rPr>
        <w:t>与</w:t>
      </w:r>
      <w:r>
        <w:rPr>
          <w:rFonts w:hint="eastAsia" w:ascii="宋体" w:hAnsi="宋体"/>
          <w:color w:val="auto"/>
          <w:szCs w:val="21"/>
          <w:highlight w:val="none"/>
          <w:u w:val="single"/>
        </w:rPr>
        <w:t>（联合体其他成员名称）</w:t>
      </w:r>
      <w:r>
        <w:rPr>
          <w:rFonts w:hint="eastAsia" w:ascii="宋体" w:hAnsi="宋体"/>
          <w:color w:val="auto"/>
          <w:szCs w:val="21"/>
          <w:highlight w:val="none"/>
        </w:rPr>
        <w:t>签订的《联合体投标协议书》的内容，</w:t>
      </w:r>
      <w:r>
        <w:rPr>
          <w:rFonts w:hint="eastAsia" w:ascii="宋体" w:hAnsi="宋体"/>
          <w:color w:val="auto"/>
          <w:szCs w:val="21"/>
          <w:highlight w:val="none"/>
          <w:u w:val="single"/>
        </w:rPr>
        <w:t>（牵头人名称）</w:t>
      </w:r>
      <w:r>
        <w:rPr>
          <w:rFonts w:hint="eastAsia" w:ascii="宋体" w:hAnsi="宋体"/>
          <w:color w:val="auto"/>
          <w:szCs w:val="21"/>
          <w:highlight w:val="none"/>
        </w:rPr>
        <w:t>的法定代表人</w:t>
      </w:r>
      <w:r>
        <w:rPr>
          <w:rFonts w:hint="eastAsia" w:ascii="宋体" w:hAnsi="宋体"/>
          <w:color w:val="auto"/>
          <w:szCs w:val="21"/>
          <w:highlight w:val="none"/>
          <w:u w:val="single"/>
        </w:rPr>
        <w:t>（姓名）</w:t>
      </w:r>
      <w:r>
        <w:rPr>
          <w:rFonts w:hint="eastAsia" w:ascii="宋体" w:hAnsi="宋体"/>
          <w:color w:val="auto"/>
          <w:szCs w:val="21"/>
          <w:highlight w:val="none"/>
        </w:rPr>
        <w:t>现授权委托</w:t>
      </w:r>
      <w:r>
        <w:rPr>
          <w:rFonts w:hint="eastAsia" w:ascii="宋体" w:hAnsi="宋体"/>
          <w:color w:val="auto"/>
          <w:szCs w:val="21"/>
          <w:highlight w:val="none"/>
          <w:u w:val="single"/>
        </w:rPr>
        <w:t xml:space="preserve">       （姓名）</w:t>
      </w:r>
      <w:r>
        <w:rPr>
          <w:rFonts w:hint="eastAsia" w:ascii="宋体" w:hAnsi="宋体"/>
          <w:color w:val="auto"/>
          <w:szCs w:val="21"/>
          <w:highlight w:val="none"/>
        </w:rPr>
        <w:t>以我方的名义参加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项目的投标活动，并代表我方全权办理针对上述项目的所有采购程序和环节的具体事务和签署相关文件。</w:t>
      </w:r>
    </w:p>
    <w:p w14:paraId="0D93EEAA">
      <w:pPr>
        <w:snapToGrid w:val="0"/>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我方对委托代理人的签字事项负全部责任。</w:t>
      </w:r>
    </w:p>
    <w:p w14:paraId="45E12489">
      <w:pPr>
        <w:snapToGrid w:val="0"/>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本授权书自签署之日起生效，在撤销授权的书面通知以前，本授权书一直有效。委托代理人在授权书有效期内签署的所有文件不因授权的撤销而失效。</w:t>
      </w:r>
    </w:p>
    <w:p w14:paraId="6B96064F">
      <w:pPr>
        <w:snapToGrid w:val="0"/>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委托代理人无转委托权，特此委托。</w:t>
      </w:r>
    </w:p>
    <w:p w14:paraId="34B581E9">
      <w:pPr>
        <w:snapToGrid w:val="0"/>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附：委托代理人有效身份证正反面</w:t>
      </w:r>
    </w:p>
    <w:p w14:paraId="6A8BDAF9">
      <w:pPr>
        <w:snapToGrid w:val="0"/>
        <w:spacing w:line="360" w:lineRule="auto"/>
        <w:ind w:firstLine="495" w:firstLineChars="236"/>
        <w:rPr>
          <w:rFonts w:ascii="宋体" w:hAnsi="宋体"/>
          <w:color w:val="auto"/>
          <w:szCs w:val="21"/>
          <w:highlight w:val="none"/>
        </w:rPr>
      </w:pPr>
    </w:p>
    <w:p w14:paraId="09DC3D96">
      <w:pPr>
        <w:snapToGrid w:val="0"/>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牵头人法定代表人签字[或盖章(个人CA签章)]：</w:t>
      </w:r>
    </w:p>
    <w:p w14:paraId="099E64B7">
      <w:pPr>
        <w:snapToGrid w:val="0"/>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牵头人[公章(CA签章)、自然人除外]：</w:t>
      </w:r>
    </w:p>
    <w:p w14:paraId="6B84E69D">
      <w:pPr>
        <w:snapToGrid w:val="0"/>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日期：    年   月   日</w:t>
      </w:r>
    </w:p>
    <w:p w14:paraId="47C7C62E">
      <w:pPr>
        <w:snapToGrid w:val="0"/>
        <w:spacing w:line="360" w:lineRule="auto"/>
        <w:ind w:firstLine="495" w:firstLineChars="236"/>
        <w:rPr>
          <w:rFonts w:ascii="宋体" w:hAnsi="宋体"/>
          <w:color w:val="auto"/>
          <w:szCs w:val="21"/>
          <w:highlight w:val="none"/>
        </w:rPr>
      </w:pPr>
    </w:p>
    <w:p w14:paraId="09F07383">
      <w:pPr>
        <w:snapToGrid w:val="0"/>
        <w:spacing w:line="360" w:lineRule="auto"/>
        <w:ind w:firstLine="498" w:firstLineChars="236"/>
        <w:rPr>
          <w:rFonts w:ascii="宋体" w:hAnsi="宋体"/>
          <w:color w:val="auto"/>
          <w:szCs w:val="21"/>
          <w:highlight w:val="none"/>
        </w:rPr>
      </w:pPr>
      <w:r>
        <w:rPr>
          <w:rFonts w:hint="eastAsia" w:ascii="宋体" w:hAnsi="宋体"/>
          <w:b/>
          <w:bCs/>
          <w:color w:val="auto"/>
          <w:szCs w:val="21"/>
          <w:highlight w:val="none"/>
        </w:rPr>
        <w:t>委托代理人签字或盖章(</w:t>
      </w:r>
      <w:r>
        <w:rPr>
          <w:rFonts w:hint="eastAsia" w:ascii="宋体" w:hAnsi="宋体"/>
          <w:color w:val="auto"/>
          <w:szCs w:val="21"/>
          <w:highlight w:val="none"/>
        </w:rPr>
        <w:t>个人</w:t>
      </w:r>
      <w:r>
        <w:rPr>
          <w:rFonts w:hint="eastAsia" w:ascii="宋体" w:hAnsi="宋体"/>
          <w:b/>
          <w:bCs/>
          <w:color w:val="auto"/>
          <w:szCs w:val="21"/>
          <w:highlight w:val="none"/>
        </w:rPr>
        <w:t>CA签章)</w:t>
      </w:r>
      <w:r>
        <w:rPr>
          <w:rFonts w:hint="eastAsia" w:ascii="宋体" w:hAnsi="宋体"/>
          <w:color w:val="auto"/>
          <w:szCs w:val="21"/>
          <w:highlight w:val="none"/>
        </w:rPr>
        <w:t>：</w:t>
      </w:r>
    </w:p>
    <w:p w14:paraId="4638BEB5">
      <w:pPr>
        <w:snapToGrid w:val="0"/>
        <w:spacing w:line="360" w:lineRule="auto"/>
        <w:ind w:firstLine="495" w:firstLineChars="236"/>
        <w:rPr>
          <w:rFonts w:ascii="仿宋_GB2312" w:hAnsi="仿宋_GB2312" w:eastAsia="仿宋_GB2312" w:cs="仿宋_GB2312"/>
          <w:color w:val="auto"/>
          <w:szCs w:val="21"/>
          <w:highlight w:val="none"/>
        </w:rPr>
      </w:pPr>
      <w:r>
        <w:rPr>
          <w:rFonts w:hint="eastAsia" w:ascii="宋体" w:hAnsi="宋体"/>
          <w:color w:val="auto"/>
          <w:szCs w:val="21"/>
          <w:highlight w:val="none"/>
        </w:rPr>
        <w:t>日期：    年   月   日</w:t>
      </w:r>
    </w:p>
    <w:p w14:paraId="02182DE3">
      <w:pPr>
        <w:spacing w:line="360" w:lineRule="auto"/>
        <w:ind w:firstLine="420" w:firstLineChars="200"/>
        <w:rPr>
          <w:rFonts w:ascii="宋体" w:hAnsi="宋体" w:cs="宋体"/>
          <w:color w:val="auto"/>
          <w:szCs w:val="21"/>
          <w:highlight w:val="none"/>
        </w:rPr>
      </w:pPr>
    </w:p>
    <w:p w14:paraId="4EA4D7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注：1.法定代表人及委托代理人必须在授权委托书上签字</w:t>
      </w:r>
      <w:r>
        <w:rPr>
          <w:rFonts w:hint="eastAsia" w:ascii="宋体" w:hAnsi="宋体"/>
          <w:b/>
          <w:bCs/>
          <w:color w:val="auto"/>
          <w:szCs w:val="21"/>
          <w:highlight w:val="none"/>
        </w:rPr>
        <w:t>或盖章(</w:t>
      </w:r>
      <w:r>
        <w:rPr>
          <w:rFonts w:hint="eastAsia" w:ascii="宋体" w:hAnsi="宋体"/>
          <w:color w:val="auto"/>
          <w:szCs w:val="21"/>
          <w:highlight w:val="none"/>
        </w:rPr>
        <w:t>个人</w:t>
      </w:r>
      <w:r>
        <w:rPr>
          <w:rFonts w:hint="eastAsia" w:ascii="宋体" w:hAnsi="宋体"/>
          <w:b/>
          <w:bCs/>
          <w:color w:val="auto"/>
          <w:szCs w:val="21"/>
          <w:highlight w:val="none"/>
        </w:rPr>
        <w:t>CA签章)</w:t>
      </w:r>
      <w:r>
        <w:rPr>
          <w:rFonts w:hint="eastAsia" w:ascii="宋体" w:hAnsi="宋体" w:cs="宋体"/>
          <w:color w:val="auto"/>
          <w:szCs w:val="21"/>
          <w:highlight w:val="none"/>
        </w:rPr>
        <w:t>，</w:t>
      </w:r>
      <w:r>
        <w:rPr>
          <w:rFonts w:hint="eastAsia" w:ascii="宋体" w:hAnsi="宋体" w:cs="宋体"/>
          <w:b/>
          <w:bCs/>
          <w:color w:val="auto"/>
          <w:szCs w:val="21"/>
          <w:highlight w:val="none"/>
        </w:rPr>
        <w:t>否则作无效投标处理</w:t>
      </w:r>
      <w:r>
        <w:rPr>
          <w:rFonts w:hint="eastAsia" w:ascii="宋体" w:hAnsi="宋体" w:cs="宋体"/>
          <w:color w:val="auto"/>
          <w:szCs w:val="21"/>
          <w:highlight w:val="none"/>
        </w:rPr>
        <w:t>；</w:t>
      </w:r>
    </w:p>
    <w:p w14:paraId="09DFE61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2.以联合体形式投标的，本授权委托书应由联合体牵头人的法定代表人按上述规定签署。</w:t>
      </w:r>
    </w:p>
    <w:p w14:paraId="76B78272">
      <w:pPr>
        <w:snapToGrid w:val="0"/>
        <w:spacing w:line="360" w:lineRule="auto"/>
        <w:ind w:firstLine="420" w:firstLineChars="200"/>
        <w:jc w:val="left"/>
        <w:rPr>
          <w:rFonts w:ascii="宋体" w:hAnsi="宋体" w:cs="宋体"/>
          <w:color w:val="auto"/>
          <w:szCs w:val="21"/>
          <w:highlight w:val="none"/>
        </w:rPr>
        <w:sectPr>
          <w:footerReference r:id="rId11" w:type="first"/>
          <w:footerReference r:id="rId10" w:type="default"/>
          <w:pgSz w:w="11906" w:h="16838"/>
          <w:pgMar w:top="1417" w:right="1417" w:bottom="1417" w:left="1417" w:header="851" w:footer="992" w:gutter="0"/>
          <w:pgNumType w:start="59"/>
          <w:cols w:space="720" w:num="1"/>
          <w:docGrid w:linePitch="312" w:charSpace="0"/>
        </w:sectPr>
      </w:pPr>
      <w:r>
        <w:rPr>
          <w:rFonts w:hint="eastAsia" w:ascii="宋体" w:hAnsi="宋体" w:cs="宋体"/>
          <w:color w:val="auto"/>
          <w:szCs w:val="21"/>
          <w:highlight w:val="none"/>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6D4DE71E">
      <w:pPr>
        <w:spacing w:line="360" w:lineRule="auto"/>
        <w:rPr>
          <w:rFonts w:ascii="宋体" w:hAnsi="宋体" w:cs="宋体"/>
          <w:b/>
          <w:color w:val="auto"/>
          <w:sz w:val="24"/>
          <w:highlight w:val="none"/>
        </w:rPr>
      </w:pPr>
    </w:p>
    <w:p w14:paraId="2D4F29CF">
      <w:pPr>
        <w:spacing w:line="360" w:lineRule="auto"/>
        <w:rPr>
          <w:rFonts w:ascii="宋体" w:hAnsi="宋体" w:cs="宋体"/>
          <w:b/>
          <w:color w:val="auto"/>
          <w:sz w:val="24"/>
          <w:highlight w:val="none"/>
        </w:rPr>
      </w:pPr>
      <w:r>
        <w:rPr>
          <w:rFonts w:hint="eastAsia" w:ascii="宋体" w:hAnsi="宋体" w:cs="宋体"/>
          <w:b/>
          <w:color w:val="auto"/>
          <w:sz w:val="24"/>
          <w:highlight w:val="none"/>
        </w:rPr>
        <w:t>附件：</w:t>
      </w:r>
    </w:p>
    <w:tbl>
      <w:tblPr>
        <w:tblStyle w:val="19"/>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4718F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tcPr>
          <w:p w14:paraId="7F9F1568">
            <w:pPr>
              <w:spacing w:line="360" w:lineRule="auto"/>
              <w:rPr>
                <w:rFonts w:ascii="宋体" w:hAnsi="宋体" w:cs="宋体"/>
                <w:b/>
                <w:color w:val="auto"/>
                <w:sz w:val="24"/>
                <w:highlight w:val="none"/>
              </w:rPr>
            </w:pPr>
          </w:p>
          <w:p w14:paraId="0ECC0FE4">
            <w:pPr>
              <w:spacing w:line="360" w:lineRule="auto"/>
              <w:rPr>
                <w:rFonts w:ascii="宋体" w:hAnsi="宋体" w:cs="宋体"/>
                <w:b/>
                <w:color w:val="auto"/>
                <w:sz w:val="24"/>
                <w:highlight w:val="none"/>
              </w:rPr>
            </w:pPr>
            <w:r>
              <w:rPr>
                <w:rFonts w:hint="eastAsia" w:ascii="宋体" w:hAnsi="宋体" w:cs="宋体"/>
                <w:b/>
                <w:color w:val="auto"/>
                <w:sz w:val="24"/>
                <w:highlight w:val="none"/>
              </w:rPr>
              <w:t>全权代表身份证（正、反面）</w:t>
            </w:r>
          </w:p>
        </w:tc>
      </w:tr>
    </w:tbl>
    <w:p w14:paraId="1B1283B2">
      <w:pPr>
        <w:snapToGrid w:val="0"/>
        <w:spacing w:before="50" w:after="120" w:afterLines="50" w:line="360" w:lineRule="auto"/>
        <w:jc w:val="left"/>
        <w:rPr>
          <w:rFonts w:ascii="宋体" w:hAnsi="宋体" w:cs="宋体"/>
          <w:color w:val="auto"/>
          <w:szCs w:val="21"/>
          <w:highlight w:val="none"/>
        </w:rPr>
      </w:pPr>
    </w:p>
    <w:p w14:paraId="4229E3DC">
      <w:pPr>
        <w:snapToGrid w:val="0"/>
        <w:spacing w:before="120" w:beforeLines="50" w:after="50"/>
        <w:ind w:firstLine="566" w:firstLineChars="236"/>
        <w:jc w:val="center"/>
        <w:rPr>
          <w:rFonts w:ascii="宋体" w:hAnsi="宋体" w:cs="宋体"/>
          <w:b/>
          <w:bCs/>
          <w:color w:val="auto"/>
          <w:sz w:val="30"/>
          <w:szCs w:val="30"/>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rPr>
        <w:br w:type="page"/>
      </w:r>
      <w:r>
        <w:rPr>
          <w:rFonts w:hint="eastAsia" w:ascii="宋体" w:hAnsi="宋体" w:cs="宋体"/>
          <w:b/>
          <w:bCs/>
          <w:color w:val="auto"/>
          <w:sz w:val="30"/>
          <w:szCs w:val="30"/>
          <w:highlight w:val="none"/>
        </w:rPr>
        <w:t>五、商务条款偏离表</w:t>
      </w:r>
    </w:p>
    <w:p w14:paraId="0126EB6D">
      <w:pPr>
        <w:jc w:val="center"/>
        <w:rPr>
          <w:rFonts w:ascii="宋体" w:hAnsi="宋体" w:cs="宋体"/>
          <w:b/>
          <w:color w:val="auto"/>
          <w:sz w:val="24"/>
          <w:szCs w:val="20"/>
          <w:highlight w:val="none"/>
        </w:rPr>
      </w:pPr>
      <w:r>
        <w:rPr>
          <w:rFonts w:hint="eastAsia" w:ascii="宋体" w:hAnsi="宋体" w:cs="宋体"/>
          <w:color w:val="auto"/>
          <w:sz w:val="30"/>
          <w:szCs w:val="20"/>
          <w:highlight w:val="none"/>
        </w:rPr>
        <w:t>(注：按项目需求表具体项目修改)</w:t>
      </w:r>
    </w:p>
    <w:p w14:paraId="6EF433D6">
      <w:pPr>
        <w:snapToGrid w:val="0"/>
        <w:spacing w:before="50"/>
        <w:jc w:val="left"/>
        <w:rPr>
          <w:rFonts w:ascii="宋体" w:hAnsi="宋体" w:cs="宋体"/>
          <w:color w:val="auto"/>
          <w:sz w:val="24"/>
          <w:highlight w:val="none"/>
        </w:rPr>
      </w:pPr>
    </w:p>
    <w:p w14:paraId="63FD227C">
      <w:pPr>
        <w:pStyle w:val="11"/>
        <w:spacing w:line="360" w:lineRule="auto"/>
        <w:ind w:left="-424" w:leftChars="-202" w:firstLine="846"/>
        <w:rPr>
          <w:rFonts w:hAnsi="宋体" w:cs="宋体"/>
          <w:color w:val="auto"/>
          <w:sz w:val="21"/>
          <w:highlight w:val="none"/>
        </w:rPr>
      </w:pPr>
      <w:r>
        <w:rPr>
          <w:rFonts w:hint="eastAsia" w:hAnsi="宋体" w:cs="宋体"/>
          <w:color w:val="auto"/>
          <w:sz w:val="21"/>
          <w:highlight w:val="none"/>
        </w:rPr>
        <w:t>请逐条对应本项目招标文件第二章“采购需求”中“商务条款”的要求，详细填写相应的具体内容。“偏离说明”一栏应当选择“正偏离”、“负偏离”或“无偏离”进行填写。</w:t>
      </w:r>
    </w:p>
    <w:tbl>
      <w:tblPr>
        <w:tblStyle w:val="19"/>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14:paraId="07DF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trPr>
        <w:tc>
          <w:tcPr>
            <w:tcW w:w="691" w:type="dxa"/>
            <w:tcBorders>
              <w:top w:val="single" w:color="auto" w:sz="4" w:space="0"/>
              <w:left w:val="single" w:color="auto" w:sz="4" w:space="0"/>
              <w:right w:val="single" w:color="auto" w:sz="4" w:space="0"/>
            </w:tcBorders>
            <w:noWrap/>
          </w:tcPr>
          <w:p w14:paraId="32EFD513">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noWrap/>
          </w:tcPr>
          <w:p w14:paraId="3A9900D5">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招标文件的商务需求</w:t>
            </w:r>
          </w:p>
        </w:tc>
        <w:tc>
          <w:tcPr>
            <w:tcW w:w="2516" w:type="dxa"/>
            <w:tcBorders>
              <w:top w:val="single" w:color="auto" w:sz="4" w:space="0"/>
              <w:left w:val="single" w:color="auto" w:sz="4" w:space="0"/>
              <w:right w:val="single" w:color="auto" w:sz="4" w:space="0"/>
            </w:tcBorders>
          </w:tcPr>
          <w:p w14:paraId="31196F04">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投标文件承诺的商务条款</w:t>
            </w:r>
          </w:p>
        </w:tc>
        <w:tc>
          <w:tcPr>
            <w:tcW w:w="2516" w:type="dxa"/>
            <w:tcBorders>
              <w:top w:val="single" w:color="auto" w:sz="4" w:space="0"/>
              <w:left w:val="single" w:color="auto" w:sz="4" w:space="0"/>
              <w:right w:val="single" w:color="auto" w:sz="4" w:space="0"/>
            </w:tcBorders>
          </w:tcPr>
          <w:p w14:paraId="5AA5FC9B">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0DE0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91" w:type="dxa"/>
            <w:vMerge w:val="restart"/>
            <w:tcBorders>
              <w:top w:val="single" w:color="auto" w:sz="4" w:space="0"/>
              <w:left w:val="single" w:color="auto" w:sz="4" w:space="0"/>
              <w:right w:val="single" w:color="auto" w:sz="4" w:space="0"/>
            </w:tcBorders>
            <w:noWrap/>
          </w:tcPr>
          <w:p w14:paraId="2B0C9C3A">
            <w:pPr>
              <w:spacing w:line="340" w:lineRule="exact"/>
              <w:rPr>
                <w:rFonts w:ascii="宋体" w:hAnsi="宋体" w:cs="宋体"/>
                <w:color w:val="auto"/>
                <w:szCs w:val="21"/>
                <w:highlight w:val="none"/>
              </w:rPr>
            </w:pPr>
            <w:r>
              <w:rPr>
                <w:rFonts w:hint="eastAsia" w:ascii="宋体" w:hAnsi="宋体" w:cs="宋体"/>
                <w:color w:val="auto"/>
                <w:szCs w:val="21"/>
                <w:highlight w:val="none"/>
              </w:rPr>
              <w:t>一</w:t>
            </w:r>
          </w:p>
        </w:tc>
        <w:tc>
          <w:tcPr>
            <w:tcW w:w="3757" w:type="dxa"/>
            <w:tcBorders>
              <w:top w:val="single" w:color="auto" w:sz="4" w:space="0"/>
              <w:left w:val="single" w:color="auto" w:sz="4" w:space="0"/>
              <w:bottom w:val="single" w:color="auto" w:sz="4" w:space="0"/>
              <w:right w:val="single" w:color="auto" w:sz="4" w:space="0"/>
            </w:tcBorders>
            <w:noWrap/>
          </w:tcPr>
          <w:p w14:paraId="23C43115">
            <w:pPr>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215A014B">
            <w:pPr>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3D25C47A">
            <w:pPr>
              <w:spacing w:line="300" w:lineRule="exact"/>
              <w:rPr>
                <w:rFonts w:ascii="宋体" w:hAnsi="宋体" w:cs="宋体"/>
                <w:color w:val="auto"/>
                <w:szCs w:val="21"/>
                <w:highlight w:val="none"/>
              </w:rPr>
            </w:pPr>
            <w:r>
              <w:rPr>
                <w:rFonts w:hint="eastAsia" w:ascii="宋体" w:hAnsi="宋体" w:cs="宋体"/>
                <w:color w:val="auto"/>
                <w:szCs w:val="21"/>
                <w:highlight w:val="none"/>
              </w:rPr>
              <w:t>正偏离（负偏离或无偏离）</w:t>
            </w:r>
          </w:p>
        </w:tc>
      </w:tr>
      <w:tr w14:paraId="69A3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2052F41F">
            <w:pPr>
              <w:spacing w:line="340" w:lineRule="exact"/>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53992A7B">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066CF629">
            <w:pPr>
              <w:spacing w:line="340" w:lineRule="exact"/>
              <w:rPr>
                <w:rFonts w:ascii="宋体" w:hAnsi="宋体" w:cs="宋体"/>
                <w:color w:val="auto"/>
                <w:szCs w:val="21"/>
                <w:highlight w:val="none"/>
              </w:rPr>
            </w:pPr>
          </w:p>
        </w:tc>
        <w:tc>
          <w:tcPr>
            <w:tcW w:w="2516" w:type="dxa"/>
            <w:tcBorders>
              <w:left w:val="single" w:color="auto" w:sz="4" w:space="0"/>
              <w:right w:val="single" w:color="auto" w:sz="4" w:space="0"/>
            </w:tcBorders>
          </w:tcPr>
          <w:p w14:paraId="4B0ABBA3">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732AE6C5">
            <w:pPr>
              <w:spacing w:line="300" w:lineRule="exact"/>
              <w:rPr>
                <w:rFonts w:ascii="宋体" w:hAnsi="宋体" w:cs="宋体"/>
                <w:color w:val="auto"/>
                <w:szCs w:val="21"/>
                <w:highlight w:val="none"/>
              </w:rPr>
            </w:pPr>
          </w:p>
        </w:tc>
        <w:tc>
          <w:tcPr>
            <w:tcW w:w="2516" w:type="dxa"/>
            <w:tcBorders>
              <w:left w:val="single" w:color="auto" w:sz="4" w:space="0"/>
              <w:right w:val="single" w:color="auto" w:sz="4" w:space="0"/>
            </w:tcBorders>
          </w:tcPr>
          <w:p w14:paraId="29F83FFE">
            <w:pPr>
              <w:spacing w:line="300" w:lineRule="exact"/>
              <w:rPr>
                <w:rFonts w:ascii="宋体" w:hAnsi="宋体" w:cs="宋体"/>
                <w:color w:val="auto"/>
                <w:szCs w:val="21"/>
                <w:highlight w:val="none"/>
              </w:rPr>
            </w:pPr>
            <w:r>
              <w:rPr>
                <w:rFonts w:hint="eastAsia" w:ascii="宋体" w:hAnsi="宋体" w:cs="宋体"/>
                <w:color w:val="auto"/>
                <w:szCs w:val="21"/>
                <w:highlight w:val="none"/>
              </w:rPr>
              <w:t>正偏离（负偏离或无偏离）</w:t>
            </w:r>
          </w:p>
        </w:tc>
      </w:tr>
      <w:tr w14:paraId="2021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364C221E">
            <w:pPr>
              <w:spacing w:line="340" w:lineRule="exact"/>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62BFFEA8">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65BE9D5E">
            <w:pPr>
              <w:spacing w:line="340" w:lineRule="exact"/>
              <w:rPr>
                <w:rFonts w:ascii="宋体" w:hAnsi="宋体" w:cs="宋体"/>
                <w:color w:val="auto"/>
                <w:szCs w:val="21"/>
                <w:highlight w:val="none"/>
              </w:rPr>
            </w:pPr>
          </w:p>
        </w:tc>
        <w:tc>
          <w:tcPr>
            <w:tcW w:w="2516" w:type="dxa"/>
            <w:tcBorders>
              <w:left w:val="single" w:color="auto" w:sz="4" w:space="0"/>
              <w:right w:val="single" w:color="auto" w:sz="4" w:space="0"/>
            </w:tcBorders>
          </w:tcPr>
          <w:p w14:paraId="71AF6B04">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50957B1F">
            <w:pPr>
              <w:spacing w:line="300" w:lineRule="exact"/>
              <w:rPr>
                <w:rFonts w:ascii="宋体" w:hAnsi="宋体" w:cs="宋体"/>
                <w:color w:val="auto"/>
                <w:szCs w:val="21"/>
                <w:highlight w:val="none"/>
              </w:rPr>
            </w:pPr>
          </w:p>
        </w:tc>
        <w:tc>
          <w:tcPr>
            <w:tcW w:w="2516" w:type="dxa"/>
            <w:tcBorders>
              <w:left w:val="single" w:color="auto" w:sz="4" w:space="0"/>
              <w:right w:val="single" w:color="auto" w:sz="4" w:space="0"/>
            </w:tcBorders>
          </w:tcPr>
          <w:p w14:paraId="43C7602F">
            <w:pPr>
              <w:spacing w:line="300" w:lineRule="exact"/>
              <w:rPr>
                <w:rFonts w:ascii="宋体" w:hAnsi="宋体" w:cs="宋体"/>
                <w:color w:val="auto"/>
                <w:szCs w:val="21"/>
                <w:highlight w:val="none"/>
              </w:rPr>
            </w:pPr>
            <w:r>
              <w:rPr>
                <w:rFonts w:hint="eastAsia" w:ascii="宋体" w:hAnsi="宋体" w:cs="宋体"/>
                <w:color w:val="auto"/>
                <w:szCs w:val="21"/>
                <w:highlight w:val="none"/>
              </w:rPr>
              <w:t>正偏离（负偏离或无偏离）</w:t>
            </w:r>
          </w:p>
        </w:tc>
      </w:tr>
      <w:tr w14:paraId="34AC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726612BE">
            <w:pPr>
              <w:spacing w:line="340" w:lineRule="exact"/>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16549595">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53E80641">
            <w:pPr>
              <w:spacing w:line="300" w:lineRule="exact"/>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2D69F966">
            <w:pPr>
              <w:spacing w:line="300" w:lineRule="exact"/>
              <w:rPr>
                <w:rFonts w:ascii="宋体" w:hAnsi="宋体" w:cs="宋体"/>
                <w:color w:val="auto"/>
                <w:szCs w:val="21"/>
                <w:highlight w:val="none"/>
              </w:rPr>
            </w:pPr>
            <w:r>
              <w:rPr>
                <w:rFonts w:hint="eastAsia" w:ascii="宋体" w:hAnsi="宋体" w:cs="宋体"/>
                <w:color w:val="auto"/>
                <w:szCs w:val="21"/>
                <w:highlight w:val="none"/>
              </w:rPr>
              <w:t>正偏离（负偏离或无偏离）</w:t>
            </w:r>
          </w:p>
        </w:tc>
      </w:tr>
      <w:tr w14:paraId="4CE0A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69CB133D">
            <w:pPr>
              <w:spacing w:line="340" w:lineRule="exact"/>
              <w:rPr>
                <w:rFonts w:ascii="宋体" w:hAnsi="宋体" w:cs="宋体"/>
                <w:color w:val="auto"/>
                <w:szCs w:val="21"/>
                <w:highlight w:val="none"/>
              </w:rPr>
            </w:pPr>
            <w:r>
              <w:rPr>
                <w:rFonts w:hint="eastAsia" w:ascii="宋体" w:hAnsi="宋体" w:cs="宋体"/>
                <w:color w:val="auto"/>
                <w:szCs w:val="21"/>
                <w:highlight w:val="none"/>
              </w:rPr>
              <w:t>二</w:t>
            </w:r>
          </w:p>
        </w:tc>
        <w:tc>
          <w:tcPr>
            <w:tcW w:w="3757" w:type="dxa"/>
            <w:tcBorders>
              <w:top w:val="single" w:color="auto" w:sz="4" w:space="0"/>
              <w:left w:val="single" w:color="auto" w:sz="4" w:space="0"/>
              <w:bottom w:val="single" w:color="auto" w:sz="4" w:space="0"/>
              <w:right w:val="single" w:color="auto" w:sz="4" w:space="0"/>
            </w:tcBorders>
            <w:noWrap/>
          </w:tcPr>
          <w:p w14:paraId="735A3510">
            <w:pPr>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09E8B27E">
            <w:pPr>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1CABA203">
            <w:pPr>
              <w:spacing w:line="300" w:lineRule="exact"/>
              <w:rPr>
                <w:rFonts w:ascii="宋体" w:hAnsi="宋体" w:cs="宋体"/>
                <w:color w:val="auto"/>
                <w:szCs w:val="21"/>
                <w:highlight w:val="none"/>
              </w:rPr>
            </w:pPr>
            <w:r>
              <w:rPr>
                <w:rFonts w:hint="eastAsia" w:ascii="宋体" w:hAnsi="宋体" w:cs="宋体"/>
                <w:color w:val="auto"/>
                <w:szCs w:val="21"/>
                <w:highlight w:val="none"/>
              </w:rPr>
              <w:t>正偏离（负偏离或无偏离）</w:t>
            </w:r>
          </w:p>
        </w:tc>
      </w:tr>
      <w:tr w14:paraId="3A4E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73EA122A">
            <w:pPr>
              <w:spacing w:line="340" w:lineRule="exact"/>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3279365F">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053C12D3">
            <w:pPr>
              <w:spacing w:line="340" w:lineRule="exact"/>
              <w:rPr>
                <w:rFonts w:ascii="宋体" w:hAnsi="宋体" w:cs="宋体"/>
                <w:color w:val="auto"/>
                <w:szCs w:val="21"/>
                <w:highlight w:val="none"/>
              </w:rPr>
            </w:pPr>
          </w:p>
        </w:tc>
        <w:tc>
          <w:tcPr>
            <w:tcW w:w="2516" w:type="dxa"/>
            <w:tcBorders>
              <w:left w:val="single" w:color="auto" w:sz="4" w:space="0"/>
              <w:right w:val="single" w:color="auto" w:sz="4" w:space="0"/>
            </w:tcBorders>
          </w:tcPr>
          <w:p w14:paraId="16A8C5C4">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02D4F8A1">
            <w:pPr>
              <w:spacing w:line="300" w:lineRule="exact"/>
              <w:rPr>
                <w:rFonts w:ascii="宋体" w:hAnsi="宋体" w:cs="宋体"/>
                <w:color w:val="auto"/>
                <w:szCs w:val="21"/>
                <w:highlight w:val="none"/>
              </w:rPr>
            </w:pPr>
          </w:p>
        </w:tc>
        <w:tc>
          <w:tcPr>
            <w:tcW w:w="2516" w:type="dxa"/>
            <w:tcBorders>
              <w:left w:val="single" w:color="auto" w:sz="4" w:space="0"/>
              <w:right w:val="single" w:color="auto" w:sz="4" w:space="0"/>
            </w:tcBorders>
          </w:tcPr>
          <w:p w14:paraId="0208FB53">
            <w:pPr>
              <w:spacing w:line="300" w:lineRule="exact"/>
              <w:rPr>
                <w:rFonts w:ascii="宋体" w:hAnsi="宋体" w:cs="宋体"/>
                <w:color w:val="auto"/>
                <w:szCs w:val="21"/>
                <w:highlight w:val="none"/>
              </w:rPr>
            </w:pPr>
            <w:r>
              <w:rPr>
                <w:rFonts w:hint="eastAsia" w:ascii="宋体" w:hAnsi="宋体" w:cs="宋体"/>
                <w:color w:val="auto"/>
                <w:szCs w:val="21"/>
                <w:highlight w:val="none"/>
              </w:rPr>
              <w:t>正偏离（负偏离或无偏离）</w:t>
            </w:r>
          </w:p>
        </w:tc>
      </w:tr>
      <w:tr w14:paraId="2129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2F18E1BE">
            <w:pPr>
              <w:spacing w:line="340" w:lineRule="exact"/>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0EF06B09">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3D9D1E10">
            <w:pPr>
              <w:spacing w:line="340" w:lineRule="exact"/>
              <w:rPr>
                <w:rFonts w:ascii="宋体" w:hAnsi="宋体" w:cs="宋体"/>
                <w:color w:val="auto"/>
                <w:szCs w:val="21"/>
                <w:highlight w:val="none"/>
              </w:rPr>
            </w:pPr>
          </w:p>
        </w:tc>
        <w:tc>
          <w:tcPr>
            <w:tcW w:w="2516" w:type="dxa"/>
            <w:tcBorders>
              <w:left w:val="single" w:color="auto" w:sz="4" w:space="0"/>
              <w:right w:val="single" w:color="auto" w:sz="4" w:space="0"/>
            </w:tcBorders>
          </w:tcPr>
          <w:p w14:paraId="4EFE2EED">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4F7C2644">
            <w:pPr>
              <w:spacing w:line="300" w:lineRule="exact"/>
              <w:rPr>
                <w:rFonts w:ascii="宋体" w:hAnsi="宋体" w:cs="宋体"/>
                <w:color w:val="auto"/>
                <w:szCs w:val="21"/>
                <w:highlight w:val="none"/>
              </w:rPr>
            </w:pPr>
          </w:p>
        </w:tc>
        <w:tc>
          <w:tcPr>
            <w:tcW w:w="2516" w:type="dxa"/>
            <w:tcBorders>
              <w:left w:val="single" w:color="auto" w:sz="4" w:space="0"/>
              <w:right w:val="single" w:color="auto" w:sz="4" w:space="0"/>
            </w:tcBorders>
          </w:tcPr>
          <w:p w14:paraId="4636AA5E">
            <w:pPr>
              <w:spacing w:line="300" w:lineRule="exact"/>
              <w:rPr>
                <w:rFonts w:ascii="宋体" w:hAnsi="宋体" w:cs="宋体"/>
                <w:color w:val="auto"/>
                <w:szCs w:val="21"/>
                <w:highlight w:val="none"/>
              </w:rPr>
            </w:pPr>
            <w:r>
              <w:rPr>
                <w:rFonts w:hint="eastAsia" w:ascii="宋体" w:hAnsi="宋体" w:cs="宋体"/>
                <w:color w:val="auto"/>
                <w:szCs w:val="21"/>
                <w:highlight w:val="none"/>
              </w:rPr>
              <w:t>正偏离（负偏离或无偏离）</w:t>
            </w:r>
          </w:p>
        </w:tc>
      </w:tr>
      <w:tr w14:paraId="1223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2A674785">
            <w:pPr>
              <w:spacing w:line="340" w:lineRule="exact"/>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42879A2E">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57DB7A7D">
            <w:pPr>
              <w:spacing w:line="300" w:lineRule="exact"/>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74B189B1">
            <w:pPr>
              <w:spacing w:line="300" w:lineRule="exact"/>
              <w:rPr>
                <w:rFonts w:ascii="宋体" w:hAnsi="宋体" w:cs="宋体"/>
                <w:color w:val="auto"/>
                <w:szCs w:val="21"/>
                <w:highlight w:val="none"/>
              </w:rPr>
            </w:pPr>
            <w:r>
              <w:rPr>
                <w:rFonts w:hint="eastAsia" w:ascii="宋体" w:hAnsi="宋体" w:cs="宋体"/>
                <w:color w:val="auto"/>
                <w:szCs w:val="21"/>
                <w:highlight w:val="none"/>
              </w:rPr>
              <w:t>正偏离（负偏离或无偏离）</w:t>
            </w:r>
          </w:p>
        </w:tc>
      </w:tr>
      <w:tr w14:paraId="2FF6F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71FE0575">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757" w:type="dxa"/>
            <w:tcBorders>
              <w:top w:val="single" w:color="auto" w:sz="4" w:space="0"/>
              <w:left w:val="single" w:color="auto" w:sz="4" w:space="0"/>
              <w:bottom w:val="single" w:color="auto" w:sz="4" w:space="0"/>
              <w:right w:val="single" w:color="auto" w:sz="4" w:space="0"/>
            </w:tcBorders>
            <w:noWrap/>
          </w:tcPr>
          <w:p w14:paraId="2B0605A5">
            <w:pPr>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35D752B1">
            <w:pPr>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15709059">
            <w:pPr>
              <w:spacing w:line="300" w:lineRule="exact"/>
              <w:rPr>
                <w:rFonts w:ascii="宋体" w:hAnsi="宋体" w:cs="宋体"/>
                <w:color w:val="auto"/>
                <w:szCs w:val="21"/>
                <w:highlight w:val="none"/>
              </w:rPr>
            </w:pPr>
            <w:r>
              <w:rPr>
                <w:rFonts w:hint="eastAsia" w:ascii="宋体" w:hAnsi="宋体" w:cs="宋体"/>
                <w:color w:val="auto"/>
                <w:szCs w:val="21"/>
                <w:highlight w:val="none"/>
              </w:rPr>
              <w:t>正偏离（负偏离或无偏离）</w:t>
            </w:r>
          </w:p>
        </w:tc>
      </w:tr>
      <w:tr w14:paraId="6654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32F875FC">
            <w:pPr>
              <w:spacing w:line="340" w:lineRule="exact"/>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58971AB3">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4309EC55">
            <w:pPr>
              <w:spacing w:line="340" w:lineRule="exact"/>
              <w:rPr>
                <w:rFonts w:ascii="宋体" w:hAnsi="宋体" w:cs="宋体"/>
                <w:color w:val="auto"/>
                <w:szCs w:val="21"/>
                <w:highlight w:val="none"/>
              </w:rPr>
            </w:pPr>
          </w:p>
        </w:tc>
        <w:tc>
          <w:tcPr>
            <w:tcW w:w="2516" w:type="dxa"/>
            <w:tcBorders>
              <w:left w:val="single" w:color="auto" w:sz="4" w:space="0"/>
              <w:right w:val="single" w:color="auto" w:sz="4" w:space="0"/>
            </w:tcBorders>
          </w:tcPr>
          <w:p w14:paraId="3953B11D">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789B26F5">
            <w:pPr>
              <w:spacing w:line="300" w:lineRule="exact"/>
              <w:rPr>
                <w:rFonts w:ascii="宋体" w:hAnsi="宋体" w:cs="宋体"/>
                <w:color w:val="auto"/>
                <w:szCs w:val="21"/>
                <w:highlight w:val="none"/>
              </w:rPr>
            </w:pPr>
          </w:p>
        </w:tc>
        <w:tc>
          <w:tcPr>
            <w:tcW w:w="2516" w:type="dxa"/>
            <w:tcBorders>
              <w:left w:val="single" w:color="auto" w:sz="4" w:space="0"/>
              <w:right w:val="single" w:color="auto" w:sz="4" w:space="0"/>
            </w:tcBorders>
          </w:tcPr>
          <w:p w14:paraId="4644DB46">
            <w:pPr>
              <w:spacing w:line="300" w:lineRule="exact"/>
              <w:rPr>
                <w:rFonts w:ascii="宋体" w:hAnsi="宋体" w:cs="宋体"/>
                <w:color w:val="auto"/>
                <w:szCs w:val="21"/>
                <w:highlight w:val="none"/>
              </w:rPr>
            </w:pPr>
            <w:r>
              <w:rPr>
                <w:rFonts w:hint="eastAsia" w:ascii="宋体" w:hAnsi="宋体" w:cs="宋体"/>
                <w:color w:val="auto"/>
                <w:szCs w:val="21"/>
                <w:highlight w:val="none"/>
              </w:rPr>
              <w:t>正偏离（负偏离或无偏离）</w:t>
            </w:r>
          </w:p>
        </w:tc>
      </w:tr>
      <w:tr w14:paraId="25E4F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010C2710">
            <w:pPr>
              <w:spacing w:line="340" w:lineRule="exact"/>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23BF44D6">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6BE5E50F">
            <w:pPr>
              <w:spacing w:line="340" w:lineRule="exact"/>
              <w:rPr>
                <w:rFonts w:ascii="宋体" w:hAnsi="宋体" w:cs="宋体"/>
                <w:color w:val="auto"/>
                <w:szCs w:val="21"/>
                <w:highlight w:val="none"/>
              </w:rPr>
            </w:pPr>
          </w:p>
        </w:tc>
        <w:tc>
          <w:tcPr>
            <w:tcW w:w="2516" w:type="dxa"/>
            <w:tcBorders>
              <w:left w:val="single" w:color="auto" w:sz="4" w:space="0"/>
              <w:right w:val="single" w:color="auto" w:sz="4" w:space="0"/>
            </w:tcBorders>
          </w:tcPr>
          <w:p w14:paraId="717B9E3E">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4D7204B0">
            <w:pPr>
              <w:spacing w:line="300" w:lineRule="exact"/>
              <w:rPr>
                <w:rFonts w:ascii="宋体" w:hAnsi="宋体" w:cs="宋体"/>
                <w:color w:val="auto"/>
                <w:szCs w:val="21"/>
                <w:highlight w:val="none"/>
              </w:rPr>
            </w:pPr>
          </w:p>
        </w:tc>
        <w:tc>
          <w:tcPr>
            <w:tcW w:w="2516" w:type="dxa"/>
            <w:tcBorders>
              <w:left w:val="single" w:color="auto" w:sz="4" w:space="0"/>
              <w:right w:val="single" w:color="auto" w:sz="4" w:space="0"/>
            </w:tcBorders>
          </w:tcPr>
          <w:p w14:paraId="740499B0">
            <w:pPr>
              <w:spacing w:line="300" w:lineRule="exact"/>
              <w:rPr>
                <w:rFonts w:ascii="宋体" w:hAnsi="宋体" w:cs="宋体"/>
                <w:color w:val="auto"/>
                <w:szCs w:val="21"/>
                <w:highlight w:val="none"/>
              </w:rPr>
            </w:pPr>
            <w:r>
              <w:rPr>
                <w:rFonts w:hint="eastAsia" w:ascii="宋体" w:hAnsi="宋体" w:cs="宋体"/>
                <w:color w:val="auto"/>
                <w:szCs w:val="21"/>
                <w:highlight w:val="none"/>
              </w:rPr>
              <w:t>正偏离（负偏离或无偏离）</w:t>
            </w:r>
          </w:p>
        </w:tc>
      </w:tr>
      <w:tr w14:paraId="30C0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3742B594">
            <w:pPr>
              <w:spacing w:line="340" w:lineRule="exact"/>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2EBE62BF">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77FDEC39">
            <w:pPr>
              <w:spacing w:line="300" w:lineRule="exact"/>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49D0D2FD">
            <w:pPr>
              <w:spacing w:line="300" w:lineRule="exact"/>
              <w:rPr>
                <w:rFonts w:ascii="宋体" w:hAnsi="宋体" w:cs="宋体"/>
                <w:color w:val="auto"/>
                <w:szCs w:val="21"/>
                <w:highlight w:val="none"/>
              </w:rPr>
            </w:pPr>
            <w:r>
              <w:rPr>
                <w:rFonts w:hint="eastAsia" w:ascii="宋体" w:hAnsi="宋体" w:cs="宋体"/>
                <w:color w:val="auto"/>
                <w:szCs w:val="21"/>
                <w:highlight w:val="none"/>
              </w:rPr>
              <w:t>正偏离（负偏离或无偏离）</w:t>
            </w:r>
          </w:p>
        </w:tc>
      </w:tr>
      <w:tr w14:paraId="6686D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tcPr>
          <w:p w14:paraId="549AE460">
            <w:pPr>
              <w:spacing w:line="340" w:lineRule="exact"/>
              <w:rPr>
                <w:rFonts w:ascii="宋体" w:hAnsi="宋体" w:cs="宋体"/>
                <w:color w:val="auto"/>
                <w:szCs w:val="21"/>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bl>
    <w:p w14:paraId="25DA7994">
      <w:pPr>
        <w:pStyle w:val="11"/>
        <w:spacing w:line="360" w:lineRule="auto"/>
        <w:ind w:left="-708" w:leftChars="-337"/>
        <w:rPr>
          <w:rFonts w:hAnsi="宋体" w:cs="宋体"/>
          <w:color w:val="auto"/>
          <w:highlight w:val="none"/>
        </w:rPr>
      </w:pPr>
    </w:p>
    <w:p w14:paraId="31BA958B">
      <w:pPr>
        <w:pStyle w:val="11"/>
        <w:spacing w:line="360" w:lineRule="auto"/>
        <w:ind w:left="-708" w:leftChars="-337"/>
        <w:rPr>
          <w:rFonts w:hAnsi="宋体" w:cs="宋体"/>
          <w:color w:val="auto"/>
          <w:sz w:val="21"/>
          <w:highlight w:val="none"/>
        </w:rPr>
      </w:pPr>
      <w:r>
        <w:rPr>
          <w:rFonts w:hint="eastAsia" w:hAnsi="宋体" w:cs="宋体"/>
          <w:color w:val="auto"/>
          <w:sz w:val="21"/>
          <w:highlight w:val="none"/>
        </w:rPr>
        <w:t>注：</w:t>
      </w:r>
    </w:p>
    <w:p w14:paraId="37B62E6C">
      <w:pPr>
        <w:pStyle w:val="11"/>
        <w:spacing w:line="360" w:lineRule="auto"/>
        <w:ind w:left="-708" w:leftChars="-337" w:firstLine="420" w:firstLineChars="200"/>
        <w:rPr>
          <w:rFonts w:hAnsi="宋体" w:cs="宋体"/>
          <w:color w:val="auto"/>
          <w:sz w:val="21"/>
          <w:highlight w:val="none"/>
        </w:rPr>
      </w:pPr>
      <w:r>
        <w:rPr>
          <w:rFonts w:hint="eastAsia" w:hAnsi="宋体" w:cs="宋体"/>
          <w:color w:val="auto"/>
          <w:sz w:val="21"/>
          <w:highlight w:val="none"/>
        </w:rPr>
        <w:t>1.表格内容均需按要求填写并盖章，不得留空，否则按投标无效处理。</w:t>
      </w:r>
    </w:p>
    <w:p w14:paraId="47AA0B62">
      <w:pPr>
        <w:pStyle w:val="11"/>
        <w:spacing w:line="360" w:lineRule="auto"/>
        <w:ind w:left="-603" w:leftChars="-287" w:firstLine="315" w:firstLineChars="150"/>
        <w:rPr>
          <w:rFonts w:hAnsi="宋体" w:cs="宋体"/>
          <w:color w:val="auto"/>
          <w:sz w:val="21"/>
          <w:highlight w:val="none"/>
        </w:rPr>
      </w:pPr>
      <w:r>
        <w:rPr>
          <w:rFonts w:hint="eastAsia" w:hAnsi="宋体" w:cs="宋体"/>
          <w:color w:val="auto"/>
          <w:sz w:val="21"/>
          <w:highlight w:val="none"/>
        </w:rPr>
        <w:t>2.如果招标文件需求为小于或大于某个数值标准时，投标文件承诺不得直接复制招标文件需求，投标文件承诺内容应当写明投标货物具体参数或商务响应承诺的具体数值，否则按投标无效处理。如该采购需求属于不能明确具体数值的，采购人应在此采购需求的数值后标注◆号，对标注◆号的采购需求不适用上述“投标无效”条款。</w:t>
      </w:r>
    </w:p>
    <w:p w14:paraId="58769E6B">
      <w:pPr>
        <w:pStyle w:val="11"/>
        <w:spacing w:line="360" w:lineRule="auto"/>
        <w:ind w:left="-708" w:leftChars="-337" w:firstLine="420" w:firstLineChars="200"/>
        <w:rPr>
          <w:rFonts w:hAnsi="宋体" w:cs="宋体"/>
          <w:color w:val="auto"/>
          <w:sz w:val="21"/>
          <w:highlight w:val="none"/>
        </w:rPr>
      </w:pPr>
      <w:r>
        <w:rPr>
          <w:rFonts w:hint="eastAsia" w:hAnsi="宋体" w:cs="宋体"/>
          <w:color w:val="auto"/>
          <w:sz w:val="21"/>
          <w:highlight w:val="none"/>
        </w:rPr>
        <w:t>3.当投标文件的商务内容低于招标文件要求时，投标人应当如实写明“负偏离”，否则视为虚假应标。</w:t>
      </w:r>
    </w:p>
    <w:p w14:paraId="639A3ADC">
      <w:pPr>
        <w:snapToGrid w:val="0"/>
        <w:spacing w:before="50" w:after="50"/>
        <w:rPr>
          <w:rFonts w:ascii="宋体" w:hAnsi="宋体" w:cs="宋体"/>
          <w:color w:val="auto"/>
          <w:sz w:val="24"/>
          <w:highlight w:val="none"/>
        </w:rPr>
      </w:pPr>
    </w:p>
    <w:p w14:paraId="1E3AC862">
      <w:pPr>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7B0D74E3">
      <w:pPr>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93F511E">
      <w:pPr>
        <w:widowControl/>
        <w:jc w:val="left"/>
        <w:rPr>
          <w:rFonts w:ascii="宋体" w:hAnsi="宋体" w:cs="宋体"/>
          <w:color w:val="auto"/>
          <w:szCs w:val="21"/>
          <w:highlight w:val="none"/>
        </w:rPr>
        <w:sectPr>
          <w:pgSz w:w="11906" w:h="16838"/>
          <w:pgMar w:top="1440" w:right="1797" w:bottom="1440" w:left="1797" w:header="851" w:footer="992" w:gutter="0"/>
          <w:cols w:space="720" w:num="1"/>
        </w:sectPr>
      </w:pPr>
    </w:p>
    <w:p w14:paraId="0EB4A5AE">
      <w:pPr>
        <w:snapToGrid w:val="0"/>
        <w:spacing w:before="165" w:beforeLines="50" w:after="50"/>
        <w:ind w:firstLine="602" w:firstLineChars="20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六、投标人情况介绍</w:t>
      </w:r>
    </w:p>
    <w:p w14:paraId="28CABA82">
      <w:pPr>
        <w:spacing w:line="360" w:lineRule="auto"/>
        <w:ind w:firstLine="4048" w:firstLineChars="1687"/>
        <w:rPr>
          <w:rFonts w:ascii="宋体" w:hAnsi="宋体" w:cs="宋体"/>
          <w:color w:val="auto"/>
          <w:kern w:val="0"/>
          <w:sz w:val="24"/>
          <w:highlight w:val="none"/>
        </w:rPr>
      </w:pPr>
      <w:r>
        <w:rPr>
          <w:rFonts w:hint="eastAsia" w:ascii="宋体" w:hAnsi="宋体" w:cs="宋体"/>
          <w:color w:val="auto"/>
          <w:sz w:val="24"/>
          <w:highlight w:val="none"/>
        </w:rPr>
        <w:t>（格式自拟）</w:t>
      </w:r>
    </w:p>
    <w:p w14:paraId="48775633">
      <w:pPr>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1350AF3B">
      <w:pPr>
        <w:snapToGrid w:val="0"/>
        <w:spacing w:line="360" w:lineRule="auto"/>
        <w:ind w:firstLine="4935" w:firstLineChars="2350"/>
        <w:rPr>
          <w:rFonts w:ascii="宋体" w:hAnsi="宋体" w:cs="宋体"/>
          <w:color w:val="auto"/>
          <w:szCs w:val="21"/>
          <w:highlight w:val="none"/>
        </w:rPr>
      </w:pPr>
    </w:p>
    <w:p w14:paraId="042F5AD9">
      <w:pPr>
        <w:snapToGrid w:val="0"/>
        <w:spacing w:line="360" w:lineRule="auto"/>
        <w:ind w:firstLine="4935" w:firstLineChars="2350"/>
        <w:rPr>
          <w:rFonts w:ascii="宋体" w:hAnsi="宋体" w:cs="宋体"/>
          <w:color w:val="auto"/>
          <w:szCs w:val="21"/>
          <w:highlight w:val="none"/>
        </w:rPr>
      </w:pPr>
    </w:p>
    <w:p w14:paraId="1E946723">
      <w:pPr>
        <w:snapToGrid w:val="0"/>
        <w:spacing w:line="360" w:lineRule="auto"/>
        <w:ind w:firstLine="4935" w:firstLineChars="2350"/>
        <w:rPr>
          <w:rFonts w:ascii="宋体" w:hAnsi="宋体" w:cs="宋体"/>
          <w:color w:val="auto"/>
          <w:szCs w:val="21"/>
          <w:highlight w:val="none"/>
        </w:rPr>
      </w:pPr>
    </w:p>
    <w:p w14:paraId="78A18043">
      <w:pPr>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3AEFFDC4">
      <w:pPr>
        <w:snapToGrid w:val="0"/>
        <w:spacing w:before="165" w:beforeLines="50" w:after="50"/>
        <w:ind w:firstLine="480" w:firstLineChars="200"/>
        <w:jc w:val="center"/>
        <w:rPr>
          <w:rFonts w:ascii="宋体" w:hAnsi="宋体" w:cs="宋体"/>
          <w:b/>
          <w:bCs/>
          <w:color w:val="auto"/>
          <w:sz w:val="30"/>
          <w:szCs w:val="30"/>
          <w:highlight w:val="none"/>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994DC85">
      <w:pPr>
        <w:widowControl/>
        <w:jc w:val="left"/>
        <w:rPr>
          <w:rFonts w:ascii="宋体" w:hAnsi="宋体" w:cs="宋体"/>
          <w:b/>
          <w:bCs/>
          <w:color w:val="auto"/>
          <w:sz w:val="30"/>
          <w:szCs w:val="30"/>
          <w:highlight w:val="none"/>
        </w:rPr>
        <w:sectPr>
          <w:pgSz w:w="11906" w:h="16838"/>
          <w:pgMar w:top="1134" w:right="1134" w:bottom="1134" w:left="1134" w:header="720" w:footer="720" w:gutter="0"/>
          <w:cols w:space="720" w:num="1"/>
          <w:docGrid w:type="lines" w:linePitch="331" w:charSpace="0"/>
        </w:sectPr>
      </w:pPr>
    </w:p>
    <w:p w14:paraId="0C180604">
      <w:pPr>
        <w:snapToGrid w:val="0"/>
        <w:spacing w:before="165" w:beforeLines="50" w:after="50"/>
        <w:ind w:firstLine="602" w:firstLineChars="20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七、投标人类似的业绩证明文件（如有要求）</w:t>
      </w:r>
    </w:p>
    <w:p w14:paraId="62C9C32C">
      <w:pPr>
        <w:pStyle w:val="16"/>
        <w:snapToGrid w:val="0"/>
        <w:ind w:left="480" w:hanging="480"/>
        <w:rPr>
          <w:rFonts w:ascii="宋体" w:hAnsi="宋体" w:cs="宋体"/>
          <w:color w:val="auto"/>
          <w:sz w:val="24"/>
          <w:highlight w:val="none"/>
        </w:rPr>
      </w:pPr>
    </w:p>
    <w:tbl>
      <w:tblPr>
        <w:tblStyle w:val="1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3334"/>
        <w:gridCol w:w="3450"/>
        <w:gridCol w:w="3064"/>
      </w:tblGrid>
      <w:tr w14:paraId="530ADC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692" w:type="pct"/>
            <w:vMerge w:val="restart"/>
            <w:tcBorders>
              <w:top w:val="single" w:color="auto" w:sz="4" w:space="0"/>
              <w:left w:val="single" w:color="auto" w:sz="4" w:space="0"/>
              <w:bottom w:val="single" w:color="auto" w:sz="4" w:space="0"/>
              <w:right w:val="single" w:color="auto" w:sz="4" w:space="0"/>
            </w:tcBorders>
            <w:vAlign w:val="center"/>
          </w:tcPr>
          <w:p w14:paraId="7DC6F985">
            <w:pP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1751" w:type="pct"/>
            <w:vMerge w:val="restart"/>
            <w:tcBorders>
              <w:top w:val="single" w:color="auto" w:sz="4" w:space="0"/>
              <w:left w:val="single" w:color="auto" w:sz="4" w:space="0"/>
              <w:bottom w:val="single" w:color="auto" w:sz="4" w:space="0"/>
              <w:right w:val="single" w:color="auto" w:sz="4" w:space="0"/>
            </w:tcBorders>
            <w:vAlign w:val="center"/>
          </w:tcPr>
          <w:p w14:paraId="53A4916B">
            <w:pP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555" w:type="pct"/>
            <w:vMerge w:val="restart"/>
            <w:tcBorders>
              <w:top w:val="single" w:color="auto" w:sz="4" w:space="0"/>
              <w:left w:val="single" w:color="auto" w:sz="4" w:space="0"/>
              <w:bottom w:val="single" w:color="auto" w:sz="4" w:space="0"/>
              <w:right w:val="single" w:color="auto" w:sz="4" w:space="0"/>
            </w:tcBorders>
            <w:vAlign w:val="center"/>
          </w:tcPr>
          <w:p w14:paraId="3D255764">
            <w:pPr>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合同金额（万元）</w:t>
            </w:r>
          </w:p>
        </w:tc>
      </w:tr>
      <w:tr w14:paraId="1973ED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1" w:hRule="atLeast"/>
        </w:trPr>
        <w:tc>
          <w:tcPr>
            <w:tcW w:w="1692" w:type="pct"/>
            <w:vMerge w:val="continue"/>
            <w:tcBorders>
              <w:top w:val="single" w:color="auto" w:sz="4" w:space="0"/>
              <w:left w:val="single" w:color="auto" w:sz="4" w:space="0"/>
              <w:bottom w:val="single" w:color="auto" w:sz="4" w:space="0"/>
              <w:right w:val="single" w:color="auto" w:sz="4" w:space="0"/>
            </w:tcBorders>
            <w:vAlign w:val="center"/>
          </w:tcPr>
          <w:p w14:paraId="430EB636">
            <w:pPr>
              <w:widowControl/>
              <w:jc w:val="left"/>
              <w:rPr>
                <w:rFonts w:ascii="宋体" w:hAnsi="宋体" w:cs="宋体"/>
                <w:color w:val="auto"/>
                <w:sz w:val="24"/>
                <w:highlight w:val="none"/>
              </w:rPr>
            </w:pPr>
          </w:p>
        </w:tc>
        <w:tc>
          <w:tcPr>
            <w:tcW w:w="1751" w:type="pct"/>
            <w:vMerge w:val="continue"/>
            <w:tcBorders>
              <w:top w:val="single" w:color="auto" w:sz="4" w:space="0"/>
              <w:left w:val="single" w:color="auto" w:sz="4" w:space="0"/>
              <w:bottom w:val="single" w:color="auto" w:sz="4" w:space="0"/>
              <w:right w:val="single" w:color="auto" w:sz="4" w:space="0"/>
            </w:tcBorders>
            <w:vAlign w:val="center"/>
          </w:tcPr>
          <w:p w14:paraId="092F9CC9">
            <w:pPr>
              <w:widowControl/>
              <w:jc w:val="left"/>
              <w:rPr>
                <w:rFonts w:ascii="宋体" w:hAnsi="宋体" w:cs="宋体"/>
                <w:color w:val="auto"/>
                <w:sz w:val="24"/>
                <w:highlight w:val="none"/>
              </w:rPr>
            </w:pPr>
          </w:p>
        </w:tc>
        <w:tc>
          <w:tcPr>
            <w:tcW w:w="1555" w:type="pct"/>
            <w:vMerge w:val="continue"/>
            <w:tcBorders>
              <w:top w:val="single" w:color="auto" w:sz="4" w:space="0"/>
              <w:left w:val="single" w:color="auto" w:sz="4" w:space="0"/>
              <w:bottom w:val="single" w:color="auto" w:sz="4" w:space="0"/>
              <w:right w:val="single" w:color="auto" w:sz="4" w:space="0"/>
            </w:tcBorders>
            <w:vAlign w:val="center"/>
          </w:tcPr>
          <w:p w14:paraId="7E0B8F0B">
            <w:pPr>
              <w:widowControl/>
              <w:jc w:val="left"/>
              <w:rPr>
                <w:rFonts w:ascii="宋体" w:hAnsi="宋体" w:cs="宋体"/>
                <w:color w:val="auto"/>
                <w:sz w:val="24"/>
                <w:highlight w:val="none"/>
              </w:rPr>
            </w:pPr>
          </w:p>
        </w:tc>
      </w:tr>
      <w:tr w14:paraId="40FD48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692" w:type="pct"/>
            <w:tcBorders>
              <w:top w:val="single" w:color="auto" w:sz="4" w:space="0"/>
              <w:left w:val="single" w:color="auto" w:sz="4" w:space="0"/>
              <w:bottom w:val="single" w:color="auto" w:sz="4" w:space="0"/>
              <w:right w:val="single" w:color="auto" w:sz="4" w:space="0"/>
            </w:tcBorders>
          </w:tcPr>
          <w:p w14:paraId="4FD4761E">
            <w:pPr>
              <w:snapToGrid w:val="0"/>
              <w:spacing w:line="240" w:lineRule="exact"/>
              <w:jc w:val="left"/>
              <w:rPr>
                <w:rFonts w:ascii="宋体" w:hAnsi="宋体" w:cs="宋体"/>
                <w:color w:val="auto"/>
                <w:sz w:val="24"/>
                <w:highlight w:val="none"/>
              </w:rPr>
            </w:pPr>
          </w:p>
        </w:tc>
        <w:tc>
          <w:tcPr>
            <w:tcW w:w="1751" w:type="pct"/>
            <w:tcBorders>
              <w:top w:val="single" w:color="auto" w:sz="4" w:space="0"/>
              <w:left w:val="single" w:color="auto" w:sz="4" w:space="0"/>
              <w:bottom w:val="single" w:color="auto" w:sz="4" w:space="0"/>
              <w:right w:val="single" w:color="auto" w:sz="4" w:space="0"/>
            </w:tcBorders>
          </w:tcPr>
          <w:p w14:paraId="7BB35C9B">
            <w:pPr>
              <w:snapToGrid w:val="0"/>
              <w:spacing w:line="240" w:lineRule="exact"/>
              <w:jc w:val="left"/>
              <w:rPr>
                <w:rFonts w:ascii="宋体" w:hAnsi="宋体" w:cs="宋体"/>
                <w:color w:val="auto"/>
                <w:sz w:val="24"/>
                <w:highlight w:val="none"/>
              </w:rPr>
            </w:pPr>
          </w:p>
        </w:tc>
        <w:tc>
          <w:tcPr>
            <w:tcW w:w="1555" w:type="pct"/>
            <w:tcBorders>
              <w:top w:val="single" w:color="auto" w:sz="4" w:space="0"/>
              <w:left w:val="single" w:color="auto" w:sz="4" w:space="0"/>
              <w:bottom w:val="single" w:color="auto" w:sz="4" w:space="0"/>
              <w:right w:val="single" w:color="auto" w:sz="4" w:space="0"/>
            </w:tcBorders>
          </w:tcPr>
          <w:p w14:paraId="128AC08C">
            <w:pPr>
              <w:snapToGrid w:val="0"/>
              <w:spacing w:line="240" w:lineRule="exact"/>
              <w:jc w:val="left"/>
              <w:rPr>
                <w:rFonts w:ascii="宋体" w:hAnsi="宋体" w:cs="宋体"/>
                <w:color w:val="auto"/>
                <w:sz w:val="24"/>
                <w:highlight w:val="none"/>
              </w:rPr>
            </w:pPr>
          </w:p>
        </w:tc>
      </w:tr>
      <w:tr w14:paraId="231AD6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2" w:type="pct"/>
            <w:tcBorders>
              <w:top w:val="single" w:color="auto" w:sz="4" w:space="0"/>
              <w:left w:val="single" w:color="auto" w:sz="4" w:space="0"/>
              <w:bottom w:val="single" w:color="auto" w:sz="4" w:space="0"/>
              <w:right w:val="single" w:color="auto" w:sz="4" w:space="0"/>
            </w:tcBorders>
          </w:tcPr>
          <w:p w14:paraId="296F3FDD">
            <w:pPr>
              <w:snapToGrid w:val="0"/>
              <w:spacing w:before="50" w:after="165" w:afterLines="50" w:line="400" w:lineRule="exact"/>
              <w:jc w:val="left"/>
              <w:rPr>
                <w:rFonts w:ascii="宋体" w:hAnsi="宋体" w:cs="宋体"/>
                <w:color w:val="auto"/>
                <w:sz w:val="24"/>
                <w:highlight w:val="none"/>
              </w:rPr>
            </w:pPr>
          </w:p>
        </w:tc>
        <w:tc>
          <w:tcPr>
            <w:tcW w:w="1751" w:type="pct"/>
            <w:tcBorders>
              <w:top w:val="single" w:color="auto" w:sz="4" w:space="0"/>
              <w:left w:val="single" w:color="auto" w:sz="4" w:space="0"/>
              <w:bottom w:val="single" w:color="auto" w:sz="4" w:space="0"/>
              <w:right w:val="single" w:color="auto" w:sz="4" w:space="0"/>
            </w:tcBorders>
          </w:tcPr>
          <w:p w14:paraId="4788C218">
            <w:pPr>
              <w:snapToGrid w:val="0"/>
              <w:spacing w:before="50" w:after="165" w:afterLines="50" w:line="400" w:lineRule="exact"/>
              <w:jc w:val="left"/>
              <w:rPr>
                <w:rFonts w:ascii="宋体" w:hAnsi="宋体" w:cs="宋体"/>
                <w:color w:val="auto"/>
                <w:sz w:val="24"/>
                <w:highlight w:val="none"/>
              </w:rPr>
            </w:pPr>
          </w:p>
        </w:tc>
        <w:tc>
          <w:tcPr>
            <w:tcW w:w="1555" w:type="pct"/>
            <w:tcBorders>
              <w:top w:val="single" w:color="auto" w:sz="4" w:space="0"/>
              <w:left w:val="single" w:color="auto" w:sz="4" w:space="0"/>
              <w:bottom w:val="single" w:color="auto" w:sz="4" w:space="0"/>
              <w:right w:val="single" w:color="auto" w:sz="4" w:space="0"/>
            </w:tcBorders>
          </w:tcPr>
          <w:p w14:paraId="629CAD61">
            <w:pPr>
              <w:snapToGrid w:val="0"/>
              <w:spacing w:before="50" w:after="165" w:afterLines="50" w:line="400" w:lineRule="exact"/>
              <w:jc w:val="left"/>
              <w:rPr>
                <w:rFonts w:ascii="宋体" w:hAnsi="宋体" w:cs="宋体"/>
                <w:color w:val="auto"/>
                <w:sz w:val="24"/>
                <w:highlight w:val="none"/>
              </w:rPr>
            </w:pPr>
          </w:p>
        </w:tc>
      </w:tr>
      <w:tr w14:paraId="78E38D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692" w:type="pct"/>
            <w:tcBorders>
              <w:top w:val="single" w:color="auto" w:sz="4" w:space="0"/>
              <w:left w:val="single" w:color="auto" w:sz="4" w:space="0"/>
              <w:bottom w:val="single" w:color="auto" w:sz="4" w:space="0"/>
              <w:right w:val="single" w:color="auto" w:sz="4" w:space="0"/>
            </w:tcBorders>
          </w:tcPr>
          <w:p w14:paraId="3F49BD79">
            <w:pPr>
              <w:snapToGrid w:val="0"/>
              <w:spacing w:before="50" w:after="165" w:afterLines="50" w:line="400" w:lineRule="exact"/>
              <w:jc w:val="left"/>
              <w:rPr>
                <w:rFonts w:ascii="宋体" w:hAnsi="宋体" w:cs="宋体"/>
                <w:color w:val="auto"/>
                <w:sz w:val="24"/>
                <w:highlight w:val="none"/>
              </w:rPr>
            </w:pPr>
          </w:p>
        </w:tc>
        <w:tc>
          <w:tcPr>
            <w:tcW w:w="1751" w:type="pct"/>
            <w:tcBorders>
              <w:top w:val="single" w:color="auto" w:sz="4" w:space="0"/>
              <w:left w:val="single" w:color="auto" w:sz="4" w:space="0"/>
              <w:bottom w:val="single" w:color="auto" w:sz="4" w:space="0"/>
              <w:right w:val="single" w:color="auto" w:sz="4" w:space="0"/>
            </w:tcBorders>
          </w:tcPr>
          <w:p w14:paraId="2F7D6E78">
            <w:pPr>
              <w:snapToGrid w:val="0"/>
              <w:spacing w:before="50" w:after="165" w:afterLines="50" w:line="400" w:lineRule="exact"/>
              <w:jc w:val="left"/>
              <w:rPr>
                <w:rFonts w:ascii="宋体" w:hAnsi="宋体" w:cs="宋体"/>
                <w:color w:val="auto"/>
                <w:sz w:val="24"/>
                <w:highlight w:val="none"/>
              </w:rPr>
            </w:pPr>
          </w:p>
        </w:tc>
        <w:tc>
          <w:tcPr>
            <w:tcW w:w="1555" w:type="pct"/>
            <w:tcBorders>
              <w:top w:val="single" w:color="auto" w:sz="4" w:space="0"/>
              <w:left w:val="single" w:color="auto" w:sz="4" w:space="0"/>
              <w:bottom w:val="single" w:color="auto" w:sz="4" w:space="0"/>
              <w:right w:val="single" w:color="auto" w:sz="4" w:space="0"/>
            </w:tcBorders>
          </w:tcPr>
          <w:p w14:paraId="6A2C1116">
            <w:pPr>
              <w:snapToGrid w:val="0"/>
              <w:spacing w:before="50" w:after="165" w:afterLines="50" w:line="400" w:lineRule="exact"/>
              <w:jc w:val="left"/>
              <w:rPr>
                <w:rFonts w:ascii="宋体" w:hAnsi="宋体" w:cs="宋体"/>
                <w:color w:val="auto"/>
                <w:sz w:val="24"/>
                <w:highlight w:val="none"/>
              </w:rPr>
            </w:pPr>
          </w:p>
        </w:tc>
      </w:tr>
      <w:tr w14:paraId="44F0AE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2" w:type="pct"/>
            <w:tcBorders>
              <w:top w:val="single" w:color="auto" w:sz="4" w:space="0"/>
              <w:left w:val="single" w:color="auto" w:sz="4" w:space="0"/>
              <w:bottom w:val="single" w:color="auto" w:sz="4" w:space="0"/>
              <w:right w:val="single" w:color="auto" w:sz="4" w:space="0"/>
            </w:tcBorders>
          </w:tcPr>
          <w:p w14:paraId="75DD5AB3">
            <w:pPr>
              <w:snapToGrid w:val="0"/>
              <w:spacing w:before="50" w:after="165" w:afterLines="50" w:line="400" w:lineRule="exact"/>
              <w:jc w:val="left"/>
              <w:rPr>
                <w:rFonts w:ascii="宋体" w:hAnsi="宋体" w:cs="宋体"/>
                <w:color w:val="auto"/>
                <w:sz w:val="24"/>
                <w:highlight w:val="none"/>
              </w:rPr>
            </w:pPr>
          </w:p>
        </w:tc>
        <w:tc>
          <w:tcPr>
            <w:tcW w:w="1751" w:type="pct"/>
            <w:tcBorders>
              <w:top w:val="single" w:color="auto" w:sz="4" w:space="0"/>
              <w:left w:val="single" w:color="auto" w:sz="4" w:space="0"/>
              <w:bottom w:val="single" w:color="auto" w:sz="4" w:space="0"/>
              <w:right w:val="single" w:color="auto" w:sz="4" w:space="0"/>
            </w:tcBorders>
          </w:tcPr>
          <w:p w14:paraId="409C4D80">
            <w:pPr>
              <w:snapToGrid w:val="0"/>
              <w:spacing w:before="50" w:after="165" w:afterLines="50" w:line="400" w:lineRule="exact"/>
              <w:jc w:val="left"/>
              <w:rPr>
                <w:rFonts w:ascii="宋体" w:hAnsi="宋体" w:cs="宋体"/>
                <w:color w:val="auto"/>
                <w:sz w:val="24"/>
                <w:highlight w:val="none"/>
              </w:rPr>
            </w:pPr>
          </w:p>
        </w:tc>
        <w:tc>
          <w:tcPr>
            <w:tcW w:w="1555" w:type="pct"/>
            <w:tcBorders>
              <w:top w:val="single" w:color="auto" w:sz="4" w:space="0"/>
              <w:left w:val="single" w:color="auto" w:sz="4" w:space="0"/>
              <w:bottom w:val="single" w:color="auto" w:sz="4" w:space="0"/>
              <w:right w:val="single" w:color="auto" w:sz="4" w:space="0"/>
            </w:tcBorders>
          </w:tcPr>
          <w:p w14:paraId="74BD2736">
            <w:pPr>
              <w:snapToGrid w:val="0"/>
              <w:spacing w:before="50" w:after="165" w:afterLines="50" w:line="400" w:lineRule="exact"/>
              <w:jc w:val="left"/>
              <w:rPr>
                <w:rFonts w:ascii="宋体" w:hAnsi="宋体" w:cs="宋体"/>
                <w:color w:val="auto"/>
                <w:sz w:val="24"/>
                <w:highlight w:val="none"/>
              </w:rPr>
            </w:pPr>
          </w:p>
        </w:tc>
      </w:tr>
      <w:tr w14:paraId="5B723F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2" w:type="pct"/>
            <w:tcBorders>
              <w:top w:val="single" w:color="auto" w:sz="4" w:space="0"/>
              <w:left w:val="single" w:color="auto" w:sz="4" w:space="0"/>
              <w:bottom w:val="single" w:color="auto" w:sz="4" w:space="0"/>
              <w:right w:val="single" w:color="auto" w:sz="4" w:space="0"/>
            </w:tcBorders>
          </w:tcPr>
          <w:p w14:paraId="740ABE86">
            <w:pPr>
              <w:snapToGrid w:val="0"/>
              <w:spacing w:before="50" w:after="165" w:afterLines="50" w:line="400" w:lineRule="exact"/>
              <w:jc w:val="left"/>
              <w:rPr>
                <w:rFonts w:ascii="宋体" w:hAnsi="宋体" w:cs="宋体"/>
                <w:color w:val="auto"/>
                <w:sz w:val="24"/>
                <w:highlight w:val="none"/>
              </w:rPr>
            </w:pPr>
          </w:p>
        </w:tc>
        <w:tc>
          <w:tcPr>
            <w:tcW w:w="1751" w:type="pct"/>
            <w:tcBorders>
              <w:top w:val="single" w:color="auto" w:sz="4" w:space="0"/>
              <w:left w:val="single" w:color="auto" w:sz="4" w:space="0"/>
              <w:bottom w:val="single" w:color="auto" w:sz="4" w:space="0"/>
              <w:right w:val="single" w:color="auto" w:sz="4" w:space="0"/>
            </w:tcBorders>
          </w:tcPr>
          <w:p w14:paraId="0D1C888C">
            <w:pPr>
              <w:snapToGrid w:val="0"/>
              <w:spacing w:before="50" w:after="165" w:afterLines="50" w:line="400" w:lineRule="exact"/>
              <w:jc w:val="left"/>
              <w:rPr>
                <w:rFonts w:ascii="宋体" w:hAnsi="宋体" w:cs="宋体"/>
                <w:color w:val="auto"/>
                <w:sz w:val="24"/>
                <w:highlight w:val="none"/>
              </w:rPr>
            </w:pPr>
          </w:p>
        </w:tc>
        <w:tc>
          <w:tcPr>
            <w:tcW w:w="1555" w:type="pct"/>
            <w:tcBorders>
              <w:top w:val="single" w:color="auto" w:sz="4" w:space="0"/>
              <w:left w:val="single" w:color="auto" w:sz="4" w:space="0"/>
              <w:bottom w:val="single" w:color="auto" w:sz="4" w:space="0"/>
              <w:right w:val="single" w:color="auto" w:sz="4" w:space="0"/>
            </w:tcBorders>
          </w:tcPr>
          <w:p w14:paraId="020ABA92">
            <w:pPr>
              <w:snapToGrid w:val="0"/>
              <w:spacing w:before="50" w:after="165" w:afterLines="50" w:line="400" w:lineRule="exact"/>
              <w:jc w:val="left"/>
              <w:rPr>
                <w:rFonts w:ascii="宋体" w:hAnsi="宋体" w:cs="宋体"/>
                <w:color w:val="auto"/>
                <w:sz w:val="24"/>
                <w:highlight w:val="none"/>
              </w:rPr>
            </w:pPr>
          </w:p>
        </w:tc>
      </w:tr>
    </w:tbl>
    <w:p w14:paraId="393508F2">
      <w:pPr>
        <w:pStyle w:val="11"/>
        <w:spacing w:line="360" w:lineRule="auto"/>
        <w:ind w:left="72"/>
        <w:rPr>
          <w:rFonts w:hAnsi="宋体" w:cs="宋体"/>
          <w:color w:val="auto"/>
          <w:highlight w:val="none"/>
        </w:rPr>
      </w:pPr>
      <w:r>
        <w:rPr>
          <w:rFonts w:hint="eastAsia" w:hAnsi="宋体" w:cs="宋体"/>
          <w:color w:val="auto"/>
          <w:highlight w:val="none"/>
        </w:rPr>
        <w:t>注：投标人可按上述的格式自行编制，须随表提交相应的合同扫描件或中标（成交）通知书和用户单位验收证明（如有）并注明所在投标人商务技术文件页码。</w:t>
      </w:r>
    </w:p>
    <w:p w14:paraId="71776574">
      <w:pPr>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72794530">
      <w:pPr>
        <w:snapToGrid w:val="0"/>
        <w:spacing w:line="360" w:lineRule="auto"/>
        <w:ind w:firstLine="4935" w:firstLineChars="2350"/>
        <w:rPr>
          <w:rFonts w:ascii="宋体" w:hAnsi="宋体" w:cs="宋体"/>
          <w:color w:val="auto"/>
          <w:szCs w:val="21"/>
          <w:highlight w:val="none"/>
        </w:rPr>
      </w:pPr>
    </w:p>
    <w:p w14:paraId="4A332782">
      <w:pPr>
        <w:snapToGrid w:val="0"/>
        <w:spacing w:line="360" w:lineRule="auto"/>
        <w:ind w:firstLine="10080" w:firstLineChars="480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447CF6CF">
      <w:pPr>
        <w:widowControl/>
        <w:snapToGrid w:val="0"/>
        <w:spacing w:line="360" w:lineRule="auto"/>
        <w:jc w:val="left"/>
        <w:rPr>
          <w:rFonts w:ascii="宋体" w:hAnsi="宋体" w:cs="宋体"/>
          <w:color w:val="auto"/>
          <w:kern w:val="0"/>
          <w:sz w:val="24"/>
          <w:highlight w:val="none"/>
          <w:lang w:val="zh-CN"/>
        </w:rPr>
        <w:sectPr>
          <w:pgSz w:w="11906" w:h="16838"/>
          <w:pgMar w:top="1134" w:right="1134" w:bottom="1134" w:left="1134" w:header="720" w:footer="720" w:gutter="0"/>
          <w:cols w:space="720" w:num="1"/>
          <w:docGrid w:type="lines" w:linePitch="331" w:charSpace="0"/>
        </w:sect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3D7524B">
      <w:pPr>
        <w:spacing w:line="600" w:lineRule="exact"/>
        <w:rPr>
          <w:rFonts w:ascii="宋体" w:hAnsi="宋体" w:cs="宋体"/>
          <w:b/>
          <w:bCs/>
          <w:color w:val="auto"/>
          <w:sz w:val="30"/>
          <w:szCs w:val="30"/>
          <w:highlight w:val="none"/>
        </w:rPr>
      </w:pPr>
      <w:r>
        <w:rPr>
          <w:rFonts w:hint="eastAsia" w:ascii="宋体" w:hAnsi="宋体" w:cs="宋体"/>
          <w:b/>
          <w:bCs/>
          <w:color w:val="auto"/>
          <w:sz w:val="30"/>
          <w:szCs w:val="30"/>
          <w:highlight w:val="none"/>
        </w:rPr>
        <w:t>八、除招标文件规定必须提供以外，投标人认为需要提供的其他证明材料。</w:t>
      </w:r>
    </w:p>
    <w:p w14:paraId="2C89306E">
      <w:pPr>
        <w:spacing w:line="600" w:lineRule="exact"/>
        <w:jc w:val="center"/>
        <w:rPr>
          <w:rFonts w:ascii="宋体" w:hAnsi="宋体" w:cs="宋体"/>
          <w:b/>
          <w:bCs/>
          <w:color w:val="auto"/>
          <w:sz w:val="30"/>
          <w:szCs w:val="30"/>
          <w:highlight w:val="none"/>
        </w:rPr>
      </w:pPr>
    </w:p>
    <w:p w14:paraId="0B6ECABE">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0B946390">
      <w:pPr>
        <w:rPr>
          <w:rFonts w:ascii="宋体" w:hAnsi="宋体" w:cs="宋体"/>
          <w:color w:val="auto"/>
          <w:kern w:val="0"/>
          <w:sz w:val="24"/>
          <w:highlight w:val="none"/>
          <w:lang w:val="zh-CN"/>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AF108EB">
      <w:pPr>
        <w:rPr>
          <w:rFonts w:ascii="宋体" w:hAnsi="宋体" w:cs="宋体"/>
          <w:color w:val="auto"/>
          <w:kern w:val="0"/>
          <w:sz w:val="24"/>
          <w:highlight w:val="none"/>
          <w:lang w:val="zh-CN"/>
        </w:rPr>
      </w:pPr>
    </w:p>
    <w:p w14:paraId="6C1C7D98">
      <w:pPr>
        <w:rPr>
          <w:rFonts w:ascii="宋体" w:hAnsi="宋体" w:cs="宋体"/>
          <w:color w:val="auto"/>
          <w:kern w:val="0"/>
          <w:sz w:val="24"/>
          <w:highlight w:val="none"/>
          <w:lang w:val="zh-CN"/>
        </w:rPr>
      </w:pPr>
    </w:p>
    <w:p w14:paraId="201AD5B2">
      <w:pPr>
        <w:rPr>
          <w:rFonts w:ascii="宋体" w:hAnsi="宋体" w:cs="宋体"/>
          <w:color w:val="auto"/>
          <w:kern w:val="0"/>
          <w:sz w:val="24"/>
          <w:highlight w:val="none"/>
          <w:lang w:val="zh-CN"/>
        </w:rPr>
      </w:pPr>
    </w:p>
    <w:p w14:paraId="40F3AF99">
      <w:pPr>
        <w:rPr>
          <w:rFonts w:ascii="宋体" w:hAnsi="宋体" w:cs="宋体"/>
          <w:color w:val="auto"/>
          <w:kern w:val="0"/>
          <w:sz w:val="24"/>
          <w:highlight w:val="none"/>
          <w:lang w:val="zh-CN"/>
        </w:rPr>
      </w:pPr>
    </w:p>
    <w:p w14:paraId="53676EA6">
      <w:pPr>
        <w:rPr>
          <w:rFonts w:ascii="宋体" w:hAnsi="宋体" w:cs="宋体"/>
          <w:color w:val="auto"/>
          <w:kern w:val="0"/>
          <w:sz w:val="24"/>
          <w:highlight w:val="none"/>
          <w:lang w:val="zh-CN"/>
        </w:rPr>
      </w:pPr>
    </w:p>
    <w:p w14:paraId="326FF95D">
      <w:pPr>
        <w:rPr>
          <w:rFonts w:ascii="宋体" w:hAnsi="宋体" w:cs="宋体"/>
          <w:color w:val="auto"/>
          <w:kern w:val="0"/>
          <w:sz w:val="24"/>
          <w:highlight w:val="none"/>
          <w:lang w:val="zh-CN"/>
        </w:rPr>
      </w:pPr>
    </w:p>
    <w:p w14:paraId="61D7DD10">
      <w:pPr>
        <w:rPr>
          <w:rFonts w:ascii="宋体" w:hAnsi="宋体" w:cs="宋体"/>
          <w:color w:val="auto"/>
          <w:kern w:val="0"/>
          <w:sz w:val="24"/>
          <w:highlight w:val="none"/>
          <w:lang w:val="zh-CN"/>
        </w:rPr>
      </w:pPr>
    </w:p>
    <w:p w14:paraId="0A70D881">
      <w:pPr>
        <w:rPr>
          <w:rFonts w:ascii="宋体" w:hAnsi="宋体" w:cs="宋体"/>
          <w:b/>
          <w:color w:val="auto"/>
          <w:sz w:val="28"/>
          <w:szCs w:val="28"/>
          <w:highlight w:val="none"/>
        </w:rPr>
      </w:pPr>
    </w:p>
    <w:p w14:paraId="7F8E876A">
      <w:pPr>
        <w:rPr>
          <w:rFonts w:ascii="宋体" w:hAnsi="宋体" w:cs="宋体"/>
          <w:b/>
          <w:color w:val="auto"/>
          <w:sz w:val="28"/>
          <w:szCs w:val="28"/>
          <w:highlight w:val="none"/>
        </w:rPr>
      </w:pPr>
    </w:p>
    <w:p w14:paraId="093B53F8">
      <w:pPr>
        <w:rPr>
          <w:rFonts w:ascii="宋体" w:hAnsi="宋体" w:cs="宋体"/>
          <w:b/>
          <w:color w:val="auto"/>
          <w:sz w:val="28"/>
          <w:szCs w:val="28"/>
          <w:highlight w:val="none"/>
        </w:rPr>
      </w:pPr>
    </w:p>
    <w:p w14:paraId="024E15B1">
      <w:pPr>
        <w:rPr>
          <w:rFonts w:ascii="宋体" w:hAnsi="宋体" w:cs="宋体"/>
          <w:b/>
          <w:color w:val="auto"/>
          <w:sz w:val="28"/>
          <w:szCs w:val="28"/>
          <w:highlight w:val="none"/>
        </w:rPr>
      </w:pPr>
    </w:p>
    <w:p w14:paraId="1CB9EC72">
      <w:pPr>
        <w:rPr>
          <w:rFonts w:ascii="宋体" w:hAnsi="宋体" w:cs="宋体"/>
          <w:b/>
          <w:color w:val="auto"/>
          <w:sz w:val="28"/>
          <w:szCs w:val="28"/>
          <w:highlight w:val="none"/>
        </w:rPr>
      </w:pPr>
    </w:p>
    <w:p w14:paraId="0BB30187">
      <w:pPr>
        <w:rPr>
          <w:rFonts w:ascii="宋体" w:hAnsi="宋体" w:cs="宋体"/>
          <w:b/>
          <w:color w:val="auto"/>
          <w:sz w:val="28"/>
          <w:szCs w:val="28"/>
          <w:highlight w:val="none"/>
        </w:rPr>
      </w:pPr>
    </w:p>
    <w:p w14:paraId="75692189">
      <w:pPr>
        <w:rPr>
          <w:rFonts w:ascii="宋体" w:hAnsi="宋体" w:cs="宋体"/>
          <w:b/>
          <w:color w:val="auto"/>
          <w:sz w:val="28"/>
          <w:szCs w:val="28"/>
          <w:highlight w:val="none"/>
        </w:rPr>
      </w:pPr>
    </w:p>
    <w:p w14:paraId="1271C0FF">
      <w:pPr>
        <w:rPr>
          <w:rFonts w:ascii="宋体" w:hAnsi="宋体" w:cs="宋体"/>
          <w:b/>
          <w:color w:val="auto"/>
          <w:sz w:val="28"/>
          <w:szCs w:val="28"/>
          <w:highlight w:val="none"/>
        </w:rPr>
      </w:pPr>
    </w:p>
    <w:p w14:paraId="53E174DA">
      <w:pPr>
        <w:rPr>
          <w:rFonts w:ascii="宋体" w:hAnsi="宋体" w:cs="宋体"/>
          <w:b/>
          <w:color w:val="auto"/>
          <w:sz w:val="28"/>
          <w:szCs w:val="28"/>
          <w:highlight w:val="none"/>
        </w:rPr>
      </w:pPr>
    </w:p>
    <w:p w14:paraId="3BB5492E">
      <w:pPr>
        <w:rPr>
          <w:rFonts w:ascii="宋体" w:hAnsi="宋体" w:cs="宋体"/>
          <w:b/>
          <w:color w:val="auto"/>
          <w:sz w:val="28"/>
          <w:szCs w:val="28"/>
          <w:highlight w:val="none"/>
        </w:rPr>
      </w:pPr>
    </w:p>
    <w:p w14:paraId="36EF0696">
      <w:pPr>
        <w:rPr>
          <w:rFonts w:ascii="宋体" w:hAnsi="宋体" w:cs="宋体"/>
          <w:b/>
          <w:color w:val="auto"/>
          <w:sz w:val="28"/>
          <w:szCs w:val="28"/>
          <w:highlight w:val="none"/>
        </w:rPr>
      </w:pPr>
    </w:p>
    <w:p w14:paraId="1FBF35D7">
      <w:pPr>
        <w:rPr>
          <w:rFonts w:ascii="宋体" w:hAnsi="宋体" w:cs="宋体"/>
          <w:b/>
          <w:color w:val="auto"/>
          <w:sz w:val="28"/>
          <w:szCs w:val="28"/>
          <w:highlight w:val="none"/>
        </w:rPr>
      </w:pPr>
    </w:p>
    <w:p w14:paraId="431A5851">
      <w:pPr>
        <w:rPr>
          <w:rFonts w:ascii="宋体" w:hAnsi="宋体" w:cs="宋体"/>
          <w:b/>
          <w:color w:val="auto"/>
          <w:sz w:val="28"/>
          <w:szCs w:val="28"/>
          <w:highlight w:val="none"/>
        </w:rPr>
      </w:pPr>
    </w:p>
    <w:p w14:paraId="4590BAB6">
      <w:pPr>
        <w:rPr>
          <w:rFonts w:ascii="宋体" w:hAnsi="宋体" w:cs="宋体"/>
          <w:b/>
          <w:color w:val="auto"/>
          <w:sz w:val="28"/>
          <w:szCs w:val="28"/>
          <w:highlight w:val="none"/>
        </w:rPr>
      </w:pPr>
    </w:p>
    <w:p w14:paraId="1AD14A1D">
      <w:pPr>
        <w:rPr>
          <w:rFonts w:ascii="宋体" w:hAnsi="宋体" w:cs="宋体"/>
          <w:b/>
          <w:color w:val="auto"/>
          <w:sz w:val="28"/>
          <w:szCs w:val="28"/>
          <w:highlight w:val="none"/>
        </w:rPr>
      </w:pPr>
    </w:p>
    <w:p w14:paraId="7562FA74">
      <w:pPr>
        <w:rPr>
          <w:rFonts w:ascii="宋体" w:hAnsi="宋体" w:cs="宋体"/>
          <w:b/>
          <w:color w:val="auto"/>
          <w:sz w:val="28"/>
          <w:szCs w:val="28"/>
          <w:highlight w:val="none"/>
        </w:rPr>
      </w:pPr>
      <w:r>
        <w:rPr>
          <w:rFonts w:hint="eastAsia" w:ascii="宋体" w:hAnsi="宋体" w:cs="宋体"/>
          <w:b/>
          <w:color w:val="auto"/>
          <w:sz w:val="28"/>
          <w:szCs w:val="28"/>
          <w:highlight w:val="none"/>
        </w:rPr>
        <w:t>第四节、技术文件格式</w:t>
      </w:r>
    </w:p>
    <w:p w14:paraId="7CFBD91A">
      <w:pPr>
        <w:snapToGrid w:val="0"/>
        <w:spacing w:before="165" w:beforeLines="50" w:after="50"/>
        <w:jc w:val="right"/>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29E48F30">
      <w:pPr>
        <w:snapToGrid w:val="0"/>
        <w:spacing w:before="165" w:beforeLines="50" w:after="50"/>
        <w:rPr>
          <w:rFonts w:ascii="宋体" w:hAnsi="宋体" w:cs="宋体"/>
          <w:color w:val="auto"/>
          <w:sz w:val="24"/>
          <w:szCs w:val="20"/>
          <w:highlight w:val="none"/>
        </w:rPr>
      </w:pPr>
    </w:p>
    <w:p w14:paraId="538F3E9E">
      <w:pPr>
        <w:snapToGrid w:val="0"/>
        <w:spacing w:before="165" w:beforeLines="50" w:after="50"/>
        <w:jc w:val="center"/>
        <w:rPr>
          <w:rFonts w:ascii="宋体" w:hAnsi="宋体" w:cs="宋体"/>
          <w:b/>
          <w:bCs/>
          <w:color w:val="auto"/>
          <w:sz w:val="32"/>
          <w:szCs w:val="32"/>
          <w:highlight w:val="none"/>
        </w:rPr>
      </w:pPr>
    </w:p>
    <w:p w14:paraId="6EC7CD3A">
      <w:pPr>
        <w:snapToGrid w:val="0"/>
        <w:spacing w:before="165" w:beforeLines="50" w:after="50"/>
        <w:jc w:val="center"/>
        <w:rPr>
          <w:rFonts w:ascii="宋体" w:hAnsi="宋体" w:cs="宋体"/>
          <w:b/>
          <w:bCs/>
          <w:color w:val="auto"/>
          <w:sz w:val="32"/>
          <w:szCs w:val="32"/>
          <w:highlight w:val="none"/>
        </w:rPr>
      </w:pPr>
    </w:p>
    <w:p w14:paraId="6E15315D">
      <w:pPr>
        <w:snapToGrid w:val="0"/>
        <w:spacing w:before="165" w:beforeLines="50" w:after="50"/>
        <w:jc w:val="center"/>
        <w:rPr>
          <w:rFonts w:ascii="宋体" w:hAnsi="宋体" w:cs="宋体"/>
          <w:b/>
          <w:bCs/>
          <w:color w:val="auto"/>
          <w:sz w:val="32"/>
          <w:szCs w:val="32"/>
          <w:highlight w:val="none"/>
        </w:rPr>
      </w:pPr>
    </w:p>
    <w:p w14:paraId="205DEA1F">
      <w:pPr>
        <w:snapToGrid w:val="0"/>
        <w:spacing w:before="165" w:beforeLines="50" w:after="5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技术文件（封面）</w:t>
      </w:r>
    </w:p>
    <w:p w14:paraId="57152212">
      <w:pPr>
        <w:snapToGrid w:val="0"/>
        <w:spacing w:before="165" w:beforeLines="50" w:after="50"/>
        <w:rPr>
          <w:rFonts w:ascii="宋体" w:hAnsi="宋体" w:cs="宋体"/>
          <w:bCs/>
          <w:color w:val="auto"/>
          <w:sz w:val="24"/>
          <w:szCs w:val="20"/>
          <w:highlight w:val="none"/>
        </w:rPr>
      </w:pPr>
    </w:p>
    <w:p w14:paraId="0A0FE71D">
      <w:pPr>
        <w:snapToGrid w:val="0"/>
        <w:spacing w:before="165"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项目名称：</w:t>
      </w:r>
    </w:p>
    <w:p w14:paraId="2880C432">
      <w:pPr>
        <w:snapToGrid w:val="0"/>
        <w:spacing w:before="165" w:beforeLines="50" w:after="50"/>
        <w:ind w:firstLine="540" w:firstLineChars="225"/>
        <w:rPr>
          <w:rFonts w:ascii="宋体" w:hAnsi="宋体" w:cs="宋体"/>
          <w:bCs/>
          <w:color w:val="auto"/>
          <w:sz w:val="24"/>
          <w:szCs w:val="20"/>
          <w:highlight w:val="none"/>
        </w:rPr>
      </w:pPr>
    </w:p>
    <w:p w14:paraId="3F115E2A">
      <w:pPr>
        <w:snapToGrid w:val="0"/>
        <w:spacing w:before="165"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2FBA98B8">
      <w:pPr>
        <w:snapToGrid w:val="0"/>
        <w:spacing w:before="165" w:beforeLines="50" w:after="50"/>
        <w:ind w:firstLine="540" w:firstLineChars="225"/>
        <w:rPr>
          <w:rFonts w:ascii="宋体" w:hAnsi="宋体" w:cs="宋体"/>
          <w:bCs/>
          <w:color w:val="auto"/>
          <w:sz w:val="24"/>
          <w:szCs w:val="20"/>
          <w:highlight w:val="none"/>
        </w:rPr>
      </w:pPr>
      <w:r>
        <w:rPr>
          <w:rFonts w:hint="eastAsia" w:ascii="宋体" w:hAnsi="宋体" w:cs="宋体"/>
          <w:bCs/>
          <w:color w:val="auto"/>
          <w:sz w:val="24"/>
          <w:highlight w:val="none"/>
        </w:rPr>
        <w:t xml:space="preserve"> </w:t>
      </w:r>
    </w:p>
    <w:p w14:paraId="17DCB567">
      <w:pPr>
        <w:snapToGrid w:val="0"/>
        <w:spacing w:before="165"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所投分标：</w:t>
      </w:r>
    </w:p>
    <w:p w14:paraId="24073686">
      <w:pPr>
        <w:snapToGrid w:val="0"/>
        <w:spacing w:before="165" w:beforeLines="50" w:after="50"/>
        <w:ind w:firstLine="540" w:firstLineChars="225"/>
        <w:rPr>
          <w:rFonts w:ascii="宋体" w:hAnsi="宋体" w:cs="宋体"/>
          <w:bCs/>
          <w:color w:val="auto"/>
          <w:sz w:val="24"/>
          <w:szCs w:val="20"/>
          <w:highlight w:val="none"/>
        </w:rPr>
      </w:pPr>
    </w:p>
    <w:p w14:paraId="531706E9">
      <w:pPr>
        <w:pStyle w:val="7"/>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073272CD">
      <w:pPr>
        <w:pStyle w:val="7"/>
        <w:snapToGrid w:val="0"/>
        <w:spacing w:before="50" w:after="50"/>
        <w:ind w:firstLine="540" w:firstLineChars="225"/>
        <w:rPr>
          <w:rFonts w:ascii="宋体" w:hAnsi="宋体" w:cs="宋体"/>
          <w:bCs/>
          <w:color w:val="auto"/>
          <w:sz w:val="24"/>
          <w:szCs w:val="24"/>
          <w:highlight w:val="none"/>
        </w:rPr>
      </w:pPr>
    </w:p>
    <w:p w14:paraId="39127844">
      <w:pPr>
        <w:pStyle w:val="7"/>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70A5782F">
      <w:pPr>
        <w:pStyle w:val="7"/>
        <w:snapToGrid w:val="0"/>
        <w:spacing w:before="50" w:after="50"/>
        <w:ind w:firstLine="960" w:firstLineChars="400"/>
        <w:rPr>
          <w:rFonts w:ascii="宋体" w:hAnsi="宋体" w:cs="宋体"/>
          <w:bCs/>
          <w:color w:val="auto"/>
          <w:sz w:val="24"/>
          <w:szCs w:val="24"/>
          <w:highlight w:val="none"/>
        </w:rPr>
      </w:pPr>
    </w:p>
    <w:p w14:paraId="2C7E2926">
      <w:pPr>
        <w:snapToGrid w:val="0"/>
        <w:spacing w:before="165"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38136A51">
      <w:pPr>
        <w:snapToGrid w:val="0"/>
        <w:spacing w:before="165" w:beforeLines="50" w:after="50"/>
        <w:ind w:firstLine="645"/>
        <w:jc w:val="center"/>
        <w:rPr>
          <w:rFonts w:ascii="宋体" w:hAnsi="宋体" w:cs="宋体"/>
          <w:color w:val="auto"/>
          <w:sz w:val="24"/>
          <w:szCs w:val="20"/>
          <w:highlight w:val="none"/>
        </w:rPr>
      </w:pPr>
    </w:p>
    <w:p w14:paraId="1DC09B7F">
      <w:pPr>
        <w:jc w:val="center"/>
        <w:rPr>
          <w:rFonts w:ascii="宋体" w:hAnsi="宋体" w:cs="宋体"/>
          <w:b/>
          <w:bCs/>
          <w:color w:val="auto"/>
          <w:sz w:val="24"/>
          <w:highlight w:val="none"/>
        </w:rPr>
      </w:pPr>
      <w:r>
        <w:rPr>
          <w:rFonts w:hint="eastAsia" w:ascii="宋体" w:hAnsi="宋体" w:cs="宋体"/>
          <w:b/>
          <w:bCs/>
          <w:color w:val="auto"/>
          <w:sz w:val="24"/>
          <w:highlight w:val="none"/>
        </w:rPr>
        <w:br w:type="page"/>
      </w:r>
    </w:p>
    <w:p w14:paraId="244E8238">
      <w:pPr>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技术文件目录</w:t>
      </w:r>
    </w:p>
    <w:p w14:paraId="657A04B4">
      <w:pPr>
        <w:pStyle w:val="31"/>
        <w:rPr>
          <w:rFonts w:ascii="宋体" w:hAnsi="宋体" w:cs="宋体"/>
          <w:color w:val="auto"/>
          <w:highlight w:val="none"/>
        </w:rPr>
      </w:pPr>
    </w:p>
    <w:p w14:paraId="56DAF4F6">
      <w:pPr>
        <w:pStyle w:val="34"/>
        <w:spacing w:line="360" w:lineRule="auto"/>
        <w:ind w:left="0" w:firstLine="0" w:firstLineChars="0"/>
        <w:rPr>
          <w:rFonts w:ascii="宋体" w:hAnsi="宋体" w:eastAsia="宋体" w:cs="宋体"/>
          <w:color w:val="auto"/>
          <w:highlight w:val="none"/>
        </w:rPr>
      </w:pPr>
      <w:r>
        <w:rPr>
          <w:rFonts w:hint="eastAsia" w:ascii="宋体" w:hAnsi="宋体" w:eastAsia="宋体" w:cs="宋体"/>
          <w:color w:val="auto"/>
          <w:highlight w:val="none"/>
        </w:rPr>
        <w:t>一、技术需求偏离表………………………………………………………………………（页码）</w:t>
      </w:r>
    </w:p>
    <w:p w14:paraId="5EE5105D">
      <w:pPr>
        <w:pStyle w:val="34"/>
        <w:spacing w:line="360" w:lineRule="auto"/>
        <w:ind w:left="0" w:firstLine="0" w:firstLineChars="0"/>
        <w:rPr>
          <w:rFonts w:ascii="宋体" w:hAnsi="宋体" w:eastAsia="宋体" w:cs="宋体"/>
          <w:color w:val="auto"/>
          <w:highlight w:val="none"/>
        </w:rPr>
      </w:pPr>
      <w:r>
        <w:rPr>
          <w:rFonts w:hint="eastAsia" w:ascii="宋体" w:hAnsi="宋体" w:eastAsia="宋体" w:cs="宋体"/>
          <w:color w:val="auto"/>
          <w:highlight w:val="none"/>
        </w:rPr>
        <w:t>二、服务方案………………………………………………………………………………（页码）</w:t>
      </w:r>
    </w:p>
    <w:p w14:paraId="1AD2C005">
      <w:pPr>
        <w:pStyle w:val="34"/>
        <w:spacing w:line="360" w:lineRule="auto"/>
        <w:ind w:left="0" w:firstLine="0" w:firstLineChars="0"/>
        <w:rPr>
          <w:rFonts w:ascii="宋体" w:hAnsi="宋体" w:eastAsia="宋体" w:cs="宋体"/>
          <w:color w:val="auto"/>
          <w:highlight w:val="none"/>
        </w:rPr>
      </w:pPr>
      <w:r>
        <w:rPr>
          <w:rFonts w:hint="eastAsia" w:ascii="宋体" w:hAnsi="宋体" w:eastAsia="宋体" w:cs="宋体"/>
          <w:color w:val="auto"/>
          <w:szCs w:val="21"/>
          <w:highlight w:val="none"/>
        </w:rPr>
        <w:t>三、售后服务承诺</w:t>
      </w:r>
      <w:r>
        <w:rPr>
          <w:rFonts w:hint="eastAsia" w:ascii="宋体" w:hAnsi="宋体" w:eastAsia="宋体" w:cs="宋体"/>
          <w:color w:val="auto"/>
          <w:highlight w:val="none"/>
        </w:rPr>
        <w:t>…………………………………………………………………………（页码）</w:t>
      </w:r>
    </w:p>
    <w:p w14:paraId="2FDB5270">
      <w:pPr>
        <w:pStyle w:val="34"/>
        <w:spacing w:line="360" w:lineRule="auto"/>
        <w:ind w:left="0" w:firstLine="0" w:firstLineChars="0"/>
        <w:rPr>
          <w:rFonts w:ascii="宋体" w:hAnsi="宋体" w:eastAsia="宋体" w:cs="宋体"/>
          <w:color w:val="auto"/>
          <w:highlight w:val="none"/>
        </w:rPr>
      </w:pPr>
      <w:r>
        <w:rPr>
          <w:rFonts w:hint="eastAsia" w:ascii="宋体" w:hAnsi="宋体" w:eastAsia="宋体" w:cs="宋体"/>
          <w:color w:val="auto"/>
          <w:szCs w:val="21"/>
          <w:highlight w:val="none"/>
        </w:rPr>
        <w:t>四、项目实施人员一览表</w:t>
      </w:r>
      <w:r>
        <w:rPr>
          <w:rFonts w:hint="eastAsia" w:ascii="宋体" w:hAnsi="宋体" w:eastAsia="宋体" w:cs="宋体"/>
          <w:color w:val="auto"/>
          <w:highlight w:val="none"/>
        </w:rPr>
        <w:t>…………………………………………………………………（页码）</w:t>
      </w:r>
    </w:p>
    <w:p w14:paraId="5A55483E">
      <w:pPr>
        <w:pStyle w:val="34"/>
        <w:spacing w:line="360" w:lineRule="auto"/>
        <w:ind w:left="0" w:firstLine="0" w:firstLineChars="0"/>
        <w:rPr>
          <w:rFonts w:ascii="宋体" w:hAnsi="宋体" w:eastAsia="宋体" w:cs="宋体"/>
          <w:color w:val="auto"/>
          <w:highlight w:val="none"/>
        </w:rPr>
      </w:pPr>
      <w:r>
        <w:rPr>
          <w:rFonts w:hint="eastAsia" w:ascii="宋体" w:hAnsi="宋体" w:eastAsia="宋体" w:cs="宋体"/>
          <w:color w:val="auto"/>
          <w:highlight w:val="none"/>
        </w:rPr>
        <w:t>五、</w:t>
      </w:r>
      <w:r>
        <w:rPr>
          <w:rFonts w:hint="eastAsia" w:ascii="宋体" w:hAnsi="宋体" w:eastAsia="宋体" w:cs="宋体"/>
          <w:color w:val="auto"/>
          <w:szCs w:val="21"/>
          <w:highlight w:val="none"/>
        </w:rPr>
        <w:t>投标人对本项目的合理化建议和改进措施</w:t>
      </w:r>
      <w:r>
        <w:rPr>
          <w:rFonts w:hint="eastAsia" w:ascii="宋体" w:hAnsi="宋体" w:eastAsia="宋体" w:cs="宋体"/>
          <w:color w:val="auto"/>
          <w:highlight w:val="none"/>
          <w:lang w:val="zh-CN"/>
        </w:rPr>
        <w:t xml:space="preserve"> ……………</w:t>
      </w:r>
      <w:r>
        <w:rPr>
          <w:rFonts w:hint="eastAsia" w:ascii="宋体" w:hAnsi="宋体" w:eastAsia="宋体" w:cs="宋体"/>
          <w:color w:val="auto"/>
          <w:highlight w:val="none"/>
        </w:rPr>
        <w:t>……………………………（页码）</w:t>
      </w:r>
    </w:p>
    <w:p w14:paraId="5836BCEF">
      <w:pPr>
        <w:pStyle w:val="34"/>
        <w:spacing w:line="360" w:lineRule="auto"/>
        <w:ind w:left="0" w:firstLine="0" w:firstLineChars="0"/>
        <w:rPr>
          <w:rFonts w:ascii="宋体" w:hAnsi="宋体" w:eastAsia="宋体" w:cs="宋体"/>
          <w:color w:val="auto"/>
          <w:highlight w:val="none"/>
        </w:rPr>
      </w:pPr>
      <w:r>
        <w:rPr>
          <w:rFonts w:hint="eastAsia" w:ascii="宋体" w:hAnsi="宋体" w:eastAsia="宋体" w:cs="宋体"/>
          <w:color w:val="auto"/>
          <w:highlight w:val="none"/>
        </w:rPr>
        <w:t>六、除招标文件规定必须提供以外，投标人需要说明的其他文件和说明</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6C888753">
      <w:pPr>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27315D65">
      <w:pPr>
        <w:snapToGrid w:val="0"/>
        <w:spacing w:before="165" w:beforeLines="50" w:after="50"/>
        <w:ind w:left="143" w:leftChars="68" w:firstLine="472" w:firstLineChars="196"/>
        <w:jc w:val="left"/>
        <w:rPr>
          <w:rFonts w:ascii="宋体" w:hAnsi="宋体" w:cs="宋体"/>
          <w:b/>
          <w:color w:val="auto"/>
          <w:sz w:val="24"/>
          <w:highlight w:val="none"/>
        </w:rPr>
      </w:pPr>
    </w:p>
    <w:p w14:paraId="5D668522">
      <w:pPr>
        <w:snapToGrid w:val="0"/>
        <w:spacing w:before="165" w:beforeLines="50" w:after="50"/>
        <w:ind w:left="143" w:leftChars="68" w:firstLine="472" w:firstLineChars="196"/>
        <w:jc w:val="center"/>
        <w:rPr>
          <w:rFonts w:ascii="宋体" w:hAnsi="宋体" w:cs="宋体"/>
          <w:b/>
          <w:bCs/>
          <w:color w:val="auto"/>
          <w:sz w:val="30"/>
          <w:szCs w:val="30"/>
          <w:highlight w:val="none"/>
        </w:rPr>
      </w:pPr>
      <w:r>
        <w:rPr>
          <w:rFonts w:hint="eastAsia" w:ascii="宋体" w:hAnsi="宋体" w:cs="宋体"/>
          <w:b/>
          <w:color w:val="auto"/>
          <w:sz w:val="24"/>
          <w:highlight w:val="none"/>
        </w:rPr>
        <w:br w:type="page"/>
      </w:r>
      <w:r>
        <w:rPr>
          <w:rFonts w:hint="eastAsia" w:ascii="宋体" w:hAnsi="宋体" w:cs="宋体"/>
          <w:b/>
          <w:bCs/>
          <w:color w:val="auto"/>
          <w:sz w:val="30"/>
          <w:szCs w:val="30"/>
          <w:highlight w:val="none"/>
        </w:rPr>
        <w:t>一、技术需求偏离表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44AB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6DA57E85">
            <w:pPr>
              <w:rPr>
                <w:rFonts w:ascii="宋体" w:hAnsi="宋体" w:cs="宋体"/>
                <w:color w:val="auto"/>
                <w:szCs w:val="21"/>
                <w:highlight w:val="none"/>
              </w:rPr>
            </w:pPr>
            <w:r>
              <w:rPr>
                <w:rFonts w:hint="eastAsia" w:ascii="宋体" w:hAnsi="宋体" w:cs="宋体"/>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598E2F95">
            <w:pPr>
              <w:jc w:val="center"/>
              <w:rPr>
                <w:rFonts w:ascii="宋体" w:hAnsi="宋体" w:cs="宋体"/>
                <w:color w:val="auto"/>
                <w:szCs w:val="21"/>
                <w:highlight w:val="none"/>
              </w:rPr>
            </w:pPr>
            <w:r>
              <w:rPr>
                <w:rFonts w:hint="eastAsia" w:ascii="宋体" w:hAnsi="宋体" w:cs="宋体"/>
                <w:color w:val="auto"/>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02FFA71F">
            <w:pPr>
              <w:jc w:val="center"/>
              <w:rPr>
                <w:rFonts w:ascii="宋体" w:hAnsi="宋体" w:cs="宋体"/>
                <w:color w:val="auto"/>
                <w:szCs w:val="21"/>
                <w:highlight w:val="none"/>
              </w:rPr>
            </w:pPr>
            <w:r>
              <w:rPr>
                <w:rFonts w:hint="eastAsia" w:ascii="宋体" w:hAnsi="宋体" w:cs="宋体"/>
                <w:color w:val="auto"/>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2BC6EA16">
            <w:pPr>
              <w:rPr>
                <w:rFonts w:ascii="宋体" w:hAnsi="宋体" w:cs="宋体"/>
                <w:color w:val="auto"/>
                <w:szCs w:val="21"/>
                <w:highlight w:val="none"/>
              </w:rPr>
            </w:pPr>
            <w:r>
              <w:rPr>
                <w:rFonts w:hint="eastAsia" w:ascii="宋体" w:hAnsi="宋体" w:cs="宋体"/>
                <w:color w:val="auto"/>
                <w:szCs w:val="21"/>
                <w:highlight w:val="none"/>
              </w:rPr>
              <w:t>偏离说明</w:t>
            </w:r>
          </w:p>
        </w:tc>
      </w:tr>
      <w:tr w14:paraId="4CFE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1D3DF1D0">
            <w:pPr>
              <w:widowControl/>
              <w:jc w:val="left"/>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DE3CB4B">
            <w:pPr>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2310" w:type="dxa"/>
            <w:tcBorders>
              <w:top w:val="single" w:color="auto" w:sz="4" w:space="0"/>
              <w:left w:val="single" w:color="auto" w:sz="4" w:space="0"/>
              <w:bottom w:val="single" w:color="auto" w:sz="4" w:space="0"/>
              <w:right w:val="single" w:color="auto" w:sz="4" w:space="0"/>
            </w:tcBorders>
            <w:vAlign w:val="center"/>
          </w:tcPr>
          <w:p w14:paraId="7505EA90">
            <w:pPr>
              <w:jc w:val="center"/>
              <w:rPr>
                <w:rFonts w:ascii="宋体" w:hAnsi="宋体" w:cs="宋体"/>
                <w:color w:val="auto"/>
                <w:szCs w:val="21"/>
                <w:highlight w:val="none"/>
              </w:rPr>
            </w:pPr>
            <w:r>
              <w:rPr>
                <w:rFonts w:hint="eastAsia" w:ascii="宋体" w:hAnsi="宋体" w:cs="宋体"/>
                <w:color w:val="auto"/>
                <w:szCs w:val="21"/>
                <w:highlight w:val="none"/>
              </w:rPr>
              <w:t>服务内容及技术要求</w:t>
            </w:r>
          </w:p>
        </w:tc>
        <w:tc>
          <w:tcPr>
            <w:tcW w:w="1516" w:type="dxa"/>
            <w:tcBorders>
              <w:top w:val="single" w:color="auto" w:sz="4" w:space="0"/>
              <w:left w:val="single" w:color="auto" w:sz="4" w:space="0"/>
              <w:bottom w:val="single" w:color="auto" w:sz="4" w:space="0"/>
              <w:right w:val="single" w:color="auto" w:sz="4" w:space="0"/>
            </w:tcBorders>
            <w:vAlign w:val="center"/>
          </w:tcPr>
          <w:p w14:paraId="41A01465">
            <w:pPr>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3297" w:type="dxa"/>
            <w:tcBorders>
              <w:top w:val="single" w:color="auto" w:sz="4" w:space="0"/>
              <w:left w:val="single" w:color="auto" w:sz="4" w:space="0"/>
              <w:bottom w:val="single" w:color="auto" w:sz="4" w:space="0"/>
              <w:right w:val="single" w:color="auto" w:sz="4" w:space="0"/>
            </w:tcBorders>
            <w:vAlign w:val="center"/>
          </w:tcPr>
          <w:p w14:paraId="11421FFB">
            <w:pPr>
              <w:jc w:val="center"/>
              <w:rPr>
                <w:rFonts w:ascii="宋体" w:hAnsi="宋体" w:cs="宋体"/>
                <w:color w:val="auto"/>
                <w:szCs w:val="21"/>
                <w:highlight w:val="none"/>
              </w:rPr>
            </w:pPr>
            <w:r>
              <w:rPr>
                <w:rFonts w:hint="eastAsia" w:ascii="宋体" w:hAnsi="宋体" w:cs="宋体"/>
                <w:color w:val="auto"/>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7C0AF711">
            <w:pPr>
              <w:widowControl/>
              <w:jc w:val="left"/>
              <w:rPr>
                <w:rFonts w:ascii="宋体" w:hAnsi="宋体" w:cs="宋体"/>
                <w:color w:val="auto"/>
                <w:szCs w:val="21"/>
                <w:highlight w:val="none"/>
              </w:rPr>
            </w:pPr>
          </w:p>
        </w:tc>
      </w:tr>
      <w:tr w14:paraId="3B98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2210B90E">
            <w:pPr>
              <w:rPr>
                <w:rFonts w:ascii="宋体" w:hAnsi="宋体" w:cs="宋体"/>
                <w:color w:val="auto"/>
                <w:szCs w:val="21"/>
                <w:highlight w:val="none"/>
              </w:rPr>
            </w:pPr>
            <w:r>
              <w:rPr>
                <w:rFonts w:hint="eastAsia" w:ascii="宋体" w:hAnsi="宋体" w:cs="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75175CFC">
            <w:pPr>
              <w:rPr>
                <w:rFonts w:ascii="宋体" w:hAnsi="宋体" w:cs="宋体"/>
                <w:color w:val="auto"/>
                <w:szCs w:val="21"/>
                <w:highlight w:val="none"/>
              </w:rPr>
            </w:pPr>
            <w:r>
              <w:rPr>
                <w:rFonts w:hint="eastAsia" w:ascii="宋体" w:hAnsi="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19B802A0">
            <w:pPr>
              <w:rPr>
                <w:rFonts w:ascii="宋体" w:hAnsi="宋体" w:cs="宋体"/>
                <w:color w:val="auto"/>
                <w:szCs w:val="21"/>
                <w:highlight w:val="none"/>
              </w:rPr>
            </w:pPr>
            <w:r>
              <w:rPr>
                <w:rFonts w:hint="eastAsia" w:ascii="宋体" w:hAnsi="宋体" w:cs="宋体"/>
                <w:color w:val="auto"/>
                <w:szCs w:val="21"/>
                <w:highlight w:val="none"/>
              </w:rPr>
              <w:t>1  ……</w:t>
            </w:r>
          </w:p>
          <w:p w14:paraId="08B8E8D9">
            <w:pPr>
              <w:rPr>
                <w:rFonts w:ascii="宋体" w:hAnsi="宋体" w:cs="宋体"/>
                <w:color w:val="auto"/>
                <w:szCs w:val="21"/>
                <w:highlight w:val="none"/>
              </w:rPr>
            </w:pPr>
            <w:r>
              <w:rPr>
                <w:rFonts w:hint="eastAsia" w:ascii="宋体" w:hAnsi="宋体" w:cs="宋体"/>
                <w:color w:val="auto"/>
                <w:szCs w:val="21"/>
                <w:highlight w:val="none"/>
              </w:rPr>
              <w:t>2  ……</w:t>
            </w:r>
          </w:p>
          <w:p w14:paraId="08DD3E1E">
            <w:pPr>
              <w:rPr>
                <w:rFonts w:ascii="宋体" w:hAnsi="宋体" w:cs="宋体"/>
                <w:color w:val="auto"/>
                <w:szCs w:val="21"/>
                <w:highlight w:val="none"/>
              </w:rPr>
            </w:pPr>
            <w:r>
              <w:rPr>
                <w:rFonts w:hint="eastAsia" w:ascii="宋体" w:hAnsi="宋体" w:cs="宋体"/>
                <w:color w:val="auto"/>
                <w:szCs w:val="21"/>
                <w:highlight w:val="none"/>
              </w:rPr>
              <w:t>3  ……</w:t>
            </w:r>
          </w:p>
          <w:p w14:paraId="0E148FD8">
            <w:pPr>
              <w:rPr>
                <w:rFonts w:ascii="宋体" w:hAnsi="宋体" w:cs="宋体"/>
                <w:color w:val="auto"/>
                <w:szCs w:val="21"/>
                <w:highlight w:val="none"/>
              </w:rPr>
            </w:pPr>
            <w:r>
              <w:rPr>
                <w:rFonts w:hint="eastAsia" w:ascii="宋体" w:hAnsi="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3FB4B67A">
            <w:pPr>
              <w:rPr>
                <w:rFonts w:ascii="宋体" w:hAnsi="宋体" w:cs="宋体"/>
                <w:color w:val="auto"/>
                <w:szCs w:val="21"/>
                <w:highlight w:val="none"/>
              </w:rPr>
            </w:pPr>
            <w:r>
              <w:rPr>
                <w:rFonts w:hint="eastAsia" w:ascii="宋体" w:hAnsi="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1428E138">
            <w:pPr>
              <w:rPr>
                <w:rFonts w:ascii="宋体" w:hAnsi="宋体" w:cs="宋体"/>
                <w:color w:val="auto"/>
                <w:szCs w:val="21"/>
                <w:highlight w:val="none"/>
              </w:rPr>
            </w:pPr>
            <w:r>
              <w:rPr>
                <w:rFonts w:hint="eastAsia" w:ascii="宋体" w:hAnsi="宋体" w:cs="宋体"/>
                <w:color w:val="auto"/>
                <w:szCs w:val="21"/>
                <w:highlight w:val="none"/>
              </w:rPr>
              <w:t>1  ……</w:t>
            </w:r>
          </w:p>
          <w:p w14:paraId="2026EEEC">
            <w:pPr>
              <w:rPr>
                <w:rFonts w:ascii="宋体" w:hAnsi="宋体" w:cs="宋体"/>
                <w:color w:val="auto"/>
                <w:szCs w:val="21"/>
                <w:highlight w:val="none"/>
              </w:rPr>
            </w:pPr>
            <w:r>
              <w:rPr>
                <w:rFonts w:hint="eastAsia" w:ascii="宋体" w:hAnsi="宋体" w:cs="宋体"/>
                <w:color w:val="auto"/>
                <w:szCs w:val="21"/>
                <w:highlight w:val="none"/>
              </w:rPr>
              <w:t>2  ……</w:t>
            </w:r>
          </w:p>
          <w:p w14:paraId="24A5CEBC">
            <w:pPr>
              <w:rPr>
                <w:rFonts w:ascii="宋体" w:hAnsi="宋体" w:cs="宋体"/>
                <w:color w:val="auto"/>
                <w:szCs w:val="21"/>
                <w:highlight w:val="none"/>
              </w:rPr>
            </w:pPr>
            <w:r>
              <w:rPr>
                <w:rFonts w:hint="eastAsia" w:ascii="宋体" w:hAnsi="宋体" w:cs="宋体"/>
                <w:color w:val="auto"/>
                <w:szCs w:val="21"/>
                <w:highlight w:val="none"/>
              </w:rPr>
              <w:t>3  ……</w:t>
            </w:r>
          </w:p>
          <w:p w14:paraId="4B8C5AB5">
            <w:pPr>
              <w:rPr>
                <w:rFonts w:ascii="宋体" w:hAnsi="宋体" w:cs="宋体"/>
                <w:color w:val="auto"/>
                <w:szCs w:val="21"/>
                <w:highlight w:val="none"/>
              </w:rPr>
            </w:pPr>
            <w:r>
              <w:rPr>
                <w:rFonts w:hint="eastAsia" w:ascii="宋体" w:hAnsi="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0131622D">
            <w:pPr>
              <w:rPr>
                <w:rFonts w:ascii="宋体" w:hAnsi="宋体" w:cs="宋体"/>
                <w:color w:val="auto"/>
                <w:szCs w:val="21"/>
                <w:highlight w:val="none"/>
              </w:rPr>
            </w:pPr>
            <w:r>
              <w:rPr>
                <w:rFonts w:hint="eastAsia" w:ascii="宋体" w:hAnsi="宋体" w:cs="宋体"/>
                <w:color w:val="auto"/>
                <w:szCs w:val="21"/>
                <w:highlight w:val="none"/>
              </w:rPr>
              <w:t>正偏离（负偏离或无偏离）</w:t>
            </w:r>
          </w:p>
        </w:tc>
      </w:tr>
      <w:tr w14:paraId="17EE2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30CFBFEE">
            <w:pPr>
              <w:rPr>
                <w:rFonts w:ascii="宋体" w:hAnsi="宋体" w:cs="宋体"/>
                <w:color w:val="auto"/>
                <w:szCs w:val="21"/>
                <w:highlight w:val="none"/>
              </w:rPr>
            </w:pPr>
            <w:r>
              <w:rPr>
                <w:rFonts w:hint="eastAsia" w:ascii="宋体" w:hAnsi="宋体" w:cs="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50A2176C">
            <w:pPr>
              <w:rPr>
                <w:rFonts w:ascii="宋体" w:hAnsi="宋体" w:cs="宋体"/>
                <w:color w:val="auto"/>
                <w:szCs w:val="21"/>
                <w:highlight w:val="none"/>
              </w:rPr>
            </w:pPr>
            <w:r>
              <w:rPr>
                <w:rFonts w:hint="eastAsia" w:ascii="宋体" w:hAnsi="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1BED572A">
            <w:pPr>
              <w:rPr>
                <w:rFonts w:ascii="宋体" w:hAnsi="宋体" w:cs="宋体"/>
                <w:color w:val="auto"/>
                <w:szCs w:val="21"/>
                <w:highlight w:val="none"/>
              </w:rPr>
            </w:pPr>
            <w:r>
              <w:rPr>
                <w:rFonts w:hint="eastAsia" w:ascii="宋体" w:hAnsi="宋体" w:cs="宋体"/>
                <w:color w:val="auto"/>
                <w:szCs w:val="21"/>
                <w:highlight w:val="none"/>
              </w:rPr>
              <w:t>1  ……</w:t>
            </w:r>
          </w:p>
          <w:p w14:paraId="3286C1DC">
            <w:pPr>
              <w:rPr>
                <w:rFonts w:ascii="宋体" w:hAnsi="宋体" w:cs="宋体"/>
                <w:color w:val="auto"/>
                <w:szCs w:val="21"/>
                <w:highlight w:val="none"/>
              </w:rPr>
            </w:pPr>
            <w:r>
              <w:rPr>
                <w:rFonts w:hint="eastAsia" w:ascii="宋体" w:hAnsi="宋体" w:cs="宋体"/>
                <w:color w:val="auto"/>
                <w:szCs w:val="21"/>
                <w:highlight w:val="none"/>
              </w:rPr>
              <w:t>2  ……</w:t>
            </w:r>
          </w:p>
          <w:p w14:paraId="6FB00AF0">
            <w:pPr>
              <w:rPr>
                <w:rFonts w:ascii="宋体" w:hAnsi="宋体" w:cs="宋体"/>
                <w:color w:val="auto"/>
                <w:szCs w:val="21"/>
                <w:highlight w:val="none"/>
              </w:rPr>
            </w:pPr>
            <w:r>
              <w:rPr>
                <w:rFonts w:hint="eastAsia" w:ascii="宋体" w:hAnsi="宋体" w:cs="宋体"/>
                <w:color w:val="auto"/>
                <w:szCs w:val="21"/>
                <w:highlight w:val="none"/>
              </w:rPr>
              <w:t>3  ……</w:t>
            </w:r>
          </w:p>
          <w:p w14:paraId="6A6DC45D">
            <w:pPr>
              <w:rPr>
                <w:rFonts w:ascii="宋体" w:hAnsi="宋体" w:cs="宋体"/>
                <w:color w:val="auto"/>
                <w:szCs w:val="21"/>
                <w:highlight w:val="none"/>
              </w:rPr>
            </w:pPr>
            <w:r>
              <w:rPr>
                <w:rFonts w:hint="eastAsia" w:ascii="宋体" w:hAnsi="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1B578540">
            <w:pPr>
              <w:rPr>
                <w:rFonts w:ascii="宋体" w:hAnsi="宋体" w:cs="宋体"/>
                <w:color w:val="auto"/>
                <w:szCs w:val="21"/>
                <w:highlight w:val="none"/>
              </w:rPr>
            </w:pPr>
            <w:r>
              <w:rPr>
                <w:rFonts w:hint="eastAsia" w:ascii="宋体" w:hAnsi="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1331AB0D">
            <w:pPr>
              <w:rPr>
                <w:rFonts w:ascii="宋体" w:hAnsi="宋体" w:cs="宋体"/>
                <w:color w:val="auto"/>
                <w:szCs w:val="21"/>
                <w:highlight w:val="none"/>
              </w:rPr>
            </w:pPr>
            <w:r>
              <w:rPr>
                <w:rFonts w:hint="eastAsia" w:ascii="宋体" w:hAnsi="宋体" w:cs="宋体"/>
                <w:color w:val="auto"/>
                <w:szCs w:val="21"/>
                <w:highlight w:val="none"/>
              </w:rPr>
              <w:t>1  ……</w:t>
            </w:r>
          </w:p>
          <w:p w14:paraId="7DFE425D">
            <w:pPr>
              <w:rPr>
                <w:rFonts w:ascii="宋体" w:hAnsi="宋体" w:cs="宋体"/>
                <w:color w:val="auto"/>
                <w:szCs w:val="21"/>
                <w:highlight w:val="none"/>
              </w:rPr>
            </w:pPr>
            <w:r>
              <w:rPr>
                <w:rFonts w:hint="eastAsia" w:ascii="宋体" w:hAnsi="宋体" w:cs="宋体"/>
                <w:color w:val="auto"/>
                <w:szCs w:val="21"/>
                <w:highlight w:val="none"/>
              </w:rPr>
              <w:t>2  ……</w:t>
            </w:r>
          </w:p>
          <w:p w14:paraId="58C44FAA">
            <w:pPr>
              <w:rPr>
                <w:rFonts w:ascii="宋体" w:hAnsi="宋体" w:cs="宋体"/>
                <w:color w:val="auto"/>
                <w:szCs w:val="21"/>
                <w:highlight w:val="none"/>
              </w:rPr>
            </w:pPr>
            <w:r>
              <w:rPr>
                <w:rFonts w:hint="eastAsia" w:ascii="宋体" w:hAnsi="宋体" w:cs="宋体"/>
                <w:color w:val="auto"/>
                <w:szCs w:val="21"/>
                <w:highlight w:val="none"/>
              </w:rPr>
              <w:t>3  ……</w:t>
            </w:r>
          </w:p>
          <w:p w14:paraId="4B20DA08">
            <w:pPr>
              <w:rPr>
                <w:rFonts w:ascii="宋体" w:hAnsi="宋体" w:cs="宋体"/>
                <w:color w:val="auto"/>
                <w:szCs w:val="21"/>
                <w:highlight w:val="none"/>
              </w:rPr>
            </w:pPr>
            <w:r>
              <w:rPr>
                <w:rFonts w:hint="eastAsia" w:ascii="宋体" w:hAnsi="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3D2C9884">
            <w:pPr>
              <w:rPr>
                <w:rFonts w:ascii="宋体" w:hAnsi="宋体" w:cs="宋体"/>
                <w:color w:val="auto"/>
                <w:szCs w:val="21"/>
                <w:highlight w:val="none"/>
              </w:rPr>
            </w:pPr>
            <w:r>
              <w:rPr>
                <w:rFonts w:hint="eastAsia" w:ascii="宋体" w:hAnsi="宋体" w:cs="宋体"/>
                <w:color w:val="auto"/>
                <w:szCs w:val="21"/>
                <w:highlight w:val="none"/>
              </w:rPr>
              <w:t>正偏离（负偏离或无偏离）</w:t>
            </w:r>
          </w:p>
        </w:tc>
      </w:tr>
      <w:tr w14:paraId="337A0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34" w:type="dxa"/>
            <w:tcBorders>
              <w:top w:val="single" w:color="auto" w:sz="4" w:space="0"/>
              <w:left w:val="single" w:color="auto" w:sz="4" w:space="0"/>
              <w:bottom w:val="single" w:color="auto" w:sz="4" w:space="0"/>
              <w:right w:val="single" w:color="auto" w:sz="4" w:space="0"/>
            </w:tcBorders>
            <w:vAlign w:val="center"/>
          </w:tcPr>
          <w:p w14:paraId="0DD8B2C0">
            <w:pPr>
              <w:rPr>
                <w:rFonts w:ascii="宋体" w:hAnsi="宋体" w:cs="宋体"/>
                <w:color w:val="auto"/>
                <w:szCs w:val="21"/>
                <w:highlight w:val="none"/>
              </w:rPr>
            </w:pPr>
            <w:r>
              <w:rPr>
                <w:rFonts w:hint="eastAsia" w:ascii="宋体" w:hAnsi="宋体" w:cs="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7C26C383">
            <w:pPr>
              <w:rPr>
                <w:rFonts w:ascii="宋体" w:hAnsi="宋体" w:cs="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14:paraId="481E4DD6">
            <w:pPr>
              <w:rPr>
                <w:rFonts w:ascii="宋体" w:hAnsi="宋体" w:cs="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1CB735EA">
            <w:pPr>
              <w:rPr>
                <w:rFonts w:ascii="宋体" w:hAnsi="宋体" w:cs="宋体"/>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vAlign w:val="center"/>
          </w:tcPr>
          <w:p w14:paraId="71E70AD4">
            <w:pPr>
              <w:rPr>
                <w:rFonts w:ascii="宋体" w:hAnsi="宋体" w:cs="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14:paraId="20EA16A6">
            <w:pPr>
              <w:rPr>
                <w:rFonts w:ascii="宋体" w:hAnsi="宋体" w:cs="宋体"/>
                <w:color w:val="auto"/>
                <w:szCs w:val="21"/>
                <w:highlight w:val="none"/>
              </w:rPr>
            </w:pPr>
          </w:p>
        </w:tc>
      </w:tr>
      <w:tr w14:paraId="59A3C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5E7C7C28">
            <w:pPr>
              <w:rPr>
                <w:rFonts w:ascii="宋体" w:hAnsi="宋体" w:cs="宋体"/>
                <w:color w:val="auto"/>
                <w:szCs w:val="21"/>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bl>
    <w:p w14:paraId="5C572F9B">
      <w:pPr>
        <w:spacing w:line="360" w:lineRule="auto"/>
        <w:rPr>
          <w:rFonts w:ascii="宋体" w:hAnsi="宋体" w:cs="宋体"/>
          <w:color w:val="auto"/>
          <w:szCs w:val="21"/>
          <w:highlight w:val="none"/>
        </w:rPr>
      </w:pPr>
      <w:r>
        <w:rPr>
          <w:rFonts w:hint="eastAsia" w:ascii="宋体" w:hAnsi="宋体" w:cs="宋体"/>
          <w:color w:val="auto"/>
          <w:szCs w:val="21"/>
          <w:highlight w:val="none"/>
        </w:rPr>
        <w:t>注：</w:t>
      </w:r>
    </w:p>
    <w:p w14:paraId="39237CDB">
      <w:pPr>
        <w:spacing w:line="360" w:lineRule="auto"/>
        <w:rPr>
          <w:rFonts w:ascii="宋体" w:hAnsi="宋体" w:cs="宋体"/>
          <w:color w:val="auto"/>
          <w:szCs w:val="21"/>
          <w:highlight w:val="none"/>
        </w:rPr>
      </w:pPr>
      <w:r>
        <w:rPr>
          <w:rFonts w:hint="eastAsia" w:ascii="宋体" w:hAnsi="宋体" w:cs="宋体"/>
          <w:color w:val="auto"/>
          <w:szCs w:val="21"/>
          <w:highlight w:val="none"/>
        </w:rPr>
        <w:t>1.表格内容均需按要求填写并盖章，不得留空，</w:t>
      </w:r>
      <w:r>
        <w:rPr>
          <w:rFonts w:hint="eastAsia" w:ascii="宋体" w:hAnsi="宋体" w:cs="宋体"/>
          <w:bCs/>
          <w:color w:val="auto"/>
          <w:szCs w:val="21"/>
          <w:highlight w:val="none"/>
        </w:rPr>
        <w:t>否则按投标无效处理</w:t>
      </w:r>
      <w:r>
        <w:rPr>
          <w:rFonts w:hint="eastAsia" w:ascii="宋体" w:hAnsi="宋体" w:cs="宋体"/>
          <w:color w:val="auto"/>
          <w:szCs w:val="21"/>
          <w:highlight w:val="none"/>
        </w:rPr>
        <w:t>。</w:t>
      </w:r>
    </w:p>
    <w:p w14:paraId="1366EC46">
      <w:pPr>
        <w:spacing w:line="360" w:lineRule="auto"/>
        <w:rPr>
          <w:rFonts w:ascii="宋体" w:hAnsi="宋体" w:cs="宋体"/>
          <w:bCs/>
          <w:color w:val="auto"/>
          <w:szCs w:val="21"/>
          <w:highlight w:val="none"/>
        </w:rPr>
      </w:pPr>
      <w:r>
        <w:rPr>
          <w:rFonts w:hint="eastAsia" w:ascii="宋体" w:hAnsi="宋体" w:cs="宋体"/>
          <w:bCs/>
          <w:color w:val="auto"/>
          <w:szCs w:val="21"/>
          <w:highlight w:val="none"/>
        </w:rPr>
        <w:t>2.如招标文件需求中出现小于或大于某个数值标准时，投标文件不得直接复制招标文件需求，投标文件承诺内容应当写明投标具体参数，否则按投标无效处理。</w:t>
      </w:r>
    </w:p>
    <w:p w14:paraId="157BBE3C">
      <w:pPr>
        <w:spacing w:line="360" w:lineRule="auto"/>
        <w:rPr>
          <w:rFonts w:ascii="宋体" w:hAnsi="宋体" w:cs="宋体"/>
          <w:color w:val="auto"/>
          <w:szCs w:val="21"/>
          <w:highlight w:val="none"/>
        </w:rPr>
      </w:pPr>
      <w:r>
        <w:rPr>
          <w:rFonts w:hint="eastAsia" w:ascii="宋体" w:hAnsi="宋体" w:cs="宋体"/>
          <w:bCs/>
          <w:color w:val="auto"/>
          <w:szCs w:val="21"/>
          <w:highlight w:val="none"/>
        </w:rPr>
        <w:t>3.当投标文件的服务内容低于招标文件要求时，投标人应当如实写明“负偏离”，否则视为虚假应标。</w:t>
      </w:r>
    </w:p>
    <w:p w14:paraId="5E746425">
      <w:pPr>
        <w:pStyle w:val="35"/>
        <w:rPr>
          <w:rFonts w:ascii="宋体" w:hAnsi="宋体" w:cs="宋体"/>
          <w:color w:val="auto"/>
          <w:highlight w:val="none"/>
          <w:lang w:val="zh-CN"/>
        </w:rPr>
      </w:pPr>
    </w:p>
    <w:p w14:paraId="63A956E6">
      <w:pPr>
        <w:snapToGrid w:val="0"/>
        <w:spacing w:line="360" w:lineRule="auto"/>
        <w:ind w:firstLine="5640" w:firstLineChars="23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7850FE62">
      <w:pPr>
        <w:snapToGrid w:val="0"/>
        <w:spacing w:line="360" w:lineRule="auto"/>
        <w:ind w:firstLine="5760" w:firstLineChars="24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75065AE">
      <w:pPr>
        <w:snapToGrid w:val="0"/>
        <w:spacing w:before="165" w:beforeLines="50" w:after="50"/>
        <w:jc w:val="center"/>
        <w:rPr>
          <w:rFonts w:ascii="宋体" w:hAnsi="宋体" w:cs="宋体"/>
          <w:b/>
          <w:bCs/>
          <w:color w:val="auto"/>
          <w:sz w:val="30"/>
          <w:szCs w:val="30"/>
          <w:highlight w:val="none"/>
        </w:rPr>
      </w:pPr>
    </w:p>
    <w:p w14:paraId="3A6629E9">
      <w:pPr>
        <w:snapToGrid w:val="0"/>
        <w:spacing w:before="165" w:beforeLines="50" w:after="5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br w:type="page"/>
      </w:r>
      <w:r>
        <w:rPr>
          <w:rFonts w:hint="eastAsia" w:ascii="宋体" w:hAnsi="宋体" w:cs="宋体"/>
          <w:b/>
          <w:bCs/>
          <w:color w:val="auto"/>
          <w:sz w:val="30"/>
          <w:szCs w:val="30"/>
          <w:highlight w:val="none"/>
        </w:rPr>
        <w:t>二、服务方案</w:t>
      </w:r>
    </w:p>
    <w:p w14:paraId="44434880">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（由投标人根据采购需求及招标文件要求编制）</w:t>
      </w:r>
    </w:p>
    <w:p w14:paraId="7D132133">
      <w:pPr>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243E45DF">
      <w:pPr>
        <w:snapToGrid w:val="0"/>
        <w:spacing w:line="360" w:lineRule="auto"/>
        <w:ind w:firstLine="5640" w:firstLineChars="23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1EA1E9AF">
      <w:pPr>
        <w:snapToGrid w:val="0"/>
        <w:spacing w:line="360" w:lineRule="auto"/>
        <w:ind w:firstLine="5520" w:firstLineChars="23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BD5C14F">
      <w:pPr>
        <w:snapToGrid w:val="0"/>
        <w:spacing w:before="165" w:beforeLines="50" w:after="50"/>
        <w:ind w:left="142"/>
        <w:jc w:val="center"/>
        <w:rPr>
          <w:rFonts w:ascii="宋体" w:hAnsi="宋体" w:cs="宋体"/>
          <w:b/>
          <w:color w:val="auto"/>
          <w:sz w:val="32"/>
          <w:szCs w:val="32"/>
          <w:highlight w:val="none"/>
        </w:rPr>
      </w:pPr>
    </w:p>
    <w:p w14:paraId="59E7E29F">
      <w:pPr>
        <w:snapToGrid w:val="0"/>
        <w:spacing w:before="165" w:beforeLines="50" w:after="50"/>
        <w:ind w:left="142"/>
        <w:jc w:val="center"/>
        <w:rPr>
          <w:rFonts w:ascii="宋体" w:hAnsi="宋体" w:cs="宋体"/>
          <w:b/>
          <w:color w:val="auto"/>
          <w:sz w:val="32"/>
          <w:szCs w:val="32"/>
          <w:highlight w:val="none"/>
        </w:rPr>
      </w:pPr>
    </w:p>
    <w:p w14:paraId="38445E9C">
      <w:pPr>
        <w:snapToGrid w:val="0"/>
        <w:spacing w:before="165" w:beforeLines="50" w:after="50"/>
        <w:ind w:left="142"/>
        <w:jc w:val="center"/>
        <w:rPr>
          <w:rFonts w:ascii="宋体" w:hAnsi="宋体" w:cs="宋体"/>
          <w:b/>
          <w:color w:val="auto"/>
          <w:sz w:val="32"/>
          <w:szCs w:val="32"/>
          <w:highlight w:val="none"/>
        </w:rPr>
      </w:pPr>
    </w:p>
    <w:p w14:paraId="58FCA75A">
      <w:pPr>
        <w:snapToGrid w:val="0"/>
        <w:spacing w:before="165" w:beforeLines="50" w:after="5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三、售后服务承诺</w:t>
      </w:r>
    </w:p>
    <w:p w14:paraId="2B215B65">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（由投标人根据采购需求及招标文件要求编制）</w:t>
      </w:r>
    </w:p>
    <w:p w14:paraId="3828DD05">
      <w:pPr>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7FD26559">
      <w:pPr>
        <w:snapToGrid w:val="0"/>
        <w:spacing w:line="360" w:lineRule="auto"/>
        <w:ind w:firstLine="5640" w:firstLineChars="23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4A9951D6">
      <w:pPr>
        <w:snapToGrid w:val="0"/>
        <w:spacing w:line="360" w:lineRule="auto"/>
        <w:ind w:firstLine="5520" w:firstLineChars="23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FF4E575">
      <w:pPr>
        <w:snapToGrid w:val="0"/>
        <w:spacing w:before="165" w:beforeLines="50" w:after="50"/>
        <w:ind w:left="142"/>
        <w:jc w:val="center"/>
        <w:rPr>
          <w:rFonts w:ascii="宋体" w:hAnsi="宋体" w:cs="宋体"/>
          <w:b/>
          <w:color w:val="auto"/>
          <w:sz w:val="32"/>
          <w:szCs w:val="32"/>
          <w:highlight w:val="none"/>
        </w:rPr>
      </w:pPr>
    </w:p>
    <w:p w14:paraId="2CB16AE2">
      <w:pPr>
        <w:snapToGrid w:val="0"/>
        <w:spacing w:before="165" w:beforeLines="50" w:after="50"/>
        <w:ind w:left="142"/>
        <w:jc w:val="center"/>
        <w:rPr>
          <w:rFonts w:ascii="宋体" w:hAnsi="宋体" w:cs="宋体"/>
          <w:b/>
          <w:color w:val="auto"/>
          <w:sz w:val="32"/>
          <w:szCs w:val="32"/>
          <w:highlight w:val="none"/>
        </w:rPr>
      </w:pPr>
    </w:p>
    <w:p w14:paraId="726DD049">
      <w:pPr>
        <w:snapToGrid w:val="0"/>
        <w:spacing w:before="165" w:beforeLines="50" w:after="50"/>
        <w:ind w:left="142"/>
        <w:jc w:val="center"/>
        <w:rPr>
          <w:rFonts w:ascii="宋体" w:hAnsi="宋体" w:cs="宋体"/>
          <w:b/>
          <w:color w:val="auto"/>
          <w:sz w:val="32"/>
          <w:szCs w:val="32"/>
          <w:highlight w:val="none"/>
        </w:rPr>
      </w:pPr>
    </w:p>
    <w:p w14:paraId="55D37A81">
      <w:pPr>
        <w:snapToGrid w:val="0"/>
        <w:spacing w:before="165"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5C2CE547">
      <w:pPr>
        <w:snapToGrid w:val="0"/>
        <w:spacing w:before="165"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四、项目实施人员一览表</w:t>
      </w:r>
    </w:p>
    <w:tbl>
      <w:tblPr>
        <w:tblStyle w:val="19"/>
        <w:tblW w:w="4991" w:type="pct"/>
        <w:tblInd w:w="0" w:type="dxa"/>
        <w:tblLayout w:type="autofit"/>
        <w:tblCellMar>
          <w:top w:w="0" w:type="dxa"/>
          <w:left w:w="108" w:type="dxa"/>
          <w:bottom w:w="0" w:type="dxa"/>
          <w:right w:w="108" w:type="dxa"/>
        </w:tblCellMar>
      </w:tblPr>
      <w:tblGrid>
        <w:gridCol w:w="618"/>
        <w:gridCol w:w="1045"/>
        <w:gridCol w:w="723"/>
        <w:gridCol w:w="866"/>
        <w:gridCol w:w="1061"/>
        <w:gridCol w:w="2782"/>
        <w:gridCol w:w="1421"/>
        <w:gridCol w:w="1320"/>
      </w:tblGrid>
      <w:tr w14:paraId="4623C541">
        <w:tblPrEx>
          <w:tblCellMar>
            <w:top w:w="0" w:type="dxa"/>
            <w:left w:w="108" w:type="dxa"/>
            <w:bottom w:w="0" w:type="dxa"/>
            <w:right w:w="108" w:type="dxa"/>
          </w:tblCellMar>
        </w:tblPrEx>
        <w:tc>
          <w:tcPr>
            <w:tcW w:w="314" w:type="pct"/>
            <w:tcBorders>
              <w:top w:val="single" w:color="auto" w:sz="6" w:space="0"/>
              <w:left w:val="single" w:color="auto" w:sz="6" w:space="0"/>
              <w:bottom w:val="single" w:color="auto" w:sz="6" w:space="0"/>
              <w:right w:val="single" w:color="auto" w:sz="6" w:space="0"/>
            </w:tcBorders>
            <w:vAlign w:val="center"/>
          </w:tcPr>
          <w:p w14:paraId="6E40541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531" w:type="pct"/>
            <w:tcBorders>
              <w:top w:val="single" w:color="auto" w:sz="6" w:space="0"/>
              <w:left w:val="single" w:color="auto" w:sz="6" w:space="0"/>
              <w:bottom w:val="single" w:color="auto" w:sz="6" w:space="0"/>
              <w:right w:val="single" w:color="auto" w:sz="6" w:space="0"/>
            </w:tcBorders>
            <w:vAlign w:val="center"/>
          </w:tcPr>
          <w:p w14:paraId="1FCA6EFF">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367" w:type="pct"/>
            <w:tcBorders>
              <w:top w:val="single" w:color="auto" w:sz="6" w:space="0"/>
              <w:left w:val="single" w:color="auto" w:sz="6" w:space="0"/>
              <w:bottom w:val="single" w:color="auto" w:sz="6" w:space="0"/>
              <w:right w:val="single" w:color="auto" w:sz="6" w:space="0"/>
            </w:tcBorders>
            <w:vAlign w:val="center"/>
          </w:tcPr>
          <w:p w14:paraId="263CC315">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440" w:type="pct"/>
            <w:tcBorders>
              <w:top w:val="single" w:color="auto" w:sz="6" w:space="0"/>
              <w:left w:val="single" w:color="auto" w:sz="6" w:space="0"/>
              <w:bottom w:val="single" w:color="auto" w:sz="6" w:space="0"/>
              <w:right w:val="single" w:color="auto" w:sz="6" w:space="0"/>
            </w:tcBorders>
            <w:vAlign w:val="center"/>
          </w:tcPr>
          <w:p w14:paraId="76EF3B2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539" w:type="pct"/>
            <w:tcBorders>
              <w:top w:val="single" w:color="auto" w:sz="6" w:space="0"/>
              <w:left w:val="single" w:color="auto" w:sz="6" w:space="0"/>
              <w:bottom w:val="single" w:color="auto" w:sz="6" w:space="0"/>
              <w:right w:val="single" w:color="auto" w:sz="6" w:space="0"/>
            </w:tcBorders>
            <w:vAlign w:val="center"/>
          </w:tcPr>
          <w:p w14:paraId="689F573E">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p w14:paraId="5BC68A9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413" w:type="pct"/>
            <w:tcBorders>
              <w:top w:val="single" w:color="auto" w:sz="6" w:space="0"/>
              <w:left w:val="single" w:color="auto" w:sz="6" w:space="0"/>
              <w:bottom w:val="single" w:color="auto" w:sz="6" w:space="0"/>
              <w:right w:val="single" w:color="auto" w:sz="6" w:space="0"/>
            </w:tcBorders>
            <w:vAlign w:val="center"/>
          </w:tcPr>
          <w:p w14:paraId="060BF916">
            <w:pPr>
              <w:autoSpaceDE w:val="0"/>
              <w:autoSpaceDN w:val="0"/>
              <w:spacing w:line="360" w:lineRule="auto"/>
              <w:jc w:val="center"/>
              <w:rPr>
                <w:rFonts w:ascii="宋体" w:hAnsi="宋体" w:cs="宋体"/>
                <w:color w:val="auto"/>
                <w:sz w:val="24"/>
                <w:highlight w:val="none"/>
              </w:rPr>
            </w:pPr>
            <w:r>
              <w:rPr>
                <w:rFonts w:hint="eastAsia" w:ascii="宋体" w:hAnsi="宋体"/>
                <w:color w:val="auto"/>
                <w:sz w:val="24"/>
                <w:szCs w:val="20"/>
                <w:highlight w:val="none"/>
              </w:rPr>
              <w:t>专业技术资格（职称）或者职业资格或者执业资格证或者其他证书</w:t>
            </w:r>
          </w:p>
        </w:tc>
        <w:tc>
          <w:tcPr>
            <w:tcW w:w="722" w:type="pct"/>
            <w:tcBorders>
              <w:top w:val="single" w:color="auto" w:sz="6" w:space="0"/>
              <w:left w:val="single" w:color="auto" w:sz="6" w:space="0"/>
              <w:bottom w:val="single" w:color="auto" w:sz="6" w:space="0"/>
              <w:right w:val="single" w:color="auto" w:sz="6" w:space="0"/>
            </w:tcBorders>
            <w:vAlign w:val="center"/>
          </w:tcPr>
          <w:p w14:paraId="3FAC74F0">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证书编号</w:t>
            </w:r>
          </w:p>
        </w:tc>
        <w:tc>
          <w:tcPr>
            <w:tcW w:w="670" w:type="pct"/>
            <w:tcBorders>
              <w:top w:val="single" w:color="auto" w:sz="6" w:space="0"/>
              <w:left w:val="single" w:color="auto" w:sz="6" w:space="0"/>
              <w:bottom w:val="single" w:color="auto" w:sz="6" w:space="0"/>
              <w:right w:val="single" w:color="auto" w:sz="6" w:space="0"/>
            </w:tcBorders>
            <w:vAlign w:val="center"/>
          </w:tcPr>
          <w:p w14:paraId="5B193357">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r>
      <w:tr w14:paraId="2847C9FD">
        <w:tblPrEx>
          <w:tblCellMar>
            <w:top w:w="0" w:type="dxa"/>
            <w:left w:w="108" w:type="dxa"/>
            <w:bottom w:w="0" w:type="dxa"/>
            <w:right w:w="108" w:type="dxa"/>
          </w:tblCellMar>
        </w:tblPrEx>
        <w:trPr>
          <w:trHeight w:val="479" w:hRule="atLeast"/>
        </w:trPr>
        <w:tc>
          <w:tcPr>
            <w:tcW w:w="314" w:type="pct"/>
            <w:tcBorders>
              <w:top w:val="single" w:color="auto" w:sz="6" w:space="0"/>
              <w:left w:val="single" w:color="auto" w:sz="6" w:space="0"/>
              <w:bottom w:val="single" w:color="auto" w:sz="6" w:space="0"/>
              <w:right w:val="single" w:color="auto" w:sz="6" w:space="0"/>
            </w:tcBorders>
          </w:tcPr>
          <w:p w14:paraId="04835DD8">
            <w:pPr>
              <w:autoSpaceDE w:val="0"/>
              <w:autoSpaceDN w:val="0"/>
              <w:spacing w:line="360" w:lineRule="auto"/>
              <w:jc w:val="center"/>
              <w:rPr>
                <w:rFonts w:ascii="宋体" w:hAnsi="宋体" w:cs="宋体"/>
                <w:color w:val="auto"/>
                <w:sz w:val="24"/>
                <w:highlight w:val="none"/>
              </w:rPr>
            </w:pPr>
          </w:p>
        </w:tc>
        <w:tc>
          <w:tcPr>
            <w:tcW w:w="531" w:type="pct"/>
            <w:tcBorders>
              <w:top w:val="single" w:color="auto" w:sz="6" w:space="0"/>
              <w:left w:val="single" w:color="auto" w:sz="6" w:space="0"/>
              <w:bottom w:val="single" w:color="auto" w:sz="6" w:space="0"/>
              <w:right w:val="single" w:color="auto" w:sz="6" w:space="0"/>
            </w:tcBorders>
          </w:tcPr>
          <w:p w14:paraId="317E9B31">
            <w:pPr>
              <w:autoSpaceDE w:val="0"/>
              <w:autoSpaceDN w:val="0"/>
              <w:spacing w:line="360" w:lineRule="auto"/>
              <w:rPr>
                <w:rFonts w:ascii="宋体" w:hAnsi="宋体" w:cs="宋体"/>
                <w:color w:val="auto"/>
                <w:sz w:val="24"/>
                <w:highlight w:val="none"/>
              </w:rPr>
            </w:pPr>
          </w:p>
        </w:tc>
        <w:tc>
          <w:tcPr>
            <w:tcW w:w="367" w:type="pct"/>
            <w:tcBorders>
              <w:top w:val="single" w:color="auto" w:sz="6" w:space="0"/>
              <w:left w:val="single" w:color="auto" w:sz="6" w:space="0"/>
              <w:bottom w:val="single" w:color="auto" w:sz="6" w:space="0"/>
              <w:right w:val="single" w:color="auto" w:sz="6" w:space="0"/>
            </w:tcBorders>
          </w:tcPr>
          <w:p w14:paraId="4B17C2CF">
            <w:pPr>
              <w:autoSpaceDE w:val="0"/>
              <w:autoSpaceDN w:val="0"/>
              <w:spacing w:line="360" w:lineRule="auto"/>
              <w:rPr>
                <w:rFonts w:ascii="宋体" w:hAnsi="宋体" w:cs="宋体"/>
                <w:color w:val="auto"/>
                <w:sz w:val="24"/>
                <w:highlight w:val="none"/>
              </w:rPr>
            </w:pPr>
          </w:p>
        </w:tc>
        <w:tc>
          <w:tcPr>
            <w:tcW w:w="440" w:type="pct"/>
            <w:tcBorders>
              <w:top w:val="single" w:color="auto" w:sz="6" w:space="0"/>
              <w:left w:val="single" w:color="auto" w:sz="6" w:space="0"/>
              <w:bottom w:val="single" w:color="auto" w:sz="6" w:space="0"/>
              <w:right w:val="single" w:color="auto" w:sz="6" w:space="0"/>
            </w:tcBorders>
          </w:tcPr>
          <w:p w14:paraId="1C91EC5C">
            <w:pPr>
              <w:autoSpaceDE w:val="0"/>
              <w:autoSpaceDN w:val="0"/>
              <w:spacing w:line="360" w:lineRule="auto"/>
              <w:rPr>
                <w:rFonts w:ascii="宋体" w:hAnsi="宋体" w:cs="宋体"/>
                <w:color w:val="auto"/>
                <w:sz w:val="24"/>
                <w:highlight w:val="none"/>
              </w:rPr>
            </w:pPr>
          </w:p>
        </w:tc>
        <w:tc>
          <w:tcPr>
            <w:tcW w:w="539" w:type="pct"/>
            <w:tcBorders>
              <w:top w:val="single" w:color="auto" w:sz="6" w:space="0"/>
              <w:left w:val="single" w:color="auto" w:sz="6" w:space="0"/>
              <w:bottom w:val="single" w:color="auto" w:sz="6" w:space="0"/>
              <w:right w:val="single" w:color="auto" w:sz="6" w:space="0"/>
            </w:tcBorders>
          </w:tcPr>
          <w:p w14:paraId="45CC4BD0">
            <w:pPr>
              <w:autoSpaceDE w:val="0"/>
              <w:autoSpaceDN w:val="0"/>
              <w:spacing w:line="360" w:lineRule="auto"/>
              <w:rPr>
                <w:rFonts w:ascii="宋体" w:hAnsi="宋体" w:cs="宋体"/>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tcPr>
          <w:p w14:paraId="298BA17F">
            <w:pPr>
              <w:autoSpaceDE w:val="0"/>
              <w:autoSpaceDN w:val="0"/>
              <w:spacing w:line="360" w:lineRule="auto"/>
              <w:rPr>
                <w:rFonts w:ascii="宋体" w:hAnsi="宋体" w:cs="宋体"/>
                <w:color w:val="auto"/>
                <w:sz w:val="24"/>
                <w:highlight w:val="none"/>
              </w:rPr>
            </w:pPr>
          </w:p>
        </w:tc>
        <w:tc>
          <w:tcPr>
            <w:tcW w:w="722" w:type="pct"/>
            <w:tcBorders>
              <w:top w:val="single" w:color="auto" w:sz="6" w:space="0"/>
              <w:left w:val="single" w:color="auto" w:sz="6" w:space="0"/>
              <w:bottom w:val="single" w:color="auto" w:sz="6" w:space="0"/>
              <w:right w:val="single" w:color="auto" w:sz="6" w:space="0"/>
            </w:tcBorders>
          </w:tcPr>
          <w:p w14:paraId="14AA8AA5">
            <w:pPr>
              <w:autoSpaceDE w:val="0"/>
              <w:autoSpaceDN w:val="0"/>
              <w:spacing w:line="360" w:lineRule="auto"/>
              <w:rPr>
                <w:rFonts w:ascii="宋体" w:hAnsi="宋体" w:cs="宋体"/>
                <w:color w:val="auto"/>
                <w:sz w:val="24"/>
                <w:highlight w:val="none"/>
              </w:rPr>
            </w:pPr>
          </w:p>
        </w:tc>
        <w:tc>
          <w:tcPr>
            <w:tcW w:w="670" w:type="pct"/>
            <w:tcBorders>
              <w:top w:val="single" w:color="auto" w:sz="6" w:space="0"/>
              <w:left w:val="single" w:color="auto" w:sz="6" w:space="0"/>
              <w:bottom w:val="single" w:color="auto" w:sz="6" w:space="0"/>
              <w:right w:val="single" w:color="auto" w:sz="6" w:space="0"/>
            </w:tcBorders>
          </w:tcPr>
          <w:p w14:paraId="1D284077">
            <w:pPr>
              <w:autoSpaceDE w:val="0"/>
              <w:autoSpaceDN w:val="0"/>
              <w:spacing w:line="360" w:lineRule="auto"/>
              <w:rPr>
                <w:rFonts w:ascii="宋体" w:hAnsi="宋体" w:cs="宋体"/>
                <w:color w:val="auto"/>
                <w:sz w:val="24"/>
                <w:highlight w:val="none"/>
              </w:rPr>
            </w:pPr>
          </w:p>
        </w:tc>
      </w:tr>
      <w:tr w14:paraId="554FCD29">
        <w:tblPrEx>
          <w:tblCellMar>
            <w:top w:w="0" w:type="dxa"/>
            <w:left w:w="108" w:type="dxa"/>
            <w:bottom w:w="0" w:type="dxa"/>
            <w:right w:w="108" w:type="dxa"/>
          </w:tblCellMar>
        </w:tblPrEx>
        <w:trPr>
          <w:trHeight w:val="473" w:hRule="atLeast"/>
        </w:trPr>
        <w:tc>
          <w:tcPr>
            <w:tcW w:w="314" w:type="pct"/>
            <w:tcBorders>
              <w:top w:val="single" w:color="auto" w:sz="6" w:space="0"/>
              <w:left w:val="single" w:color="auto" w:sz="6" w:space="0"/>
              <w:bottom w:val="single" w:color="auto" w:sz="6" w:space="0"/>
              <w:right w:val="single" w:color="auto" w:sz="6" w:space="0"/>
            </w:tcBorders>
          </w:tcPr>
          <w:p w14:paraId="56CB1C67">
            <w:pPr>
              <w:autoSpaceDE w:val="0"/>
              <w:autoSpaceDN w:val="0"/>
              <w:spacing w:line="360" w:lineRule="auto"/>
              <w:jc w:val="center"/>
              <w:rPr>
                <w:rFonts w:ascii="宋体" w:hAnsi="宋体" w:cs="宋体"/>
                <w:color w:val="auto"/>
                <w:sz w:val="24"/>
                <w:highlight w:val="none"/>
              </w:rPr>
            </w:pPr>
          </w:p>
        </w:tc>
        <w:tc>
          <w:tcPr>
            <w:tcW w:w="531" w:type="pct"/>
            <w:tcBorders>
              <w:top w:val="single" w:color="auto" w:sz="6" w:space="0"/>
              <w:left w:val="single" w:color="auto" w:sz="6" w:space="0"/>
              <w:bottom w:val="single" w:color="auto" w:sz="6" w:space="0"/>
              <w:right w:val="single" w:color="auto" w:sz="6" w:space="0"/>
            </w:tcBorders>
          </w:tcPr>
          <w:p w14:paraId="263C10A4">
            <w:pPr>
              <w:autoSpaceDE w:val="0"/>
              <w:autoSpaceDN w:val="0"/>
              <w:spacing w:line="360" w:lineRule="auto"/>
              <w:rPr>
                <w:rFonts w:ascii="宋体" w:hAnsi="宋体" w:cs="宋体"/>
                <w:color w:val="auto"/>
                <w:sz w:val="24"/>
                <w:highlight w:val="none"/>
              </w:rPr>
            </w:pPr>
          </w:p>
        </w:tc>
        <w:tc>
          <w:tcPr>
            <w:tcW w:w="367" w:type="pct"/>
            <w:tcBorders>
              <w:top w:val="single" w:color="auto" w:sz="6" w:space="0"/>
              <w:left w:val="single" w:color="auto" w:sz="6" w:space="0"/>
              <w:bottom w:val="single" w:color="auto" w:sz="6" w:space="0"/>
              <w:right w:val="single" w:color="auto" w:sz="6" w:space="0"/>
            </w:tcBorders>
          </w:tcPr>
          <w:p w14:paraId="3B7E4B33">
            <w:pPr>
              <w:autoSpaceDE w:val="0"/>
              <w:autoSpaceDN w:val="0"/>
              <w:spacing w:line="360" w:lineRule="auto"/>
              <w:rPr>
                <w:rFonts w:ascii="宋体" w:hAnsi="宋体" w:cs="宋体"/>
                <w:color w:val="auto"/>
                <w:sz w:val="24"/>
                <w:highlight w:val="none"/>
              </w:rPr>
            </w:pPr>
          </w:p>
        </w:tc>
        <w:tc>
          <w:tcPr>
            <w:tcW w:w="440" w:type="pct"/>
            <w:tcBorders>
              <w:top w:val="single" w:color="auto" w:sz="6" w:space="0"/>
              <w:left w:val="single" w:color="auto" w:sz="6" w:space="0"/>
              <w:bottom w:val="single" w:color="auto" w:sz="6" w:space="0"/>
              <w:right w:val="single" w:color="auto" w:sz="6" w:space="0"/>
            </w:tcBorders>
          </w:tcPr>
          <w:p w14:paraId="7F7C2356">
            <w:pPr>
              <w:autoSpaceDE w:val="0"/>
              <w:autoSpaceDN w:val="0"/>
              <w:spacing w:line="360" w:lineRule="auto"/>
              <w:rPr>
                <w:rFonts w:ascii="宋体" w:hAnsi="宋体" w:cs="宋体"/>
                <w:color w:val="auto"/>
                <w:sz w:val="24"/>
                <w:highlight w:val="none"/>
              </w:rPr>
            </w:pPr>
          </w:p>
        </w:tc>
        <w:tc>
          <w:tcPr>
            <w:tcW w:w="539" w:type="pct"/>
            <w:tcBorders>
              <w:top w:val="single" w:color="auto" w:sz="6" w:space="0"/>
              <w:left w:val="single" w:color="auto" w:sz="6" w:space="0"/>
              <w:bottom w:val="single" w:color="auto" w:sz="6" w:space="0"/>
              <w:right w:val="single" w:color="auto" w:sz="6" w:space="0"/>
            </w:tcBorders>
          </w:tcPr>
          <w:p w14:paraId="6D818808">
            <w:pPr>
              <w:autoSpaceDE w:val="0"/>
              <w:autoSpaceDN w:val="0"/>
              <w:spacing w:line="360" w:lineRule="auto"/>
              <w:rPr>
                <w:rFonts w:ascii="宋体" w:hAnsi="宋体" w:cs="宋体"/>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tcPr>
          <w:p w14:paraId="68C35E4E">
            <w:pPr>
              <w:autoSpaceDE w:val="0"/>
              <w:autoSpaceDN w:val="0"/>
              <w:spacing w:line="360" w:lineRule="auto"/>
              <w:rPr>
                <w:rFonts w:ascii="宋体" w:hAnsi="宋体" w:cs="宋体"/>
                <w:color w:val="auto"/>
                <w:sz w:val="24"/>
                <w:highlight w:val="none"/>
              </w:rPr>
            </w:pPr>
          </w:p>
        </w:tc>
        <w:tc>
          <w:tcPr>
            <w:tcW w:w="722" w:type="pct"/>
            <w:tcBorders>
              <w:top w:val="single" w:color="auto" w:sz="6" w:space="0"/>
              <w:left w:val="single" w:color="auto" w:sz="6" w:space="0"/>
              <w:bottom w:val="single" w:color="auto" w:sz="6" w:space="0"/>
              <w:right w:val="single" w:color="auto" w:sz="6" w:space="0"/>
            </w:tcBorders>
          </w:tcPr>
          <w:p w14:paraId="0560E83D">
            <w:pPr>
              <w:autoSpaceDE w:val="0"/>
              <w:autoSpaceDN w:val="0"/>
              <w:spacing w:line="360" w:lineRule="auto"/>
              <w:rPr>
                <w:rFonts w:ascii="宋体" w:hAnsi="宋体" w:cs="宋体"/>
                <w:color w:val="auto"/>
                <w:sz w:val="24"/>
                <w:highlight w:val="none"/>
              </w:rPr>
            </w:pPr>
          </w:p>
        </w:tc>
        <w:tc>
          <w:tcPr>
            <w:tcW w:w="670" w:type="pct"/>
            <w:tcBorders>
              <w:top w:val="single" w:color="auto" w:sz="6" w:space="0"/>
              <w:left w:val="single" w:color="auto" w:sz="6" w:space="0"/>
              <w:bottom w:val="single" w:color="auto" w:sz="6" w:space="0"/>
              <w:right w:val="single" w:color="auto" w:sz="6" w:space="0"/>
            </w:tcBorders>
          </w:tcPr>
          <w:p w14:paraId="4815897C">
            <w:pPr>
              <w:autoSpaceDE w:val="0"/>
              <w:autoSpaceDN w:val="0"/>
              <w:spacing w:line="360" w:lineRule="auto"/>
              <w:rPr>
                <w:rFonts w:ascii="宋体" w:hAnsi="宋体" w:cs="宋体"/>
                <w:color w:val="auto"/>
                <w:sz w:val="24"/>
                <w:highlight w:val="none"/>
              </w:rPr>
            </w:pPr>
          </w:p>
        </w:tc>
      </w:tr>
      <w:tr w14:paraId="497178F4">
        <w:tblPrEx>
          <w:tblCellMar>
            <w:top w:w="0" w:type="dxa"/>
            <w:left w:w="108" w:type="dxa"/>
            <w:bottom w:w="0" w:type="dxa"/>
            <w:right w:w="108" w:type="dxa"/>
          </w:tblCellMar>
        </w:tblPrEx>
        <w:trPr>
          <w:trHeight w:val="473" w:hRule="atLeast"/>
        </w:trPr>
        <w:tc>
          <w:tcPr>
            <w:tcW w:w="314" w:type="pct"/>
            <w:tcBorders>
              <w:top w:val="single" w:color="auto" w:sz="6" w:space="0"/>
              <w:left w:val="single" w:color="auto" w:sz="6" w:space="0"/>
              <w:bottom w:val="single" w:color="auto" w:sz="6" w:space="0"/>
              <w:right w:val="single" w:color="auto" w:sz="6" w:space="0"/>
            </w:tcBorders>
          </w:tcPr>
          <w:p w14:paraId="7047DC05">
            <w:pPr>
              <w:autoSpaceDE w:val="0"/>
              <w:autoSpaceDN w:val="0"/>
              <w:spacing w:line="360" w:lineRule="auto"/>
              <w:jc w:val="center"/>
              <w:rPr>
                <w:rFonts w:ascii="宋体" w:hAnsi="宋体" w:cs="宋体"/>
                <w:color w:val="auto"/>
                <w:sz w:val="24"/>
                <w:highlight w:val="none"/>
              </w:rPr>
            </w:pPr>
          </w:p>
        </w:tc>
        <w:tc>
          <w:tcPr>
            <w:tcW w:w="531" w:type="pct"/>
            <w:tcBorders>
              <w:top w:val="single" w:color="auto" w:sz="6" w:space="0"/>
              <w:left w:val="single" w:color="auto" w:sz="6" w:space="0"/>
              <w:bottom w:val="single" w:color="auto" w:sz="6" w:space="0"/>
              <w:right w:val="single" w:color="auto" w:sz="6" w:space="0"/>
            </w:tcBorders>
          </w:tcPr>
          <w:p w14:paraId="751C8CA3">
            <w:pPr>
              <w:autoSpaceDE w:val="0"/>
              <w:autoSpaceDN w:val="0"/>
              <w:spacing w:line="360" w:lineRule="auto"/>
              <w:rPr>
                <w:rFonts w:ascii="宋体" w:hAnsi="宋体" w:cs="宋体"/>
                <w:color w:val="auto"/>
                <w:sz w:val="24"/>
                <w:highlight w:val="none"/>
              </w:rPr>
            </w:pPr>
          </w:p>
        </w:tc>
        <w:tc>
          <w:tcPr>
            <w:tcW w:w="367" w:type="pct"/>
            <w:tcBorders>
              <w:top w:val="single" w:color="auto" w:sz="6" w:space="0"/>
              <w:left w:val="single" w:color="auto" w:sz="6" w:space="0"/>
              <w:bottom w:val="single" w:color="auto" w:sz="6" w:space="0"/>
              <w:right w:val="single" w:color="auto" w:sz="6" w:space="0"/>
            </w:tcBorders>
          </w:tcPr>
          <w:p w14:paraId="178ED27E">
            <w:pPr>
              <w:autoSpaceDE w:val="0"/>
              <w:autoSpaceDN w:val="0"/>
              <w:spacing w:line="360" w:lineRule="auto"/>
              <w:rPr>
                <w:rFonts w:ascii="宋体" w:hAnsi="宋体" w:cs="宋体"/>
                <w:color w:val="auto"/>
                <w:sz w:val="24"/>
                <w:highlight w:val="none"/>
              </w:rPr>
            </w:pPr>
          </w:p>
        </w:tc>
        <w:tc>
          <w:tcPr>
            <w:tcW w:w="440" w:type="pct"/>
            <w:tcBorders>
              <w:top w:val="single" w:color="auto" w:sz="6" w:space="0"/>
              <w:left w:val="single" w:color="auto" w:sz="6" w:space="0"/>
              <w:bottom w:val="single" w:color="auto" w:sz="6" w:space="0"/>
              <w:right w:val="single" w:color="auto" w:sz="6" w:space="0"/>
            </w:tcBorders>
          </w:tcPr>
          <w:p w14:paraId="5AA1C176">
            <w:pPr>
              <w:autoSpaceDE w:val="0"/>
              <w:autoSpaceDN w:val="0"/>
              <w:spacing w:line="360" w:lineRule="auto"/>
              <w:rPr>
                <w:rFonts w:ascii="宋体" w:hAnsi="宋体" w:cs="宋体"/>
                <w:color w:val="auto"/>
                <w:sz w:val="24"/>
                <w:highlight w:val="none"/>
              </w:rPr>
            </w:pPr>
          </w:p>
        </w:tc>
        <w:tc>
          <w:tcPr>
            <w:tcW w:w="539" w:type="pct"/>
            <w:tcBorders>
              <w:top w:val="single" w:color="auto" w:sz="6" w:space="0"/>
              <w:left w:val="single" w:color="auto" w:sz="6" w:space="0"/>
              <w:bottom w:val="single" w:color="auto" w:sz="6" w:space="0"/>
              <w:right w:val="single" w:color="auto" w:sz="6" w:space="0"/>
            </w:tcBorders>
          </w:tcPr>
          <w:p w14:paraId="6006B92E">
            <w:pPr>
              <w:autoSpaceDE w:val="0"/>
              <w:autoSpaceDN w:val="0"/>
              <w:spacing w:line="360" w:lineRule="auto"/>
              <w:rPr>
                <w:rFonts w:ascii="宋体" w:hAnsi="宋体" w:cs="宋体"/>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tcPr>
          <w:p w14:paraId="0C1474EE">
            <w:pPr>
              <w:autoSpaceDE w:val="0"/>
              <w:autoSpaceDN w:val="0"/>
              <w:spacing w:line="360" w:lineRule="auto"/>
              <w:rPr>
                <w:rFonts w:ascii="宋体" w:hAnsi="宋体" w:cs="宋体"/>
                <w:color w:val="auto"/>
                <w:sz w:val="24"/>
                <w:highlight w:val="none"/>
              </w:rPr>
            </w:pPr>
          </w:p>
        </w:tc>
        <w:tc>
          <w:tcPr>
            <w:tcW w:w="722" w:type="pct"/>
            <w:tcBorders>
              <w:top w:val="single" w:color="auto" w:sz="6" w:space="0"/>
              <w:left w:val="single" w:color="auto" w:sz="6" w:space="0"/>
              <w:bottom w:val="single" w:color="auto" w:sz="6" w:space="0"/>
              <w:right w:val="single" w:color="auto" w:sz="6" w:space="0"/>
            </w:tcBorders>
          </w:tcPr>
          <w:p w14:paraId="7AF844E7">
            <w:pPr>
              <w:autoSpaceDE w:val="0"/>
              <w:autoSpaceDN w:val="0"/>
              <w:spacing w:line="360" w:lineRule="auto"/>
              <w:rPr>
                <w:rFonts w:ascii="宋体" w:hAnsi="宋体" w:cs="宋体"/>
                <w:color w:val="auto"/>
                <w:sz w:val="24"/>
                <w:highlight w:val="none"/>
              </w:rPr>
            </w:pPr>
          </w:p>
        </w:tc>
        <w:tc>
          <w:tcPr>
            <w:tcW w:w="670" w:type="pct"/>
            <w:tcBorders>
              <w:top w:val="single" w:color="auto" w:sz="6" w:space="0"/>
              <w:left w:val="single" w:color="auto" w:sz="6" w:space="0"/>
              <w:bottom w:val="single" w:color="auto" w:sz="6" w:space="0"/>
              <w:right w:val="single" w:color="auto" w:sz="6" w:space="0"/>
            </w:tcBorders>
          </w:tcPr>
          <w:p w14:paraId="20E6050D">
            <w:pPr>
              <w:autoSpaceDE w:val="0"/>
              <w:autoSpaceDN w:val="0"/>
              <w:spacing w:line="360" w:lineRule="auto"/>
              <w:rPr>
                <w:rFonts w:ascii="宋体" w:hAnsi="宋体" w:cs="宋体"/>
                <w:color w:val="auto"/>
                <w:sz w:val="24"/>
                <w:highlight w:val="none"/>
              </w:rPr>
            </w:pPr>
          </w:p>
        </w:tc>
      </w:tr>
      <w:tr w14:paraId="32DE4840">
        <w:tblPrEx>
          <w:tblCellMar>
            <w:top w:w="0" w:type="dxa"/>
            <w:left w:w="108" w:type="dxa"/>
            <w:bottom w:w="0" w:type="dxa"/>
            <w:right w:w="108" w:type="dxa"/>
          </w:tblCellMar>
        </w:tblPrEx>
        <w:trPr>
          <w:trHeight w:val="473" w:hRule="atLeast"/>
        </w:trPr>
        <w:tc>
          <w:tcPr>
            <w:tcW w:w="314" w:type="pct"/>
            <w:tcBorders>
              <w:top w:val="single" w:color="auto" w:sz="6" w:space="0"/>
              <w:left w:val="single" w:color="auto" w:sz="6" w:space="0"/>
              <w:bottom w:val="single" w:color="auto" w:sz="6" w:space="0"/>
              <w:right w:val="single" w:color="auto" w:sz="6" w:space="0"/>
            </w:tcBorders>
          </w:tcPr>
          <w:p w14:paraId="6BE24E17">
            <w:pPr>
              <w:autoSpaceDE w:val="0"/>
              <w:autoSpaceDN w:val="0"/>
              <w:spacing w:line="360" w:lineRule="auto"/>
              <w:jc w:val="center"/>
              <w:rPr>
                <w:rFonts w:ascii="宋体" w:hAnsi="宋体" w:cs="宋体"/>
                <w:color w:val="auto"/>
                <w:sz w:val="24"/>
                <w:highlight w:val="none"/>
              </w:rPr>
            </w:pPr>
          </w:p>
        </w:tc>
        <w:tc>
          <w:tcPr>
            <w:tcW w:w="531" w:type="pct"/>
            <w:tcBorders>
              <w:top w:val="single" w:color="auto" w:sz="6" w:space="0"/>
              <w:left w:val="single" w:color="auto" w:sz="6" w:space="0"/>
              <w:bottom w:val="single" w:color="auto" w:sz="6" w:space="0"/>
              <w:right w:val="single" w:color="auto" w:sz="6" w:space="0"/>
            </w:tcBorders>
          </w:tcPr>
          <w:p w14:paraId="1DBF1AEB">
            <w:pPr>
              <w:autoSpaceDE w:val="0"/>
              <w:autoSpaceDN w:val="0"/>
              <w:spacing w:line="360" w:lineRule="auto"/>
              <w:rPr>
                <w:rFonts w:ascii="宋体" w:hAnsi="宋体" w:cs="宋体"/>
                <w:color w:val="auto"/>
                <w:sz w:val="24"/>
                <w:highlight w:val="none"/>
              </w:rPr>
            </w:pPr>
          </w:p>
        </w:tc>
        <w:tc>
          <w:tcPr>
            <w:tcW w:w="367" w:type="pct"/>
            <w:tcBorders>
              <w:top w:val="single" w:color="auto" w:sz="6" w:space="0"/>
              <w:left w:val="single" w:color="auto" w:sz="6" w:space="0"/>
              <w:bottom w:val="single" w:color="auto" w:sz="6" w:space="0"/>
              <w:right w:val="single" w:color="auto" w:sz="6" w:space="0"/>
            </w:tcBorders>
          </w:tcPr>
          <w:p w14:paraId="16CC9B89">
            <w:pPr>
              <w:autoSpaceDE w:val="0"/>
              <w:autoSpaceDN w:val="0"/>
              <w:spacing w:line="360" w:lineRule="auto"/>
              <w:rPr>
                <w:rFonts w:ascii="宋体" w:hAnsi="宋体" w:cs="宋体"/>
                <w:color w:val="auto"/>
                <w:sz w:val="24"/>
                <w:highlight w:val="none"/>
              </w:rPr>
            </w:pPr>
          </w:p>
        </w:tc>
        <w:tc>
          <w:tcPr>
            <w:tcW w:w="440" w:type="pct"/>
            <w:tcBorders>
              <w:top w:val="single" w:color="auto" w:sz="6" w:space="0"/>
              <w:left w:val="single" w:color="auto" w:sz="6" w:space="0"/>
              <w:bottom w:val="single" w:color="auto" w:sz="6" w:space="0"/>
              <w:right w:val="single" w:color="auto" w:sz="6" w:space="0"/>
            </w:tcBorders>
          </w:tcPr>
          <w:p w14:paraId="3EF22076">
            <w:pPr>
              <w:autoSpaceDE w:val="0"/>
              <w:autoSpaceDN w:val="0"/>
              <w:spacing w:line="360" w:lineRule="auto"/>
              <w:rPr>
                <w:rFonts w:ascii="宋体" w:hAnsi="宋体" w:cs="宋体"/>
                <w:color w:val="auto"/>
                <w:sz w:val="24"/>
                <w:highlight w:val="none"/>
              </w:rPr>
            </w:pPr>
          </w:p>
        </w:tc>
        <w:tc>
          <w:tcPr>
            <w:tcW w:w="539" w:type="pct"/>
            <w:tcBorders>
              <w:top w:val="single" w:color="auto" w:sz="6" w:space="0"/>
              <w:left w:val="single" w:color="auto" w:sz="6" w:space="0"/>
              <w:bottom w:val="single" w:color="auto" w:sz="6" w:space="0"/>
              <w:right w:val="single" w:color="auto" w:sz="6" w:space="0"/>
            </w:tcBorders>
          </w:tcPr>
          <w:p w14:paraId="114341F6">
            <w:pPr>
              <w:autoSpaceDE w:val="0"/>
              <w:autoSpaceDN w:val="0"/>
              <w:spacing w:line="360" w:lineRule="auto"/>
              <w:rPr>
                <w:rFonts w:ascii="宋体" w:hAnsi="宋体" w:cs="宋体"/>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tcPr>
          <w:p w14:paraId="2BFB0DE0">
            <w:pPr>
              <w:autoSpaceDE w:val="0"/>
              <w:autoSpaceDN w:val="0"/>
              <w:spacing w:line="360" w:lineRule="auto"/>
              <w:rPr>
                <w:rFonts w:ascii="宋体" w:hAnsi="宋体" w:cs="宋体"/>
                <w:color w:val="auto"/>
                <w:sz w:val="24"/>
                <w:highlight w:val="none"/>
              </w:rPr>
            </w:pPr>
          </w:p>
        </w:tc>
        <w:tc>
          <w:tcPr>
            <w:tcW w:w="722" w:type="pct"/>
            <w:tcBorders>
              <w:top w:val="single" w:color="auto" w:sz="6" w:space="0"/>
              <w:left w:val="single" w:color="auto" w:sz="6" w:space="0"/>
              <w:bottom w:val="single" w:color="auto" w:sz="6" w:space="0"/>
              <w:right w:val="single" w:color="auto" w:sz="6" w:space="0"/>
            </w:tcBorders>
          </w:tcPr>
          <w:p w14:paraId="11F8BEB5">
            <w:pPr>
              <w:autoSpaceDE w:val="0"/>
              <w:autoSpaceDN w:val="0"/>
              <w:spacing w:line="360" w:lineRule="auto"/>
              <w:rPr>
                <w:rFonts w:ascii="宋体" w:hAnsi="宋体" w:cs="宋体"/>
                <w:color w:val="auto"/>
                <w:sz w:val="24"/>
                <w:highlight w:val="none"/>
              </w:rPr>
            </w:pPr>
          </w:p>
        </w:tc>
        <w:tc>
          <w:tcPr>
            <w:tcW w:w="670" w:type="pct"/>
            <w:tcBorders>
              <w:top w:val="single" w:color="auto" w:sz="6" w:space="0"/>
              <w:left w:val="single" w:color="auto" w:sz="6" w:space="0"/>
              <w:bottom w:val="single" w:color="auto" w:sz="6" w:space="0"/>
              <w:right w:val="single" w:color="auto" w:sz="6" w:space="0"/>
            </w:tcBorders>
          </w:tcPr>
          <w:p w14:paraId="6064DC4F">
            <w:pPr>
              <w:autoSpaceDE w:val="0"/>
              <w:autoSpaceDN w:val="0"/>
              <w:spacing w:line="360" w:lineRule="auto"/>
              <w:rPr>
                <w:rFonts w:ascii="宋体" w:hAnsi="宋体" w:cs="宋体"/>
                <w:color w:val="auto"/>
                <w:sz w:val="24"/>
                <w:highlight w:val="none"/>
              </w:rPr>
            </w:pPr>
          </w:p>
        </w:tc>
      </w:tr>
      <w:tr w14:paraId="57B02DC2">
        <w:tblPrEx>
          <w:tblCellMar>
            <w:top w:w="0" w:type="dxa"/>
            <w:left w:w="108" w:type="dxa"/>
            <w:bottom w:w="0" w:type="dxa"/>
            <w:right w:w="108" w:type="dxa"/>
          </w:tblCellMar>
        </w:tblPrEx>
        <w:trPr>
          <w:trHeight w:val="473" w:hRule="atLeast"/>
        </w:trPr>
        <w:tc>
          <w:tcPr>
            <w:tcW w:w="314" w:type="pct"/>
            <w:tcBorders>
              <w:top w:val="single" w:color="auto" w:sz="6" w:space="0"/>
              <w:left w:val="single" w:color="auto" w:sz="6" w:space="0"/>
              <w:bottom w:val="single" w:color="auto" w:sz="6" w:space="0"/>
              <w:right w:val="single" w:color="auto" w:sz="6" w:space="0"/>
            </w:tcBorders>
          </w:tcPr>
          <w:p w14:paraId="5C42525A">
            <w:pPr>
              <w:autoSpaceDE w:val="0"/>
              <w:autoSpaceDN w:val="0"/>
              <w:spacing w:line="360" w:lineRule="auto"/>
              <w:jc w:val="center"/>
              <w:rPr>
                <w:rFonts w:ascii="宋体" w:hAnsi="宋体" w:cs="宋体"/>
                <w:color w:val="auto"/>
                <w:sz w:val="24"/>
                <w:highlight w:val="none"/>
              </w:rPr>
            </w:pPr>
            <w:r>
              <w:rPr>
                <w:rFonts w:ascii="Arial" w:hAnsi="Arial" w:cs="Arial"/>
                <w:color w:val="auto"/>
                <w:sz w:val="24"/>
                <w:highlight w:val="none"/>
              </w:rPr>
              <w:t>…</w:t>
            </w:r>
          </w:p>
        </w:tc>
        <w:tc>
          <w:tcPr>
            <w:tcW w:w="531" w:type="pct"/>
            <w:tcBorders>
              <w:top w:val="single" w:color="auto" w:sz="6" w:space="0"/>
              <w:left w:val="single" w:color="auto" w:sz="6" w:space="0"/>
              <w:bottom w:val="single" w:color="auto" w:sz="6" w:space="0"/>
              <w:right w:val="single" w:color="auto" w:sz="6" w:space="0"/>
            </w:tcBorders>
          </w:tcPr>
          <w:p w14:paraId="0749546D">
            <w:pPr>
              <w:autoSpaceDE w:val="0"/>
              <w:autoSpaceDN w:val="0"/>
              <w:spacing w:line="360" w:lineRule="auto"/>
              <w:rPr>
                <w:rFonts w:ascii="宋体" w:hAnsi="宋体" w:cs="宋体"/>
                <w:color w:val="auto"/>
                <w:sz w:val="24"/>
                <w:highlight w:val="none"/>
              </w:rPr>
            </w:pPr>
          </w:p>
        </w:tc>
        <w:tc>
          <w:tcPr>
            <w:tcW w:w="367" w:type="pct"/>
            <w:tcBorders>
              <w:top w:val="single" w:color="auto" w:sz="6" w:space="0"/>
              <w:left w:val="single" w:color="auto" w:sz="6" w:space="0"/>
              <w:bottom w:val="single" w:color="auto" w:sz="6" w:space="0"/>
              <w:right w:val="single" w:color="auto" w:sz="6" w:space="0"/>
            </w:tcBorders>
          </w:tcPr>
          <w:p w14:paraId="6D4F9662">
            <w:pPr>
              <w:autoSpaceDE w:val="0"/>
              <w:autoSpaceDN w:val="0"/>
              <w:spacing w:line="360" w:lineRule="auto"/>
              <w:rPr>
                <w:rFonts w:ascii="宋体" w:hAnsi="宋体" w:cs="宋体"/>
                <w:color w:val="auto"/>
                <w:sz w:val="24"/>
                <w:highlight w:val="none"/>
              </w:rPr>
            </w:pPr>
          </w:p>
        </w:tc>
        <w:tc>
          <w:tcPr>
            <w:tcW w:w="440" w:type="pct"/>
            <w:tcBorders>
              <w:top w:val="single" w:color="auto" w:sz="6" w:space="0"/>
              <w:left w:val="single" w:color="auto" w:sz="6" w:space="0"/>
              <w:bottom w:val="single" w:color="auto" w:sz="6" w:space="0"/>
              <w:right w:val="single" w:color="auto" w:sz="6" w:space="0"/>
            </w:tcBorders>
          </w:tcPr>
          <w:p w14:paraId="07C002F9">
            <w:pPr>
              <w:autoSpaceDE w:val="0"/>
              <w:autoSpaceDN w:val="0"/>
              <w:spacing w:line="360" w:lineRule="auto"/>
              <w:rPr>
                <w:rFonts w:ascii="宋体" w:hAnsi="宋体" w:cs="宋体"/>
                <w:color w:val="auto"/>
                <w:sz w:val="24"/>
                <w:highlight w:val="none"/>
              </w:rPr>
            </w:pPr>
          </w:p>
        </w:tc>
        <w:tc>
          <w:tcPr>
            <w:tcW w:w="539" w:type="pct"/>
            <w:tcBorders>
              <w:top w:val="single" w:color="auto" w:sz="6" w:space="0"/>
              <w:left w:val="single" w:color="auto" w:sz="6" w:space="0"/>
              <w:bottom w:val="single" w:color="auto" w:sz="6" w:space="0"/>
              <w:right w:val="single" w:color="auto" w:sz="6" w:space="0"/>
            </w:tcBorders>
          </w:tcPr>
          <w:p w14:paraId="3B97A2D8">
            <w:pPr>
              <w:autoSpaceDE w:val="0"/>
              <w:autoSpaceDN w:val="0"/>
              <w:spacing w:line="360" w:lineRule="auto"/>
              <w:rPr>
                <w:rFonts w:ascii="宋体" w:hAnsi="宋体" w:cs="宋体"/>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tcPr>
          <w:p w14:paraId="5E9C573A">
            <w:pPr>
              <w:autoSpaceDE w:val="0"/>
              <w:autoSpaceDN w:val="0"/>
              <w:spacing w:line="360" w:lineRule="auto"/>
              <w:rPr>
                <w:rFonts w:ascii="宋体" w:hAnsi="宋体" w:cs="宋体"/>
                <w:color w:val="auto"/>
                <w:sz w:val="24"/>
                <w:highlight w:val="none"/>
              </w:rPr>
            </w:pPr>
          </w:p>
        </w:tc>
        <w:tc>
          <w:tcPr>
            <w:tcW w:w="722" w:type="pct"/>
            <w:tcBorders>
              <w:top w:val="single" w:color="auto" w:sz="6" w:space="0"/>
              <w:left w:val="single" w:color="auto" w:sz="6" w:space="0"/>
              <w:bottom w:val="single" w:color="auto" w:sz="6" w:space="0"/>
              <w:right w:val="single" w:color="auto" w:sz="6" w:space="0"/>
            </w:tcBorders>
          </w:tcPr>
          <w:p w14:paraId="6F2DB480">
            <w:pPr>
              <w:autoSpaceDE w:val="0"/>
              <w:autoSpaceDN w:val="0"/>
              <w:spacing w:line="360" w:lineRule="auto"/>
              <w:rPr>
                <w:rFonts w:ascii="宋体" w:hAnsi="宋体" w:cs="宋体"/>
                <w:color w:val="auto"/>
                <w:sz w:val="24"/>
                <w:highlight w:val="none"/>
              </w:rPr>
            </w:pPr>
          </w:p>
        </w:tc>
        <w:tc>
          <w:tcPr>
            <w:tcW w:w="670" w:type="pct"/>
            <w:tcBorders>
              <w:top w:val="single" w:color="auto" w:sz="6" w:space="0"/>
              <w:left w:val="single" w:color="auto" w:sz="6" w:space="0"/>
              <w:bottom w:val="single" w:color="auto" w:sz="6" w:space="0"/>
              <w:right w:val="single" w:color="auto" w:sz="6" w:space="0"/>
            </w:tcBorders>
          </w:tcPr>
          <w:p w14:paraId="40C731E3">
            <w:pPr>
              <w:autoSpaceDE w:val="0"/>
              <w:autoSpaceDN w:val="0"/>
              <w:spacing w:line="360" w:lineRule="auto"/>
              <w:rPr>
                <w:rFonts w:ascii="宋体" w:hAnsi="宋体" w:cs="宋体"/>
                <w:color w:val="auto"/>
                <w:sz w:val="24"/>
                <w:highlight w:val="none"/>
              </w:rPr>
            </w:pPr>
          </w:p>
        </w:tc>
      </w:tr>
    </w:tbl>
    <w:p w14:paraId="0EBF4C1E">
      <w:pPr>
        <w:spacing w:line="360" w:lineRule="auto"/>
        <w:rPr>
          <w:rFonts w:ascii="宋体" w:hAnsi="宋体" w:cs="宋体"/>
          <w:b/>
          <w:bCs/>
          <w:color w:val="auto"/>
          <w:sz w:val="24"/>
          <w:highlight w:val="none"/>
        </w:rPr>
      </w:pPr>
      <w:r>
        <w:rPr>
          <w:rFonts w:hint="eastAsia" w:ascii="宋体" w:hAnsi="宋体" w:cs="宋体"/>
          <w:b/>
          <w:color w:val="auto"/>
          <w:sz w:val="24"/>
          <w:highlight w:val="none"/>
        </w:rPr>
        <w:t>注：在填写时，如本表格不适合投标人的实际情况，投标人可按上述的格式自行编制，须随表提交相应的证书并注明所在投标技术文件页码。</w:t>
      </w:r>
    </w:p>
    <w:p w14:paraId="1EEE5702">
      <w:pPr>
        <w:snapToGrid w:val="0"/>
        <w:spacing w:before="165" w:beforeLines="50" w:after="50"/>
        <w:jc w:val="left"/>
        <w:rPr>
          <w:rFonts w:ascii="宋体" w:hAnsi="宋体" w:cs="宋体"/>
          <w:color w:val="auto"/>
          <w:sz w:val="24"/>
          <w:highlight w:val="none"/>
        </w:rPr>
      </w:pPr>
    </w:p>
    <w:p w14:paraId="4B9FB083">
      <w:pPr>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79715A1F">
      <w:pPr>
        <w:snapToGrid w:val="0"/>
        <w:spacing w:line="360" w:lineRule="auto"/>
        <w:ind w:firstLine="5160" w:firstLineChars="215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8F13F44">
      <w:pPr>
        <w:spacing w:line="360" w:lineRule="auto"/>
        <w:ind w:left="808"/>
        <w:jc w:val="center"/>
        <w:rPr>
          <w:rFonts w:ascii="宋体" w:hAnsi="宋体" w:cs="宋体"/>
          <w:b/>
          <w:color w:val="auto"/>
          <w:sz w:val="32"/>
          <w:szCs w:val="32"/>
          <w:highlight w:val="none"/>
        </w:rPr>
      </w:pPr>
    </w:p>
    <w:p w14:paraId="7FDCA03D">
      <w:pPr>
        <w:spacing w:line="360" w:lineRule="auto"/>
        <w:ind w:left="808"/>
        <w:jc w:val="center"/>
        <w:rPr>
          <w:rFonts w:ascii="宋体" w:hAnsi="宋体" w:cs="宋体"/>
          <w:b/>
          <w:color w:val="auto"/>
          <w:sz w:val="32"/>
          <w:szCs w:val="32"/>
          <w:highlight w:val="none"/>
        </w:rPr>
      </w:pPr>
      <w:r>
        <w:rPr>
          <w:rFonts w:hint="eastAsia" w:ascii="宋体" w:hAnsi="宋体" w:cs="宋体"/>
          <w:b/>
          <w:color w:val="auto"/>
          <w:sz w:val="32"/>
          <w:szCs w:val="32"/>
          <w:highlight w:val="none"/>
        </w:rPr>
        <w:t>五、投标人对本项目的合理化建议和改进措施</w:t>
      </w:r>
    </w:p>
    <w:p w14:paraId="56E02AF6">
      <w:pPr>
        <w:spacing w:line="360" w:lineRule="auto"/>
        <w:jc w:val="center"/>
        <w:rPr>
          <w:rFonts w:ascii="宋体" w:hAnsi="宋体" w:cs="宋体"/>
          <w:b/>
          <w:bCs/>
          <w:color w:val="auto"/>
          <w:sz w:val="24"/>
          <w:highlight w:val="none"/>
        </w:rPr>
      </w:pPr>
      <w:r>
        <w:rPr>
          <w:rFonts w:hint="eastAsia" w:ascii="宋体" w:hAnsi="宋体" w:cs="宋体"/>
          <w:color w:val="auto"/>
          <w:sz w:val="24"/>
          <w:highlight w:val="none"/>
        </w:rPr>
        <w:t>（由投标人根据采购需求及招标文件要求编制）</w:t>
      </w:r>
    </w:p>
    <w:p w14:paraId="2B3748C7">
      <w:pPr>
        <w:snapToGrid w:val="0"/>
        <w:spacing w:before="165" w:beforeLines="50" w:after="50"/>
        <w:jc w:val="left"/>
        <w:rPr>
          <w:rFonts w:ascii="宋体" w:hAnsi="宋体" w:cs="宋体"/>
          <w:color w:val="auto"/>
          <w:sz w:val="24"/>
          <w:highlight w:val="none"/>
        </w:rPr>
      </w:pPr>
      <w:r>
        <w:rPr>
          <w:rFonts w:hint="eastAsia" w:ascii="宋体" w:hAnsi="宋体" w:cs="宋体"/>
          <w:color w:val="auto"/>
          <w:sz w:val="24"/>
          <w:highlight w:val="none"/>
        </w:rPr>
        <w:t xml:space="preserve"> </w:t>
      </w:r>
    </w:p>
    <w:p w14:paraId="627E174A">
      <w:pPr>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5A953256">
      <w:pPr>
        <w:snapToGrid w:val="0"/>
        <w:spacing w:line="360" w:lineRule="auto"/>
        <w:ind w:firstLine="5160" w:firstLineChars="2150"/>
        <w:rPr>
          <w:rFonts w:ascii="宋体" w:hAnsi="宋体" w:cs="宋体"/>
          <w:b/>
          <w:color w:val="auto"/>
          <w:sz w:val="32"/>
          <w:szCs w:val="32"/>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3A7B609">
      <w:pPr>
        <w:rPr>
          <w:color w:val="auto"/>
          <w:highlight w:val="none"/>
        </w:rPr>
      </w:pPr>
    </w:p>
    <w:p w14:paraId="66989994">
      <w:pPr>
        <w:spacing w:line="360" w:lineRule="auto"/>
        <w:ind w:left="808"/>
        <w:jc w:val="center"/>
        <w:rPr>
          <w:rFonts w:ascii="宋体" w:hAnsi="宋体" w:cs="宋体"/>
          <w:b/>
          <w:color w:val="auto"/>
          <w:sz w:val="32"/>
          <w:szCs w:val="32"/>
          <w:highlight w:val="none"/>
        </w:rPr>
      </w:pPr>
    </w:p>
    <w:p w14:paraId="76FA54D6">
      <w:pPr>
        <w:spacing w:line="360" w:lineRule="auto"/>
        <w:ind w:left="808"/>
        <w:jc w:val="center"/>
        <w:rPr>
          <w:rFonts w:ascii="宋体" w:hAnsi="宋体" w:cs="宋体"/>
          <w:b/>
          <w:color w:val="auto"/>
          <w:sz w:val="32"/>
          <w:szCs w:val="32"/>
          <w:highlight w:val="none"/>
        </w:rPr>
      </w:pPr>
      <w:r>
        <w:rPr>
          <w:rFonts w:hint="eastAsia" w:ascii="宋体" w:hAnsi="宋体" w:cs="宋体"/>
          <w:b/>
          <w:color w:val="auto"/>
          <w:sz w:val="32"/>
          <w:szCs w:val="32"/>
          <w:highlight w:val="none"/>
        </w:rPr>
        <w:t>六、除招标文件规定必须提供以外，投标人需要说明的其他文件和说明。</w:t>
      </w:r>
    </w:p>
    <w:p w14:paraId="6E7E81C4">
      <w:pPr>
        <w:spacing w:line="360" w:lineRule="auto"/>
        <w:ind w:left="808" w:firstLine="2400" w:firstLineChars="1000"/>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4547B65E">
      <w:pPr>
        <w:spacing w:line="360" w:lineRule="auto"/>
        <w:jc w:val="center"/>
        <w:rPr>
          <w:rFonts w:ascii="宋体" w:hAnsi="宋体" w:cs="宋体"/>
          <w:color w:val="auto"/>
          <w:sz w:val="24"/>
          <w:highlight w:val="none"/>
        </w:rPr>
      </w:pPr>
    </w:p>
    <w:p w14:paraId="561573A8">
      <w:pPr>
        <w:autoSpaceDE w:val="0"/>
        <w:autoSpaceDN w:val="0"/>
        <w:spacing w:line="360" w:lineRule="auto"/>
        <w:ind w:firstLine="4800" w:firstLineChars="2000"/>
        <w:rPr>
          <w:rFonts w:ascii="宋体" w:hAnsi="宋体" w:cs="宋体"/>
          <w:color w:val="auto"/>
          <w:sz w:val="24"/>
          <w:highlight w:val="none"/>
        </w:rPr>
      </w:pPr>
      <w:r>
        <w:rPr>
          <w:rFonts w:hint="eastAsia" w:ascii="宋体" w:hAnsi="宋体" w:cs="宋体"/>
          <w:color w:val="auto"/>
          <w:kern w:val="0"/>
          <w:sz w:val="24"/>
          <w:highlight w:val="none"/>
        </w:rPr>
        <w:t>投标人名称（电子</w:t>
      </w:r>
      <w:r>
        <w:rPr>
          <w:rFonts w:hint="eastAsia" w:ascii="宋体" w:hAnsi="宋体" w:cs="宋体"/>
          <w:color w:val="auto"/>
          <w:kern w:val="0"/>
          <w:sz w:val="24"/>
          <w:highlight w:val="none"/>
          <w:lang w:val="zh-CN"/>
        </w:rPr>
        <w:t>签章</w:t>
      </w:r>
      <w:r>
        <w:rPr>
          <w:rFonts w:hint="eastAsia" w:ascii="宋体" w:hAnsi="宋体" w:cs="宋体"/>
          <w:color w:val="auto"/>
          <w:kern w:val="0"/>
          <w:sz w:val="24"/>
          <w:highlight w:val="none"/>
        </w:rPr>
        <w:t xml:space="preserve">）：                       </w:t>
      </w:r>
    </w:p>
    <w:p w14:paraId="6C8F602C">
      <w:pPr>
        <w:snapToGrid w:val="0"/>
        <w:spacing w:before="50" w:after="165" w:afterLines="50"/>
        <w:jc w:val="left"/>
        <w:rPr>
          <w:rFonts w:ascii="宋体" w:hAnsi="宋体" w:cs="宋体"/>
          <w:color w:val="auto"/>
          <w:sz w:val="24"/>
          <w:szCs w:val="20"/>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6E7D316A">
      <w:pPr>
        <w:snapToGrid w:val="0"/>
        <w:spacing w:before="165" w:beforeLines="50" w:after="50"/>
        <w:ind w:left="142"/>
        <w:jc w:val="left"/>
        <w:rPr>
          <w:rFonts w:ascii="宋体" w:hAnsi="宋体" w:cs="宋体"/>
          <w:b/>
          <w:color w:val="auto"/>
          <w:sz w:val="28"/>
          <w:szCs w:val="28"/>
          <w:highlight w:val="none"/>
        </w:rPr>
      </w:pPr>
      <w:r>
        <w:rPr>
          <w:rFonts w:hint="eastAsia" w:ascii="宋体" w:hAnsi="宋体" w:cs="宋体"/>
          <w:b/>
          <w:color w:val="auto"/>
          <w:sz w:val="24"/>
          <w:highlight w:val="none"/>
        </w:rPr>
        <w:br w:type="page"/>
      </w:r>
      <w:r>
        <w:rPr>
          <w:rFonts w:hint="eastAsia" w:ascii="宋体" w:hAnsi="宋体" w:cs="宋体"/>
          <w:b/>
          <w:color w:val="auto"/>
          <w:sz w:val="28"/>
          <w:szCs w:val="28"/>
          <w:highlight w:val="none"/>
        </w:rPr>
        <w:t>第五节、其他文书、文件格式</w:t>
      </w:r>
    </w:p>
    <w:p w14:paraId="58EEF4B0">
      <w:pPr>
        <w:spacing w:line="360" w:lineRule="auto"/>
        <w:jc w:val="center"/>
        <w:rPr>
          <w:rFonts w:ascii="宋体" w:hAnsi="宋体" w:cs="宋体"/>
          <w:b/>
          <w:color w:val="auto"/>
          <w:sz w:val="24"/>
          <w:highlight w:val="none"/>
        </w:rPr>
      </w:pPr>
    </w:p>
    <w:p w14:paraId="5829AB44">
      <w:pPr>
        <w:spacing w:line="360" w:lineRule="auto"/>
        <w:jc w:val="center"/>
        <w:rPr>
          <w:rFonts w:ascii="宋体" w:hAnsi="宋体" w:cs="宋体"/>
          <w:b/>
          <w:color w:val="auto"/>
          <w:sz w:val="24"/>
          <w:highlight w:val="none"/>
        </w:rPr>
      </w:pPr>
    </w:p>
    <w:p w14:paraId="03AE3D5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知识产权合规性声明</w:t>
      </w:r>
    </w:p>
    <w:p w14:paraId="3A88F1CC">
      <w:pPr>
        <w:spacing w:line="360" w:lineRule="auto"/>
        <w:rPr>
          <w:rFonts w:ascii="宋体" w:hAnsi="宋体" w:cs="宋体"/>
          <w:color w:val="auto"/>
          <w:szCs w:val="21"/>
          <w:highlight w:val="none"/>
          <w:lang w:val="en"/>
        </w:rPr>
      </w:pPr>
    </w:p>
    <w:p w14:paraId="71B4E193">
      <w:pPr>
        <w:spacing w:line="360" w:lineRule="auto"/>
        <w:ind w:firstLine="420" w:firstLineChars="200"/>
        <w:rPr>
          <w:rFonts w:ascii="宋体" w:hAnsi="宋体" w:cs="宋体"/>
          <w:color w:val="auto"/>
          <w:szCs w:val="21"/>
          <w:highlight w:val="none"/>
          <w:lang w:val="en"/>
        </w:rPr>
      </w:pPr>
      <w:r>
        <w:rPr>
          <w:rFonts w:hint="eastAsia" w:ascii="宋体" w:hAnsi="宋体" w:cs="宋体"/>
          <w:color w:val="auto"/>
          <w:szCs w:val="21"/>
          <w:highlight w:val="none"/>
          <w:lang w:val="en"/>
        </w:rPr>
        <w:t>企业自愿参与政府投资政府采购的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lang w:val="en"/>
        </w:rPr>
        <w:t>项目，</w:t>
      </w:r>
      <w:r>
        <w:rPr>
          <w:rFonts w:hint="eastAsia" w:ascii="宋体" w:hAnsi="宋体" w:cs="宋体"/>
          <w:b/>
          <w:bCs/>
          <w:color w:val="auto"/>
          <w:szCs w:val="21"/>
          <w:highlight w:val="none"/>
          <w:lang w:val="en"/>
        </w:rPr>
        <w:t>在此郑重承诺：</w:t>
      </w:r>
      <w:r>
        <w:rPr>
          <w:rFonts w:hint="eastAsia" w:ascii="宋体" w:hAnsi="宋体" w:cs="宋体"/>
          <w:color w:val="auto"/>
          <w:szCs w:val="21"/>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412C74C6">
      <w:pPr>
        <w:snapToGrid w:val="0"/>
        <w:spacing w:line="360" w:lineRule="auto"/>
        <w:ind w:left="5385" w:leftChars="1736" w:hanging="1739" w:hangingChars="825"/>
        <w:rPr>
          <w:rFonts w:ascii="宋体" w:hAnsi="宋体" w:cs="宋体"/>
          <w:b/>
          <w:color w:val="auto"/>
          <w:szCs w:val="21"/>
          <w:highlight w:val="none"/>
        </w:rPr>
      </w:pPr>
      <w:r>
        <w:rPr>
          <w:rFonts w:hint="eastAsia" w:ascii="宋体" w:hAnsi="宋体" w:cs="宋体"/>
          <w:b/>
          <w:color w:val="auto"/>
          <w:szCs w:val="21"/>
          <w:highlight w:val="none"/>
        </w:rPr>
        <w:t xml:space="preserve">           </w:t>
      </w:r>
    </w:p>
    <w:p w14:paraId="14E16ED1">
      <w:pPr>
        <w:snapToGrid w:val="0"/>
        <w:spacing w:line="360" w:lineRule="auto"/>
        <w:ind w:left="5385" w:leftChars="1736" w:hanging="1739" w:hangingChars="825"/>
        <w:rPr>
          <w:rFonts w:ascii="宋体" w:hAnsi="宋体" w:cs="宋体"/>
          <w:b/>
          <w:color w:val="auto"/>
          <w:szCs w:val="21"/>
          <w:highlight w:val="none"/>
        </w:rPr>
      </w:pPr>
    </w:p>
    <w:p w14:paraId="6BBEEF2A">
      <w:pPr>
        <w:snapToGrid w:val="0"/>
        <w:spacing w:line="360" w:lineRule="auto"/>
        <w:ind w:left="5385" w:leftChars="1736" w:hanging="1739" w:hangingChars="825"/>
        <w:rPr>
          <w:rFonts w:ascii="宋体" w:hAnsi="宋体" w:cs="宋体"/>
          <w:b/>
          <w:color w:val="auto"/>
          <w:szCs w:val="21"/>
          <w:highlight w:val="none"/>
        </w:rPr>
      </w:pPr>
    </w:p>
    <w:p w14:paraId="618BCAAA">
      <w:pPr>
        <w:snapToGrid w:val="0"/>
        <w:spacing w:line="360" w:lineRule="auto"/>
        <w:ind w:firstLine="5040" w:firstLineChars="2100"/>
        <w:rPr>
          <w:rFonts w:ascii="宋体" w:hAnsi="宋体" w:cs="宋体"/>
          <w:color w:val="auto"/>
          <w:kern w:val="0"/>
          <w:sz w:val="24"/>
          <w:highlight w:val="none"/>
          <w:lang w:val="zh-CN"/>
        </w:rPr>
      </w:pPr>
    </w:p>
    <w:p w14:paraId="100AE81D">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投标人名称(电子签章)：</w:t>
      </w:r>
    </w:p>
    <w:p w14:paraId="2B309696">
      <w:pPr>
        <w:snapToGrid w:val="0"/>
        <w:spacing w:before="165" w:beforeLines="50" w:after="50"/>
        <w:ind w:left="142" w:firstLine="5520" w:firstLineChars="2300"/>
        <w:jc w:val="left"/>
        <w:rPr>
          <w:rFonts w:ascii="宋体" w:hAnsi="宋体" w:cs="宋体"/>
          <w:b/>
          <w:color w:val="auto"/>
          <w:sz w:val="24"/>
          <w:highlight w:val="none"/>
        </w:rPr>
      </w:pPr>
      <w:r>
        <w:rPr>
          <w:rFonts w:hint="eastAsia" w:ascii="宋体" w:hAnsi="宋体" w:cs="宋体"/>
          <w:color w:val="auto"/>
          <w:kern w:val="0"/>
          <w:sz w:val="24"/>
          <w:highlight w:val="none"/>
          <w:lang w:val="zh-CN"/>
        </w:rPr>
        <w:t>日期：  年  月  日</w:t>
      </w:r>
    </w:p>
    <w:p w14:paraId="20C3866F">
      <w:pPr>
        <w:pStyle w:val="2"/>
        <w:rPr>
          <w:rFonts w:ascii="宋体" w:hAnsi="宋体" w:cs="宋体"/>
          <w:color w:val="auto"/>
          <w:highlight w:val="none"/>
        </w:rPr>
      </w:pPr>
      <w:r>
        <w:rPr>
          <w:rFonts w:hint="eastAsia" w:ascii="宋体" w:hAnsi="宋体" w:cs="宋体"/>
          <w:color w:val="auto"/>
          <w:sz w:val="32"/>
          <w:szCs w:val="32"/>
          <w:highlight w:val="none"/>
        </w:rPr>
        <w:br w:type="page"/>
      </w:r>
      <w:bookmarkStart w:id="180" w:name="_Toc111477484"/>
      <w:bookmarkStart w:id="181" w:name="_Toc5987"/>
      <w:bookmarkStart w:id="182" w:name="_Toc11572"/>
      <w:r>
        <w:rPr>
          <w:rFonts w:hint="eastAsia" w:ascii="宋体" w:hAnsi="宋体" w:cs="宋体"/>
          <w:color w:val="auto"/>
          <w:highlight w:val="none"/>
        </w:rPr>
        <w:t>第七章 质疑、投诉证明材料格式</w:t>
      </w:r>
      <w:bookmarkEnd w:id="180"/>
      <w:bookmarkEnd w:id="181"/>
      <w:bookmarkEnd w:id="182"/>
    </w:p>
    <w:p w14:paraId="6A5B205C">
      <w:pPr>
        <w:pStyle w:val="3"/>
        <w:jc w:val="center"/>
        <w:rPr>
          <w:rFonts w:ascii="宋体" w:hAnsi="宋体" w:eastAsia="宋体" w:cs="宋体"/>
          <w:b w:val="0"/>
          <w:bCs w:val="0"/>
          <w:color w:val="auto"/>
          <w:highlight w:val="none"/>
        </w:rPr>
      </w:pPr>
      <w:bookmarkStart w:id="183" w:name="_Toc24405"/>
      <w:bookmarkStart w:id="184" w:name="_Toc18960"/>
      <w:bookmarkStart w:id="185" w:name="_Toc111477485"/>
      <w:r>
        <w:rPr>
          <w:rFonts w:hint="eastAsia" w:ascii="宋体" w:hAnsi="宋体" w:eastAsia="宋体" w:cs="宋体"/>
          <w:b w:val="0"/>
          <w:bCs w:val="0"/>
          <w:color w:val="auto"/>
          <w:highlight w:val="none"/>
        </w:rPr>
        <w:t>第一节 质疑函（格式）</w:t>
      </w:r>
      <w:bookmarkEnd w:id="183"/>
      <w:bookmarkEnd w:id="184"/>
      <w:bookmarkEnd w:id="185"/>
    </w:p>
    <w:p w14:paraId="2CFFC37D">
      <w:pPr>
        <w:jc w:val="center"/>
        <w:rPr>
          <w:rFonts w:ascii="宋体" w:hAnsi="宋体" w:cs="宋体"/>
          <w:b/>
          <w:bCs/>
          <w:color w:val="auto"/>
          <w:szCs w:val="21"/>
          <w:highlight w:val="none"/>
        </w:rPr>
      </w:pPr>
      <w:r>
        <w:rPr>
          <w:rFonts w:hint="eastAsia" w:ascii="宋体" w:hAnsi="宋体" w:cs="宋体"/>
          <w:b/>
          <w:bCs/>
          <w:color w:val="auto"/>
          <w:szCs w:val="21"/>
          <w:highlight w:val="none"/>
        </w:rPr>
        <w:t>质疑函范本</w:t>
      </w:r>
    </w:p>
    <w:p w14:paraId="3B87BFA0">
      <w:pPr>
        <w:adjustRightInd w:val="0"/>
        <w:snapToGrid w:val="0"/>
        <w:spacing w:before="331" w:beforeLines="100"/>
        <w:rPr>
          <w:rFonts w:ascii="宋体" w:hAnsi="宋体" w:cs="宋体"/>
          <w:bCs/>
          <w:color w:val="auto"/>
          <w:szCs w:val="21"/>
          <w:highlight w:val="none"/>
        </w:rPr>
      </w:pPr>
      <w:r>
        <w:rPr>
          <w:rFonts w:hint="eastAsia" w:ascii="宋体" w:hAnsi="宋体" w:cs="宋体"/>
          <w:bCs/>
          <w:color w:val="auto"/>
          <w:szCs w:val="21"/>
          <w:highlight w:val="none"/>
        </w:rPr>
        <w:t>一、质疑供应商基本信息</w:t>
      </w:r>
    </w:p>
    <w:p w14:paraId="5C2B416F">
      <w:pPr>
        <w:adjustRightInd w:val="0"/>
        <w:snapToGrid w:val="0"/>
        <w:rPr>
          <w:rFonts w:ascii="宋体" w:hAnsi="宋体" w:cs="宋体"/>
          <w:color w:val="auto"/>
          <w:szCs w:val="21"/>
          <w:highlight w:val="none"/>
          <w:u w:val="dotted"/>
        </w:rPr>
      </w:pPr>
      <w:r>
        <w:rPr>
          <w:rFonts w:hint="eastAsia" w:ascii="宋体" w:hAnsi="宋体" w:cs="宋体"/>
          <w:color w:val="auto"/>
          <w:szCs w:val="21"/>
          <w:highlight w:val="none"/>
        </w:rPr>
        <w:t>质疑供应商：</w:t>
      </w:r>
      <w:r>
        <w:rPr>
          <w:rFonts w:hint="eastAsia" w:ascii="宋体" w:hAnsi="宋体" w:cs="宋体"/>
          <w:color w:val="auto"/>
          <w:szCs w:val="21"/>
          <w:highlight w:val="none"/>
          <w:u w:val="dotted"/>
        </w:rPr>
        <w:t xml:space="preserve">                                        </w:t>
      </w:r>
    </w:p>
    <w:p w14:paraId="25D0B53A">
      <w:pPr>
        <w:adjustRightInd w:val="0"/>
        <w:snapToGrid w:val="0"/>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dotted"/>
        </w:rPr>
        <w:t xml:space="preserve">                                    </w:t>
      </w:r>
    </w:p>
    <w:p w14:paraId="1B2A7192">
      <w:pPr>
        <w:adjustRightInd w:val="0"/>
        <w:snapToGrid w:val="0"/>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联系电话：</w:t>
      </w:r>
      <w:r>
        <w:rPr>
          <w:rFonts w:hint="eastAsia" w:ascii="宋体" w:hAnsi="宋体" w:cs="宋体"/>
          <w:color w:val="auto"/>
          <w:szCs w:val="21"/>
          <w:highlight w:val="none"/>
          <w:u w:val="dotted"/>
        </w:rPr>
        <w:t xml:space="preserve">                              </w:t>
      </w:r>
    </w:p>
    <w:p w14:paraId="26112FF0">
      <w:pPr>
        <w:adjustRightInd w:val="0"/>
        <w:snapToGrid w:val="0"/>
        <w:rPr>
          <w:rFonts w:ascii="宋体" w:hAnsi="宋体" w:cs="宋体"/>
          <w:color w:val="auto"/>
          <w:szCs w:val="21"/>
          <w:highlight w:val="none"/>
          <w:u w:val="dotted"/>
        </w:rPr>
      </w:pPr>
      <w:r>
        <w:rPr>
          <w:rFonts w:hint="eastAsia" w:ascii="宋体" w:hAnsi="宋体" w:cs="宋体"/>
          <w:color w:val="auto"/>
          <w:szCs w:val="21"/>
          <w:highlight w:val="none"/>
        </w:rPr>
        <w:t>授权代表：</w:t>
      </w:r>
      <w:r>
        <w:rPr>
          <w:rFonts w:hint="eastAsia" w:ascii="宋体" w:hAnsi="宋体" w:cs="宋体"/>
          <w:color w:val="auto"/>
          <w:szCs w:val="21"/>
          <w:highlight w:val="none"/>
          <w:u w:val="dotted"/>
        </w:rPr>
        <w:t xml:space="preserve">                                          </w:t>
      </w:r>
    </w:p>
    <w:p w14:paraId="5B5459CC">
      <w:pPr>
        <w:adjustRightInd w:val="0"/>
        <w:snapToGrid w:val="0"/>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 xml:space="preserve"> </w:t>
      </w:r>
    </w:p>
    <w:p w14:paraId="6E71BFDF">
      <w:pPr>
        <w:adjustRightInd w:val="0"/>
        <w:snapToGrid w:val="0"/>
        <w:rPr>
          <w:rFonts w:ascii="宋体" w:hAnsi="宋体" w:cs="宋体"/>
          <w:color w:val="auto"/>
          <w:szCs w:val="21"/>
          <w:highlight w:val="none"/>
        </w:rPr>
      </w:pPr>
      <w:r>
        <w:rPr>
          <w:rFonts w:hint="eastAsia" w:ascii="宋体" w:hAnsi="宋体" w:cs="宋体"/>
          <w:color w:val="auto"/>
          <w:szCs w:val="21"/>
          <w:highlight w:val="none"/>
        </w:rPr>
        <w:t xml:space="preserve">地址： </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dotted"/>
        </w:rPr>
        <w:t xml:space="preserve">                                     </w:t>
      </w:r>
    </w:p>
    <w:p w14:paraId="2A94F680">
      <w:pPr>
        <w:adjustRightInd w:val="0"/>
        <w:snapToGrid w:val="0"/>
        <w:rPr>
          <w:rFonts w:ascii="宋体" w:hAnsi="宋体" w:cs="宋体"/>
          <w:bCs/>
          <w:color w:val="auto"/>
          <w:szCs w:val="21"/>
          <w:highlight w:val="none"/>
        </w:rPr>
      </w:pPr>
      <w:r>
        <w:rPr>
          <w:rFonts w:hint="eastAsia" w:ascii="宋体" w:hAnsi="宋体" w:cs="宋体"/>
          <w:bCs/>
          <w:color w:val="auto"/>
          <w:szCs w:val="21"/>
          <w:highlight w:val="none"/>
        </w:rPr>
        <w:t>二、质疑项目基本情况</w:t>
      </w:r>
    </w:p>
    <w:p w14:paraId="05C80099">
      <w:pPr>
        <w:adjustRightInd w:val="0"/>
        <w:snapToGrid w:val="0"/>
        <w:rPr>
          <w:rFonts w:ascii="宋体" w:hAnsi="宋体" w:cs="宋体"/>
          <w:color w:val="auto"/>
          <w:szCs w:val="21"/>
          <w:highlight w:val="none"/>
        </w:rPr>
      </w:pPr>
      <w:r>
        <w:rPr>
          <w:rFonts w:hint="eastAsia" w:ascii="宋体" w:hAnsi="宋体" w:cs="宋体"/>
          <w:color w:val="auto"/>
          <w:szCs w:val="21"/>
          <w:highlight w:val="none"/>
        </w:rPr>
        <w:t>质疑项目的名称：</w:t>
      </w:r>
      <w:r>
        <w:rPr>
          <w:rFonts w:hint="eastAsia" w:ascii="宋体" w:hAnsi="宋体" w:cs="宋体"/>
          <w:color w:val="auto"/>
          <w:szCs w:val="21"/>
          <w:highlight w:val="none"/>
          <w:u w:val="dotted"/>
        </w:rPr>
        <w:t xml:space="preserve">          </w:t>
      </w:r>
    </w:p>
    <w:p w14:paraId="0C8B84C2">
      <w:pPr>
        <w:adjustRightInd w:val="0"/>
        <w:snapToGrid w:val="0"/>
        <w:rPr>
          <w:rFonts w:ascii="宋体" w:hAnsi="宋体" w:cs="宋体"/>
          <w:color w:val="auto"/>
          <w:szCs w:val="21"/>
          <w:highlight w:val="none"/>
        </w:rPr>
      </w:pPr>
      <w:r>
        <w:rPr>
          <w:rFonts w:hint="eastAsia" w:ascii="宋体" w:hAnsi="宋体" w:cs="宋体"/>
          <w:color w:val="auto"/>
          <w:szCs w:val="21"/>
          <w:highlight w:val="none"/>
        </w:rPr>
        <w:t>质疑项目的编号：</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包号：</w:t>
      </w:r>
      <w:r>
        <w:rPr>
          <w:rFonts w:hint="eastAsia" w:ascii="宋体" w:hAnsi="宋体" w:cs="宋体"/>
          <w:color w:val="auto"/>
          <w:szCs w:val="21"/>
          <w:highlight w:val="none"/>
          <w:u w:val="dotted"/>
        </w:rPr>
        <w:t xml:space="preserve">                 </w:t>
      </w:r>
    </w:p>
    <w:p w14:paraId="768D161D">
      <w:pPr>
        <w:adjustRightInd w:val="0"/>
        <w:snapToGrid w:val="0"/>
        <w:rPr>
          <w:rFonts w:ascii="宋体" w:hAnsi="宋体" w:cs="宋体"/>
          <w:color w:val="auto"/>
          <w:szCs w:val="21"/>
          <w:highlight w:val="none"/>
          <w:u w:val="dotted"/>
        </w:rPr>
      </w:pPr>
      <w:r>
        <w:rPr>
          <w:rFonts w:hint="eastAsia" w:ascii="宋体" w:hAnsi="宋体" w:cs="宋体"/>
          <w:color w:val="auto"/>
          <w:szCs w:val="21"/>
          <w:highlight w:val="none"/>
        </w:rPr>
        <w:t>采购人名称：</w:t>
      </w:r>
      <w:r>
        <w:rPr>
          <w:rFonts w:hint="eastAsia" w:ascii="宋体" w:hAnsi="宋体" w:cs="宋体"/>
          <w:color w:val="auto"/>
          <w:szCs w:val="21"/>
          <w:highlight w:val="none"/>
          <w:u w:val="dotted"/>
        </w:rPr>
        <w:t xml:space="preserve">                     </w:t>
      </w:r>
    </w:p>
    <w:p w14:paraId="1F122A8B">
      <w:pPr>
        <w:adjustRightInd w:val="0"/>
        <w:snapToGrid w:val="0"/>
        <w:rPr>
          <w:rFonts w:ascii="宋体" w:hAnsi="宋体" w:cs="宋体"/>
          <w:color w:val="auto"/>
          <w:szCs w:val="21"/>
          <w:highlight w:val="none"/>
        </w:rPr>
      </w:pPr>
      <w:r>
        <w:rPr>
          <w:rFonts w:hint="eastAsia" w:ascii="宋体" w:hAnsi="宋体" w:cs="宋体"/>
          <w:color w:val="auto"/>
          <w:szCs w:val="21"/>
          <w:highlight w:val="none"/>
        </w:rPr>
        <w:t>采购文件获取日期：</w:t>
      </w:r>
      <w:r>
        <w:rPr>
          <w:rFonts w:hint="eastAsia" w:ascii="宋体" w:hAnsi="宋体" w:cs="宋体"/>
          <w:color w:val="auto"/>
          <w:szCs w:val="21"/>
          <w:highlight w:val="none"/>
          <w:u w:val="dotted"/>
        </w:rPr>
        <w:t xml:space="preserve">                                           </w:t>
      </w:r>
    </w:p>
    <w:p w14:paraId="146BED7D">
      <w:pPr>
        <w:adjustRightInd w:val="0"/>
        <w:snapToGrid w:val="0"/>
        <w:rPr>
          <w:rFonts w:ascii="宋体" w:hAnsi="宋体" w:cs="宋体"/>
          <w:bCs/>
          <w:color w:val="auto"/>
          <w:szCs w:val="21"/>
          <w:highlight w:val="none"/>
        </w:rPr>
      </w:pPr>
      <w:r>
        <w:rPr>
          <w:rFonts w:hint="eastAsia" w:ascii="宋体" w:hAnsi="宋体" w:cs="宋体"/>
          <w:bCs/>
          <w:color w:val="auto"/>
          <w:szCs w:val="21"/>
          <w:highlight w:val="none"/>
        </w:rPr>
        <w:t>三、质疑事项具体内容</w:t>
      </w:r>
    </w:p>
    <w:p w14:paraId="680E9A85">
      <w:pPr>
        <w:adjustRightInd w:val="0"/>
        <w:snapToGrid w:val="0"/>
        <w:rPr>
          <w:rFonts w:ascii="宋体" w:hAnsi="宋体" w:cs="宋体"/>
          <w:color w:val="auto"/>
          <w:szCs w:val="21"/>
          <w:highlight w:val="none"/>
          <w:u w:val="dotted"/>
        </w:rPr>
      </w:pPr>
      <w:r>
        <w:rPr>
          <w:rFonts w:hint="eastAsia" w:ascii="宋体" w:hAnsi="宋体" w:cs="宋体"/>
          <w:color w:val="auto"/>
          <w:szCs w:val="21"/>
          <w:highlight w:val="none"/>
        </w:rPr>
        <w:t>质疑事项1：</w:t>
      </w:r>
      <w:r>
        <w:rPr>
          <w:rFonts w:hint="eastAsia" w:ascii="宋体" w:hAnsi="宋体" w:cs="宋体"/>
          <w:color w:val="auto"/>
          <w:szCs w:val="21"/>
          <w:highlight w:val="none"/>
          <w:u w:val="dotted"/>
        </w:rPr>
        <w:t xml:space="preserve">                                         </w:t>
      </w:r>
    </w:p>
    <w:p w14:paraId="1F16D34F">
      <w:pPr>
        <w:adjustRightInd w:val="0"/>
        <w:snapToGrid w:val="0"/>
        <w:rPr>
          <w:rFonts w:ascii="宋体" w:hAnsi="宋体" w:cs="宋体"/>
          <w:color w:val="auto"/>
          <w:szCs w:val="21"/>
          <w:highlight w:val="none"/>
          <w:u w:val="dotted"/>
        </w:rPr>
      </w:pPr>
      <w:r>
        <w:rPr>
          <w:rFonts w:hint="eastAsia" w:ascii="宋体" w:hAnsi="宋体" w:cs="宋体"/>
          <w:color w:val="auto"/>
          <w:szCs w:val="21"/>
          <w:highlight w:val="none"/>
        </w:rPr>
        <w:t>事实依据：</w:t>
      </w:r>
      <w:r>
        <w:rPr>
          <w:rFonts w:hint="eastAsia" w:ascii="宋体" w:hAnsi="宋体" w:cs="宋体"/>
          <w:color w:val="auto"/>
          <w:szCs w:val="21"/>
          <w:highlight w:val="none"/>
          <w:u w:val="dotted"/>
        </w:rPr>
        <w:t xml:space="preserve">                                          </w:t>
      </w:r>
    </w:p>
    <w:p w14:paraId="5CC8345D">
      <w:pPr>
        <w:adjustRightInd w:val="0"/>
        <w:snapToGrid w:val="0"/>
        <w:rPr>
          <w:rFonts w:ascii="宋体" w:hAnsi="宋体" w:cs="宋体"/>
          <w:color w:val="auto"/>
          <w:szCs w:val="21"/>
          <w:highlight w:val="none"/>
        </w:rPr>
      </w:pPr>
      <w:r>
        <w:rPr>
          <w:rFonts w:hint="eastAsia" w:ascii="宋体" w:hAnsi="宋体" w:cs="宋体"/>
          <w:color w:val="auto"/>
          <w:szCs w:val="21"/>
          <w:highlight w:val="none"/>
          <w:u w:val="dotted"/>
        </w:rPr>
        <w:t xml:space="preserve">                                                       </w:t>
      </w:r>
    </w:p>
    <w:p w14:paraId="49D230E1">
      <w:pPr>
        <w:adjustRightInd w:val="0"/>
        <w:snapToGrid w:val="0"/>
        <w:rPr>
          <w:rFonts w:ascii="宋体" w:hAnsi="宋体" w:cs="宋体"/>
          <w:color w:val="auto"/>
          <w:szCs w:val="21"/>
          <w:highlight w:val="none"/>
          <w:u w:val="dotted"/>
        </w:rPr>
      </w:pPr>
      <w:r>
        <w:rPr>
          <w:rFonts w:hint="eastAsia" w:ascii="宋体" w:hAnsi="宋体" w:cs="宋体"/>
          <w:color w:val="auto"/>
          <w:szCs w:val="21"/>
          <w:highlight w:val="none"/>
        </w:rPr>
        <w:t>法律依据：</w:t>
      </w:r>
      <w:r>
        <w:rPr>
          <w:rFonts w:hint="eastAsia" w:ascii="宋体" w:hAnsi="宋体" w:cs="宋体"/>
          <w:color w:val="auto"/>
          <w:szCs w:val="21"/>
          <w:highlight w:val="none"/>
          <w:u w:val="dotted"/>
        </w:rPr>
        <w:t xml:space="preserve">                                          </w:t>
      </w:r>
    </w:p>
    <w:p w14:paraId="7EADA929">
      <w:pPr>
        <w:adjustRightInd w:val="0"/>
        <w:snapToGrid w:val="0"/>
        <w:rPr>
          <w:rFonts w:ascii="宋体" w:hAnsi="宋体" w:cs="宋体"/>
          <w:color w:val="auto"/>
          <w:szCs w:val="21"/>
          <w:highlight w:val="none"/>
          <w:u w:val="dotted"/>
        </w:rPr>
      </w:pPr>
      <w:r>
        <w:rPr>
          <w:rFonts w:hint="eastAsia" w:ascii="宋体" w:hAnsi="宋体" w:cs="宋体"/>
          <w:color w:val="auto"/>
          <w:szCs w:val="21"/>
          <w:highlight w:val="none"/>
          <w:u w:val="dotted"/>
        </w:rPr>
        <w:t xml:space="preserve">                                                     </w:t>
      </w:r>
    </w:p>
    <w:p w14:paraId="02CE7BCC">
      <w:pPr>
        <w:adjustRightInd w:val="0"/>
        <w:snapToGrid w:val="0"/>
        <w:rPr>
          <w:rFonts w:ascii="宋体" w:hAnsi="宋体" w:cs="宋体"/>
          <w:color w:val="auto"/>
          <w:szCs w:val="21"/>
          <w:highlight w:val="none"/>
          <w:u w:val="dotted"/>
        </w:rPr>
      </w:pPr>
      <w:r>
        <w:rPr>
          <w:rFonts w:hint="eastAsia" w:ascii="宋体" w:hAnsi="宋体" w:cs="宋体"/>
          <w:color w:val="auto"/>
          <w:szCs w:val="21"/>
          <w:highlight w:val="none"/>
        </w:rPr>
        <w:t>质疑事项2</w:t>
      </w:r>
    </w:p>
    <w:p w14:paraId="257FA486">
      <w:pPr>
        <w:adjustRightInd w:val="0"/>
        <w:snapToGrid w:val="0"/>
        <w:rPr>
          <w:rFonts w:ascii="宋体" w:hAnsi="宋体" w:cs="宋体"/>
          <w:color w:val="auto"/>
          <w:szCs w:val="21"/>
          <w:highlight w:val="none"/>
        </w:rPr>
      </w:pPr>
      <w:r>
        <w:rPr>
          <w:rFonts w:hint="eastAsia" w:ascii="宋体" w:hAnsi="宋体" w:cs="宋体"/>
          <w:color w:val="auto"/>
          <w:szCs w:val="21"/>
          <w:highlight w:val="none"/>
        </w:rPr>
        <w:t>……</w:t>
      </w:r>
    </w:p>
    <w:p w14:paraId="1DBE9F3F">
      <w:pPr>
        <w:adjustRightInd w:val="0"/>
        <w:snapToGrid w:val="0"/>
        <w:rPr>
          <w:rFonts w:ascii="宋体" w:hAnsi="宋体" w:cs="宋体"/>
          <w:bCs/>
          <w:color w:val="auto"/>
          <w:szCs w:val="21"/>
          <w:highlight w:val="none"/>
        </w:rPr>
      </w:pPr>
      <w:r>
        <w:rPr>
          <w:rFonts w:hint="eastAsia" w:ascii="宋体" w:hAnsi="宋体" w:cs="宋体"/>
          <w:bCs/>
          <w:color w:val="auto"/>
          <w:szCs w:val="21"/>
          <w:highlight w:val="none"/>
        </w:rPr>
        <w:t>四、与质疑事项相关的质疑请求</w:t>
      </w:r>
    </w:p>
    <w:p w14:paraId="03F89747">
      <w:pPr>
        <w:adjustRightInd w:val="0"/>
        <w:snapToGrid w:val="0"/>
        <w:rPr>
          <w:rFonts w:ascii="宋体" w:hAnsi="宋体" w:cs="宋体"/>
          <w:color w:val="auto"/>
          <w:szCs w:val="21"/>
          <w:highlight w:val="none"/>
          <w:u w:val="dotted"/>
        </w:rPr>
      </w:pPr>
      <w:r>
        <w:rPr>
          <w:rFonts w:hint="eastAsia" w:ascii="宋体" w:hAnsi="宋体" w:cs="宋体"/>
          <w:color w:val="auto"/>
          <w:szCs w:val="21"/>
          <w:highlight w:val="none"/>
        </w:rPr>
        <w:t>请求：</w:t>
      </w:r>
      <w:r>
        <w:rPr>
          <w:rFonts w:hint="eastAsia" w:ascii="宋体" w:hAnsi="宋体" w:cs="宋体"/>
          <w:color w:val="auto"/>
          <w:szCs w:val="21"/>
          <w:highlight w:val="none"/>
          <w:u w:val="dotted"/>
        </w:rPr>
        <w:t xml:space="preserve">                                               </w:t>
      </w:r>
    </w:p>
    <w:p w14:paraId="05B8D3F0">
      <w:pPr>
        <w:rPr>
          <w:rFonts w:ascii="宋体" w:hAnsi="宋体" w:cs="宋体"/>
          <w:color w:val="auto"/>
          <w:szCs w:val="21"/>
          <w:highlight w:val="none"/>
        </w:rPr>
      </w:pPr>
      <w:r>
        <w:rPr>
          <w:rFonts w:hint="eastAsia" w:ascii="宋体" w:hAnsi="宋体" w:cs="宋体"/>
          <w:color w:val="auto"/>
          <w:szCs w:val="21"/>
          <w:highlight w:val="none"/>
        </w:rPr>
        <w:t xml:space="preserve">签字(签章)：                   公章：                      </w:t>
      </w:r>
    </w:p>
    <w:p w14:paraId="595523CB">
      <w:pPr>
        <w:rPr>
          <w:rFonts w:ascii="宋体" w:hAnsi="宋体" w:cs="宋体"/>
          <w:color w:val="auto"/>
          <w:szCs w:val="21"/>
          <w:highlight w:val="none"/>
        </w:rPr>
      </w:pPr>
      <w:r>
        <w:rPr>
          <w:rFonts w:hint="eastAsia" w:ascii="宋体" w:hAnsi="宋体" w:cs="宋体"/>
          <w:color w:val="auto"/>
          <w:szCs w:val="21"/>
          <w:highlight w:val="none"/>
        </w:rPr>
        <w:t xml:space="preserve">日期：    </w:t>
      </w:r>
    </w:p>
    <w:p w14:paraId="0257E56D">
      <w:pPr>
        <w:adjustRightInd w:val="0"/>
        <w:snapToGrid w:val="0"/>
        <w:rPr>
          <w:rFonts w:ascii="宋体" w:hAnsi="宋体" w:cs="宋体"/>
          <w:color w:val="auto"/>
          <w:szCs w:val="21"/>
          <w:highlight w:val="none"/>
        </w:rPr>
      </w:pPr>
    </w:p>
    <w:p w14:paraId="7179DF10">
      <w:pPr>
        <w:adjustRightInd w:val="0"/>
        <w:snapToGrid w:val="0"/>
        <w:rPr>
          <w:rFonts w:ascii="宋体" w:hAnsi="宋体" w:cs="宋体"/>
          <w:color w:val="auto"/>
          <w:szCs w:val="21"/>
          <w:highlight w:val="none"/>
        </w:rPr>
      </w:pPr>
    </w:p>
    <w:p w14:paraId="6F201A19">
      <w:pPr>
        <w:rPr>
          <w:rFonts w:ascii="宋体" w:hAnsi="宋体" w:cs="宋体"/>
          <w:b/>
          <w:color w:val="auto"/>
          <w:szCs w:val="21"/>
          <w:highlight w:val="none"/>
        </w:rPr>
      </w:pPr>
      <w:r>
        <w:rPr>
          <w:rFonts w:hint="eastAsia" w:ascii="宋体" w:hAnsi="宋体" w:cs="宋体"/>
          <w:b/>
          <w:color w:val="auto"/>
          <w:szCs w:val="21"/>
          <w:highlight w:val="none"/>
        </w:rPr>
        <w:t>质疑函制作说明：</w:t>
      </w:r>
    </w:p>
    <w:p w14:paraId="483D2472">
      <w:pPr>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1.供应商提出质疑时，应提交质疑函和必要的证明材料。</w:t>
      </w:r>
    </w:p>
    <w:p w14:paraId="060402C5">
      <w:pPr>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2.质疑供应商若委托代理人进行质疑的，质疑函应按要求列明“授权代表”的有关内容，并在附件中提交由质疑</w:t>
      </w:r>
      <w:r>
        <w:rPr>
          <w:rFonts w:hint="eastAsia" w:ascii="宋体" w:hAnsi="宋体" w:cs="宋体"/>
          <w:color w:val="auto"/>
          <w:kern w:val="0"/>
          <w:szCs w:val="21"/>
          <w:highlight w:val="none"/>
        </w:rPr>
        <w:t>供应商签署的授权委托书。授权委托书应载明代理人的姓名或者名称、代理事项、具体权限、期限和相关事项。</w:t>
      </w:r>
    </w:p>
    <w:p w14:paraId="7EE5A611">
      <w:pPr>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3.质疑供应商若对项目的某一分包进行质疑，质疑函中应列明具体分包号。</w:t>
      </w:r>
    </w:p>
    <w:p w14:paraId="7D3CC005">
      <w:pPr>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4.质疑函的质疑事项应具体、明确，并有必要的事实依据和法律依据。</w:t>
      </w:r>
    </w:p>
    <w:p w14:paraId="52AE1633">
      <w:pPr>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5.质疑函的质疑请求应与质疑事项相关。</w:t>
      </w:r>
    </w:p>
    <w:p w14:paraId="67F1D7BF">
      <w:pPr>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6.质疑供应商为自然人的，质疑函应由本人签字；质疑供应商为法人或者其他组织的，质疑函应由法定代表人、主要负责人，或者其授权代表签字或者盖章，并加盖公章。</w:t>
      </w:r>
    </w:p>
    <w:p w14:paraId="160C0A07">
      <w:pPr>
        <w:widowControl/>
        <w:ind w:firstLine="420" w:firstLineChars="200"/>
        <w:jc w:val="left"/>
        <w:rPr>
          <w:rFonts w:ascii="宋体" w:hAnsi="宋体" w:cs="宋体"/>
          <w:color w:val="auto"/>
          <w:szCs w:val="21"/>
          <w:highlight w:val="none"/>
        </w:rPr>
      </w:pPr>
    </w:p>
    <w:p w14:paraId="7604456E">
      <w:pPr>
        <w:widowControl/>
        <w:spacing w:line="360" w:lineRule="auto"/>
        <w:jc w:val="left"/>
        <w:rPr>
          <w:rFonts w:ascii="宋体" w:hAnsi="宋体" w:cs="宋体"/>
          <w:color w:val="auto"/>
          <w:kern w:val="0"/>
          <w:sz w:val="24"/>
          <w:highlight w:val="none"/>
        </w:rPr>
        <w:sectPr>
          <w:footerReference r:id="rId12" w:type="default"/>
          <w:pgSz w:w="11906" w:h="16838"/>
          <w:pgMar w:top="1134" w:right="1134" w:bottom="1134" w:left="1134" w:header="720" w:footer="720" w:gutter="0"/>
          <w:cols w:space="720" w:num="1"/>
          <w:docGrid w:type="lines" w:linePitch="331" w:charSpace="0"/>
        </w:sectPr>
      </w:pPr>
    </w:p>
    <w:p w14:paraId="5E66BFCB">
      <w:pPr>
        <w:pStyle w:val="3"/>
        <w:jc w:val="center"/>
        <w:rPr>
          <w:rFonts w:ascii="宋体" w:hAnsi="宋体" w:eastAsia="宋体" w:cs="宋体"/>
          <w:b w:val="0"/>
          <w:bCs w:val="0"/>
          <w:color w:val="auto"/>
          <w:sz w:val="24"/>
          <w:szCs w:val="24"/>
          <w:highlight w:val="none"/>
        </w:rPr>
      </w:pPr>
      <w:bookmarkStart w:id="186" w:name="_Toc20887"/>
      <w:bookmarkStart w:id="187" w:name="_Toc24144"/>
      <w:bookmarkStart w:id="188" w:name="_Toc111477486"/>
      <w:r>
        <w:rPr>
          <w:rFonts w:hint="eastAsia" w:ascii="宋体" w:hAnsi="宋体" w:eastAsia="宋体" w:cs="宋体"/>
          <w:b w:val="0"/>
          <w:bCs w:val="0"/>
          <w:color w:val="auto"/>
          <w:sz w:val="24"/>
          <w:szCs w:val="24"/>
          <w:highlight w:val="none"/>
        </w:rPr>
        <w:t>第二节 投诉书（格式）</w:t>
      </w:r>
      <w:bookmarkEnd w:id="186"/>
      <w:bookmarkEnd w:id="187"/>
      <w:bookmarkEnd w:id="188"/>
    </w:p>
    <w:p w14:paraId="25BB970A">
      <w:pPr>
        <w:jc w:val="center"/>
        <w:rPr>
          <w:rFonts w:ascii="宋体" w:hAnsi="宋体" w:cs="宋体"/>
          <w:b/>
          <w:color w:val="auto"/>
          <w:szCs w:val="21"/>
          <w:highlight w:val="none"/>
        </w:rPr>
      </w:pPr>
      <w:r>
        <w:rPr>
          <w:rFonts w:hint="eastAsia" w:ascii="宋体" w:hAnsi="宋体" w:cs="宋体"/>
          <w:b/>
          <w:color w:val="auto"/>
          <w:szCs w:val="21"/>
          <w:highlight w:val="none"/>
        </w:rPr>
        <w:t>投诉书范本</w:t>
      </w:r>
    </w:p>
    <w:p w14:paraId="199A59E2">
      <w:pPr>
        <w:rPr>
          <w:rFonts w:ascii="宋体" w:hAnsi="宋体" w:cs="宋体"/>
          <w:color w:val="auto"/>
          <w:szCs w:val="21"/>
          <w:highlight w:val="none"/>
        </w:rPr>
      </w:pPr>
      <w:r>
        <w:rPr>
          <w:rFonts w:hint="eastAsia" w:ascii="宋体" w:hAnsi="宋体" w:cs="宋体"/>
          <w:color w:val="auto"/>
          <w:szCs w:val="21"/>
          <w:highlight w:val="none"/>
        </w:rPr>
        <w:t>一、投诉相关主体基本情况</w:t>
      </w:r>
    </w:p>
    <w:p w14:paraId="0066F700">
      <w:pPr>
        <w:rPr>
          <w:rFonts w:ascii="宋体" w:hAnsi="宋体" w:cs="宋体"/>
          <w:color w:val="auto"/>
          <w:szCs w:val="21"/>
          <w:highlight w:val="none"/>
          <w:u w:val="dotted"/>
        </w:rPr>
      </w:pPr>
      <w:r>
        <w:rPr>
          <w:rFonts w:hint="eastAsia" w:ascii="宋体" w:hAnsi="宋体" w:cs="宋体"/>
          <w:color w:val="auto"/>
          <w:szCs w:val="21"/>
          <w:highlight w:val="none"/>
        </w:rPr>
        <w:t>投诉人：</w:t>
      </w:r>
      <w:r>
        <w:rPr>
          <w:rFonts w:hint="eastAsia" w:ascii="宋体" w:hAnsi="宋体" w:cs="宋体"/>
          <w:color w:val="auto"/>
          <w:szCs w:val="21"/>
          <w:highlight w:val="none"/>
          <w:u w:val="dotted"/>
        </w:rPr>
        <w:t xml:space="preserve">                                               </w:t>
      </w:r>
    </w:p>
    <w:p w14:paraId="763F2D40">
      <w:pPr>
        <w:rPr>
          <w:rFonts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u w:val="single"/>
        </w:rPr>
        <w:t xml:space="preserve">   </w:t>
      </w:r>
    </w:p>
    <w:p w14:paraId="4762A65E">
      <w:pPr>
        <w:tabs>
          <w:tab w:val="left" w:pos="6510"/>
        </w:tabs>
        <w:jc w:val="left"/>
        <w:rPr>
          <w:rFonts w:ascii="宋体" w:hAnsi="宋体" w:cs="宋体"/>
          <w:color w:val="auto"/>
          <w:szCs w:val="21"/>
          <w:highlight w:val="none"/>
        </w:rPr>
      </w:pPr>
      <w:r>
        <w:rPr>
          <w:rFonts w:hint="eastAsia" w:ascii="宋体" w:hAnsi="宋体" w:cs="宋体"/>
          <w:color w:val="auto"/>
          <w:szCs w:val="21"/>
          <w:highlight w:val="none"/>
        </w:rPr>
        <w:t>法定代表人/主要负责人：</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 xml:space="preserve">  </w:t>
      </w:r>
    </w:p>
    <w:p w14:paraId="0024B36F">
      <w:pPr>
        <w:tabs>
          <w:tab w:val="left" w:pos="6510"/>
        </w:tabs>
        <w:rPr>
          <w:rFonts w:ascii="宋体" w:hAnsi="宋体" w:cs="宋体"/>
          <w:color w:val="auto"/>
          <w:szCs w:val="21"/>
          <w:highlight w:val="none"/>
          <w:u w:val="dotted"/>
        </w:rPr>
      </w:pPr>
      <w:r>
        <w:rPr>
          <w:rFonts w:hint="eastAsia" w:ascii="宋体" w:hAnsi="宋体" w:cs="宋体"/>
          <w:color w:val="auto"/>
          <w:szCs w:val="21"/>
          <w:highlight w:val="none"/>
        </w:rPr>
        <w:t>联系电话：</w:t>
      </w:r>
      <w:r>
        <w:rPr>
          <w:rFonts w:hint="eastAsia" w:ascii="宋体" w:hAnsi="宋体" w:cs="宋体"/>
          <w:color w:val="auto"/>
          <w:szCs w:val="21"/>
          <w:highlight w:val="none"/>
          <w:u w:val="dotted"/>
        </w:rPr>
        <w:t xml:space="preserve">                                             </w:t>
      </w:r>
    </w:p>
    <w:p w14:paraId="4E880D0E">
      <w:pPr>
        <w:rPr>
          <w:rFonts w:ascii="宋体" w:hAnsi="宋体" w:cs="宋体"/>
          <w:color w:val="auto"/>
          <w:szCs w:val="21"/>
          <w:highlight w:val="none"/>
          <w:u w:val="dotted"/>
        </w:rPr>
      </w:pPr>
      <w:r>
        <w:rPr>
          <w:rFonts w:hint="eastAsia" w:ascii="宋体" w:hAnsi="宋体" w:cs="宋体"/>
          <w:color w:val="auto"/>
          <w:szCs w:val="21"/>
          <w:highlight w:val="none"/>
        </w:rPr>
        <w:t>授权代表：</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联系电话</w:t>
      </w:r>
      <w:r>
        <w:rPr>
          <w:rFonts w:hint="eastAsia" w:ascii="宋体" w:hAnsi="宋体" w:cs="宋体"/>
          <w:color w:val="auto"/>
          <w:szCs w:val="21"/>
          <w:highlight w:val="none"/>
          <w:u w:val="dotted"/>
        </w:rPr>
        <w:t xml:space="preserve">：                  </w:t>
      </w:r>
    </w:p>
    <w:p w14:paraId="5D24533D">
      <w:pPr>
        <w:rPr>
          <w:rFonts w:ascii="宋体" w:hAnsi="宋体" w:cs="宋体"/>
          <w:color w:val="auto"/>
          <w:szCs w:val="21"/>
          <w:highlight w:val="none"/>
          <w:u w:val="dotted"/>
        </w:rPr>
      </w:pPr>
      <w:r>
        <w:rPr>
          <w:rFonts w:hint="eastAsia" w:ascii="宋体" w:hAnsi="宋体" w:cs="宋体"/>
          <w:color w:val="auto"/>
          <w:szCs w:val="21"/>
          <w:highlight w:val="none"/>
        </w:rPr>
        <w:t>地     址：</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dotted"/>
        </w:rPr>
        <w:t xml:space="preserve">                   </w:t>
      </w:r>
    </w:p>
    <w:p w14:paraId="5B413885">
      <w:pPr>
        <w:rPr>
          <w:rFonts w:ascii="宋体" w:hAnsi="宋体" w:cs="宋体"/>
          <w:color w:val="auto"/>
          <w:szCs w:val="21"/>
          <w:highlight w:val="none"/>
          <w:u w:val="single"/>
        </w:rPr>
      </w:pPr>
      <w:r>
        <w:rPr>
          <w:rFonts w:hint="eastAsia" w:ascii="宋体" w:hAnsi="宋体" w:cs="宋体"/>
          <w:color w:val="auto"/>
          <w:szCs w:val="21"/>
          <w:highlight w:val="none"/>
        </w:rPr>
        <w:t>被投诉人1：</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u w:val="single"/>
        </w:rPr>
        <w:t xml:space="preserve">  </w:t>
      </w:r>
    </w:p>
    <w:p w14:paraId="5EA98697">
      <w:pPr>
        <w:rPr>
          <w:rFonts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u w:val="single"/>
        </w:rPr>
        <w:t xml:space="preserve"> </w:t>
      </w:r>
    </w:p>
    <w:p w14:paraId="0157372E">
      <w:pPr>
        <w:rPr>
          <w:rFonts w:ascii="宋体" w:hAnsi="宋体" w:cs="宋体"/>
          <w:color w:val="auto"/>
          <w:szCs w:val="21"/>
          <w:highlight w:val="none"/>
          <w:u w:val="single"/>
        </w:rPr>
      </w:pPr>
      <w:r>
        <w:rPr>
          <w:rFonts w:hint="eastAsia" w:ascii="宋体" w:hAnsi="宋体" w:cs="宋体"/>
          <w:color w:val="auto"/>
          <w:szCs w:val="21"/>
          <w:highlight w:val="none"/>
        </w:rPr>
        <w:t>联系人：</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联系电话：</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u w:val="single"/>
        </w:rPr>
        <w:t xml:space="preserve"> </w:t>
      </w:r>
    </w:p>
    <w:p w14:paraId="29E3E946">
      <w:pPr>
        <w:rPr>
          <w:rFonts w:ascii="宋体" w:hAnsi="宋体" w:cs="宋体"/>
          <w:color w:val="auto"/>
          <w:szCs w:val="21"/>
          <w:highlight w:val="none"/>
        </w:rPr>
      </w:pPr>
      <w:r>
        <w:rPr>
          <w:rFonts w:hint="eastAsia" w:ascii="宋体" w:hAnsi="宋体" w:cs="宋体"/>
          <w:color w:val="auto"/>
          <w:szCs w:val="21"/>
          <w:highlight w:val="none"/>
        </w:rPr>
        <w:t>被投诉人2</w:t>
      </w:r>
    </w:p>
    <w:p w14:paraId="127FEE3C">
      <w:pPr>
        <w:rPr>
          <w:rFonts w:ascii="宋体" w:hAnsi="宋体" w:cs="宋体"/>
          <w:color w:val="auto"/>
          <w:szCs w:val="21"/>
          <w:highlight w:val="none"/>
          <w:u w:val="dotted"/>
        </w:rPr>
      </w:pPr>
      <w:r>
        <w:rPr>
          <w:rFonts w:hint="eastAsia" w:ascii="宋体" w:hAnsi="宋体" w:cs="宋体"/>
          <w:color w:val="auto"/>
          <w:szCs w:val="21"/>
          <w:highlight w:val="none"/>
        </w:rPr>
        <w:t>……</w:t>
      </w:r>
    </w:p>
    <w:p w14:paraId="70B9132D">
      <w:pPr>
        <w:rPr>
          <w:rFonts w:ascii="宋体" w:hAnsi="宋体" w:cs="宋体"/>
          <w:color w:val="auto"/>
          <w:szCs w:val="21"/>
          <w:highlight w:val="none"/>
          <w:u w:val="single"/>
        </w:rPr>
      </w:pPr>
      <w:r>
        <w:rPr>
          <w:rFonts w:hint="eastAsia" w:ascii="宋体" w:hAnsi="宋体" w:cs="宋体"/>
          <w:color w:val="auto"/>
          <w:szCs w:val="21"/>
          <w:highlight w:val="none"/>
        </w:rPr>
        <w:t>相关供应商：</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u w:val="single"/>
        </w:rPr>
        <w:t xml:space="preserve">    </w:t>
      </w:r>
    </w:p>
    <w:p w14:paraId="1F57A2D7">
      <w:pPr>
        <w:rPr>
          <w:rFonts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u w:val="single"/>
        </w:rPr>
        <w:t xml:space="preserve"> </w:t>
      </w:r>
    </w:p>
    <w:p w14:paraId="56B4B68E">
      <w:pPr>
        <w:rPr>
          <w:rFonts w:ascii="宋体" w:hAnsi="宋体" w:cs="宋体"/>
          <w:color w:val="auto"/>
          <w:szCs w:val="21"/>
          <w:highlight w:val="none"/>
          <w:u w:val="single"/>
        </w:rPr>
      </w:pPr>
      <w:r>
        <w:rPr>
          <w:rFonts w:hint="eastAsia" w:ascii="宋体" w:hAnsi="宋体" w:cs="宋体"/>
          <w:color w:val="auto"/>
          <w:szCs w:val="21"/>
          <w:highlight w:val="none"/>
        </w:rPr>
        <w:t>联系人：</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联系电话：</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u w:val="single"/>
        </w:rPr>
        <w:t xml:space="preserve">      </w:t>
      </w:r>
    </w:p>
    <w:p w14:paraId="75BEDF02">
      <w:pPr>
        <w:rPr>
          <w:rFonts w:ascii="宋体" w:hAnsi="宋体" w:cs="宋体"/>
          <w:color w:val="auto"/>
          <w:szCs w:val="21"/>
          <w:highlight w:val="none"/>
        </w:rPr>
      </w:pPr>
      <w:r>
        <w:rPr>
          <w:rFonts w:hint="eastAsia" w:ascii="宋体" w:hAnsi="宋体" w:cs="宋体"/>
          <w:color w:val="auto"/>
          <w:szCs w:val="21"/>
          <w:highlight w:val="none"/>
        </w:rPr>
        <w:t>二、投诉项目基本情况</w:t>
      </w:r>
    </w:p>
    <w:p w14:paraId="64CDC509">
      <w:pPr>
        <w:rPr>
          <w:rFonts w:ascii="宋体" w:hAnsi="宋体" w:cs="宋体"/>
          <w:color w:val="auto"/>
          <w:szCs w:val="21"/>
          <w:highlight w:val="none"/>
          <w:u w:val="dotted"/>
        </w:rPr>
      </w:pPr>
      <w:r>
        <w:rPr>
          <w:rFonts w:hint="eastAsia" w:ascii="宋体" w:hAnsi="宋体" w:cs="宋体"/>
          <w:color w:val="auto"/>
          <w:szCs w:val="21"/>
          <w:highlight w:val="none"/>
        </w:rPr>
        <w:t>采购项目名称：</w:t>
      </w:r>
      <w:r>
        <w:rPr>
          <w:rFonts w:hint="eastAsia" w:ascii="宋体" w:hAnsi="宋体" w:cs="宋体"/>
          <w:color w:val="auto"/>
          <w:szCs w:val="21"/>
          <w:highlight w:val="none"/>
          <w:u w:val="dotted"/>
        </w:rPr>
        <w:t xml:space="preserve">                        </w:t>
      </w:r>
    </w:p>
    <w:p w14:paraId="6E27EFD8">
      <w:pPr>
        <w:rPr>
          <w:rFonts w:ascii="宋体" w:hAnsi="宋体" w:cs="宋体"/>
          <w:color w:val="auto"/>
          <w:szCs w:val="21"/>
          <w:highlight w:val="none"/>
          <w:u w:val="single"/>
        </w:rPr>
      </w:pPr>
      <w:r>
        <w:rPr>
          <w:rFonts w:hint="eastAsia" w:ascii="宋体" w:hAnsi="宋体" w:cs="宋体"/>
          <w:color w:val="auto"/>
          <w:szCs w:val="21"/>
          <w:highlight w:val="none"/>
        </w:rPr>
        <w:t>采购项目编号：</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包号：</w:t>
      </w:r>
      <w:r>
        <w:rPr>
          <w:rFonts w:hint="eastAsia" w:ascii="宋体" w:hAnsi="宋体" w:cs="宋体"/>
          <w:color w:val="auto"/>
          <w:szCs w:val="21"/>
          <w:highlight w:val="none"/>
          <w:u w:val="dotted"/>
        </w:rPr>
        <w:t xml:space="preserve">              </w:t>
      </w:r>
    </w:p>
    <w:p w14:paraId="24D7580A">
      <w:pPr>
        <w:rPr>
          <w:rFonts w:ascii="宋体" w:hAnsi="宋体" w:cs="宋体"/>
          <w:color w:val="auto"/>
          <w:szCs w:val="21"/>
          <w:highlight w:val="none"/>
        </w:rPr>
      </w:pPr>
      <w:r>
        <w:rPr>
          <w:rFonts w:hint="eastAsia" w:ascii="宋体" w:hAnsi="宋体" w:cs="宋体"/>
          <w:color w:val="auto"/>
          <w:szCs w:val="21"/>
          <w:highlight w:val="none"/>
        </w:rPr>
        <w:t>采购人名称：</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u w:val="single"/>
        </w:rPr>
        <w:t xml:space="preserve"> </w:t>
      </w:r>
    </w:p>
    <w:p w14:paraId="6C4BD9C7">
      <w:pPr>
        <w:rPr>
          <w:rFonts w:ascii="宋体" w:hAnsi="宋体" w:cs="宋体"/>
          <w:color w:val="auto"/>
          <w:szCs w:val="21"/>
          <w:highlight w:val="none"/>
          <w:u w:val="single"/>
        </w:rPr>
      </w:pPr>
      <w:r>
        <w:rPr>
          <w:rFonts w:hint="eastAsia" w:ascii="宋体" w:hAnsi="宋体" w:cs="宋体"/>
          <w:color w:val="auto"/>
          <w:szCs w:val="21"/>
          <w:highlight w:val="none"/>
        </w:rPr>
        <w:t>代理机构名称：</w:t>
      </w:r>
      <w:r>
        <w:rPr>
          <w:rFonts w:hint="eastAsia" w:ascii="宋体" w:hAnsi="宋体" w:cs="宋体"/>
          <w:color w:val="auto"/>
          <w:szCs w:val="21"/>
          <w:highlight w:val="none"/>
          <w:u w:val="dotted"/>
        </w:rPr>
        <w:t xml:space="preserve">                                         </w:t>
      </w:r>
    </w:p>
    <w:p w14:paraId="4C058362">
      <w:pPr>
        <w:rPr>
          <w:rFonts w:ascii="宋体" w:hAnsi="宋体" w:cs="宋体"/>
          <w:color w:val="auto"/>
          <w:szCs w:val="21"/>
          <w:highlight w:val="none"/>
          <w:u w:val="dotted"/>
        </w:rPr>
      </w:pPr>
      <w:r>
        <w:rPr>
          <w:rFonts w:hint="eastAsia" w:ascii="宋体" w:hAnsi="宋体" w:cs="宋体"/>
          <w:color w:val="auto"/>
          <w:szCs w:val="21"/>
          <w:highlight w:val="none"/>
        </w:rPr>
        <w:t>采购文件公告：</w:t>
      </w:r>
      <w:r>
        <w:rPr>
          <w:rFonts w:hint="eastAsia" w:ascii="宋体" w:hAnsi="宋体" w:cs="宋体"/>
          <w:color w:val="auto"/>
          <w:szCs w:val="21"/>
          <w:highlight w:val="none"/>
          <w:u w:val="dotted"/>
        </w:rPr>
        <w:t xml:space="preserve">是/否 </w:t>
      </w:r>
      <w:r>
        <w:rPr>
          <w:rFonts w:hint="eastAsia" w:ascii="宋体" w:hAnsi="宋体" w:cs="宋体"/>
          <w:color w:val="auto"/>
          <w:szCs w:val="21"/>
          <w:highlight w:val="none"/>
        </w:rPr>
        <w:t>公告期限：</w:t>
      </w:r>
      <w:r>
        <w:rPr>
          <w:rFonts w:hint="eastAsia" w:ascii="宋体" w:hAnsi="宋体" w:cs="宋体"/>
          <w:color w:val="auto"/>
          <w:szCs w:val="21"/>
          <w:highlight w:val="none"/>
          <w:u w:val="dotted"/>
        </w:rPr>
        <w:t xml:space="preserve">                                 </w:t>
      </w:r>
    </w:p>
    <w:p w14:paraId="1F25139A">
      <w:pPr>
        <w:rPr>
          <w:rFonts w:ascii="宋体" w:hAnsi="宋体" w:cs="宋体"/>
          <w:color w:val="auto"/>
          <w:szCs w:val="21"/>
          <w:highlight w:val="none"/>
          <w:u w:val="single"/>
        </w:rPr>
      </w:pPr>
      <w:r>
        <w:rPr>
          <w:rFonts w:hint="eastAsia" w:ascii="宋体" w:hAnsi="宋体" w:cs="宋体"/>
          <w:color w:val="auto"/>
          <w:szCs w:val="21"/>
          <w:highlight w:val="none"/>
        </w:rPr>
        <w:t>采购结果公告：</w:t>
      </w:r>
      <w:r>
        <w:rPr>
          <w:rFonts w:hint="eastAsia" w:ascii="宋体" w:hAnsi="宋体" w:cs="宋体"/>
          <w:color w:val="auto"/>
          <w:szCs w:val="21"/>
          <w:highlight w:val="none"/>
          <w:u w:val="dotted"/>
        </w:rPr>
        <w:t xml:space="preserve">是/否 </w:t>
      </w:r>
      <w:r>
        <w:rPr>
          <w:rFonts w:hint="eastAsia" w:ascii="宋体" w:hAnsi="宋体" w:cs="宋体"/>
          <w:color w:val="auto"/>
          <w:szCs w:val="21"/>
          <w:highlight w:val="none"/>
        </w:rPr>
        <w:t>公告期限：</w:t>
      </w:r>
      <w:r>
        <w:rPr>
          <w:rFonts w:hint="eastAsia" w:ascii="宋体" w:hAnsi="宋体" w:cs="宋体"/>
          <w:color w:val="auto"/>
          <w:szCs w:val="21"/>
          <w:highlight w:val="none"/>
          <w:u w:val="dotted"/>
        </w:rPr>
        <w:t xml:space="preserve">                        </w:t>
      </w:r>
    </w:p>
    <w:p w14:paraId="6AA38A7C">
      <w:pPr>
        <w:rPr>
          <w:rFonts w:ascii="宋体" w:hAnsi="宋体" w:cs="宋体"/>
          <w:color w:val="auto"/>
          <w:szCs w:val="21"/>
          <w:highlight w:val="none"/>
        </w:rPr>
      </w:pPr>
      <w:r>
        <w:rPr>
          <w:rFonts w:hint="eastAsia" w:ascii="宋体" w:hAnsi="宋体" w:cs="宋体"/>
          <w:color w:val="auto"/>
          <w:szCs w:val="21"/>
          <w:highlight w:val="none"/>
        </w:rPr>
        <w:t>三、质疑基本情况</w:t>
      </w:r>
    </w:p>
    <w:p w14:paraId="703DFBF8">
      <w:pPr>
        <w:ind w:firstLine="420" w:firstLineChars="200"/>
        <w:rPr>
          <w:rFonts w:ascii="宋体" w:hAnsi="宋体" w:cs="宋体"/>
          <w:color w:val="auto"/>
          <w:szCs w:val="21"/>
          <w:highlight w:val="none"/>
          <w:u w:val="dotted"/>
        </w:rPr>
      </w:pPr>
      <w:r>
        <w:rPr>
          <w:rFonts w:hint="eastAsia" w:ascii="宋体" w:hAnsi="宋体" w:cs="宋体"/>
          <w:color w:val="auto"/>
          <w:szCs w:val="21"/>
          <w:highlight w:val="none"/>
        </w:rPr>
        <w:t>投诉人于</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日,向</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提出质疑，质疑事项为：</w:t>
      </w:r>
      <w:r>
        <w:rPr>
          <w:rFonts w:hint="eastAsia" w:ascii="宋体" w:hAnsi="宋体" w:cs="宋体"/>
          <w:color w:val="auto"/>
          <w:szCs w:val="21"/>
          <w:highlight w:val="none"/>
          <w:u w:val="dotted"/>
        </w:rPr>
        <w:t xml:space="preserve">       </w:t>
      </w:r>
    </w:p>
    <w:p w14:paraId="19707EEF">
      <w:pPr>
        <w:rPr>
          <w:rFonts w:ascii="宋体" w:hAnsi="宋体" w:cs="宋体"/>
          <w:color w:val="auto"/>
          <w:szCs w:val="21"/>
          <w:highlight w:val="none"/>
          <w:u w:val="dotted"/>
        </w:rPr>
      </w:pP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 xml:space="preserve">  </w:t>
      </w:r>
    </w:p>
    <w:p w14:paraId="463B3841">
      <w:pPr>
        <w:ind w:firstLine="315" w:firstLineChars="150"/>
        <w:rPr>
          <w:rFonts w:ascii="宋体" w:hAnsi="宋体" w:cs="宋体"/>
          <w:color w:val="auto"/>
          <w:szCs w:val="21"/>
          <w:highlight w:val="none"/>
        </w:rPr>
      </w:pPr>
      <w:r>
        <w:rPr>
          <w:rFonts w:hint="eastAsia" w:ascii="宋体" w:hAnsi="宋体" w:cs="宋体"/>
          <w:color w:val="auto"/>
          <w:szCs w:val="21"/>
          <w:highlight w:val="none"/>
          <w:u w:val="dotted"/>
        </w:rPr>
        <w:t>采购人/代理机构</w:t>
      </w:r>
      <w:r>
        <w:rPr>
          <w:rFonts w:hint="eastAsia" w:ascii="宋体" w:hAnsi="宋体" w:cs="宋体"/>
          <w:color w:val="auto"/>
          <w:szCs w:val="21"/>
          <w:highlight w:val="none"/>
        </w:rPr>
        <w:t>于</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日,就质疑事项作出了答复/没有在法定期限内作出答复。</w:t>
      </w:r>
    </w:p>
    <w:p w14:paraId="260D776C">
      <w:pPr>
        <w:rPr>
          <w:rFonts w:ascii="宋体" w:hAnsi="宋体" w:cs="宋体"/>
          <w:color w:val="auto"/>
          <w:szCs w:val="21"/>
          <w:highlight w:val="none"/>
        </w:rPr>
      </w:pPr>
      <w:r>
        <w:rPr>
          <w:rFonts w:hint="eastAsia" w:ascii="宋体" w:hAnsi="宋体" w:cs="宋体"/>
          <w:color w:val="auto"/>
          <w:szCs w:val="21"/>
          <w:highlight w:val="none"/>
        </w:rPr>
        <w:t>四、投诉事项具体内容</w:t>
      </w:r>
    </w:p>
    <w:p w14:paraId="1684EEB8">
      <w:pPr>
        <w:rPr>
          <w:rFonts w:ascii="宋体" w:hAnsi="宋体" w:cs="宋体"/>
          <w:color w:val="auto"/>
          <w:szCs w:val="21"/>
          <w:highlight w:val="none"/>
          <w:u w:val="single"/>
        </w:rPr>
      </w:pPr>
      <w:r>
        <w:rPr>
          <w:rFonts w:hint="eastAsia" w:ascii="宋体" w:hAnsi="宋体" w:cs="宋体"/>
          <w:color w:val="auto"/>
          <w:szCs w:val="21"/>
          <w:highlight w:val="none"/>
        </w:rPr>
        <w:t>投诉事项 1：</w:t>
      </w:r>
      <w:r>
        <w:rPr>
          <w:rFonts w:hint="eastAsia" w:ascii="宋体" w:hAnsi="宋体" w:cs="宋体"/>
          <w:color w:val="auto"/>
          <w:szCs w:val="21"/>
          <w:highlight w:val="none"/>
          <w:u w:val="dotted"/>
        </w:rPr>
        <w:t xml:space="preserve">                                       </w:t>
      </w:r>
    </w:p>
    <w:p w14:paraId="472D5049">
      <w:pPr>
        <w:rPr>
          <w:rFonts w:ascii="宋体" w:hAnsi="宋体" w:cs="宋体"/>
          <w:color w:val="auto"/>
          <w:szCs w:val="21"/>
          <w:highlight w:val="none"/>
        </w:rPr>
      </w:pPr>
      <w:r>
        <w:rPr>
          <w:rFonts w:hint="eastAsia" w:ascii="宋体" w:hAnsi="宋体" w:cs="宋体"/>
          <w:color w:val="auto"/>
          <w:szCs w:val="21"/>
          <w:highlight w:val="none"/>
        </w:rPr>
        <w:t>事实依据：</w:t>
      </w:r>
      <w:r>
        <w:rPr>
          <w:rFonts w:hint="eastAsia" w:ascii="宋体" w:hAnsi="宋体" w:cs="宋体"/>
          <w:color w:val="auto"/>
          <w:szCs w:val="21"/>
          <w:highlight w:val="none"/>
          <w:u w:val="dotted"/>
        </w:rPr>
        <w:t xml:space="preserve">                                         </w:t>
      </w:r>
    </w:p>
    <w:p w14:paraId="027F5A20">
      <w:pPr>
        <w:rPr>
          <w:rFonts w:ascii="宋体" w:hAnsi="宋体" w:cs="宋体"/>
          <w:color w:val="auto"/>
          <w:szCs w:val="21"/>
          <w:highlight w:val="none"/>
          <w:u w:val="single"/>
        </w:rPr>
      </w:pPr>
      <w:r>
        <w:rPr>
          <w:rFonts w:hint="eastAsia" w:ascii="宋体" w:hAnsi="宋体" w:cs="宋体"/>
          <w:color w:val="auto"/>
          <w:szCs w:val="21"/>
          <w:highlight w:val="none"/>
        </w:rPr>
        <w:t>法律依据：</w:t>
      </w:r>
      <w:r>
        <w:rPr>
          <w:rFonts w:hint="eastAsia" w:ascii="宋体" w:hAnsi="宋体" w:cs="宋体"/>
          <w:color w:val="auto"/>
          <w:szCs w:val="21"/>
          <w:highlight w:val="none"/>
          <w:u w:val="dotted"/>
        </w:rPr>
        <w:t xml:space="preserve">                                          </w:t>
      </w:r>
    </w:p>
    <w:p w14:paraId="68F0DC73">
      <w:pPr>
        <w:rPr>
          <w:rFonts w:ascii="宋体" w:hAnsi="宋体" w:cs="宋体"/>
          <w:color w:val="auto"/>
          <w:szCs w:val="21"/>
          <w:highlight w:val="none"/>
        </w:rPr>
      </w:pPr>
      <w:r>
        <w:rPr>
          <w:rFonts w:hint="eastAsia" w:ascii="宋体" w:hAnsi="宋体" w:cs="宋体"/>
          <w:color w:val="auto"/>
          <w:szCs w:val="21"/>
          <w:highlight w:val="none"/>
        </w:rPr>
        <w:t>投诉事项2</w:t>
      </w:r>
    </w:p>
    <w:p w14:paraId="22C9F36F">
      <w:pPr>
        <w:rPr>
          <w:rFonts w:ascii="宋体" w:hAnsi="宋体" w:cs="宋体"/>
          <w:color w:val="auto"/>
          <w:szCs w:val="21"/>
          <w:highlight w:val="none"/>
          <w:u w:val="dotted"/>
        </w:rPr>
      </w:pPr>
      <w:r>
        <w:rPr>
          <w:rFonts w:hint="eastAsia" w:ascii="宋体" w:hAnsi="宋体" w:cs="宋体"/>
          <w:color w:val="auto"/>
          <w:szCs w:val="21"/>
          <w:highlight w:val="none"/>
        </w:rPr>
        <w:t>……</w:t>
      </w:r>
    </w:p>
    <w:p w14:paraId="41250592">
      <w:pPr>
        <w:rPr>
          <w:rFonts w:ascii="宋体" w:hAnsi="宋体" w:cs="宋体"/>
          <w:color w:val="auto"/>
          <w:szCs w:val="21"/>
          <w:highlight w:val="none"/>
        </w:rPr>
      </w:pPr>
      <w:r>
        <w:rPr>
          <w:rFonts w:hint="eastAsia" w:ascii="宋体" w:hAnsi="宋体" w:cs="宋体"/>
          <w:color w:val="auto"/>
          <w:szCs w:val="21"/>
          <w:highlight w:val="none"/>
        </w:rPr>
        <w:t>五、与投诉事项相关的投诉请求</w:t>
      </w:r>
    </w:p>
    <w:p w14:paraId="440C14F4">
      <w:pPr>
        <w:rPr>
          <w:rFonts w:ascii="宋体" w:hAnsi="宋体" w:cs="宋体"/>
          <w:color w:val="auto"/>
          <w:szCs w:val="21"/>
          <w:highlight w:val="none"/>
        </w:rPr>
      </w:pPr>
      <w:r>
        <w:rPr>
          <w:rFonts w:hint="eastAsia" w:ascii="宋体" w:hAnsi="宋体" w:cs="宋体"/>
          <w:color w:val="auto"/>
          <w:szCs w:val="21"/>
          <w:highlight w:val="none"/>
        </w:rPr>
        <w:t>请求：</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 xml:space="preserve"> </w:t>
      </w:r>
    </w:p>
    <w:p w14:paraId="41DAFB53">
      <w:pPr>
        <w:rPr>
          <w:rFonts w:ascii="宋体" w:hAnsi="宋体" w:cs="宋体"/>
          <w:color w:val="auto"/>
          <w:szCs w:val="21"/>
          <w:highlight w:val="none"/>
        </w:rPr>
      </w:pPr>
      <w:r>
        <w:rPr>
          <w:rFonts w:hint="eastAsia" w:ascii="宋体" w:hAnsi="宋体" w:cs="宋体"/>
          <w:color w:val="auto"/>
          <w:szCs w:val="21"/>
          <w:highlight w:val="none"/>
        </w:rPr>
        <w:t xml:space="preserve">                                                       </w:t>
      </w:r>
    </w:p>
    <w:p w14:paraId="56A9C406">
      <w:pPr>
        <w:rPr>
          <w:rFonts w:ascii="宋体" w:hAnsi="宋体" w:cs="宋体"/>
          <w:color w:val="auto"/>
          <w:szCs w:val="21"/>
          <w:highlight w:val="none"/>
        </w:rPr>
      </w:pPr>
      <w:r>
        <w:rPr>
          <w:rFonts w:hint="eastAsia" w:ascii="宋体" w:hAnsi="宋体" w:cs="宋体"/>
          <w:color w:val="auto"/>
          <w:szCs w:val="21"/>
          <w:highlight w:val="none"/>
        </w:rPr>
        <w:t xml:space="preserve">签字(签章)：                   公章：                      </w:t>
      </w:r>
    </w:p>
    <w:p w14:paraId="44CF127D">
      <w:pPr>
        <w:rPr>
          <w:rFonts w:ascii="宋体" w:hAnsi="宋体" w:cs="宋体"/>
          <w:color w:val="auto"/>
          <w:szCs w:val="21"/>
          <w:highlight w:val="none"/>
        </w:rPr>
      </w:pPr>
      <w:r>
        <w:rPr>
          <w:rFonts w:hint="eastAsia" w:ascii="宋体" w:hAnsi="宋体" w:cs="宋体"/>
          <w:color w:val="auto"/>
          <w:szCs w:val="21"/>
          <w:highlight w:val="none"/>
        </w:rPr>
        <w:t xml:space="preserve">日期：    </w:t>
      </w:r>
    </w:p>
    <w:p w14:paraId="4C56EDB8">
      <w:pPr>
        <w:rPr>
          <w:rFonts w:ascii="宋体" w:hAnsi="宋体" w:cs="宋体"/>
          <w:b/>
          <w:color w:val="auto"/>
          <w:szCs w:val="21"/>
          <w:highlight w:val="none"/>
        </w:rPr>
      </w:pPr>
      <w:r>
        <w:rPr>
          <w:rFonts w:hint="eastAsia" w:ascii="宋体" w:hAnsi="宋体" w:cs="宋体"/>
          <w:b/>
          <w:color w:val="auto"/>
          <w:szCs w:val="21"/>
          <w:highlight w:val="none"/>
        </w:rPr>
        <w:t>投诉书制作说明：</w:t>
      </w:r>
    </w:p>
    <w:p w14:paraId="48366CAC">
      <w:pPr>
        <w:widowControl/>
        <w:ind w:firstLine="420" w:firstLineChars="200"/>
        <w:rPr>
          <w:rFonts w:ascii="宋体" w:hAnsi="宋体" w:cs="宋体"/>
          <w:color w:val="auto"/>
          <w:szCs w:val="21"/>
          <w:highlight w:val="none"/>
        </w:rPr>
      </w:pPr>
      <w:r>
        <w:rPr>
          <w:rFonts w:hint="eastAsia" w:ascii="宋体" w:hAnsi="宋体" w:cs="宋体"/>
          <w:color w:val="auto"/>
          <w:szCs w:val="21"/>
          <w:highlight w:val="none"/>
        </w:rPr>
        <w:t>1.投诉人提起投诉时，应当提交投诉书和必要的证明材料，并按照被投诉人和与投诉事项有关的供应商数量提供投诉书副本。</w:t>
      </w:r>
    </w:p>
    <w:p w14:paraId="04679496">
      <w:pPr>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35613128">
      <w:pPr>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3.投诉人若对项目的某一分包进行投诉，投诉书应列明具体分包号。</w:t>
      </w:r>
    </w:p>
    <w:p w14:paraId="65D482FC">
      <w:pPr>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4.投诉书应简要列明质疑事项，质疑函、质疑答复等作为附件材料提供。</w:t>
      </w:r>
    </w:p>
    <w:p w14:paraId="44601A8F">
      <w:pPr>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5.投诉书的投诉事项应具体、明确，并有必要的事实依据和法律依据。</w:t>
      </w:r>
    </w:p>
    <w:p w14:paraId="7774C5A5">
      <w:pPr>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6.投诉书的投诉请求应与投诉事项相关。</w:t>
      </w:r>
    </w:p>
    <w:p w14:paraId="548B6E6B">
      <w:pPr>
        <w:widowControl/>
        <w:ind w:firstLine="420" w:firstLineChars="200"/>
        <w:rPr>
          <w:rFonts w:ascii="宋体" w:hAnsi="宋体" w:cs="宋体"/>
          <w:color w:val="auto"/>
          <w:szCs w:val="21"/>
          <w:highlight w:val="none"/>
        </w:rPr>
      </w:pPr>
      <w:r>
        <w:rPr>
          <w:rFonts w:hint="eastAsia" w:ascii="宋体" w:hAnsi="宋体" w:cs="宋体"/>
          <w:color w:val="auto"/>
          <w:szCs w:val="21"/>
          <w:highlight w:val="none"/>
        </w:rPr>
        <w:t>7.投诉人为自然人的，投诉书应当由本人签字；投诉人为法人或者其他组织的，投诉书应当由法定代表人、主要负责人，或者其授权代表签字或者盖章，并加盖公章。</w:t>
      </w:r>
    </w:p>
    <w:p w14:paraId="4099AB8A">
      <w:pPr>
        <w:rPr>
          <w:color w:val="auto"/>
          <w:highlight w:val="none"/>
        </w:rPr>
      </w:pPr>
    </w:p>
    <w:p w14:paraId="44733C18">
      <w:pPr>
        <w:rPr>
          <w:color w:val="auto"/>
          <w:highlight w:val="none"/>
        </w:rPr>
      </w:pPr>
    </w:p>
    <w:p w14:paraId="6A5A2141">
      <w:pPr>
        <w:rPr>
          <w:color w:val="auto"/>
          <w:highlight w:val="none"/>
        </w:rPr>
      </w:pPr>
    </w:p>
    <w:p w14:paraId="4F4F1C4D">
      <w:pPr>
        <w:rPr>
          <w:color w:val="auto"/>
          <w:highlight w:val="none"/>
        </w:rPr>
      </w:pPr>
    </w:p>
    <w:p w14:paraId="25DCB262">
      <w:pPr>
        <w:rPr>
          <w:color w:val="auto"/>
          <w:highlight w:val="none"/>
        </w:rPr>
      </w:pPr>
    </w:p>
    <w:p w14:paraId="7249AA60">
      <w:pPr>
        <w:rPr>
          <w:color w:val="auto"/>
          <w:highlight w:val="none"/>
        </w:rPr>
      </w:pPr>
    </w:p>
    <w:p w14:paraId="55B6DF0D">
      <w:pPr>
        <w:rPr>
          <w:color w:val="auto"/>
          <w:highlight w:val="none"/>
        </w:rPr>
      </w:pPr>
    </w:p>
    <w:p w14:paraId="3599873D">
      <w:pPr>
        <w:rPr>
          <w:color w:val="auto"/>
          <w:highlight w:val="none"/>
        </w:rPr>
      </w:pPr>
    </w:p>
    <w:p w14:paraId="0F0B493F">
      <w:pPr>
        <w:rPr>
          <w:color w:val="auto"/>
          <w:highlight w:val="none"/>
        </w:rPr>
      </w:pPr>
    </w:p>
    <w:p w14:paraId="17E35F03">
      <w:pPr>
        <w:rPr>
          <w:color w:val="auto"/>
          <w:highlight w:val="none"/>
        </w:rPr>
      </w:pPr>
    </w:p>
    <w:p w14:paraId="6BCB8091">
      <w:pPr>
        <w:rPr>
          <w:color w:val="auto"/>
          <w:highlight w:val="none"/>
        </w:rPr>
      </w:pPr>
    </w:p>
    <w:p w14:paraId="18FDD8C2">
      <w:pPr>
        <w:rPr>
          <w:color w:val="auto"/>
          <w:highlight w:val="none"/>
        </w:rPr>
      </w:pPr>
    </w:p>
    <w:p w14:paraId="0562BE8C">
      <w:pPr>
        <w:rPr>
          <w:color w:val="auto"/>
          <w:highlight w:val="none"/>
        </w:rPr>
      </w:pPr>
    </w:p>
    <w:p w14:paraId="4FB960A2">
      <w:pPr>
        <w:rPr>
          <w:color w:val="auto"/>
          <w:highlight w:val="none"/>
        </w:rPr>
      </w:pPr>
    </w:p>
    <w:p w14:paraId="31DCAA47">
      <w:pPr>
        <w:rPr>
          <w:color w:val="auto"/>
          <w:highlight w:val="none"/>
        </w:rPr>
      </w:pPr>
    </w:p>
    <w:p w14:paraId="331D61AD">
      <w:pPr>
        <w:rPr>
          <w:color w:val="auto"/>
          <w:highlight w:val="none"/>
        </w:rPr>
      </w:pPr>
    </w:p>
    <w:p w14:paraId="6E73815A">
      <w:pPr>
        <w:rPr>
          <w:color w:val="auto"/>
          <w:highlight w:val="none"/>
        </w:rPr>
      </w:pPr>
    </w:p>
    <w:p w14:paraId="59579CE5">
      <w:pPr>
        <w:rPr>
          <w:color w:val="auto"/>
          <w:highlight w:val="none"/>
        </w:rPr>
      </w:pPr>
    </w:p>
    <w:p w14:paraId="0494BA90">
      <w:pPr>
        <w:rPr>
          <w:color w:val="auto"/>
          <w:highlight w:val="none"/>
        </w:rPr>
      </w:pPr>
    </w:p>
    <w:p w14:paraId="374743E6">
      <w:pPr>
        <w:rPr>
          <w:color w:val="auto"/>
          <w:highlight w:val="none"/>
        </w:rPr>
      </w:pPr>
    </w:p>
    <w:p w14:paraId="1FED46FA">
      <w:pPr>
        <w:rPr>
          <w:color w:val="auto"/>
          <w:highlight w:val="none"/>
        </w:rPr>
      </w:pPr>
    </w:p>
    <w:p w14:paraId="62906E81">
      <w:pPr>
        <w:rPr>
          <w:color w:val="auto"/>
          <w:highlight w:val="none"/>
        </w:rPr>
      </w:pPr>
    </w:p>
    <w:p w14:paraId="49E562EA">
      <w:pPr>
        <w:rPr>
          <w:color w:val="auto"/>
          <w:highlight w:val="none"/>
        </w:rPr>
      </w:pPr>
    </w:p>
    <w:p w14:paraId="6AB57EB6">
      <w:pPr>
        <w:rPr>
          <w:color w:val="auto"/>
          <w:highlight w:val="none"/>
        </w:rPr>
      </w:pPr>
    </w:p>
    <w:p w14:paraId="33475C57">
      <w:pPr>
        <w:rPr>
          <w:color w:val="auto"/>
          <w:highlight w:val="none"/>
        </w:rPr>
      </w:pPr>
    </w:p>
    <w:p w14:paraId="0431F118">
      <w:pPr>
        <w:rPr>
          <w:color w:val="auto"/>
          <w:highlight w:val="none"/>
        </w:rPr>
      </w:pPr>
    </w:p>
    <w:p w14:paraId="0F34C5D6">
      <w:pPr>
        <w:rPr>
          <w:color w:val="auto"/>
          <w:highlight w:val="none"/>
        </w:rPr>
      </w:pPr>
    </w:p>
    <w:p w14:paraId="58F60977">
      <w:pPr>
        <w:rPr>
          <w:color w:val="auto"/>
          <w:highlight w:val="none"/>
        </w:rPr>
      </w:pPr>
    </w:p>
    <w:p w14:paraId="556676D9">
      <w:pPr>
        <w:rPr>
          <w:color w:val="auto"/>
          <w:highlight w:val="none"/>
        </w:rPr>
      </w:pPr>
    </w:p>
    <w:p w14:paraId="54860A7B">
      <w:pPr>
        <w:rPr>
          <w:color w:val="auto"/>
          <w:highlight w:val="none"/>
        </w:rPr>
      </w:pPr>
    </w:p>
    <w:p w14:paraId="793BB397">
      <w:pPr>
        <w:rPr>
          <w:color w:val="auto"/>
          <w:highlight w:val="none"/>
        </w:rPr>
      </w:pPr>
    </w:p>
    <w:p w14:paraId="3F02EAA8">
      <w:pPr>
        <w:rPr>
          <w:color w:val="auto"/>
          <w:highlight w:val="none"/>
        </w:rPr>
      </w:pPr>
    </w:p>
    <w:p w14:paraId="5892DA87">
      <w:pPr>
        <w:rPr>
          <w:color w:val="auto"/>
          <w:highlight w:val="none"/>
        </w:rPr>
      </w:pPr>
    </w:p>
    <w:p w14:paraId="401D3871">
      <w:pPr>
        <w:rPr>
          <w:color w:val="auto"/>
          <w:highlight w:val="none"/>
        </w:rPr>
      </w:pPr>
    </w:p>
    <w:p w14:paraId="7260E31D">
      <w:pPr>
        <w:rPr>
          <w:color w:val="auto"/>
          <w:highlight w:val="none"/>
        </w:rPr>
      </w:pPr>
    </w:p>
    <w:p w14:paraId="51EE83DC">
      <w:pPr>
        <w:rPr>
          <w:color w:val="auto"/>
          <w:highlight w:val="none"/>
        </w:rPr>
      </w:pPr>
    </w:p>
    <w:p w14:paraId="318CB081">
      <w:pPr>
        <w:rPr>
          <w:color w:val="auto"/>
          <w:highlight w:val="none"/>
        </w:rPr>
      </w:pPr>
    </w:p>
    <w:p w14:paraId="4238D15D">
      <w:pPr>
        <w:rPr>
          <w:color w:val="auto"/>
          <w:highlight w:val="none"/>
        </w:rPr>
      </w:pPr>
    </w:p>
    <w:p w14:paraId="5BA6C7B5">
      <w:pPr>
        <w:rPr>
          <w:color w:val="auto"/>
          <w:highlight w:val="none"/>
        </w:rPr>
      </w:pPr>
    </w:p>
    <w:p w14:paraId="2F374370">
      <w:pPr>
        <w:rPr>
          <w:color w:val="auto"/>
          <w:highlight w:val="none"/>
        </w:rPr>
      </w:pPr>
    </w:p>
    <w:p w14:paraId="21C1C6C9">
      <w:pPr>
        <w:rPr>
          <w:color w:val="auto"/>
          <w:highlight w:val="none"/>
        </w:rPr>
      </w:pPr>
    </w:p>
    <w:p w14:paraId="04EF839C">
      <w:pPr>
        <w:rPr>
          <w:color w:val="auto"/>
          <w:highlight w:val="none"/>
        </w:rPr>
      </w:pPr>
    </w:p>
    <w:p w14:paraId="217E2F69">
      <w:pPr>
        <w:rPr>
          <w:color w:val="auto"/>
          <w:highlight w:val="none"/>
        </w:rPr>
      </w:pPr>
    </w:p>
    <w:p w14:paraId="15AE0F6B">
      <w:pPr>
        <w:rPr>
          <w:color w:val="auto"/>
          <w:highlight w:val="none"/>
        </w:rPr>
      </w:pPr>
    </w:p>
    <w:p w14:paraId="2AC58B0A">
      <w:pPr>
        <w:rPr>
          <w:color w:val="auto"/>
          <w:highlight w:val="none"/>
        </w:rPr>
      </w:pPr>
    </w:p>
    <w:p w14:paraId="04C647D8">
      <w:pPr>
        <w:rPr>
          <w:color w:val="auto"/>
          <w:highlight w:val="none"/>
        </w:rPr>
      </w:pPr>
    </w:p>
    <w:p w14:paraId="30B53E60">
      <w:pPr>
        <w:rPr>
          <w:color w:val="auto"/>
          <w:highlight w:val="none"/>
        </w:rPr>
      </w:pPr>
    </w:p>
    <w:p w14:paraId="724D9C19">
      <w:pPr>
        <w:rPr>
          <w:color w:val="auto"/>
          <w:highlight w:val="none"/>
        </w:rPr>
      </w:pPr>
    </w:p>
    <w:p w14:paraId="0FC4F0A3">
      <w:pPr>
        <w:rPr>
          <w:color w:val="auto"/>
          <w:highlight w:val="none"/>
        </w:rPr>
      </w:pPr>
    </w:p>
    <w:p w14:paraId="698A8D70">
      <w:pPr>
        <w:rPr>
          <w:color w:val="auto"/>
          <w:highlight w:val="none"/>
        </w:rPr>
      </w:pPr>
    </w:p>
    <w:p w14:paraId="07143A63">
      <w:pPr>
        <w:rPr>
          <w:color w:val="auto"/>
          <w:highlight w:val="none"/>
        </w:rPr>
      </w:pPr>
    </w:p>
    <w:sectPr>
      <w:footerReference r:id="rId16" w:type="first"/>
      <w:headerReference r:id="rId13" w:type="default"/>
      <w:footerReference r:id="rId14" w:type="default"/>
      <w:footerReference r:id="rId15" w:type="even"/>
      <w:pgSz w:w="11906" w:h="16838"/>
      <w:pgMar w:top="1440" w:right="1797" w:bottom="1440" w:left="1797"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A8346">
    <w:pPr>
      <w:pStyle w:val="13"/>
      <w:jc w:val="center"/>
    </w:pPr>
  </w:p>
  <w:p w14:paraId="0EAFDF98">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EB159">
    <w:pPr>
      <w:pStyle w:val="13"/>
      <w:framePr w:wrap="around" w:vAnchor="text" w:hAnchor="margin" w:xAlign="center" w:y="1"/>
      <w:rPr>
        <w:rStyle w:val="21"/>
      </w:rPr>
    </w:pPr>
    <w:r>
      <w:fldChar w:fldCharType="begin"/>
    </w:r>
    <w:r>
      <w:rPr>
        <w:rStyle w:val="21"/>
      </w:rPr>
      <w:instrText xml:space="preserve">PAGE  </w:instrText>
    </w:r>
    <w:r>
      <w:fldChar w:fldCharType="end"/>
    </w:r>
  </w:p>
  <w:p w14:paraId="35A7C5B2">
    <w:pPr>
      <w:pStyle w:val="1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AE82F">
    <w:pPr>
      <w:pStyle w:val="13"/>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18415" b="1905"/>
              <wp:wrapNone/>
              <wp:docPr id="4"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71AB4CC8">
                          <w:pPr>
                            <w:pStyle w:val="13"/>
                          </w:pPr>
                          <w:r>
                            <w:fldChar w:fldCharType="begin"/>
                          </w:r>
                          <w:r>
                            <w:instrText xml:space="preserve"> PAGE  \* MERGEFORMAT </w:instrText>
                          </w:r>
                          <w:r>
                            <w:fldChar w:fldCharType="separate"/>
                          </w:r>
                          <w:r>
                            <w:t>78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Q+V+SdAAAAADAQAADwAAAAAAAAABACAAAAAiAAAAZHJzL2Rvd25yZXYueG1s&#10;UEsBAhQAFAAAAAgAh07iQB7GMezHAQAAiwMAAA4AAAAAAAAAAQAgAAAAHwEAAGRycy9lMm9Eb2Mu&#10;eG1sUEsFBgAAAAAGAAYAWQEAAFgFAAAAAA==&#10;">
              <v:fill on="f" focussize="0,0"/>
              <v:stroke on="f"/>
              <v:imagedata o:title=""/>
              <o:lock v:ext="edit" aspectratio="f"/>
              <v:textbox inset="0mm,0mm,0mm,0mm" style="mso-fit-shape-to-text:t;">
                <w:txbxContent>
                  <w:p w14:paraId="71AB4CC8">
                    <w:pPr>
                      <w:pStyle w:val="13"/>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3D7C1">
    <w:pPr>
      <w:pStyle w:val="13"/>
      <w:framePr w:wrap="around" w:vAnchor="text" w:hAnchor="margin" w:xAlign="center" w:y="1"/>
      <w:rPr>
        <w:rStyle w:val="21"/>
      </w:rPr>
    </w:pPr>
    <w:r>
      <w:fldChar w:fldCharType="begin"/>
    </w:r>
    <w:r>
      <w:rPr>
        <w:rStyle w:val="21"/>
      </w:rPr>
      <w:instrText xml:space="preserve">PAGE  </w:instrText>
    </w:r>
    <w:r>
      <w:fldChar w:fldCharType="end"/>
    </w:r>
  </w:p>
  <w:p w14:paraId="727D377C">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FB338">
    <w:pPr>
      <w:pStyle w:val="13"/>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9F9BF">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18415" b="1905"/>
              <wp:wrapNone/>
              <wp:docPr id="5"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7654143D">
                          <w:pPr>
                            <w:pStyle w:val="13"/>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D5X5J0AAAAAMBAAAPAAAAAAAAAAEAIAAAACIAAABkcnMvZG93bnJldi54bWxQ&#10;SwECFAAUAAAACACHTuJAwN1EycYBAACLAwAADgAAAAAAAAABACAAAAAfAQAAZHJzL2Uyb0RvYy54&#10;bWxQSwUGAAAAAAYABgBZAQAAVwUAAAAA&#10;">
              <v:fill on="f" focussize="0,0"/>
              <v:stroke on="f"/>
              <v:imagedata o:title=""/>
              <o:lock v:ext="edit" aspectratio="f"/>
              <v:textbox inset="0mm,0mm,0mm,0mm" style="mso-fit-shape-to-text:t;">
                <w:txbxContent>
                  <w:p w14:paraId="7654143D">
                    <w:pPr>
                      <w:pStyle w:val="13"/>
                    </w:pPr>
                    <w:r>
                      <w:fldChar w:fldCharType="begin"/>
                    </w:r>
                    <w:r>
                      <w:instrText xml:space="preserve"> PAGE  \* MERGEFORMAT </w:instrText>
                    </w:r>
                    <w:r>
                      <w:fldChar w:fldCharType="separate"/>
                    </w:r>
                    <w:r>
                      <w:t>17</w:t>
                    </w:r>
                    <w:r>
                      <w:fldChar w:fldCharType="end"/>
                    </w:r>
                  </w:p>
                </w:txbxContent>
              </v:textbox>
            </v:shape>
          </w:pict>
        </mc:Fallback>
      </mc:AlternateContent>
    </w:r>
  </w:p>
  <w:p w14:paraId="2DD7B714">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21399">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18415" b="1905"/>
              <wp:wrapNone/>
              <wp:docPr id="2"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121A08E1">
                          <w:pPr>
                            <w:pStyle w:val="13"/>
                            <w:jc w:val="center"/>
                          </w:pPr>
                          <w:r>
                            <w:fldChar w:fldCharType="begin"/>
                          </w:r>
                          <w:r>
                            <w:instrText xml:space="preserve"> PAGE   \* MERGEFORMAT </w:instrText>
                          </w:r>
                          <w:r>
                            <w:fldChar w:fldCharType="separate"/>
                          </w:r>
                          <w:r>
                            <w:rPr>
                              <w:lang w:val="zh-CN"/>
                            </w:rPr>
                            <w:t>69</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D5X5J0AAAAAMBAAAPAAAAAAAAAAEAIAAAACIAAABkcnMvZG93bnJldi54bWxQ&#10;SwECFAAUAAAACACHTuJAbD+MiMYBAACLAwAADgAAAAAAAAABACAAAAAfAQAAZHJzL2Uyb0RvYy54&#10;bWxQSwUGAAAAAAYABgBZAQAAVwUAAAAA&#10;">
              <v:fill on="f" focussize="0,0"/>
              <v:stroke on="f"/>
              <v:imagedata o:title=""/>
              <o:lock v:ext="edit" aspectratio="f"/>
              <v:textbox inset="0mm,0mm,0mm,0mm" style="mso-fit-shape-to-text:t;">
                <w:txbxContent>
                  <w:p w14:paraId="121A08E1">
                    <w:pPr>
                      <w:pStyle w:val="13"/>
                      <w:jc w:val="center"/>
                    </w:pPr>
                    <w:r>
                      <w:fldChar w:fldCharType="begin"/>
                    </w:r>
                    <w:r>
                      <w:instrText xml:space="preserve"> PAGE   \* MERGEFORMAT </w:instrText>
                    </w:r>
                    <w:r>
                      <w:fldChar w:fldCharType="separate"/>
                    </w:r>
                    <w:r>
                      <w:rPr>
                        <w:lang w:val="zh-CN"/>
                      </w:rPr>
                      <w:t>69</w:t>
                    </w:r>
                    <w:r>
                      <w:fldChar w:fldCharType="end"/>
                    </w:r>
                  </w:p>
                </w:txbxContent>
              </v:textbox>
            </v:shape>
          </w:pict>
        </mc:Fallback>
      </mc:AlternateContent>
    </w:r>
  </w:p>
  <w:p w14:paraId="05691AB8">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12400">
    <w:pPr>
      <w:pStyle w:val="13"/>
      <w:jc w:val="center"/>
    </w:pPr>
    <w:r>
      <w:fldChar w:fldCharType="begin"/>
    </w:r>
    <w:r>
      <w:instrText xml:space="preserve"> PAGE   \* MERGEFORMAT </w:instrText>
    </w:r>
    <w:r>
      <w:fldChar w:fldCharType="separate"/>
    </w:r>
    <w:r>
      <w:rPr>
        <w:lang w:val="zh-CN"/>
      </w:rPr>
      <w:t>69</w:t>
    </w:r>
    <w:r>
      <w:fldChar w:fldCharType="end"/>
    </w:r>
  </w:p>
  <w:p w14:paraId="0770FCFA">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2AA61">
    <w:pPr>
      <w:pStyle w:val="13"/>
      <w:ind w:right="360"/>
      <w:jc w:val="both"/>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D32E4">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18415" b="1905"/>
              <wp:wrapNone/>
              <wp:docPr id="3" name="文本框 3"/>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0B5443C8">
                          <w:pPr>
                            <w:pStyle w:val="13"/>
                            <w:jc w:val="center"/>
                          </w:pPr>
                          <w:r>
                            <w:fldChar w:fldCharType="begin"/>
                          </w:r>
                          <w:r>
                            <w:instrText xml:space="preserve">PAGE   \* MERGEFORMAT</w:instrText>
                          </w:r>
                          <w:r>
                            <w:fldChar w:fldCharType="separate"/>
                          </w:r>
                          <w:r>
                            <w:rPr>
                              <w:lang w:val="zh-CN"/>
                            </w:rPr>
                            <w:t>77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D5X5J0AAAAAMBAAAPAAAAAAAAAAEAIAAAACIAAABkcnMvZG93bnJldi54bWxQ&#10;SwECFAAUAAAACACHTuJAkVjLRsYBAACLAwAADgAAAAAAAAABACAAAAAfAQAAZHJzL2Uyb0RvYy54&#10;bWxQSwUGAAAAAAYABgBZAQAAVwUAAAAA&#10;">
              <v:fill on="f" focussize="0,0"/>
              <v:stroke on="f"/>
              <v:imagedata o:title=""/>
              <o:lock v:ext="edit" aspectratio="f"/>
              <v:textbox inset="0mm,0mm,0mm,0mm" style="mso-fit-shape-to-text:t;">
                <w:txbxContent>
                  <w:p w14:paraId="0B5443C8">
                    <w:pPr>
                      <w:pStyle w:val="13"/>
                      <w:jc w:val="center"/>
                    </w:pPr>
                    <w:r>
                      <w:fldChar w:fldCharType="begin"/>
                    </w:r>
                    <w:r>
                      <w:instrText xml:space="preserve">PAGE   \* MERGEFORMAT</w:instrText>
                    </w:r>
                    <w:r>
                      <w:fldChar w:fldCharType="separate"/>
                    </w:r>
                    <w:r>
                      <w:rPr>
                        <w:lang w:val="zh-CN"/>
                      </w:rPr>
                      <w:t>77</w:t>
                    </w:r>
                    <w:r>
                      <w:fldChar w:fldCharType="end"/>
                    </w:r>
                  </w:p>
                </w:txbxContent>
              </v:textbox>
            </v:shape>
          </w:pict>
        </mc:Fallback>
      </mc:AlternateContent>
    </w:r>
  </w:p>
  <w:p w14:paraId="7C1C22AD">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8862F">
    <w:pPr>
      <w:pStyle w:val="1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25120" cy="172085"/>
              <wp:effectExtent l="0" t="0" r="0" b="0"/>
              <wp:wrapNone/>
              <wp:docPr id="1" name="文本框 5"/>
              <wp:cNvGraphicFramePr/>
              <a:graphic xmlns:a="http://schemas.openxmlformats.org/drawingml/2006/main">
                <a:graphicData uri="http://schemas.microsoft.com/office/word/2010/wordprocessingShape">
                  <wps:wsp>
                    <wps:cNvSpPr txBox="1">
                      <a:spLocks noChangeArrowheads="1"/>
                    </wps:cNvSpPr>
                    <wps:spPr bwMode="auto">
                      <a:xfrm>
                        <a:off x="0" y="0"/>
                        <a:ext cx="325120" cy="172085"/>
                      </a:xfrm>
                      <a:prstGeom prst="rect">
                        <a:avLst/>
                      </a:prstGeom>
                      <a:noFill/>
                      <a:ln>
                        <a:noFill/>
                      </a:ln>
                      <a:effectLst/>
                    </wps:spPr>
                    <wps:txbx>
                      <w:txbxContent>
                        <w:p w14:paraId="2023BE35">
                          <w:pPr>
                            <w:pStyle w:val="13"/>
                            <w:jc w:val="center"/>
                          </w:pPr>
                          <w:r>
                            <w:fldChar w:fldCharType="begin"/>
                          </w:r>
                          <w:r>
                            <w:instrText xml:space="preserve"> PAGE   \* MERGEFORMAT </w:instrText>
                          </w:r>
                          <w:r>
                            <w:fldChar w:fldCharType="separate"/>
                          </w:r>
                          <w:r>
                            <w:rPr>
                              <w:lang w:val="zh-CN"/>
                            </w:rPr>
                            <w:t>79</w:t>
                          </w:r>
                          <w:r>
                            <w:fldChar w:fldCharType="end"/>
                          </w:r>
                        </w:p>
                      </w:txbxContent>
                    </wps:txbx>
                    <wps:bodyPr rot="0" vert="horz" wrap="square" lIns="0" tIns="0" rIns="0" bIns="0" anchor="t" anchorCtr="0" upright="1">
                      <a:noAutofit/>
                    </wps:bodyPr>
                  </wps:wsp>
                </a:graphicData>
              </a:graphic>
            </wp:anchor>
          </w:drawing>
        </mc:Choice>
        <mc:Fallback>
          <w:pict>
            <v:shape id="文本框 5" o:spid="_x0000_s1026" o:spt="202" type="#_x0000_t202" style="position:absolute;left:0pt;margin-top:0pt;height:13.55pt;width:25.6pt;mso-position-horizontal:center;mso-position-horizontal-relative:margin;z-index:251661312;mso-width-relative:page;mso-height-relative:page;" filled="f" stroked="f" coordsize="21600,21600" o:gfxdata="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54tAzTAAAAAwEAAA8AAAAAAAAAAQAgAAAA&#10;IgAAAGRycy9kb3ducmV2LnhtbFBLAQIUABQAAAAIAIdO4kCRGFDZEAIAABIEAAAOAAAAAAAAAAEA&#10;IAAAACIBAABkcnMvZTJvRG9jLnhtbFBLBQYAAAAABgAGAFkBAACkBQAAAAA=&#10;">
              <v:fill on="f" focussize="0,0"/>
              <v:stroke on="f"/>
              <v:imagedata o:title=""/>
              <o:lock v:ext="edit" aspectratio="f"/>
              <v:textbox inset="0mm,0mm,0mm,0mm">
                <w:txbxContent>
                  <w:p w14:paraId="2023BE35">
                    <w:pPr>
                      <w:pStyle w:val="13"/>
                      <w:jc w:val="center"/>
                    </w:pPr>
                    <w:r>
                      <w:fldChar w:fldCharType="begin"/>
                    </w:r>
                    <w:r>
                      <w:instrText xml:space="preserve"> PAGE   \* MERGEFORMAT </w:instrText>
                    </w:r>
                    <w:r>
                      <w:fldChar w:fldCharType="separate"/>
                    </w:r>
                    <w:r>
                      <w:rPr>
                        <w:lang w:val="zh-CN"/>
                      </w:rPr>
                      <w:t>79</w:t>
                    </w:r>
                    <w:r>
                      <w:fldChar w:fldCharType="end"/>
                    </w:r>
                  </w:p>
                </w:txbxContent>
              </v:textbox>
            </v:shape>
          </w:pict>
        </mc:Fallback>
      </mc:AlternateContent>
    </w:r>
  </w:p>
  <w:p w14:paraId="40E87C6C">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EE4E5">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10D0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56163">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666A3F"/>
    <w:multiLevelType w:val="singleLevel"/>
    <w:tmpl w:val="0B666A3F"/>
    <w:lvl w:ilvl="0" w:tentative="0">
      <w:start w:val="2"/>
      <w:numFmt w:val="decimal"/>
      <w:lvlText w:val="%1."/>
      <w:lvlJc w:val="left"/>
      <w:pPr>
        <w:tabs>
          <w:tab w:val="left" w:pos="312"/>
        </w:tabs>
      </w:pPr>
    </w:lvl>
  </w:abstractNum>
  <w:abstractNum w:abstractNumId="1">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abstractNum w:abstractNumId="2">
    <w:nsid w:val="7C80B6BD"/>
    <w:multiLevelType w:val="singleLevel"/>
    <w:tmpl w:val="7C80B6BD"/>
    <w:lvl w:ilvl="0" w:tentative="0">
      <w:start w:val="1"/>
      <w:numFmt w:val="chineseCounting"/>
      <w:suff w:val="nothing"/>
      <w:lvlText w:val="%1、"/>
      <w:lvlJc w:val="left"/>
      <w:rPr>
        <w:rFonts w:hint="eastAsia"/>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1NzJlZmY2MGNkODdhYTY3OGZkOWNjMGU2NjU2NWYifQ=="/>
  </w:docVars>
  <w:rsids>
    <w:rsidRoot w:val="084B0C2E"/>
    <w:rsid w:val="00014C6A"/>
    <w:rsid w:val="0002740C"/>
    <w:rsid w:val="000652A1"/>
    <w:rsid w:val="000A744A"/>
    <w:rsid w:val="000F4EEE"/>
    <w:rsid w:val="00127F42"/>
    <w:rsid w:val="00153BCF"/>
    <w:rsid w:val="00177CCC"/>
    <w:rsid w:val="001D3FFD"/>
    <w:rsid w:val="00206AAE"/>
    <w:rsid w:val="002350E2"/>
    <w:rsid w:val="00240653"/>
    <w:rsid w:val="002B3C22"/>
    <w:rsid w:val="002C51A4"/>
    <w:rsid w:val="002F29FA"/>
    <w:rsid w:val="002F5A5E"/>
    <w:rsid w:val="0032067D"/>
    <w:rsid w:val="00341791"/>
    <w:rsid w:val="00350C8C"/>
    <w:rsid w:val="00352173"/>
    <w:rsid w:val="003C4784"/>
    <w:rsid w:val="003D0871"/>
    <w:rsid w:val="003F182B"/>
    <w:rsid w:val="003F73DA"/>
    <w:rsid w:val="00402337"/>
    <w:rsid w:val="00444210"/>
    <w:rsid w:val="00446D3F"/>
    <w:rsid w:val="004561FE"/>
    <w:rsid w:val="004578E4"/>
    <w:rsid w:val="00461A7D"/>
    <w:rsid w:val="0048066D"/>
    <w:rsid w:val="004C2E4A"/>
    <w:rsid w:val="00503CC3"/>
    <w:rsid w:val="00542BF5"/>
    <w:rsid w:val="005676DD"/>
    <w:rsid w:val="00574EB8"/>
    <w:rsid w:val="00581659"/>
    <w:rsid w:val="00593E8E"/>
    <w:rsid w:val="005E4964"/>
    <w:rsid w:val="005F6746"/>
    <w:rsid w:val="005F748D"/>
    <w:rsid w:val="00633ACC"/>
    <w:rsid w:val="00647324"/>
    <w:rsid w:val="00666491"/>
    <w:rsid w:val="006A1995"/>
    <w:rsid w:val="006B45AB"/>
    <w:rsid w:val="006C7439"/>
    <w:rsid w:val="00704912"/>
    <w:rsid w:val="007121EC"/>
    <w:rsid w:val="007B22BB"/>
    <w:rsid w:val="007C656E"/>
    <w:rsid w:val="008C1DAF"/>
    <w:rsid w:val="008C532A"/>
    <w:rsid w:val="008C685C"/>
    <w:rsid w:val="008E29B6"/>
    <w:rsid w:val="00950661"/>
    <w:rsid w:val="00965149"/>
    <w:rsid w:val="009C47FC"/>
    <w:rsid w:val="009C7FE4"/>
    <w:rsid w:val="009E7ECF"/>
    <w:rsid w:val="00A27B6E"/>
    <w:rsid w:val="00A63F9D"/>
    <w:rsid w:val="00A6579F"/>
    <w:rsid w:val="00A80B32"/>
    <w:rsid w:val="00A9789E"/>
    <w:rsid w:val="00AA208E"/>
    <w:rsid w:val="00AD065A"/>
    <w:rsid w:val="00B019AD"/>
    <w:rsid w:val="00B63970"/>
    <w:rsid w:val="00B8189B"/>
    <w:rsid w:val="00B84E11"/>
    <w:rsid w:val="00BB78B1"/>
    <w:rsid w:val="00C067B2"/>
    <w:rsid w:val="00C1058C"/>
    <w:rsid w:val="00C172B1"/>
    <w:rsid w:val="00C32FB8"/>
    <w:rsid w:val="00C54846"/>
    <w:rsid w:val="00CB7BFD"/>
    <w:rsid w:val="00CC5228"/>
    <w:rsid w:val="00D0558B"/>
    <w:rsid w:val="00D23648"/>
    <w:rsid w:val="00D3006F"/>
    <w:rsid w:val="00D3318D"/>
    <w:rsid w:val="00D47D3C"/>
    <w:rsid w:val="00DA7C8C"/>
    <w:rsid w:val="00DC3F2B"/>
    <w:rsid w:val="00DE06B5"/>
    <w:rsid w:val="00DF5F3F"/>
    <w:rsid w:val="00E25657"/>
    <w:rsid w:val="00E64812"/>
    <w:rsid w:val="00E967DA"/>
    <w:rsid w:val="00EA6E94"/>
    <w:rsid w:val="00FC5377"/>
    <w:rsid w:val="00FE2328"/>
    <w:rsid w:val="01500402"/>
    <w:rsid w:val="02385AB4"/>
    <w:rsid w:val="024824B4"/>
    <w:rsid w:val="02985AFB"/>
    <w:rsid w:val="02BF47B2"/>
    <w:rsid w:val="0324150A"/>
    <w:rsid w:val="04F54910"/>
    <w:rsid w:val="05AE7A1F"/>
    <w:rsid w:val="05F67B6B"/>
    <w:rsid w:val="07131B19"/>
    <w:rsid w:val="0797664C"/>
    <w:rsid w:val="07B90D04"/>
    <w:rsid w:val="084B0C2E"/>
    <w:rsid w:val="089020C7"/>
    <w:rsid w:val="09634B70"/>
    <w:rsid w:val="0A8602AD"/>
    <w:rsid w:val="0B09160F"/>
    <w:rsid w:val="0BD42FD4"/>
    <w:rsid w:val="0C660FFF"/>
    <w:rsid w:val="0D0B0B09"/>
    <w:rsid w:val="0E732026"/>
    <w:rsid w:val="10366F01"/>
    <w:rsid w:val="10CF073B"/>
    <w:rsid w:val="110732FE"/>
    <w:rsid w:val="111539C9"/>
    <w:rsid w:val="114D3928"/>
    <w:rsid w:val="127840D2"/>
    <w:rsid w:val="12DE627D"/>
    <w:rsid w:val="12F05E33"/>
    <w:rsid w:val="142B044E"/>
    <w:rsid w:val="14986D5B"/>
    <w:rsid w:val="14BF0025"/>
    <w:rsid w:val="14EF6013"/>
    <w:rsid w:val="163B4F52"/>
    <w:rsid w:val="172F6299"/>
    <w:rsid w:val="17EA718E"/>
    <w:rsid w:val="19326FFE"/>
    <w:rsid w:val="199944A6"/>
    <w:rsid w:val="1A456259"/>
    <w:rsid w:val="1BF858DE"/>
    <w:rsid w:val="1C12243B"/>
    <w:rsid w:val="1C744741"/>
    <w:rsid w:val="1CA32948"/>
    <w:rsid w:val="1CD42406"/>
    <w:rsid w:val="1D884F5D"/>
    <w:rsid w:val="1EBC6457"/>
    <w:rsid w:val="1F675C44"/>
    <w:rsid w:val="1F933745"/>
    <w:rsid w:val="200271A5"/>
    <w:rsid w:val="20873926"/>
    <w:rsid w:val="2173326F"/>
    <w:rsid w:val="21F51871"/>
    <w:rsid w:val="230A40D1"/>
    <w:rsid w:val="24283CC6"/>
    <w:rsid w:val="24D011B0"/>
    <w:rsid w:val="25194B68"/>
    <w:rsid w:val="267E5E1B"/>
    <w:rsid w:val="273276D1"/>
    <w:rsid w:val="28476E47"/>
    <w:rsid w:val="28D25B02"/>
    <w:rsid w:val="29730021"/>
    <w:rsid w:val="297800A2"/>
    <w:rsid w:val="2A393D1E"/>
    <w:rsid w:val="2B5E4D20"/>
    <w:rsid w:val="2B661E4F"/>
    <w:rsid w:val="2CE12B90"/>
    <w:rsid w:val="2D1D5149"/>
    <w:rsid w:val="2D4F7DD4"/>
    <w:rsid w:val="2E2679D5"/>
    <w:rsid w:val="2E7B51CF"/>
    <w:rsid w:val="2FD06FDC"/>
    <w:rsid w:val="30135AFB"/>
    <w:rsid w:val="30355826"/>
    <w:rsid w:val="3044003E"/>
    <w:rsid w:val="30465E50"/>
    <w:rsid w:val="316E1B59"/>
    <w:rsid w:val="33F56383"/>
    <w:rsid w:val="35C94522"/>
    <w:rsid w:val="37FC5ED4"/>
    <w:rsid w:val="39906533"/>
    <w:rsid w:val="3A4E6A21"/>
    <w:rsid w:val="3AAB4728"/>
    <w:rsid w:val="3AEA4709"/>
    <w:rsid w:val="3B217CD2"/>
    <w:rsid w:val="3BDF2C27"/>
    <w:rsid w:val="3C7F2BF0"/>
    <w:rsid w:val="3DD961B3"/>
    <w:rsid w:val="3DDB09AB"/>
    <w:rsid w:val="3F9503F0"/>
    <w:rsid w:val="3FDA3EB2"/>
    <w:rsid w:val="3FF10DAD"/>
    <w:rsid w:val="40291873"/>
    <w:rsid w:val="41A903E9"/>
    <w:rsid w:val="420822F7"/>
    <w:rsid w:val="44D24A75"/>
    <w:rsid w:val="45182C5C"/>
    <w:rsid w:val="45D64208"/>
    <w:rsid w:val="46770F15"/>
    <w:rsid w:val="467C2243"/>
    <w:rsid w:val="484853B7"/>
    <w:rsid w:val="4941025D"/>
    <w:rsid w:val="49622684"/>
    <w:rsid w:val="49D31806"/>
    <w:rsid w:val="4AF66A41"/>
    <w:rsid w:val="4D073297"/>
    <w:rsid w:val="4D206899"/>
    <w:rsid w:val="4E535FFB"/>
    <w:rsid w:val="4EB26E94"/>
    <w:rsid w:val="4ED45B39"/>
    <w:rsid w:val="4F5D3954"/>
    <w:rsid w:val="4FC14A86"/>
    <w:rsid w:val="506213C9"/>
    <w:rsid w:val="52C918C4"/>
    <w:rsid w:val="52D52E69"/>
    <w:rsid w:val="546065A6"/>
    <w:rsid w:val="54EB53AD"/>
    <w:rsid w:val="54F8663E"/>
    <w:rsid w:val="56CB4DAC"/>
    <w:rsid w:val="56FA399A"/>
    <w:rsid w:val="579C19D9"/>
    <w:rsid w:val="58AC2D16"/>
    <w:rsid w:val="590516B6"/>
    <w:rsid w:val="596D75E0"/>
    <w:rsid w:val="5998070C"/>
    <w:rsid w:val="59BE41CB"/>
    <w:rsid w:val="5AA6247D"/>
    <w:rsid w:val="5AD33E01"/>
    <w:rsid w:val="5B1B6B23"/>
    <w:rsid w:val="5CE17F3A"/>
    <w:rsid w:val="5D715CCB"/>
    <w:rsid w:val="5E5F5589"/>
    <w:rsid w:val="5E6D40F8"/>
    <w:rsid w:val="5F701F1A"/>
    <w:rsid w:val="5FBE573A"/>
    <w:rsid w:val="5FD23E08"/>
    <w:rsid w:val="6067395B"/>
    <w:rsid w:val="612479FF"/>
    <w:rsid w:val="61C96039"/>
    <w:rsid w:val="62F32319"/>
    <w:rsid w:val="630F60DE"/>
    <w:rsid w:val="672F2324"/>
    <w:rsid w:val="680A67A8"/>
    <w:rsid w:val="685D54AB"/>
    <w:rsid w:val="68CE0AE0"/>
    <w:rsid w:val="6A087881"/>
    <w:rsid w:val="6A580905"/>
    <w:rsid w:val="6AC223CF"/>
    <w:rsid w:val="6D0D4104"/>
    <w:rsid w:val="708A1A45"/>
    <w:rsid w:val="71917347"/>
    <w:rsid w:val="71942510"/>
    <w:rsid w:val="71A66850"/>
    <w:rsid w:val="71E3055D"/>
    <w:rsid w:val="724B4B7D"/>
    <w:rsid w:val="729F531D"/>
    <w:rsid w:val="73A525D8"/>
    <w:rsid w:val="73DE52E8"/>
    <w:rsid w:val="7473007E"/>
    <w:rsid w:val="748E1DD6"/>
    <w:rsid w:val="75EA0649"/>
    <w:rsid w:val="769C1333"/>
    <w:rsid w:val="775D7A36"/>
    <w:rsid w:val="779910B0"/>
    <w:rsid w:val="7A104685"/>
    <w:rsid w:val="7B503FFA"/>
    <w:rsid w:val="7CBE1B76"/>
    <w:rsid w:val="7D0C5E4E"/>
    <w:rsid w:val="7E412F46"/>
    <w:rsid w:val="7EF66ECB"/>
    <w:rsid w:val="7FE24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23"/>
    <w:qFormat/>
    <w:uiPriority w:val="0"/>
    <w:pPr>
      <w:keepNext/>
      <w:keepLines/>
      <w:adjustRightInd w:val="0"/>
      <w:snapToGrid w:val="0"/>
      <w:spacing w:before="120" w:after="120"/>
      <w:outlineLvl w:val="3"/>
    </w:pPr>
    <w:rPr>
      <w:rFonts w:ascii="Arial" w:hAnsi="Arial"/>
      <w:b/>
      <w:bCs/>
      <w:sz w:val="28"/>
      <w:szCs w:val="28"/>
    </w:rPr>
  </w:style>
  <w:style w:type="paragraph" w:styleId="6">
    <w:name w:val="heading 5"/>
    <w:basedOn w:val="1"/>
    <w:next w:val="7"/>
    <w:qFormat/>
    <w:uiPriority w:val="0"/>
    <w:pPr>
      <w:keepNext/>
      <w:keepLines/>
      <w:spacing w:before="280" w:after="290" w:line="376" w:lineRule="auto"/>
      <w:outlineLvl w:val="4"/>
    </w:pPr>
    <w:rPr>
      <w:b/>
      <w:sz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toa heading"/>
    <w:basedOn w:val="1"/>
    <w:next w:val="1"/>
    <w:semiHidden/>
    <w:qFormat/>
    <w:uiPriority w:val="0"/>
    <w:pPr>
      <w:spacing w:before="120"/>
      <w:jc w:val="left"/>
    </w:pPr>
    <w:rPr>
      <w:rFonts w:ascii="Cambria" w:hAnsi="Cambria" w:eastAsia="Times New Roman" w:cs="Cambria"/>
      <w:color w:val="000000"/>
      <w:kern w:val="0"/>
      <w:sz w:val="24"/>
      <w:lang w:eastAsia="en-US" w:bidi="en-US"/>
    </w:rPr>
  </w:style>
  <w:style w:type="paragraph" w:styleId="9">
    <w:name w:val="annotation text"/>
    <w:basedOn w:val="1"/>
    <w:unhideWhenUsed/>
    <w:qFormat/>
    <w:uiPriority w:val="0"/>
    <w:pPr>
      <w:jc w:val="left"/>
    </w:pPr>
  </w:style>
  <w:style w:type="paragraph" w:styleId="10">
    <w:name w:val="Body Text"/>
    <w:basedOn w:val="1"/>
    <w:next w:val="1"/>
    <w:link w:val="24"/>
    <w:qFormat/>
    <w:uiPriority w:val="99"/>
    <w:pPr>
      <w:spacing w:line="380" w:lineRule="exact"/>
    </w:pPr>
    <w:rPr>
      <w:kern w:val="0"/>
      <w:sz w:val="24"/>
    </w:rPr>
  </w:style>
  <w:style w:type="paragraph" w:styleId="11">
    <w:name w:val="Plain Text"/>
    <w:basedOn w:val="1"/>
    <w:next w:val="5"/>
    <w:link w:val="25"/>
    <w:qFormat/>
    <w:uiPriority w:val="0"/>
    <w:rPr>
      <w:rFonts w:ascii="宋体" w:hAnsi="Courier New"/>
      <w:kern w:val="0"/>
      <w:sz w:val="20"/>
      <w:szCs w:val="21"/>
    </w:rPr>
  </w:style>
  <w:style w:type="paragraph" w:styleId="12">
    <w:name w:val="Balloon Text"/>
    <w:basedOn w:val="1"/>
    <w:link w:val="26"/>
    <w:qFormat/>
    <w:uiPriority w:val="0"/>
    <w:rPr>
      <w:sz w:val="18"/>
      <w:szCs w:val="18"/>
    </w:r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header"/>
    <w:basedOn w:val="1"/>
    <w:unhideWhenUsed/>
    <w:qFormat/>
    <w:uiPriority w:val="99"/>
    <w:pPr>
      <w:pBdr>
        <w:bottom w:val="single" w:color="auto" w:sz="6" w:space="1"/>
      </w:pBdr>
      <w:tabs>
        <w:tab w:val="center" w:pos="0"/>
        <w:tab w:val="left" w:pos="8306"/>
      </w:tabs>
      <w:snapToGrid w:val="0"/>
      <w:jc w:val="center"/>
    </w:pPr>
    <w:rPr>
      <w:sz w:val="18"/>
      <w:szCs w:val="18"/>
    </w:rPr>
  </w:style>
  <w:style w:type="paragraph" w:styleId="15">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16">
    <w:name w:val="List"/>
    <w:basedOn w:val="1"/>
    <w:qFormat/>
    <w:uiPriority w:val="0"/>
    <w:pPr>
      <w:ind w:left="200" w:hanging="200" w:hangingChars="200"/>
    </w:pPr>
    <w:rPr>
      <w:sz w:val="28"/>
    </w:rPr>
  </w:style>
  <w:style w:type="paragraph" w:styleId="17">
    <w:name w:val="Body Text First Indent"/>
    <w:basedOn w:val="10"/>
    <w:next w:val="1"/>
    <w:qFormat/>
    <w:uiPriority w:val="0"/>
    <w:pPr>
      <w:spacing w:after="120"/>
      <w:ind w:firstLine="420" w:firstLineChars="100"/>
    </w:pPr>
    <w:rPr>
      <w:rFonts w:ascii="宋体"/>
      <w:sz w:val="21"/>
    </w:rPr>
  </w:style>
  <w:style w:type="paragraph" w:styleId="18">
    <w:name w:val="Body Text First Indent 2"/>
    <w:basedOn w:val="1"/>
    <w:next w:val="17"/>
    <w:unhideWhenUsed/>
    <w:qFormat/>
    <w:uiPriority w:val="0"/>
    <w:pPr>
      <w:spacing w:after="120"/>
      <w:ind w:left="420" w:leftChars="200" w:firstLine="420" w:firstLineChars="200"/>
    </w:pPr>
    <w:rPr>
      <w:rFonts w:ascii="宋体"/>
      <w:sz w:val="34"/>
    </w:rPr>
  </w:style>
  <w:style w:type="character" w:styleId="21">
    <w:name w:val="page number"/>
    <w:qFormat/>
    <w:uiPriority w:val="0"/>
  </w:style>
  <w:style w:type="character" w:styleId="22">
    <w:name w:val="Hyperlink"/>
    <w:qFormat/>
    <w:uiPriority w:val="99"/>
    <w:rPr>
      <w:color w:val="000000"/>
      <w:u w:val="none"/>
    </w:rPr>
  </w:style>
  <w:style w:type="character" w:customStyle="1" w:styleId="23">
    <w:name w:val="标题 4 Char"/>
    <w:link w:val="5"/>
    <w:qFormat/>
    <w:uiPriority w:val="0"/>
    <w:rPr>
      <w:rFonts w:ascii="Arial" w:hAnsi="Arial"/>
      <w:b/>
      <w:bCs/>
      <w:kern w:val="2"/>
      <w:sz w:val="28"/>
      <w:szCs w:val="28"/>
    </w:rPr>
  </w:style>
  <w:style w:type="character" w:customStyle="1" w:styleId="24">
    <w:name w:val="正文文本 Char"/>
    <w:link w:val="10"/>
    <w:qFormat/>
    <w:uiPriority w:val="99"/>
    <w:rPr>
      <w:sz w:val="24"/>
      <w:szCs w:val="24"/>
    </w:rPr>
  </w:style>
  <w:style w:type="character" w:customStyle="1" w:styleId="25">
    <w:name w:val="纯文本 Char"/>
    <w:link w:val="11"/>
    <w:qFormat/>
    <w:uiPriority w:val="0"/>
    <w:rPr>
      <w:rFonts w:ascii="宋体" w:hAnsi="Courier New"/>
      <w:szCs w:val="21"/>
    </w:rPr>
  </w:style>
  <w:style w:type="character" w:customStyle="1" w:styleId="26">
    <w:name w:val="批注框文本 Char"/>
    <w:link w:val="12"/>
    <w:qFormat/>
    <w:uiPriority w:val="0"/>
    <w:rPr>
      <w:kern w:val="2"/>
      <w:sz w:val="18"/>
      <w:szCs w:val="18"/>
    </w:rPr>
  </w:style>
  <w:style w:type="paragraph" w:customStyle="1" w:styleId="27">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28">
    <w:name w:val="段"/>
    <w:qFormat/>
    <w:uiPriority w:val="99"/>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29">
    <w:name w:val="列出段落1"/>
    <w:basedOn w:val="1"/>
    <w:qFormat/>
    <w:uiPriority w:val="34"/>
    <w:pPr>
      <w:ind w:firstLine="420" w:firstLineChars="200"/>
    </w:pPr>
  </w:style>
  <w:style w:type="paragraph" w:styleId="30">
    <w:name w:val="List Paragraph"/>
    <w:basedOn w:val="1"/>
    <w:qFormat/>
    <w:uiPriority w:val="34"/>
    <w:pPr>
      <w:ind w:firstLine="420" w:firstLineChars="200"/>
    </w:pPr>
  </w:style>
  <w:style w:type="paragraph" w:customStyle="1" w:styleId="31">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3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3">
    <w:name w:val="样式 0正文 + 首行缩进:  2 字符1"/>
    <w:basedOn w:val="1"/>
    <w:qFormat/>
    <w:uiPriority w:val="99"/>
    <w:pPr>
      <w:spacing w:line="360" w:lineRule="auto"/>
      <w:ind w:firstLine="200" w:firstLineChars="200"/>
    </w:pPr>
    <w:rPr>
      <w:szCs w:val="20"/>
    </w:rPr>
  </w:style>
  <w:style w:type="paragraph" w:customStyle="1" w:styleId="34">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5">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Table Paragraph"/>
    <w:basedOn w:val="1"/>
    <w:qFormat/>
    <w:uiPriority w:val="1"/>
    <w:pPr>
      <w:autoSpaceDE w:val="0"/>
      <w:autoSpaceDN w:val="0"/>
      <w:adjustRightInd w:val="0"/>
      <w:jc w:val="left"/>
    </w:pPr>
    <w:rPr>
      <w:kern w:val="0"/>
      <w:sz w:val="24"/>
    </w:rPr>
  </w:style>
  <w:style w:type="paragraph" w:customStyle="1" w:styleId="37">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38">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表格文字"/>
    <w:basedOn w:val="1"/>
    <w:next w:val="10"/>
    <w:qFormat/>
    <w:uiPriority w:val="99"/>
    <w:pPr>
      <w:spacing w:before="25" w:after="25"/>
      <w:jc w:val="left"/>
    </w:pPr>
    <w:rPr>
      <w:bCs/>
      <w:spacing w:val="10"/>
      <w:kern w:val="0"/>
      <w:sz w:val="24"/>
      <w:szCs w:val="20"/>
    </w:rPr>
  </w:style>
  <w:style w:type="character" w:customStyle="1" w:styleId="40">
    <w:name w:val="fontstyle01"/>
    <w:qFormat/>
    <w:uiPriority w:val="99"/>
    <w:rPr>
      <w:rFonts w:ascii="宋体" w:hAnsi="宋体" w:eastAsia="宋体"/>
      <w:color w:val="000000"/>
      <w:sz w:val="22"/>
    </w:rPr>
  </w:style>
  <w:style w:type="paragraph" w:customStyle="1" w:styleId="41">
    <w:name w:val="样式 9 10 磅"/>
    <w:autoRedefine/>
    <w:qFormat/>
    <w:uiPriority w:val="0"/>
    <w:pPr>
      <w:widowControl w:val="0"/>
      <w:jc w:val="both"/>
    </w:pPr>
    <w:rPr>
      <w:rFonts w:ascii="宋体" w:hAnsi="Times New Roman" w:eastAsia="宋体" w:cs="Times New Roman"/>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5333A4-065A-4D80-8968-2CCDFD586603}">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90</Pages>
  <Words>15786</Words>
  <Characters>17279</Characters>
  <Lines>447</Lines>
  <Paragraphs>125</Paragraphs>
  <TotalTime>118</TotalTime>
  <ScaleCrop>false</ScaleCrop>
  <LinksUpToDate>false</LinksUpToDate>
  <CharactersWithSpaces>17629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2025-11-18T08:17:00Z</dcterms:created>
  <dc:creator>线中、</dc:creator>
  <cp:lastModifiedBy>888</cp:lastModifiedBy>
  <cp:lastPrinted>2025-11-18T08:39:00Z</cp:lastPrinted>
  <dcterms:modified xsi:type="dcterms:W3CDTF">2025-12-03T03:56:54Z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3CDC737662354B40AEA6CFAB5C702A2A_13</vt:lpwstr>
  </property>
  <property fmtid="{D5CDD505-2E9C-101B-9397-08002B2CF9AE}" pid="4" name="KSOTemplateDocerSaveRecord">
    <vt:lpwstr>eyJoZGlkIjoiMDE0NmQwYWQ1ODU1NjI4ZGJjYjIzZWFmN2QwYmZiODYiLCJ1c2VySWQiOiI0Mjc3MjQwNTIifQ==</vt:lpwstr>
  </property>
</Properties>
</file>