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CC414">
      <w:pPr>
        <w:pStyle w:val="10"/>
        <w:spacing w:line="281" w:lineRule="auto"/>
        <w:rPr>
          <w:rFonts w:hint="eastAsia" w:asciiTheme="minorEastAsia" w:hAnsiTheme="minorEastAsia" w:eastAsiaTheme="minorEastAsia" w:cstheme="minorEastAsia"/>
          <w:color w:val="auto"/>
        </w:rPr>
      </w:pPr>
    </w:p>
    <w:p w14:paraId="1BB1F7DB">
      <w:pPr>
        <w:pStyle w:val="10"/>
        <w:spacing w:line="282" w:lineRule="auto"/>
        <w:rPr>
          <w:rFonts w:hint="eastAsia" w:asciiTheme="minorEastAsia" w:hAnsiTheme="minorEastAsia" w:eastAsiaTheme="minorEastAsia" w:cstheme="minorEastAsia"/>
          <w:color w:val="auto"/>
        </w:rPr>
      </w:pPr>
    </w:p>
    <w:p w14:paraId="62D5F687">
      <w:pPr>
        <w:spacing w:before="224" w:line="219" w:lineRule="auto"/>
        <w:jc w:val="center"/>
        <w:rPr>
          <w:rFonts w:hint="eastAsia" w:asciiTheme="minorEastAsia" w:hAnsiTheme="minorEastAsia" w:eastAsiaTheme="minorEastAsia" w:cstheme="minorEastAsia"/>
          <w:color w:val="auto"/>
          <w:sz w:val="52"/>
          <w:szCs w:val="52"/>
          <w:lang w:eastAsia="zh-CN"/>
        </w:rPr>
      </w:pPr>
      <w:r>
        <w:rPr>
          <w:rFonts w:hint="eastAsia" w:asciiTheme="minorEastAsia" w:hAnsiTheme="minorEastAsia" w:eastAsiaTheme="minorEastAsia" w:cstheme="minorEastAsia"/>
          <w:b/>
          <w:bCs/>
          <w:color w:val="auto"/>
          <w:spacing w:val="72"/>
          <w:sz w:val="52"/>
          <w:szCs w:val="52"/>
          <w:lang w:eastAsia="zh-CN"/>
        </w:rPr>
        <w:t>广西合士嘉项目咨询有限公司</w:t>
      </w:r>
    </w:p>
    <w:p w14:paraId="2B279FC3">
      <w:pPr>
        <w:pStyle w:val="10"/>
        <w:spacing w:line="247" w:lineRule="auto"/>
        <w:rPr>
          <w:rFonts w:hint="eastAsia" w:asciiTheme="minorEastAsia" w:hAnsiTheme="minorEastAsia" w:eastAsiaTheme="minorEastAsia" w:cstheme="minorEastAsia"/>
          <w:color w:val="auto"/>
        </w:rPr>
      </w:pPr>
    </w:p>
    <w:p w14:paraId="53147D15">
      <w:pPr>
        <w:pStyle w:val="10"/>
        <w:spacing w:line="247" w:lineRule="auto"/>
        <w:rPr>
          <w:rFonts w:hint="eastAsia" w:asciiTheme="minorEastAsia" w:hAnsiTheme="minorEastAsia" w:eastAsiaTheme="minorEastAsia" w:cstheme="minorEastAsia"/>
          <w:color w:val="auto"/>
        </w:rPr>
      </w:pPr>
    </w:p>
    <w:p w14:paraId="5353F1F9">
      <w:pPr>
        <w:pStyle w:val="10"/>
        <w:spacing w:line="248" w:lineRule="auto"/>
        <w:rPr>
          <w:rFonts w:hint="eastAsia" w:asciiTheme="minorEastAsia" w:hAnsiTheme="minorEastAsia" w:eastAsiaTheme="minorEastAsia" w:cstheme="minorEastAsia"/>
          <w:color w:val="auto"/>
        </w:rPr>
      </w:pPr>
    </w:p>
    <w:p w14:paraId="0FD794D6">
      <w:pPr>
        <w:pStyle w:val="10"/>
        <w:spacing w:line="248" w:lineRule="auto"/>
        <w:rPr>
          <w:rFonts w:hint="eastAsia" w:asciiTheme="minorEastAsia" w:hAnsiTheme="minorEastAsia" w:eastAsiaTheme="minorEastAsia" w:cstheme="minorEastAsia"/>
          <w:color w:val="auto"/>
        </w:rPr>
      </w:pPr>
    </w:p>
    <w:p w14:paraId="4F1E1A76">
      <w:pPr>
        <w:pStyle w:val="10"/>
        <w:spacing w:line="248" w:lineRule="auto"/>
        <w:rPr>
          <w:rFonts w:hint="eastAsia" w:asciiTheme="minorEastAsia" w:hAnsiTheme="minorEastAsia" w:eastAsiaTheme="minorEastAsia" w:cstheme="minorEastAsia"/>
          <w:color w:val="auto"/>
        </w:rPr>
      </w:pPr>
    </w:p>
    <w:p w14:paraId="2CA8B29B">
      <w:pPr>
        <w:pStyle w:val="10"/>
        <w:spacing w:line="248" w:lineRule="auto"/>
        <w:rPr>
          <w:rFonts w:hint="eastAsia" w:asciiTheme="minorEastAsia" w:hAnsiTheme="minorEastAsia" w:eastAsiaTheme="minorEastAsia" w:cstheme="minorEastAsia"/>
          <w:color w:val="auto"/>
        </w:rPr>
      </w:pPr>
    </w:p>
    <w:p w14:paraId="5BF55558">
      <w:pPr>
        <w:spacing w:before="266" w:line="219" w:lineRule="auto"/>
        <w:jc w:val="center"/>
        <w:rPr>
          <w:rFonts w:hint="eastAsia" w:asciiTheme="minorEastAsia" w:hAnsiTheme="minorEastAsia" w:eastAsiaTheme="minorEastAsia" w:cstheme="minorEastAsia"/>
          <w:color w:val="auto"/>
          <w:sz w:val="82"/>
          <w:szCs w:val="82"/>
        </w:rPr>
      </w:pPr>
      <w:r>
        <w:rPr>
          <w:rFonts w:hint="eastAsia" w:asciiTheme="minorEastAsia" w:hAnsiTheme="minorEastAsia" w:eastAsiaTheme="minorEastAsia" w:cstheme="minorEastAsia"/>
          <w:b/>
          <w:bCs/>
          <w:color w:val="auto"/>
          <w:spacing w:val="-36"/>
          <w:sz w:val="82"/>
          <w:szCs w:val="82"/>
        </w:rPr>
        <w:t>招</w:t>
      </w:r>
      <w:r>
        <w:rPr>
          <w:rFonts w:hint="eastAsia" w:asciiTheme="minorEastAsia" w:hAnsiTheme="minorEastAsia" w:eastAsiaTheme="minorEastAsia" w:cstheme="minorEastAsia"/>
          <w:color w:val="auto"/>
          <w:spacing w:val="74"/>
          <w:sz w:val="82"/>
          <w:szCs w:val="82"/>
        </w:rPr>
        <w:t xml:space="preserve"> </w:t>
      </w:r>
      <w:r>
        <w:rPr>
          <w:rFonts w:hint="eastAsia" w:asciiTheme="minorEastAsia" w:hAnsiTheme="minorEastAsia" w:eastAsiaTheme="minorEastAsia" w:cstheme="minorEastAsia"/>
          <w:b/>
          <w:bCs/>
          <w:color w:val="auto"/>
          <w:spacing w:val="-36"/>
          <w:sz w:val="82"/>
          <w:szCs w:val="82"/>
        </w:rPr>
        <w:t>标</w:t>
      </w:r>
      <w:r>
        <w:rPr>
          <w:rFonts w:hint="eastAsia" w:asciiTheme="minorEastAsia" w:hAnsiTheme="minorEastAsia" w:eastAsiaTheme="minorEastAsia" w:cstheme="minorEastAsia"/>
          <w:color w:val="auto"/>
          <w:spacing w:val="77"/>
          <w:sz w:val="82"/>
          <w:szCs w:val="82"/>
        </w:rPr>
        <w:t xml:space="preserve"> </w:t>
      </w:r>
      <w:r>
        <w:rPr>
          <w:rFonts w:hint="eastAsia" w:asciiTheme="minorEastAsia" w:hAnsiTheme="minorEastAsia" w:eastAsiaTheme="minorEastAsia" w:cstheme="minorEastAsia"/>
          <w:b/>
          <w:bCs/>
          <w:color w:val="auto"/>
          <w:spacing w:val="-36"/>
          <w:sz w:val="82"/>
          <w:szCs w:val="82"/>
        </w:rPr>
        <w:t>文</w:t>
      </w:r>
      <w:r>
        <w:rPr>
          <w:rFonts w:hint="eastAsia" w:asciiTheme="minorEastAsia" w:hAnsiTheme="minorEastAsia" w:eastAsiaTheme="minorEastAsia" w:cstheme="minorEastAsia"/>
          <w:color w:val="auto"/>
          <w:spacing w:val="68"/>
          <w:sz w:val="82"/>
          <w:szCs w:val="82"/>
        </w:rPr>
        <w:t xml:space="preserve"> </w:t>
      </w:r>
      <w:r>
        <w:rPr>
          <w:rFonts w:hint="eastAsia" w:asciiTheme="minorEastAsia" w:hAnsiTheme="minorEastAsia" w:eastAsiaTheme="minorEastAsia" w:cstheme="minorEastAsia"/>
          <w:b/>
          <w:bCs/>
          <w:color w:val="auto"/>
          <w:spacing w:val="-36"/>
          <w:sz w:val="82"/>
          <w:szCs w:val="82"/>
        </w:rPr>
        <w:t>件</w:t>
      </w:r>
    </w:p>
    <w:p w14:paraId="1853E900">
      <w:pPr>
        <w:pStyle w:val="10"/>
        <w:spacing w:line="283" w:lineRule="auto"/>
        <w:rPr>
          <w:rFonts w:hint="eastAsia" w:asciiTheme="minorEastAsia" w:hAnsiTheme="minorEastAsia" w:eastAsiaTheme="minorEastAsia" w:cstheme="minorEastAsia"/>
          <w:color w:val="auto"/>
        </w:rPr>
      </w:pPr>
    </w:p>
    <w:p w14:paraId="7142537D">
      <w:pPr>
        <w:pStyle w:val="10"/>
        <w:spacing w:line="284" w:lineRule="auto"/>
        <w:rPr>
          <w:rFonts w:hint="eastAsia" w:asciiTheme="minorEastAsia" w:hAnsiTheme="minorEastAsia" w:eastAsiaTheme="minorEastAsia" w:cstheme="minorEastAsia"/>
          <w:color w:val="auto"/>
        </w:rPr>
      </w:pPr>
    </w:p>
    <w:p w14:paraId="6605B3DC">
      <w:pPr>
        <w:spacing w:before="97" w:line="220" w:lineRule="auto"/>
        <w:ind w:left="3310"/>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pacing w:val="5"/>
          <w:sz w:val="30"/>
          <w:szCs w:val="30"/>
        </w:rPr>
        <w:t>(全流程电子化评标)</w:t>
      </w:r>
    </w:p>
    <w:p w14:paraId="27FE6D7D">
      <w:pPr>
        <w:pStyle w:val="10"/>
        <w:spacing w:line="266" w:lineRule="auto"/>
        <w:rPr>
          <w:rFonts w:hint="eastAsia" w:asciiTheme="minorEastAsia" w:hAnsiTheme="minorEastAsia" w:eastAsiaTheme="minorEastAsia" w:cstheme="minorEastAsia"/>
          <w:color w:val="auto"/>
        </w:rPr>
      </w:pPr>
    </w:p>
    <w:p w14:paraId="66FD472D">
      <w:pPr>
        <w:pStyle w:val="10"/>
        <w:spacing w:line="266" w:lineRule="auto"/>
        <w:rPr>
          <w:rFonts w:hint="eastAsia" w:asciiTheme="minorEastAsia" w:hAnsiTheme="minorEastAsia" w:eastAsiaTheme="minorEastAsia" w:cstheme="minorEastAsia"/>
          <w:color w:val="auto"/>
        </w:rPr>
      </w:pPr>
    </w:p>
    <w:p w14:paraId="5C7FBB2E">
      <w:pPr>
        <w:pStyle w:val="10"/>
        <w:spacing w:line="266" w:lineRule="auto"/>
        <w:rPr>
          <w:rFonts w:hint="eastAsia" w:asciiTheme="minorEastAsia" w:hAnsiTheme="minorEastAsia" w:eastAsiaTheme="minorEastAsia" w:cstheme="minorEastAsia"/>
          <w:color w:val="auto"/>
        </w:rPr>
      </w:pPr>
    </w:p>
    <w:p w14:paraId="3B69BF2C">
      <w:pPr>
        <w:pStyle w:val="10"/>
        <w:spacing w:line="266" w:lineRule="auto"/>
        <w:rPr>
          <w:rFonts w:hint="eastAsia" w:asciiTheme="minorEastAsia" w:hAnsiTheme="minorEastAsia" w:eastAsiaTheme="minorEastAsia" w:cstheme="minorEastAsia"/>
          <w:color w:val="auto"/>
        </w:rPr>
      </w:pPr>
    </w:p>
    <w:p w14:paraId="090E712A">
      <w:pPr>
        <w:pStyle w:val="10"/>
        <w:spacing w:line="267" w:lineRule="auto"/>
        <w:rPr>
          <w:rFonts w:hint="eastAsia" w:asciiTheme="minorEastAsia" w:hAnsiTheme="minorEastAsia" w:eastAsiaTheme="minorEastAsia" w:cstheme="minorEastAsia"/>
          <w:color w:val="auto"/>
        </w:rPr>
      </w:pPr>
    </w:p>
    <w:p w14:paraId="2BA93A7E">
      <w:pPr>
        <w:spacing w:before="98" w:line="219" w:lineRule="auto"/>
        <w:ind w:left="1014"/>
        <w:rPr>
          <w:rFonts w:hint="default"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bCs/>
          <w:color w:val="auto"/>
          <w:spacing w:val="-2"/>
          <w:sz w:val="30"/>
          <w:szCs w:val="30"/>
        </w:rPr>
        <w:t>项目名称：</w:t>
      </w:r>
      <w:r>
        <w:rPr>
          <w:rFonts w:hint="eastAsia" w:asciiTheme="minorEastAsia" w:hAnsiTheme="minorEastAsia" w:eastAsiaTheme="minorEastAsia" w:cstheme="minorEastAsia"/>
          <w:b/>
          <w:bCs/>
          <w:color w:val="auto"/>
          <w:spacing w:val="-2"/>
          <w:sz w:val="30"/>
          <w:szCs w:val="30"/>
          <w:u w:val="single" w:color="auto"/>
          <w:lang w:eastAsia="zh-CN"/>
        </w:rPr>
        <w:t>广西雅长兰科植物国家级自然保护区保护设施设备购置维护及宣传教育提升项目-智慧管理系统新增模块及感知设备建设</w:t>
      </w:r>
    </w:p>
    <w:p w14:paraId="5E7631F2">
      <w:pPr>
        <w:pStyle w:val="10"/>
        <w:spacing w:line="247" w:lineRule="auto"/>
        <w:rPr>
          <w:rFonts w:hint="eastAsia" w:asciiTheme="minorEastAsia" w:hAnsiTheme="minorEastAsia" w:eastAsiaTheme="minorEastAsia" w:cstheme="minorEastAsia"/>
          <w:color w:val="auto"/>
        </w:rPr>
      </w:pPr>
    </w:p>
    <w:p w14:paraId="59FEA090">
      <w:pPr>
        <w:spacing w:before="97" w:line="219" w:lineRule="auto"/>
        <w:ind w:left="1014"/>
        <w:rPr>
          <w:rFonts w:hint="eastAsia" w:asciiTheme="minorEastAsia" w:hAnsiTheme="minorEastAsia" w:eastAsiaTheme="minorEastAsia" w:cstheme="minorEastAsia"/>
          <w:color w:val="auto"/>
          <w:sz w:val="30"/>
          <w:szCs w:val="30"/>
          <w:lang w:eastAsia="zh-CN"/>
        </w:rPr>
      </w:pPr>
      <w:r>
        <w:rPr>
          <w:rFonts w:hint="eastAsia" w:asciiTheme="minorEastAsia" w:hAnsiTheme="minorEastAsia" w:eastAsiaTheme="minorEastAsia" w:cstheme="minorEastAsia"/>
          <w:b/>
          <w:bCs/>
          <w:color w:val="auto"/>
          <w:spacing w:val="-13"/>
          <w:sz w:val="30"/>
          <w:szCs w:val="30"/>
        </w:rPr>
        <w:t>项目编号：</w:t>
      </w:r>
      <w:r>
        <w:rPr>
          <w:rFonts w:hint="eastAsia" w:asciiTheme="minorEastAsia" w:hAnsiTheme="minorEastAsia" w:eastAsiaTheme="minorEastAsia" w:cstheme="minorEastAsia"/>
          <w:b/>
          <w:bCs/>
          <w:color w:val="auto"/>
          <w:spacing w:val="-13"/>
          <w:sz w:val="30"/>
          <w:szCs w:val="30"/>
          <w:u w:val="single" w:color="auto"/>
          <w:lang w:eastAsia="zh-CN"/>
        </w:rPr>
        <w:t xml:space="preserve"> GXZC2025-G3-003960-GXHS</w:t>
      </w:r>
    </w:p>
    <w:p w14:paraId="12541103">
      <w:pPr>
        <w:pStyle w:val="10"/>
        <w:spacing w:line="265" w:lineRule="auto"/>
        <w:rPr>
          <w:rFonts w:hint="eastAsia" w:asciiTheme="minorEastAsia" w:hAnsiTheme="minorEastAsia" w:eastAsiaTheme="minorEastAsia" w:cstheme="minorEastAsia"/>
          <w:color w:val="auto"/>
        </w:rPr>
      </w:pPr>
    </w:p>
    <w:p w14:paraId="392C1748">
      <w:pPr>
        <w:pStyle w:val="10"/>
        <w:spacing w:line="265" w:lineRule="auto"/>
        <w:rPr>
          <w:rFonts w:hint="eastAsia" w:asciiTheme="minorEastAsia" w:hAnsiTheme="minorEastAsia" w:eastAsiaTheme="minorEastAsia" w:cstheme="minorEastAsia"/>
          <w:color w:val="auto"/>
        </w:rPr>
      </w:pPr>
    </w:p>
    <w:p w14:paraId="0B342F1D">
      <w:pPr>
        <w:pStyle w:val="10"/>
        <w:spacing w:line="266" w:lineRule="auto"/>
        <w:rPr>
          <w:rFonts w:hint="eastAsia" w:asciiTheme="minorEastAsia" w:hAnsiTheme="minorEastAsia" w:eastAsiaTheme="minorEastAsia" w:cstheme="minorEastAsia"/>
          <w:color w:val="auto"/>
        </w:rPr>
      </w:pPr>
    </w:p>
    <w:p w14:paraId="128A9D84">
      <w:pPr>
        <w:pStyle w:val="10"/>
        <w:spacing w:line="266" w:lineRule="auto"/>
        <w:rPr>
          <w:rFonts w:hint="eastAsia" w:asciiTheme="minorEastAsia" w:hAnsiTheme="minorEastAsia" w:eastAsiaTheme="minorEastAsia" w:cstheme="minorEastAsia"/>
          <w:color w:val="auto"/>
        </w:rPr>
      </w:pPr>
    </w:p>
    <w:p w14:paraId="008136F9">
      <w:pPr>
        <w:pStyle w:val="10"/>
        <w:spacing w:line="266" w:lineRule="auto"/>
        <w:rPr>
          <w:rFonts w:hint="eastAsia" w:asciiTheme="minorEastAsia" w:hAnsiTheme="minorEastAsia" w:eastAsiaTheme="minorEastAsia" w:cstheme="minorEastAsia"/>
          <w:color w:val="auto"/>
        </w:rPr>
      </w:pPr>
    </w:p>
    <w:p w14:paraId="5343BFC9">
      <w:pPr>
        <w:spacing w:before="98" w:line="219" w:lineRule="auto"/>
        <w:ind w:left="1014"/>
        <w:rPr>
          <w:rFonts w:hint="eastAsia" w:asciiTheme="minorEastAsia" w:hAnsiTheme="minorEastAsia" w:eastAsiaTheme="minorEastAsia" w:cstheme="minorEastAsia"/>
          <w:color w:val="auto"/>
          <w:sz w:val="30"/>
          <w:szCs w:val="30"/>
          <w:lang w:eastAsia="zh-CN"/>
        </w:rPr>
      </w:pPr>
      <w:r>
        <w:rPr>
          <w:rFonts w:hint="eastAsia" w:asciiTheme="minorEastAsia" w:hAnsiTheme="minorEastAsia" w:eastAsiaTheme="minorEastAsia" w:cstheme="minorEastAsia"/>
          <w:b/>
          <w:bCs/>
          <w:color w:val="auto"/>
          <w:spacing w:val="24"/>
          <w:sz w:val="30"/>
          <w:szCs w:val="30"/>
        </w:rPr>
        <w:t>采购人：</w:t>
      </w:r>
      <w:r>
        <w:rPr>
          <w:rFonts w:hint="eastAsia" w:asciiTheme="minorEastAsia" w:hAnsiTheme="minorEastAsia" w:eastAsiaTheme="minorEastAsia" w:cstheme="minorEastAsia"/>
          <w:b/>
          <w:bCs/>
          <w:color w:val="auto"/>
          <w:spacing w:val="24"/>
          <w:sz w:val="30"/>
          <w:szCs w:val="30"/>
          <w:lang w:eastAsia="zh-CN"/>
        </w:rPr>
        <w:t>广西雅长兰科植物国家级自然保护区管理中心</w:t>
      </w:r>
    </w:p>
    <w:p w14:paraId="326D73E2">
      <w:pPr>
        <w:pStyle w:val="10"/>
        <w:spacing w:line="255" w:lineRule="auto"/>
        <w:rPr>
          <w:rFonts w:hint="eastAsia" w:asciiTheme="minorEastAsia" w:hAnsiTheme="minorEastAsia" w:eastAsiaTheme="minorEastAsia" w:cstheme="minorEastAsia"/>
          <w:color w:val="auto"/>
        </w:rPr>
      </w:pPr>
    </w:p>
    <w:p w14:paraId="1DFE4059">
      <w:pPr>
        <w:spacing w:before="98" w:line="219" w:lineRule="auto"/>
        <w:ind w:left="1014"/>
        <w:rPr>
          <w:rFonts w:hint="eastAsia" w:asciiTheme="minorEastAsia" w:hAnsiTheme="minorEastAsia" w:eastAsiaTheme="minorEastAsia" w:cstheme="minorEastAsia"/>
          <w:color w:val="auto"/>
          <w:sz w:val="30"/>
          <w:szCs w:val="30"/>
          <w:lang w:eastAsia="zh-CN"/>
        </w:rPr>
      </w:pPr>
      <w:r>
        <w:rPr>
          <w:rFonts w:hint="eastAsia" w:asciiTheme="minorEastAsia" w:hAnsiTheme="minorEastAsia" w:eastAsiaTheme="minorEastAsia" w:cstheme="minorEastAsia"/>
          <w:b/>
          <w:bCs/>
          <w:color w:val="auto"/>
          <w:spacing w:val="-2"/>
          <w:sz w:val="30"/>
          <w:szCs w:val="30"/>
        </w:rPr>
        <w:t>采购代理机构：</w:t>
      </w:r>
      <w:r>
        <w:rPr>
          <w:rFonts w:hint="eastAsia" w:asciiTheme="minorEastAsia" w:hAnsiTheme="minorEastAsia" w:eastAsiaTheme="minorEastAsia" w:cstheme="minorEastAsia"/>
          <w:b/>
          <w:bCs/>
          <w:color w:val="auto"/>
          <w:spacing w:val="-2"/>
          <w:sz w:val="30"/>
          <w:szCs w:val="30"/>
          <w:lang w:eastAsia="zh-CN"/>
        </w:rPr>
        <w:t>广西合士嘉项目咨询有限公司</w:t>
      </w:r>
    </w:p>
    <w:p w14:paraId="3466ECA2">
      <w:pPr>
        <w:spacing w:line="219" w:lineRule="auto"/>
        <w:rPr>
          <w:rFonts w:hint="eastAsia" w:asciiTheme="minorEastAsia" w:hAnsiTheme="minorEastAsia" w:eastAsiaTheme="minorEastAsia" w:cstheme="minorEastAsia"/>
          <w:color w:val="auto"/>
          <w:sz w:val="30"/>
          <w:szCs w:val="30"/>
        </w:rPr>
      </w:pPr>
    </w:p>
    <w:p w14:paraId="17ABB182">
      <w:pPr>
        <w:spacing w:line="219" w:lineRule="auto"/>
        <w:rPr>
          <w:rFonts w:hint="eastAsia" w:asciiTheme="minorEastAsia" w:hAnsiTheme="minorEastAsia" w:eastAsiaTheme="minorEastAsia" w:cstheme="minorEastAsia"/>
          <w:color w:val="auto"/>
          <w:sz w:val="30"/>
          <w:szCs w:val="30"/>
        </w:rPr>
      </w:pPr>
    </w:p>
    <w:p w14:paraId="39E86540">
      <w:pPr>
        <w:spacing w:line="213" w:lineRule="auto"/>
        <w:ind w:firstLine="7111" w:firstLineChars="2300"/>
        <w:rPr>
          <w:rFonts w:ascii="宋体" w:hAnsi="宋体" w:eastAsia="宋体" w:cs="宋体"/>
          <w:color w:val="auto"/>
          <w:sz w:val="30"/>
          <w:szCs w:val="30"/>
        </w:rPr>
      </w:pPr>
      <w:r>
        <w:rPr>
          <w:rFonts w:hint="eastAsia" w:ascii="宋体" w:hAnsi="宋体" w:eastAsia="宋体" w:cs="宋体"/>
          <w:b/>
          <w:bCs/>
          <w:color w:val="auto"/>
          <w:spacing w:val="4"/>
          <w:sz w:val="30"/>
          <w:szCs w:val="30"/>
          <w:lang w:val="en-US" w:eastAsia="zh-CN"/>
        </w:rPr>
        <w:t>2026</w:t>
      </w:r>
      <w:r>
        <w:rPr>
          <w:rFonts w:ascii="宋体" w:hAnsi="宋体" w:eastAsia="宋体" w:cs="宋体"/>
          <w:b/>
          <w:bCs/>
          <w:color w:val="auto"/>
          <w:spacing w:val="4"/>
          <w:sz w:val="30"/>
          <w:szCs w:val="30"/>
        </w:rPr>
        <w:t>年</w:t>
      </w:r>
      <w:r>
        <w:rPr>
          <w:rFonts w:hint="eastAsia" w:ascii="宋体" w:hAnsi="宋体" w:eastAsia="宋体" w:cs="宋体"/>
          <w:b/>
          <w:bCs/>
          <w:color w:val="auto"/>
          <w:spacing w:val="4"/>
          <w:sz w:val="30"/>
          <w:szCs w:val="30"/>
          <w:lang w:val="en-US" w:eastAsia="zh-CN"/>
        </w:rPr>
        <w:t>2</w:t>
      </w:r>
      <w:r>
        <w:rPr>
          <w:rFonts w:ascii="宋体" w:hAnsi="宋体" w:eastAsia="宋体" w:cs="宋体"/>
          <w:b/>
          <w:bCs/>
          <w:color w:val="auto"/>
          <w:spacing w:val="4"/>
          <w:sz w:val="30"/>
          <w:szCs w:val="30"/>
        </w:rPr>
        <w:t>月</w:t>
      </w:r>
    </w:p>
    <w:p w14:paraId="5CD7BD03">
      <w:pPr>
        <w:spacing w:line="219" w:lineRule="auto"/>
        <w:rPr>
          <w:rFonts w:hint="eastAsia" w:asciiTheme="minorEastAsia" w:hAnsiTheme="minorEastAsia" w:eastAsiaTheme="minorEastAsia" w:cstheme="minorEastAsia"/>
          <w:color w:val="auto"/>
          <w:sz w:val="30"/>
          <w:szCs w:val="30"/>
        </w:rPr>
        <w:sectPr>
          <w:pgSz w:w="11900" w:h="16830"/>
          <w:pgMar w:top="1430" w:right="1365" w:bottom="2672" w:left="1299" w:header="0" w:footer="2315" w:gutter="0"/>
          <w:cols w:space="720" w:num="1"/>
        </w:sectPr>
      </w:pPr>
    </w:p>
    <w:sdt>
      <w:sdtPr>
        <w:rPr>
          <w:rFonts w:ascii="宋体" w:hAnsi="宋体" w:eastAsia="宋体" w:cs="Arial"/>
          <w:snapToGrid w:val="0"/>
          <w:color w:val="auto"/>
          <w:kern w:val="0"/>
          <w:sz w:val="21"/>
          <w:szCs w:val="21"/>
          <w:lang w:val="en-US" w:eastAsia="en-US" w:bidi="ar-SA"/>
        </w:rPr>
        <w:id w:val="147451861"/>
        <w15:color w:val="DBDBDB"/>
        <w:docPartObj>
          <w:docPartGallery w:val="Table of Contents"/>
          <w:docPartUnique/>
        </w:docPartObj>
      </w:sdtPr>
      <w:sdtEndPr>
        <w:rPr>
          <w:rFonts w:hint="eastAsia" w:asciiTheme="minorEastAsia" w:hAnsiTheme="minorEastAsia" w:eastAsiaTheme="minorEastAsia" w:cstheme="minorEastAsia"/>
          <w:snapToGrid w:val="0"/>
          <w:color w:val="auto"/>
          <w:kern w:val="0"/>
          <w:sz w:val="21"/>
          <w:szCs w:val="29"/>
          <w:lang w:val="en-US" w:eastAsia="en-US" w:bidi="ar-SA"/>
        </w:rPr>
      </w:sdtEndPr>
      <w:sdtContent>
        <w:p w14:paraId="21935C17">
          <w:pPr>
            <w:spacing w:before="0" w:beforeLines="0" w:after="0" w:afterLines="0" w:line="240" w:lineRule="auto"/>
            <w:ind w:left="0" w:leftChars="0" w:right="0" w:rightChars="0" w:firstLine="0" w:firstLineChars="0"/>
            <w:jc w:val="center"/>
            <w:rPr>
              <w:b/>
              <w:bCs/>
              <w:color w:val="auto"/>
              <w:sz w:val="28"/>
              <w:szCs w:val="28"/>
            </w:rPr>
          </w:pPr>
          <w:r>
            <w:rPr>
              <w:rFonts w:ascii="宋体" w:hAnsi="宋体" w:eastAsia="宋体"/>
              <w:b/>
              <w:bCs/>
              <w:color w:val="auto"/>
              <w:sz w:val="28"/>
              <w:szCs w:val="28"/>
            </w:rPr>
            <w:t>目录</w:t>
          </w:r>
        </w:p>
        <w:p w14:paraId="3378804F">
          <w:pPr>
            <w:pStyle w:val="14"/>
            <w:tabs>
              <w:tab w:val="right" w:leader="dot" w:pos="9602"/>
            </w:tabs>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9"/>
              <w:szCs w:val="29"/>
            </w:rPr>
            <w:fldChar w:fldCharType="begin"/>
          </w:r>
          <w:r>
            <w:rPr>
              <w:rFonts w:hint="eastAsia" w:asciiTheme="minorEastAsia" w:hAnsiTheme="minorEastAsia" w:eastAsiaTheme="minorEastAsia" w:cstheme="minorEastAsia"/>
              <w:color w:val="auto"/>
              <w:sz w:val="29"/>
              <w:szCs w:val="29"/>
            </w:rPr>
            <w:instrText xml:space="preserve">TOC \o "1-1" \h \u </w:instrText>
          </w:r>
          <w:r>
            <w:rPr>
              <w:rFonts w:hint="eastAsia" w:asciiTheme="minorEastAsia" w:hAnsiTheme="minorEastAsia" w:eastAsiaTheme="minorEastAsia" w:cstheme="minorEastAsia"/>
              <w:color w:val="auto"/>
              <w:sz w:val="29"/>
              <w:szCs w:val="29"/>
            </w:rPr>
            <w:fldChar w:fldCharType="separate"/>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\l _Toc29864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第一章</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招标公告</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_Toc29864 \h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14:paraId="0A475FC7">
          <w:pPr>
            <w:pStyle w:val="14"/>
            <w:tabs>
              <w:tab w:val="right" w:leader="dot" w:pos="9602"/>
            </w:tabs>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\l _Toc17026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第二章  采购需求</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_Toc17026 \h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7</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14:paraId="5E3A975B">
          <w:pPr>
            <w:pStyle w:val="14"/>
            <w:tabs>
              <w:tab w:val="right" w:leader="dot" w:pos="9602"/>
            </w:tabs>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\l _Toc25303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第三章  投标人须知</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_Toc25303 \h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69</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14:paraId="264131C4">
          <w:pPr>
            <w:pStyle w:val="14"/>
            <w:tabs>
              <w:tab w:val="right" w:leader="dot" w:pos="9602"/>
            </w:tabs>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\l _Toc7003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bCs/>
              <w:color w:val="auto"/>
              <w:spacing w:val="26"/>
              <w:sz w:val="24"/>
              <w:szCs w:val="24"/>
            </w:rPr>
            <w:t>第四章</w:t>
          </w:r>
          <w:r>
            <w:rPr>
              <w:rFonts w:hint="eastAsia" w:asciiTheme="minorEastAsia" w:hAnsiTheme="minorEastAsia" w:eastAsiaTheme="minorEastAsia" w:cstheme="minorEastAsia"/>
              <w:color w:val="auto"/>
              <w:spacing w:val="26"/>
              <w:sz w:val="24"/>
              <w:szCs w:val="24"/>
            </w:rPr>
            <w:t xml:space="preserve"> </w:t>
          </w:r>
          <w:r>
            <w:rPr>
              <w:rFonts w:hint="eastAsia" w:asciiTheme="minorEastAsia" w:hAnsiTheme="minorEastAsia" w:eastAsiaTheme="minorEastAsia" w:cstheme="minorEastAsia"/>
              <w:bCs/>
              <w:color w:val="auto"/>
              <w:spacing w:val="26"/>
              <w:sz w:val="24"/>
              <w:szCs w:val="24"/>
            </w:rPr>
            <w:t>评标方法和评标标准</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_Toc7003 \h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91</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14:paraId="47C0484B">
          <w:pPr>
            <w:pStyle w:val="14"/>
            <w:tabs>
              <w:tab w:val="right" w:leader="dot" w:pos="9602"/>
            </w:tabs>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\l _Toc16309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第五章  合同条款及格式</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_Toc16309 \h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105</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14:paraId="40F11A61">
          <w:pPr>
            <w:pStyle w:val="14"/>
            <w:tabs>
              <w:tab w:val="right" w:leader="dot" w:pos="9602"/>
            </w:tabs>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\l _Toc22953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 xml:space="preserve">第六章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投标文件格式</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_Toc22953 \h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112</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14:paraId="1C0FD32A">
          <w:pPr>
            <w:pStyle w:val="14"/>
            <w:tabs>
              <w:tab w:val="right" w:leader="dot" w:pos="9602"/>
            </w:tabs>
            <w:spacing w:line="360" w:lineRule="auto"/>
            <w:rPr>
              <w:color w:val="auto"/>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\l _Toc25779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第七章</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质疑、投诉材料格式</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_Toc25779 \h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139</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fldChar w:fldCharType="end"/>
          </w:r>
        </w:p>
        <w:p w14:paraId="0305E910">
          <w:pPr>
            <w:spacing w:line="219" w:lineRule="auto"/>
            <w:rPr>
              <w:rFonts w:hint="eastAsia" w:asciiTheme="minorEastAsia" w:hAnsiTheme="minorEastAsia" w:eastAsiaTheme="minorEastAsia" w:cstheme="minorEastAsia"/>
              <w:snapToGrid w:val="0"/>
              <w:color w:val="auto"/>
              <w:kern w:val="0"/>
              <w:sz w:val="21"/>
              <w:szCs w:val="29"/>
              <w:lang w:val="en-US" w:eastAsia="en-US" w:bidi="ar-SA"/>
            </w:rPr>
          </w:pPr>
          <w:r>
            <w:rPr>
              <w:rFonts w:hint="eastAsia" w:asciiTheme="minorEastAsia" w:hAnsiTheme="minorEastAsia" w:eastAsiaTheme="minorEastAsia" w:cstheme="minorEastAsia"/>
              <w:color w:val="auto"/>
              <w:szCs w:val="29"/>
            </w:rPr>
            <w:fldChar w:fldCharType="end"/>
          </w:r>
        </w:p>
      </w:sdtContent>
    </w:sdt>
    <w:p w14:paraId="43EE85FD">
      <w:pPr>
        <w:pStyle w:val="12"/>
        <w:rPr>
          <w:rFonts w:hint="eastAsia"/>
          <w:color w:val="auto"/>
        </w:rPr>
        <w:sectPr>
          <w:footerReference r:id="rId5" w:type="default"/>
          <w:pgSz w:w="11900" w:h="16830"/>
          <w:pgMar w:top="1430" w:right="1178" w:bottom="400" w:left="1120" w:header="0" w:footer="0" w:gutter="0"/>
          <w:cols w:space="720" w:num="1"/>
        </w:sectPr>
      </w:pPr>
    </w:p>
    <w:p w14:paraId="0286BABA">
      <w:pPr>
        <w:pStyle w:val="2"/>
        <w:bidi w:val="0"/>
        <w:spacing w:line="240" w:lineRule="auto"/>
        <w:rPr>
          <w:rFonts w:hint="eastAsia" w:ascii="Arial" w:hAnsi="Arial" w:eastAsia="宋体"/>
          <w:b/>
          <w:color w:val="auto"/>
        </w:rPr>
      </w:pPr>
      <w:bookmarkStart w:id="0" w:name="_Toc29864"/>
      <w:r>
        <w:rPr>
          <w:rFonts w:hint="eastAsia" w:ascii="Arial" w:hAnsi="Arial" w:eastAsia="宋体"/>
          <w:b/>
          <w:color w:val="auto"/>
        </w:rPr>
        <w:t>第一章</w:t>
      </w:r>
      <w:r>
        <w:rPr>
          <w:rFonts w:hint="eastAsia" w:ascii="Arial" w:hAnsi="Arial" w:eastAsia="宋体"/>
          <w:b/>
          <w:color w:val="auto"/>
          <w:lang w:val="en-US" w:eastAsia="zh-CN"/>
        </w:rPr>
        <w:t xml:space="preserve"> </w:t>
      </w:r>
      <w:r>
        <w:rPr>
          <w:rFonts w:hint="eastAsia" w:ascii="Arial" w:hAnsi="Arial" w:eastAsia="宋体"/>
          <w:b/>
          <w:color w:val="auto"/>
        </w:rPr>
        <w:t>招标公告</w:t>
      </w:r>
      <w:bookmarkEnd w:id="0"/>
    </w:p>
    <w:p w14:paraId="1362A07B">
      <w:pPr>
        <w:spacing w:before="64" w:line="219" w:lineRule="auto"/>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b/>
          <w:bCs/>
          <w:color w:val="auto"/>
          <w:spacing w:val="-4"/>
          <w:sz w:val="30"/>
          <w:szCs w:val="30"/>
          <w:lang w:eastAsia="zh-CN"/>
        </w:rPr>
        <w:t>广西雅长兰科植物国家级自然保护区保护设施设备购置维护及宣传教育提升项目-智慧管理系统新增模块及感知设备建设</w:t>
      </w:r>
      <w:r>
        <w:rPr>
          <w:rFonts w:hint="eastAsia" w:asciiTheme="minorEastAsia" w:hAnsiTheme="minorEastAsia" w:eastAsiaTheme="minorEastAsia" w:cstheme="minorEastAsia"/>
          <w:b/>
          <w:bCs/>
          <w:color w:val="auto"/>
          <w:spacing w:val="-10"/>
          <w:sz w:val="30"/>
          <w:szCs w:val="30"/>
        </w:rPr>
        <w:t>(项目编号：</w:t>
      </w:r>
      <w:r>
        <w:rPr>
          <w:rFonts w:hint="eastAsia" w:asciiTheme="minorEastAsia" w:hAnsiTheme="minorEastAsia" w:eastAsiaTheme="minorEastAsia" w:cstheme="minorEastAsia"/>
          <w:b/>
          <w:bCs/>
          <w:color w:val="auto"/>
          <w:spacing w:val="-10"/>
          <w:sz w:val="30"/>
          <w:szCs w:val="30"/>
          <w:lang w:eastAsia="zh-CN"/>
        </w:rPr>
        <w:t xml:space="preserve"> GXZC2025-G3-003960-GXHS</w:t>
      </w:r>
      <w:r>
        <w:rPr>
          <w:rFonts w:hint="eastAsia" w:asciiTheme="minorEastAsia" w:hAnsiTheme="minorEastAsia" w:eastAsiaTheme="minorEastAsia" w:cstheme="minorEastAsia"/>
          <w:b/>
          <w:bCs/>
          <w:color w:val="auto"/>
          <w:spacing w:val="-11"/>
          <w:sz w:val="30"/>
          <w:szCs w:val="30"/>
        </w:rPr>
        <w:t>)</w:t>
      </w:r>
    </w:p>
    <w:p w14:paraId="4934DD36">
      <w:pPr>
        <w:spacing w:before="108" w:line="218" w:lineRule="auto"/>
        <w:ind w:left="2779"/>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b/>
          <w:bCs/>
          <w:color w:val="auto"/>
          <w:spacing w:val="16"/>
          <w:sz w:val="30"/>
          <w:szCs w:val="30"/>
        </w:rPr>
        <w:t>招标公告(远程异地评标)</w:t>
      </w:r>
    </w:p>
    <w:p w14:paraId="12439502">
      <w:pPr>
        <w:spacing w:before="114"/>
        <w:rPr>
          <w:rFonts w:hint="eastAsia" w:asciiTheme="minorEastAsia" w:hAnsiTheme="minorEastAsia" w:eastAsiaTheme="minorEastAsia" w:cstheme="minorEastAsia"/>
          <w:color w:val="auto"/>
        </w:rPr>
      </w:pPr>
    </w:p>
    <w:tbl>
      <w:tblPr>
        <w:tblStyle w:val="20"/>
        <w:tblW w:w="91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168"/>
      </w:tblGrid>
      <w:tr w14:paraId="12F73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9159" w:type="dxa"/>
            <w:vAlign w:val="top"/>
          </w:tcPr>
          <w:p w14:paraId="0E275C41">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color w:val="auto"/>
              </w:rPr>
            </w:pPr>
            <w:r>
              <w:rPr>
                <w:rFonts w:hint="eastAsia"/>
                <w:color w:val="auto"/>
              </w:rPr>
              <w:t>项目概况：</w:t>
            </w:r>
          </w:p>
          <w:p w14:paraId="48CDDF52">
            <w:pPr>
              <w:keepNext w:val="0"/>
              <w:keepLines w:val="0"/>
              <w:pageBreakBefore w:val="0"/>
              <w:widowControl/>
              <w:kinsoku w:val="0"/>
              <w:wordWrap w:val="0"/>
              <w:overflowPunct/>
              <w:topLinePunct w:val="0"/>
              <w:autoSpaceDE w:val="0"/>
              <w:autoSpaceDN w:val="0"/>
              <w:bidi w:val="0"/>
              <w:adjustRightInd w:val="0"/>
              <w:snapToGrid w:val="0"/>
              <w:spacing w:line="420" w:lineRule="exact"/>
              <w:ind w:firstLine="420" w:firstLineChars="200"/>
              <w:textAlignment w:val="baseline"/>
              <w:rPr>
                <w:rFonts w:hint="eastAsia" w:asciiTheme="minorEastAsia" w:hAnsiTheme="minorEastAsia" w:eastAsiaTheme="minorEastAsia" w:cstheme="minorEastAsia"/>
                <w:color w:val="auto"/>
                <w:szCs w:val="22"/>
              </w:rPr>
            </w:pPr>
            <w:r>
              <w:rPr>
                <w:rFonts w:hint="eastAsia"/>
                <w:color w:val="auto"/>
                <w:lang w:eastAsia="zh-CN"/>
              </w:rPr>
              <w:t>广西雅长兰科植物国家级自然保护区保护设施设备购置维护及宣传教育提升项目-智慧管理系统新增模块及感知设备建设</w:t>
            </w:r>
            <w:r>
              <w:rPr>
                <w:rFonts w:hint="eastAsia"/>
                <w:color w:val="auto"/>
              </w:rPr>
              <w:t>招标项目的潜在投标人应在广西政府采购云平台 (</w:t>
            </w:r>
            <w:r>
              <w:rPr>
                <w:rFonts w:hint="eastAsia"/>
                <w:color w:val="auto"/>
              </w:rPr>
              <w:fldChar w:fldCharType="begin"/>
            </w:r>
            <w:r>
              <w:rPr>
                <w:rFonts w:hint="eastAsia"/>
                <w:color w:val="auto"/>
              </w:rPr>
              <w:instrText xml:space="preserve"> HYPERLINK "https://ww.gcy.zfcg.gxzf.gov.cn/" </w:instrText>
            </w:r>
            <w:r>
              <w:rPr>
                <w:rFonts w:hint="eastAsia"/>
                <w:color w:val="auto"/>
              </w:rPr>
              <w:fldChar w:fldCharType="separate"/>
            </w:r>
            <w:r>
              <w:rPr>
                <w:rFonts w:hint="eastAsia"/>
                <w:color w:val="auto"/>
              </w:rPr>
              <w:t>https://ww.gcy.zfcg.gxzf.gov.cn/</w:t>
            </w:r>
            <w:r>
              <w:rPr>
                <w:rFonts w:hint="eastAsia"/>
                <w:color w:val="auto"/>
              </w:rPr>
              <w:fldChar w:fldCharType="end"/>
            </w:r>
            <w:r>
              <w:rPr>
                <w:rFonts w:hint="eastAsia"/>
                <w:color w:val="auto"/>
              </w:rPr>
              <w:t>)获取招标文件，并于202</w:t>
            </w:r>
            <w:r>
              <w:rPr>
                <w:rFonts w:hint="eastAsia" w:eastAsia="宋体"/>
                <w:color w:val="auto"/>
                <w:lang w:val="en-US" w:eastAsia="zh-CN"/>
              </w:rPr>
              <w:t>6</w:t>
            </w:r>
            <w:r>
              <w:rPr>
                <w:rFonts w:hint="eastAsia"/>
                <w:color w:val="auto"/>
              </w:rPr>
              <w:t>年</w:t>
            </w:r>
            <w:r>
              <w:rPr>
                <w:rFonts w:hint="eastAsia"/>
                <w:color w:val="auto"/>
                <w:lang w:val="en-US" w:eastAsia="zh-CN"/>
              </w:rPr>
              <w:t xml:space="preserve"> </w:t>
            </w:r>
            <w:r>
              <w:rPr>
                <w:rFonts w:hint="eastAsia"/>
                <w:color w:val="auto"/>
              </w:rPr>
              <w:t>月</w:t>
            </w:r>
            <w:r>
              <w:rPr>
                <w:rFonts w:hint="eastAsia"/>
                <w:color w:val="auto"/>
                <w:lang w:val="en-US" w:eastAsia="zh-CN"/>
              </w:rPr>
              <w:t xml:space="preserve"> </w:t>
            </w:r>
            <w:r>
              <w:rPr>
                <w:rFonts w:hint="eastAsia"/>
                <w:color w:val="auto"/>
              </w:rPr>
              <w:t>日9点00分(北京时间)前递交投标文件。</w:t>
            </w:r>
          </w:p>
        </w:tc>
      </w:tr>
    </w:tbl>
    <w:p w14:paraId="25CB0120">
      <w:pPr>
        <w:spacing w:before="149" w:line="222" w:lineRule="auto"/>
        <w:ind w:left="48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5"/>
          <w:sz w:val="21"/>
          <w:szCs w:val="21"/>
        </w:rPr>
        <w:t>一</w:t>
      </w:r>
      <w:r>
        <w:rPr>
          <w:rFonts w:hint="eastAsia" w:asciiTheme="minorEastAsia" w:hAnsiTheme="minorEastAsia" w:eastAsiaTheme="minorEastAsia" w:cstheme="minorEastAsia"/>
          <w:color w:val="auto"/>
          <w:spacing w:val="-22"/>
          <w:sz w:val="21"/>
          <w:szCs w:val="21"/>
        </w:rPr>
        <w:t xml:space="preserve"> </w:t>
      </w:r>
      <w:r>
        <w:rPr>
          <w:rFonts w:hint="eastAsia" w:asciiTheme="minorEastAsia" w:hAnsiTheme="minorEastAsia" w:eastAsiaTheme="minorEastAsia" w:cstheme="minorEastAsia"/>
          <w:b/>
          <w:bCs/>
          <w:color w:val="auto"/>
          <w:spacing w:val="-5"/>
          <w:sz w:val="21"/>
          <w:szCs w:val="21"/>
        </w:rPr>
        <w:t>、项目基本情况</w:t>
      </w:r>
    </w:p>
    <w:p w14:paraId="45AF90E6">
      <w:pPr>
        <w:keepNext w:val="0"/>
        <w:keepLines w:val="0"/>
        <w:pageBreakBefore w:val="0"/>
        <w:widowControl/>
        <w:kinsoku w:val="0"/>
        <w:wordWrap/>
        <w:overflowPunct/>
        <w:topLinePunct w:val="0"/>
        <w:autoSpaceDE w:val="0"/>
        <w:autoSpaceDN w:val="0"/>
        <w:bidi w:val="0"/>
        <w:adjustRightInd w:val="0"/>
        <w:snapToGrid w:val="0"/>
        <w:spacing w:line="420" w:lineRule="exact"/>
        <w:ind w:firstLine="420" w:firstLineChars="200"/>
        <w:textAlignment w:val="baseline"/>
        <w:rPr>
          <w:rFonts w:hint="eastAsia"/>
          <w:color w:val="auto"/>
          <w:lang w:eastAsia="zh-CN"/>
        </w:rPr>
      </w:pPr>
      <w:r>
        <w:rPr>
          <w:rFonts w:hint="eastAsia"/>
          <w:color w:val="auto"/>
        </w:rPr>
        <w:t>项目编号：</w:t>
      </w:r>
      <w:r>
        <w:rPr>
          <w:rFonts w:hint="eastAsia"/>
          <w:color w:val="auto"/>
          <w:lang w:eastAsia="zh-CN"/>
        </w:rPr>
        <w:t xml:space="preserve"> GXZC2025-G3-003960-GXHS</w:t>
      </w:r>
    </w:p>
    <w:p w14:paraId="53E524EC">
      <w:pPr>
        <w:keepNext w:val="0"/>
        <w:keepLines w:val="0"/>
        <w:pageBreakBefore w:val="0"/>
        <w:widowControl/>
        <w:kinsoku w:val="0"/>
        <w:wordWrap/>
        <w:overflowPunct/>
        <w:topLinePunct w:val="0"/>
        <w:autoSpaceDE w:val="0"/>
        <w:autoSpaceDN w:val="0"/>
        <w:bidi w:val="0"/>
        <w:adjustRightInd w:val="0"/>
        <w:snapToGrid w:val="0"/>
        <w:spacing w:line="420" w:lineRule="exact"/>
        <w:ind w:firstLine="420" w:firstLineChars="200"/>
        <w:textAlignment w:val="baseline"/>
        <w:rPr>
          <w:rFonts w:hint="eastAsia"/>
          <w:color w:val="auto"/>
          <w:lang w:eastAsia="zh-CN"/>
        </w:rPr>
      </w:pPr>
      <w:r>
        <w:rPr>
          <w:rFonts w:hint="eastAsia"/>
          <w:color w:val="auto"/>
        </w:rPr>
        <w:t>项目名称：</w:t>
      </w:r>
      <w:r>
        <w:rPr>
          <w:rFonts w:hint="eastAsia"/>
          <w:color w:val="auto"/>
          <w:lang w:eastAsia="zh-CN"/>
        </w:rPr>
        <w:t>广西雅长兰科植物国家级自然保护区保护设施设备购置维护及宣传教育提升项目-智慧管理系统新增模块及感知设备建设</w:t>
      </w:r>
    </w:p>
    <w:p w14:paraId="29C336BF">
      <w:pPr>
        <w:keepNext w:val="0"/>
        <w:keepLines w:val="0"/>
        <w:pageBreakBefore w:val="0"/>
        <w:widowControl/>
        <w:kinsoku w:val="0"/>
        <w:wordWrap/>
        <w:overflowPunct/>
        <w:topLinePunct w:val="0"/>
        <w:autoSpaceDE w:val="0"/>
        <w:autoSpaceDN w:val="0"/>
        <w:bidi w:val="0"/>
        <w:adjustRightInd w:val="0"/>
        <w:snapToGrid w:val="0"/>
        <w:spacing w:line="420" w:lineRule="exact"/>
        <w:ind w:firstLine="420" w:firstLineChars="200"/>
        <w:textAlignment w:val="baseline"/>
        <w:rPr>
          <w:rFonts w:hint="eastAsia"/>
          <w:color w:val="auto"/>
        </w:rPr>
      </w:pPr>
      <w:r>
        <w:rPr>
          <w:rFonts w:hint="eastAsia"/>
          <w:color w:val="auto"/>
        </w:rPr>
        <w:t>预算金额：人民币</w:t>
      </w:r>
      <w:r>
        <w:rPr>
          <w:rFonts w:hint="eastAsia"/>
          <w:color w:val="auto"/>
          <w:lang w:val="en-US" w:eastAsia="zh-CN"/>
        </w:rPr>
        <w:t>肆佰伍拾陆万捌仟陆佰元整</w:t>
      </w:r>
      <w:r>
        <w:rPr>
          <w:rFonts w:hint="eastAsia"/>
          <w:color w:val="auto"/>
          <w:lang w:eastAsia="zh-CN"/>
        </w:rPr>
        <w:t>(¥4,568,600.00)</w:t>
      </w:r>
      <w:r>
        <w:rPr>
          <w:rFonts w:hint="eastAsia"/>
          <w:color w:val="auto"/>
        </w:rPr>
        <w:t>。</w:t>
      </w:r>
    </w:p>
    <w:p w14:paraId="3DAD5969">
      <w:pPr>
        <w:keepNext w:val="0"/>
        <w:keepLines w:val="0"/>
        <w:pageBreakBefore w:val="0"/>
        <w:widowControl/>
        <w:kinsoku w:val="0"/>
        <w:wordWrap/>
        <w:overflowPunct/>
        <w:topLinePunct w:val="0"/>
        <w:autoSpaceDE w:val="0"/>
        <w:autoSpaceDN w:val="0"/>
        <w:bidi w:val="0"/>
        <w:adjustRightInd w:val="0"/>
        <w:snapToGrid w:val="0"/>
        <w:spacing w:line="420" w:lineRule="exact"/>
        <w:ind w:firstLine="420" w:firstLineChars="200"/>
        <w:textAlignment w:val="baseline"/>
        <w:rPr>
          <w:rFonts w:hint="eastAsia"/>
          <w:color w:val="auto"/>
          <w:lang w:val="en-US" w:eastAsia="zh-CN"/>
        </w:rPr>
      </w:pPr>
      <w:r>
        <w:rPr>
          <w:rFonts w:hint="eastAsia"/>
          <w:color w:val="auto"/>
          <w:lang w:val="en-US" w:eastAsia="zh-CN"/>
        </w:rPr>
        <w:t>其中标段1人民币壹佰肆拾捌万玖仟壹佰贰拾元整（</w:t>
      </w:r>
      <w:r>
        <w:rPr>
          <w:rFonts w:hint="eastAsia"/>
          <w:color w:val="auto"/>
          <w:lang w:eastAsia="zh-CN"/>
        </w:rPr>
        <w:t>¥1,489,120.00</w:t>
      </w:r>
      <w:r>
        <w:rPr>
          <w:rFonts w:hint="eastAsia"/>
          <w:color w:val="auto"/>
          <w:lang w:val="en-US" w:eastAsia="zh-CN"/>
        </w:rPr>
        <w:t>）；</w:t>
      </w:r>
    </w:p>
    <w:p w14:paraId="7C6044F7">
      <w:pPr>
        <w:keepNext w:val="0"/>
        <w:keepLines w:val="0"/>
        <w:pageBreakBefore w:val="0"/>
        <w:widowControl/>
        <w:kinsoku w:val="0"/>
        <w:wordWrap/>
        <w:overflowPunct/>
        <w:topLinePunct w:val="0"/>
        <w:autoSpaceDE w:val="0"/>
        <w:autoSpaceDN w:val="0"/>
        <w:bidi w:val="0"/>
        <w:adjustRightInd w:val="0"/>
        <w:snapToGrid w:val="0"/>
        <w:spacing w:line="420" w:lineRule="exact"/>
        <w:ind w:firstLine="420" w:firstLineChars="200"/>
        <w:textAlignment w:val="baseline"/>
        <w:rPr>
          <w:rFonts w:hint="default"/>
          <w:color w:val="auto"/>
          <w:lang w:val="en-US" w:eastAsia="zh-CN"/>
        </w:rPr>
      </w:pPr>
      <w:r>
        <w:rPr>
          <w:rFonts w:hint="eastAsia"/>
          <w:color w:val="auto"/>
          <w:lang w:val="en-US" w:eastAsia="zh-CN"/>
        </w:rPr>
        <w:t>标段2人民币叁佰零柒万玖仟肆佰捌拾元整（</w:t>
      </w:r>
      <w:r>
        <w:rPr>
          <w:rFonts w:hint="eastAsia"/>
          <w:color w:val="auto"/>
          <w:lang w:eastAsia="zh-CN"/>
        </w:rPr>
        <w:t>¥3,079,480.0</w:t>
      </w:r>
      <w:r>
        <w:rPr>
          <w:color w:val="auto"/>
        </w:rPr>
        <w:t>0</w:t>
      </w:r>
      <w:r>
        <w:rPr>
          <w:rFonts w:hint="eastAsia"/>
          <w:color w:val="auto"/>
          <w:lang w:val="en-US" w:eastAsia="zh-CN"/>
        </w:rPr>
        <w:t>）。</w:t>
      </w:r>
    </w:p>
    <w:p w14:paraId="691C8A34">
      <w:pPr>
        <w:spacing w:before="197" w:line="222" w:lineRule="auto"/>
        <w:ind w:left="48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val="0"/>
          <w:color w:val="auto"/>
          <w:sz w:val="21"/>
          <w:szCs w:val="21"/>
        </w:rPr>
        <w:t>最高限价：</w:t>
      </w:r>
      <w:r>
        <w:rPr>
          <w:rFonts w:hint="eastAsia" w:asciiTheme="minorEastAsia" w:hAnsiTheme="minorEastAsia" w:eastAsiaTheme="minorEastAsia" w:cstheme="minorEastAsia"/>
          <w:color w:val="auto"/>
          <w:sz w:val="21"/>
          <w:szCs w:val="21"/>
        </w:rPr>
        <w:t>与预算金额一致</w:t>
      </w:r>
    </w:p>
    <w:p w14:paraId="556ACE7C">
      <w:pPr>
        <w:keepNext w:val="0"/>
        <w:keepLines w:val="0"/>
        <w:pageBreakBefore w:val="0"/>
        <w:widowControl/>
        <w:kinsoku w:val="0"/>
        <w:wordWrap/>
        <w:overflowPunct/>
        <w:topLinePunct w:val="0"/>
        <w:autoSpaceDE w:val="0"/>
        <w:autoSpaceDN w:val="0"/>
        <w:bidi w:val="0"/>
        <w:adjustRightInd w:val="0"/>
        <w:snapToGrid w:val="0"/>
        <w:spacing w:line="420" w:lineRule="exact"/>
        <w:ind w:firstLine="420" w:firstLineChars="200"/>
        <w:textAlignment w:val="baseline"/>
        <w:rPr>
          <w:rFonts w:hint="eastAsia"/>
          <w:color w:val="auto"/>
        </w:rPr>
      </w:pPr>
      <w:r>
        <w:rPr>
          <w:rFonts w:hint="eastAsia"/>
          <w:color w:val="auto"/>
        </w:rPr>
        <w:t>采购需求：</w:t>
      </w:r>
      <w:bookmarkStart w:id="1" w:name="_Hlk195178450"/>
      <w:r>
        <w:rPr>
          <w:rFonts w:hint="eastAsia"/>
          <w:color w:val="auto"/>
        </w:rPr>
        <w:t>本期项目建设内容主要包括保护设施设备购置、智慧管理系统新增功能模块、商用密码应用建设</w:t>
      </w:r>
      <w:r>
        <w:rPr>
          <w:rFonts w:hint="eastAsia" w:eastAsia="宋体"/>
          <w:color w:val="auto"/>
          <w:lang w:eastAsia="zh-CN"/>
        </w:rPr>
        <w:t>、</w:t>
      </w:r>
      <w:r>
        <w:rPr>
          <w:rFonts w:hint="eastAsia"/>
          <w:color w:val="auto"/>
        </w:rPr>
        <w:t>安全系统等保二级等建设</w:t>
      </w:r>
      <w:r>
        <w:rPr>
          <w:rFonts w:hint="eastAsia" w:eastAsia="宋体"/>
          <w:color w:val="auto"/>
          <w:lang w:val="en-US" w:eastAsia="zh-CN"/>
        </w:rPr>
        <w:t>和解说系统建设</w:t>
      </w:r>
      <w:r>
        <w:rPr>
          <w:rFonts w:hint="eastAsia"/>
          <w:color w:val="auto"/>
        </w:rPr>
        <w:t>。</w:t>
      </w:r>
    </w:p>
    <w:p w14:paraId="4355A6F3">
      <w:pPr>
        <w:keepNext w:val="0"/>
        <w:keepLines w:val="0"/>
        <w:pageBreakBefore w:val="0"/>
        <w:widowControl/>
        <w:kinsoku w:val="0"/>
        <w:wordWrap/>
        <w:overflowPunct/>
        <w:topLinePunct w:val="0"/>
        <w:autoSpaceDE w:val="0"/>
        <w:autoSpaceDN w:val="0"/>
        <w:bidi w:val="0"/>
        <w:adjustRightInd w:val="0"/>
        <w:snapToGrid w:val="0"/>
        <w:spacing w:line="420" w:lineRule="exact"/>
        <w:ind w:firstLine="420" w:firstLineChars="200"/>
        <w:textAlignment w:val="baseline"/>
        <w:rPr>
          <w:rFonts w:hint="eastAsia"/>
          <w:color w:val="auto"/>
        </w:rPr>
      </w:pPr>
      <w:r>
        <w:rPr>
          <w:rFonts w:hint="eastAsia"/>
          <w:color w:val="auto"/>
        </w:rPr>
        <w:t>具体内容如下：</w:t>
      </w:r>
    </w:p>
    <w:p w14:paraId="3D10E5F8">
      <w:pPr>
        <w:keepNext w:val="0"/>
        <w:keepLines w:val="0"/>
        <w:pageBreakBefore w:val="0"/>
        <w:widowControl/>
        <w:kinsoku w:val="0"/>
        <w:wordWrap/>
        <w:overflowPunct/>
        <w:topLinePunct w:val="0"/>
        <w:autoSpaceDE w:val="0"/>
        <w:autoSpaceDN w:val="0"/>
        <w:bidi w:val="0"/>
        <w:adjustRightInd w:val="0"/>
        <w:snapToGrid w:val="0"/>
        <w:spacing w:line="420" w:lineRule="exact"/>
        <w:ind w:firstLine="420" w:firstLineChars="200"/>
        <w:textAlignment w:val="baseline"/>
        <w:rPr>
          <w:rFonts w:hint="eastAsia"/>
          <w:color w:val="auto"/>
        </w:rPr>
      </w:pPr>
      <w:r>
        <w:rPr>
          <w:rFonts w:hint="eastAsia"/>
          <w:color w:val="auto"/>
          <w:lang w:val="en-US" w:eastAsia="zh-CN"/>
        </w:rPr>
        <w:t>标段1：</w:t>
      </w:r>
      <w:r>
        <w:rPr>
          <w:rFonts w:hint="eastAsia"/>
          <w:color w:val="auto"/>
        </w:rPr>
        <w:t>保护设施设备购置</w:t>
      </w:r>
    </w:p>
    <w:p w14:paraId="5D55E885">
      <w:pPr>
        <w:keepNext w:val="0"/>
        <w:keepLines w:val="0"/>
        <w:pageBreakBefore w:val="0"/>
        <w:widowControl/>
        <w:kinsoku w:val="0"/>
        <w:wordWrap/>
        <w:overflowPunct/>
        <w:topLinePunct w:val="0"/>
        <w:autoSpaceDE w:val="0"/>
        <w:autoSpaceDN w:val="0"/>
        <w:bidi w:val="0"/>
        <w:adjustRightInd w:val="0"/>
        <w:snapToGrid w:val="0"/>
        <w:spacing w:line="420" w:lineRule="exact"/>
        <w:ind w:firstLine="420" w:firstLineChars="200"/>
        <w:textAlignment w:val="baseline"/>
        <w:rPr>
          <w:rFonts w:hint="eastAsia"/>
          <w:color w:val="auto"/>
          <w:lang w:val="en-US" w:eastAsia="zh-CN"/>
        </w:rPr>
      </w:pPr>
      <w:r>
        <w:rPr>
          <w:rFonts w:hint="eastAsia"/>
          <w:color w:val="auto"/>
        </w:rPr>
        <w:t>建设卡口监控前端设备、防灾减灾前端设备、通信网络配置设施等设备，进一步完善保护区基础设施，提高管理水平，提升安全防控和防灾减灾能力</w:t>
      </w:r>
      <w:r>
        <w:rPr>
          <w:rFonts w:hint="eastAsia"/>
          <w:color w:val="auto"/>
          <w:lang w:eastAsia="zh-CN"/>
        </w:rPr>
        <w:t>，</w:t>
      </w:r>
      <w:r>
        <w:rPr>
          <w:rFonts w:hint="eastAsia"/>
          <w:color w:val="auto"/>
          <w:lang w:val="en-US" w:eastAsia="zh-CN"/>
        </w:rPr>
        <w:t>详见购置清单。</w:t>
      </w:r>
    </w:p>
    <w:p w14:paraId="6DDE0D75">
      <w:pPr>
        <w:keepNext w:val="0"/>
        <w:keepLines w:val="0"/>
        <w:pageBreakBefore w:val="0"/>
        <w:widowControl/>
        <w:kinsoku w:val="0"/>
        <w:wordWrap/>
        <w:overflowPunct/>
        <w:topLinePunct w:val="0"/>
        <w:autoSpaceDE w:val="0"/>
        <w:autoSpaceDN w:val="0"/>
        <w:bidi w:val="0"/>
        <w:adjustRightInd w:val="0"/>
        <w:snapToGrid w:val="0"/>
        <w:spacing w:line="420" w:lineRule="exact"/>
        <w:ind w:firstLine="420" w:firstLineChars="200"/>
        <w:textAlignment w:val="baseline"/>
        <w:rPr>
          <w:rFonts w:hint="default"/>
          <w:color w:val="auto"/>
          <w:lang w:val="en-US" w:eastAsia="zh-CN"/>
        </w:rPr>
      </w:pPr>
      <w:r>
        <w:rPr>
          <w:rFonts w:hint="eastAsia"/>
          <w:color w:val="auto"/>
          <w:lang w:val="en-US" w:eastAsia="zh-CN"/>
        </w:rPr>
        <w:t>标段2：</w:t>
      </w:r>
      <w:r>
        <w:rPr>
          <w:rFonts w:hint="default"/>
          <w:color w:val="auto"/>
          <w:lang w:val="en-US" w:eastAsia="zh-CN"/>
        </w:rPr>
        <w:t>网络感知系统运维</w:t>
      </w:r>
      <w:r>
        <w:rPr>
          <w:rFonts w:hint="eastAsia"/>
          <w:color w:val="auto"/>
          <w:lang w:val="en-US" w:eastAsia="zh-CN"/>
        </w:rPr>
        <w:t>及管理系统新增功能模块</w:t>
      </w:r>
    </w:p>
    <w:p w14:paraId="334D5125">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20" w:lineRule="exact"/>
        <w:ind w:firstLine="420" w:firstLineChars="200"/>
        <w:textAlignment w:val="baseline"/>
        <w:rPr>
          <w:rFonts w:hint="eastAsia"/>
          <w:color w:val="auto"/>
        </w:rPr>
      </w:pPr>
      <w:r>
        <w:rPr>
          <w:rFonts w:hint="eastAsia"/>
          <w:color w:val="auto"/>
        </w:rPr>
        <w:t>广西雅长兰科植物国家级自然保护区三维实景模型与场景空间展示系统（以下正文统称“智慧管理系统新增模块”）</w:t>
      </w:r>
    </w:p>
    <w:p w14:paraId="27BC87E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20" w:lineRule="exact"/>
        <w:ind w:firstLine="420" w:firstLineChars="200"/>
        <w:textAlignment w:val="baseline"/>
        <w:rPr>
          <w:rFonts w:hint="eastAsia"/>
          <w:color w:val="auto"/>
        </w:rPr>
      </w:pPr>
      <w:r>
        <w:rPr>
          <w:rFonts w:hint="eastAsia"/>
          <w:color w:val="auto"/>
        </w:rPr>
        <w:t>智慧管理系统新增模块包括数据清洗、监测感知系统模块、三维可视化模块和新增模块硬件配套，充分利用采集监测数据的科研价值，进行生态系统恢复和演替、生物多样性评估与监测、物种行为与生态等研究。</w:t>
      </w:r>
    </w:p>
    <w:p w14:paraId="1F0C21D3">
      <w:pPr>
        <w:keepNext w:val="0"/>
        <w:keepLines w:val="0"/>
        <w:pageBreakBefore w:val="0"/>
        <w:widowControl/>
        <w:kinsoku w:val="0"/>
        <w:wordWrap/>
        <w:overflowPunct/>
        <w:topLinePunct w:val="0"/>
        <w:autoSpaceDE w:val="0"/>
        <w:autoSpaceDN w:val="0"/>
        <w:bidi w:val="0"/>
        <w:adjustRightInd w:val="0"/>
        <w:snapToGrid w:val="0"/>
        <w:spacing w:line="420" w:lineRule="exact"/>
        <w:ind w:firstLine="420" w:firstLineChars="200"/>
        <w:textAlignment w:val="baseline"/>
        <w:rPr>
          <w:rFonts w:hint="eastAsia"/>
          <w:color w:val="auto"/>
        </w:rPr>
      </w:pPr>
      <w:r>
        <w:rPr>
          <w:rFonts w:hint="eastAsia"/>
          <w:color w:val="auto"/>
        </w:rPr>
        <w:t>（</w:t>
      </w:r>
      <w:r>
        <w:rPr>
          <w:rFonts w:hint="eastAsia"/>
          <w:color w:val="auto"/>
          <w:lang w:val="en-US" w:eastAsia="zh-CN"/>
        </w:rPr>
        <w:t>2</w:t>
      </w:r>
      <w:r>
        <w:rPr>
          <w:rFonts w:hint="eastAsia"/>
          <w:color w:val="auto"/>
        </w:rPr>
        <w:t>）商用密码应用建设</w:t>
      </w:r>
    </w:p>
    <w:p w14:paraId="11FA0E5C">
      <w:pPr>
        <w:keepNext w:val="0"/>
        <w:keepLines w:val="0"/>
        <w:pageBreakBefore w:val="0"/>
        <w:widowControl/>
        <w:kinsoku w:val="0"/>
        <w:wordWrap/>
        <w:overflowPunct/>
        <w:topLinePunct w:val="0"/>
        <w:autoSpaceDE w:val="0"/>
        <w:autoSpaceDN w:val="0"/>
        <w:bidi w:val="0"/>
        <w:adjustRightInd w:val="0"/>
        <w:snapToGrid w:val="0"/>
        <w:spacing w:line="420" w:lineRule="exact"/>
        <w:ind w:firstLine="420" w:firstLineChars="200"/>
        <w:textAlignment w:val="baseline"/>
        <w:rPr>
          <w:rFonts w:hint="eastAsia"/>
          <w:color w:val="auto"/>
        </w:rPr>
      </w:pPr>
      <w:r>
        <w:rPr>
          <w:rFonts w:hint="eastAsia"/>
          <w:color w:val="auto"/>
        </w:rPr>
        <w:t>结合信息系统现状和GB/T39786中对不同等级的信息系统提出的密码应用基本要求，对密码应用方案涉及的计算平台、业务应用、管理制度、人员管理、建设运行和应急处置进行安全风险分析，确定风险控制措施、密码应用基本需求分析和密码应用特殊需求分析。通过风险控制措施缓解信息系统存在的高风险。</w:t>
      </w:r>
    </w:p>
    <w:p w14:paraId="20614431">
      <w:pPr>
        <w:keepNext w:val="0"/>
        <w:keepLines w:val="0"/>
        <w:pageBreakBefore w:val="0"/>
        <w:widowControl/>
        <w:kinsoku w:val="0"/>
        <w:wordWrap/>
        <w:overflowPunct/>
        <w:topLinePunct w:val="0"/>
        <w:autoSpaceDE w:val="0"/>
        <w:autoSpaceDN w:val="0"/>
        <w:bidi w:val="0"/>
        <w:adjustRightInd w:val="0"/>
        <w:snapToGrid w:val="0"/>
        <w:spacing w:line="420" w:lineRule="exact"/>
        <w:ind w:firstLine="420" w:firstLineChars="200"/>
        <w:textAlignment w:val="baseline"/>
        <w:rPr>
          <w:rFonts w:hint="eastAsia"/>
          <w:color w:val="auto"/>
        </w:rPr>
      </w:pPr>
      <w:r>
        <w:rPr>
          <w:rFonts w:hint="eastAsia"/>
          <w:color w:val="auto"/>
        </w:rPr>
        <w:t>（</w:t>
      </w:r>
      <w:r>
        <w:rPr>
          <w:rFonts w:hint="eastAsia"/>
          <w:color w:val="auto"/>
          <w:lang w:val="en-US" w:eastAsia="zh-CN"/>
        </w:rPr>
        <w:t>3</w:t>
      </w:r>
      <w:r>
        <w:rPr>
          <w:rFonts w:hint="eastAsia"/>
          <w:color w:val="auto"/>
        </w:rPr>
        <w:t>）安全系统等保二级</w:t>
      </w:r>
    </w:p>
    <w:p w14:paraId="33EDFC2D">
      <w:pPr>
        <w:keepNext w:val="0"/>
        <w:keepLines w:val="0"/>
        <w:pageBreakBefore w:val="0"/>
        <w:widowControl/>
        <w:kinsoku w:val="0"/>
        <w:wordWrap/>
        <w:overflowPunct/>
        <w:topLinePunct w:val="0"/>
        <w:autoSpaceDE w:val="0"/>
        <w:autoSpaceDN w:val="0"/>
        <w:bidi w:val="0"/>
        <w:adjustRightInd w:val="0"/>
        <w:snapToGrid w:val="0"/>
        <w:spacing w:line="420" w:lineRule="exact"/>
        <w:ind w:firstLine="420" w:firstLineChars="200"/>
        <w:textAlignment w:val="baseline"/>
        <w:rPr>
          <w:rFonts w:hint="eastAsia"/>
          <w:color w:val="auto"/>
        </w:rPr>
      </w:pPr>
      <w:r>
        <w:rPr>
          <w:rFonts w:hint="eastAsia"/>
          <w:color w:val="auto"/>
        </w:rPr>
        <w:t>本项目安全系统建设满足信息系统达到安全等级保护第二级要求。借助相关技术和管理等手段，建立全网的安全防控管理服务体系，从而全面提高安全防护能力。</w:t>
      </w:r>
      <w:bookmarkEnd w:id="1"/>
      <w:r>
        <w:rPr>
          <w:rFonts w:hint="eastAsia"/>
          <w:color w:val="auto"/>
        </w:rPr>
        <w:t>具体内容详见</w:t>
      </w:r>
      <w:r>
        <w:rPr>
          <w:rFonts w:hint="eastAsia"/>
          <w:color w:val="auto"/>
          <w:lang w:val="en-US" w:eastAsia="zh-CN"/>
        </w:rPr>
        <w:t>招标文件</w:t>
      </w:r>
      <w:r>
        <w:rPr>
          <w:rFonts w:hint="eastAsia"/>
          <w:color w:val="auto"/>
        </w:rPr>
        <w:t>。</w:t>
      </w:r>
    </w:p>
    <w:p w14:paraId="60B84BE0">
      <w:pPr>
        <w:keepNext w:val="0"/>
        <w:keepLines w:val="0"/>
        <w:pageBreakBefore w:val="0"/>
        <w:widowControl/>
        <w:kinsoku w:val="0"/>
        <w:wordWrap/>
        <w:overflowPunct/>
        <w:topLinePunct w:val="0"/>
        <w:autoSpaceDE w:val="0"/>
        <w:autoSpaceDN w:val="0"/>
        <w:bidi w:val="0"/>
        <w:adjustRightInd w:val="0"/>
        <w:snapToGrid w:val="0"/>
        <w:spacing w:line="420" w:lineRule="exact"/>
        <w:ind w:firstLine="420" w:firstLineChars="200"/>
        <w:textAlignment w:val="baseline"/>
        <w:rPr>
          <w:rFonts w:hint="default" w:eastAsia="宋体"/>
          <w:color w:val="auto"/>
          <w:lang w:val="en-US" w:eastAsia="zh-CN"/>
        </w:rPr>
      </w:pPr>
      <w:r>
        <w:rPr>
          <w:rFonts w:hint="eastAsia" w:eastAsia="宋体"/>
          <w:color w:val="auto"/>
          <w:lang w:eastAsia="zh-CN"/>
        </w:rPr>
        <w:t>（</w:t>
      </w:r>
      <w:r>
        <w:rPr>
          <w:rFonts w:hint="eastAsia" w:eastAsia="宋体"/>
          <w:color w:val="auto"/>
          <w:lang w:val="en-US" w:eastAsia="zh-CN"/>
        </w:rPr>
        <w:t>4</w:t>
      </w:r>
      <w:r>
        <w:rPr>
          <w:rFonts w:hint="eastAsia" w:eastAsia="宋体"/>
          <w:color w:val="auto"/>
          <w:lang w:eastAsia="zh-CN"/>
        </w:rPr>
        <w:t>）</w:t>
      </w:r>
      <w:r>
        <w:rPr>
          <w:rFonts w:hint="eastAsia" w:eastAsia="宋体"/>
          <w:color w:val="auto"/>
          <w:lang w:val="en-US" w:eastAsia="zh-CN"/>
        </w:rPr>
        <w:t>打造兰花繁育中心、自然教育中心、兰花科普园3套解说系统。</w:t>
      </w:r>
    </w:p>
    <w:p w14:paraId="54DCF555">
      <w:pPr>
        <w:keepNext w:val="0"/>
        <w:keepLines w:val="0"/>
        <w:pageBreakBefore w:val="0"/>
        <w:widowControl/>
        <w:kinsoku w:val="0"/>
        <w:wordWrap/>
        <w:overflowPunct/>
        <w:topLinePunct w:val="0"/>
        <w:autoSpaceDE w:val="0"/>
        <w:autoSpaceDN w:val="0"/>
        <w:bidi w:val="0"/>
        <w:adjustRightInd w:val="0"/>
        <w:snapToGrid w:val="0"/>
        <w:spacing w:line="420" w:lineRule="exact"/>
        <w:ind w:firstLine="420" w:firstLineChars="200"/>
        <w:textAlignment w:val="baseline"/>
        <w:rPr>
          <w:rFonts w:hint="default" w:eastAsia="宋体"/>
          <w:color w:val="auto"/>
          <w:lang w:val="en-US" w:eastAsia="zh-CN"/>
        </w:rPr>
      </w:pPr>
      <w:r>
        <w:rPr>
          <w:rFonts w:hint="eastAsia"/>
          <w:color w:val="auto"/>
        </w:rPr>
        <w:t>合同履行期限：</w:t>
      </w:r>
      <w:r>
        <w:rPr>
          <w:rFonts w:hint="eastAsia" w:eastAsia="宋体"/>
          <w:color w:val="auto"/>
          <w:lang w:val="en-US" w:eastAsia="zh-CN"/>
        </w:rPr>
        <w:t>施工期为合同签订之日起至2026年6月30日止。标段1运维周期1年，标段2运维周期2年。</w:t>
      </w:r>
    </w:p>
    <w:p w14:paraId="63B701BF">
      <w:pPr>
        <w:keepNext w:val="0"/>
        <w:keepLines w:val="0"/>
        <w:pageBreakBefore w:val="0"/>
        <w:widowControl/>
        <w:kinsoku w:val="0"/>
        <w:wordWrap/>
        <w:overflowPunct/>
        <w:topLinePunct w:val="0"/>
        <w:autoSpaceDE w:val="0"/>
        <w:autoSpaceDN w:val="0"/>
        <w:bidi w:val="0"/>
        <w:adjustRightInd w:val="0"/>
        <w:snapToGrid w:val="0"/>
        <w:spacing w:line="420" w:lineRule="exact"/>
        <w:ind w:firstLine="420" w:firstLineChars="200"/>
        <w:textAlignment w:val="baseline"/>
        <w:rPr>
          <w:rFonts w:hint="eastAsia"/>
          <w:color w:val="auto"/>
          <w:lang w:val="en-US" w:eastAsia="zh-CN"/>
        </w:rPr>
      </w:pPr>
      <w:r>
        <w:rPr>
          <w:rFonts w:hint="eastAsia"/>
          <w:color w:val="auto"/>
          <w:lang w:val="en-US" w:eastAsia="zh-CN"/>
        </w:rPr>
        <w:t>施工期界定：自合同签订之日起至2026年6月30止。</w:t>
      </w:r>
    </w:p>
    <w:p w14:paraId="36F6C3E7">
      <w:pPr>
        <w:keepNext w:val="0"/>
        <w:keepLines w:val="0"/>
        <w:pageBreakBefore w:val="0"/>
        <w:widowControl/>
        <w:kinsoku w:val="0"/>
        <w:wordWrap/>
        <w:overflowPunct/>
        <w:topLinePunct w:val="0"/>
        <w:autoSpaceDE w:val="0"/>
        <w:autoSpaceDN w:val="0"/>
        <w:bidi w:val="0"/>
        <w:adjustRightInd w:val="0"/>
        <w:snapToGrid w:val="0"/>
        <w:spacing w:line="420" w:lineRule="exact"/>
        <w:ind w:firstLine="420" w:firstLineChars="200"/>
        <w:textAlignment w:val="baseline"/>
        <w:rPr>
          <w:rFonts w:hint="eastAsia"/>
          <w:color w:val="auto"/>
          <w:lang w:val="en-US" w:eastAsia="zh-CN"/>
        </w:rPr>
      </w:pPr>
      <w:r>
        <w:rPr>
          <w:rFonts w:hint="eastAsia"/>
          <w:color w:val="auto"/>
          <w:lang w:val="en-US" w:eastAsia="zh-CN"/>
        </w:rPr>
        <w:t xml:space="preserve">服务运维周期界定：本合同约定的服务运维周期（即核心服务履约期限）从项目验收之日起计算，  </w:t>
      </w:r>
      <w:r>
        <w:rPr>
          <w:rFonts w:hint="eastAsia" w:ascii="Arial" w:hAnsi="Arial" w:eastAsia="Arial" w:cs="Arial"/>
          <w:strike w:val="0"/>
          <w:dstrike w:val="0"/>
          <w:color w:val="auto"/>
          <w:kern w:val="0"/>
          <w:sz w:val="21"/>
          <w:szCs w:val="21"/>
          <w:highlight w:val="none"/>
          <w:lang w:val="en-US" w:eastAsia="zh-CN" w:bidi="ar-SA"/>
        </w:rPr>
        <w:t>标段1质保期为</w:t>
      </w:r>
      <w:r>
        <w:rPr>
          <w:rFonts w:hint="eastAsia" w:cs="Arial"/>
          <w:strike w:val="0"/>
          <w:dstrike w:val="0"/>
          <w:color w:val="auto"/>
          <w:kern w:val="0"/>
          <w:sz w:val="21"/>
          <w:szCs w:val="21"/>
          <w:highlight w:val="none"/>
          <w:lang w:val="en-US" w:eastAsia="zh-CN" w:bidi="ar-SA"/>
        </w:rPr>
        <w:t>1</w:t>
      </w:r>
      <w:r>
        <w:rPr>
          <w:rFonts w:hint="eastAsia" w:ascii="Arial" w:hAnsi="Arial" w:eastAsia="Arial" w:cs="Arial"/>
          <w:strike w:val="0"/>
          <w:dstrike w:val="0"/>
          <w:color w:val="auto"/>
          <w:kern w:val="0"/>
          <w:sz w:val="21"/>
          <w:szCs w:val="21"/>
          <w:highlight w:val="none"/>
          <w:lang w:val="en-US" w:eastAsia="zh-CN" w:bidi="ar-SA"/>
        </w:rPr>
        <w:t>年，标段2质保期为</w:t>
      </w:r>
      <w:r>
        <w:rPr>
          <w:rFonts w:hint="eastAsia" w:cs="Arial"/>
          <w:strike w:val="0"/>
          <w:dstrike w:val="0"/>
          <w:color w:val="auto"/>
          <w:kern w:val="0"/>
          <w:sz w:val="21"/>
          <w:szCs w:val="21"/>
          <w:highlight w:val="none"/>
          <w:lang w:val="en-US" w:eastAsia="zh-CN" w:bidi="ar-SA"/>
        </w:rPr>
        <w:t>2</w:t>
      </w:r>
      <w:r>
        <w:rPr>
          <w:rFonts w:hint="eastAsia" w:ascii="Arial" w:hAnsi="Arial" w:eastAsia="Arial" w:cs="Arial"/>
          <w:strike w:val="0"/>
          <w:dstrike w:val="0"/>
          <w:color w:val="auto"/>
          <w:kern w:val="0"/>
          <w:sz w:val="21"/>
          <w:szCs w:val="21"/>
          <w:highlight w:val="none"/>
          <w:lang w:val="en-US" w:eastAsia="zh-CN" w:bidi="ar-SA"/>
        </w:rPr>
        <w:t>年，负责期间的免费</w:t>
      </w:r>
      <w:r>
        <w:rPr>
          <w:rFonts w:hint="eastAsia" w:cs="Arial"/>
          <w:strike w:val="0"/>
          <w:dstrike w:val="0"/>
          <w:color w:val="auto"/>
          <w:kern w:val="0"/>
          <w:sz w:val="21"/>
          <w:szCs w:val="21"/>
          <w:highlight w:val="none"/>
          <w:lang w:val="en-US" w:eastAsia="zh-CN" w:bidi="ar-SA"/>
        </w:rPr>
        <w:t>运维保障</w:t>
      </w:r>
      <w:r>
        <w:rPr>
          <w:rFonts w:hint="eastAsia" w:ascii="Arial" w:hAnsi="Arial" w:eastAsia="Arial" w:cs="Arial"/>
          <w:strike w:val="0"/>
          <w:dstrike w:val="0"/>
          <w:color w:val="auto"/>
          <w:kern w:val="0"/>
          <w:sz w:val="21"/>
          <w:szCs w:val="21"/>
          <w:highlight w:val="none"/>
          <w:lang w:val="en-US" w:eastAsia="zh-CN" w:bidi="ar-SA"/>
        </w:rPr>
        <w:t>。</w:t>
      </w:r>
    </w:p>
    <w:p w14:paraId="1C918A59">
      <w:pPr>
        <w:keepNext w:val="0"/>
        <w:keepLines w:val="0"/>
        <w:pageBreakBefore w:val="0"/>
        <w:widowControl/>
        <w:kinsoku w:val="0"/>
        <w:wordWrap/>
        <w:overflowPunct/>
        <w:topLinePunct w:val="0"/>
        <w:autoSpaceDE w:val="0"/>
        <w:autoSpaceDN w:val="0"/>
        <w:bidi w:val="0"/>
        <w:adjustRightInd w:val="0"/>
        <w:snapToGrid w:val="0"/>
        <w:spacing w:line="420" w:lineRule="exact"/>
        <w:ind w:firstLine="420" w:firstLineChars="200"/>
        <w:textAlignment w:val="baseline"/>
        <w:rPr>
          <w:rFonts w:hint="eastAsia" w:asciiTheme="minorEastAsia" w:hAnsiTheme="minorEastAsia" w:eastAsiaTheme="minorEastAsia" w:cstheme="minorEastAsia"/>
          <w:b w:val="0"/>
          <w:bCs w:val="0"/>
          <w:color w:val="auto"/>
          <w:szCs w:val="21"/>
          <w:lang w:val="en-US" w:eastAsia="zh-CN"/>
        </w:rPr>
      </w:pPr>
      <w:r>
        <w:rPr>
          <w:rFonts w:hint="eastAsia"/>
          <w:color w:val="auto"/>
          <w:lang w:val="en-US" w:eastAsia="zh-CN"/>
        </w:rPr>
        <w:t>费用承担约定：在上述施工期内，因项目施工所产生的全部费用（包括但不限于人工成本、材料成本、设备采购及安装成本、</w:t>
      </w:r>
      <w:r>
        <w:rPr>
          <w:rFonts w:hint="eastAsia" w:asciiTheme="minorEastAsia" w:hAnsiTheme="minorEastAsia" w:eastAsiaTheme="minorEastAsia" w:cstheme="minorEastAsia"/>
          <w:b w:val="0"/>
          <w:bCs w:val="0"/>
          <w:color w:val="auto"/>
          <w:spacing w:val="3"/>
          <w:szCs w:val="21"/>
          <w:lang w:val="en-US" w:eastAsia="zh-CN"/>
        </w:rPr>
        <w:t>线路租用试运行、监控接入等与施工相关的各类支出），均由乙方自行承担。</w:t>
      </w:r>
    </w:p>
    <w:p w14:paraId="1A9CC99D">
      <w:pPr>
        <w:spacing w:before="1" w:line="221" w:lineRule="auto"/>
        <w:ind w:left="48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1"/>
          <w:sz w:val="21"/>
          <w:szCs w:val="21"/>
        </w:rPr>
        <w:t>本项目不接受联合体投标。</w:t>
      </w:r>
    </w:p>
    <w:p w14:paraId="3A4A1188">
      <w:pPr>
        <w:spacing w:before="158" w:line="222" w:lineRule="auto"/>
        <w:ind w:left="48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3"/>
          <w:sz w:val="21"/>
          <w:szCs w:val="21"/>
        </w:rPr>
        <w:t>二</w:t>
      </w:r>
      <w:r>
        <w:rPr>
          <w:rFonts w:hint="eastAsia" w:asciiTheme="minorEastAsia" w:hAnsiTheme="minorEastAsia" w:eastAsiaTheme="minorEastAsia" w:cstheme="minorEastAsia"/>
          <w:color w:val="auto"/>
          <w:spacing w:val="-49"/>
          <w:sz w:val="21"/>
          <w:szCs w:val="21"/>
        </w:rPr>
        <w:t xml:space="preserve"> </w:t>
      </w:r>
      <w:r>
        <w:rPr>
          <w:rFonts w:hint="eastAsia" w:asciiTheme="minorEastAsia" w:hAnsiTheme="minorEastAsia" w:eastAsiaTheme="minorEastAsia" w:cstheme="minorEastAsia"/>
          <w:b/>
          <w:bCs/>
          <w:color w:val="auto"/>
          <w:spacing w:val="-3"/>
          <w:sz w:val="21"/>
          <w:szCs w:val="21"/>
        </w:rPr>
        <w:t>、申请人的资格要求：</w:t>
      </w:r>
    </w:p>
    <w:p w14:paraId="575DC81E">
      <w:pPr>
        <w:spacing w:before="171" w:line="213" w:lineRule="auto"/>
        <w:ind w:left="0" w:firstLine="416"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1.满足《中华人民共和国政府采购法》第二十二条规定；</w:t>
      </w:r>
    </w:p>
    <w:p w14:paraId="42319170">
      <w:pPr>
        <w:spacing w:before="0" w:line="360" w:lineRule="exact"/>
        <w:ind w:left="0" w:firstLine="412"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2.落实政府采购政策需满足的资格要求：</w:t>
      </w:r>
      <w:r>
        <w:rPr>
          <w:rFonts w:hint="eastAsia" w:asciiTheme="minorEastAsia" w:hAnsiTheme="minorEastAsia" w:eastAsiaTheme="minorEastAsia" w:cstheme="minorEastAsia"/>
          <w:color w:val="auto"/>
          <w:spacing w:val="-2"/>
          <w:sz w:val="21"/>
          <w:szCs w:val="21"/>
          <w:lang w:val="en-US" w:eastAsia="zh-CN"/>
        </w:rPr>
        <w:t>标段1：</w:t>
      </w:r>
      <w:r>
        <w:rPr>
          <w:rFonts w:hint="eastAsia" w:ascii="宋体" w:hAnsi="宋体" w:cs="宋体"/>
          <w:color w:val="auto"/>
          <w:szCs w:val="21"/>
          <w:highlight w:val="none"/>
        </w:rPr>
        <w:t>本项目属于专门面向中小企业</w:t>
      </w:r>
      <w:r>
        <w:rPr>
          <w:rFonts w:hint="eastAsia" w:ascii="宋体" w:hAnsi="宋体" w:eastAsia="宋体" w:cs="宋体"/>
          <w:color w:val="auto"/>
          <w:szCs w:val="21"/>
          <w:highlight w:val="none"/>
          <w:lang w:val="en-US" w:eastAsia="zh-CN"/>
        </w:rPr>
        <w:t>和</w:t>
      </w:r>
      <w:r>
        <w:rPr>
          <w:rFonts w:hint="eastAsia" w:ascii="宋体" w:hAnsi="宋体" w:cs="宋体"/>
          <w:color w:val="auto"/>
          <w:szCs w:val="21"/>
          <w:highlight w:val="none"/>
        </w:rPr>
        <w:t>小微企业采购的项目，根据财库【2020】46号《政府采购促进中小企业发展管理办法》要求，供应商应为中小企业</w:t>
      </w:r>
      <w:r>
        <w:rPr>
          <w:rFonts w:hint="eastAsia" w:ascii="宋体" w:hAnsi="宋体" w:eastAsia="宋体" w:cs="宋体"/>
          <w:color w:val="auto"/>
          <w:szCs w:val="21"/>
          <w:highlight w:val="none"/>
          <w:lang w:val="en-US" w:eastAsia="zh-CN"/>
        </w:rPr>
        <w:t>或</w:t>
      </w:r>
      <w:r>
        <w:rPr>
          <w:rFonts w:hint="eastAsia" w:ascii="宋体" w:hAnsi="宋体" w:cs="宋体"/>
          <w:color w:val="auto"/>
          <w:szCs w:val="21"/>
          <w:highlight w:val="none"/>
        </w:rPr>
        <w:t>小微企业；</w:t>
      </w:r>
      <w:r>
        <w:rPr>
          <w:rFonts w:hint="eastAsia" w:ascii="宋体" w:hAnsi="宋体" w:eastAsia="宋体" w:cs="宋体"/>
          <w:color w:val="auto"/>
          <w:szCs w:val="21"/>
          <w:highlight w:val="none"/>
          <w:lang w:val="en-US" w:eastAsia="zh-CN"/>
        </w:rPr>
        <w:t>标段2：</w:t>
      </w:r>
      <w:r>
        <w:rPr>
          <w:rFonts w:hint="eastAsia" w:asciiTheme="minorEastAsia" w:hAnsiTheme="minorEastAsia" w:eastAsiaTheme="minorEastAsia" w:cstheme="minorEastAsia"/>
          <w:color w:val="auto"/>
          <w:spacing w:val="-2"/>
          <w:sz w:val="21"/>
          <w:szCs w:val="21"/>
        </w:rPr>
        <w:t>无；</w:t>
      </w:r>
    </w:p>
    <w:p w14:paraId="07D56F74">
      <w:pPr>
        <w:spacing w:before="188" w:line="222" w:lineRule="auto"/>
        <w:ind w:left="0" w:firstLine="416"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3.本项目的特定资格要求：无。</w:t>
      </w:r>
    </w:p>
    <w:p w14:paraId="0D57637D">
      <w:pPr>
        <w:spacing w:before="183" w:line="221" w:lineRule="auto"/>
        <w:ind w:left="48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3"/>
          <w:sz w:val="21"/>
          <w:szCs w:val="21"/>
        </w:rPr>
        <w:t>三</w:t>
      </w:r>
      <w:r>
        <w:rPr>
          <w:rFonts w:hint="eastAsia" w:asciiTheme="minorEastAsia" w:hAnsiTheme="minorEastAsia" w:eastAsiaTheme="minorEastAsia" w:cstheme="minorEastAsia"/>
          <w:color w:val="auto"/>
          <w:spacing w:val="-55"/>
          <w:sz w:val="21"/>
          <w:szCs w:val="21"/>
        </w:rPr>
        <w:t xml:space="preserve"> </w:t>
      </w:r>
      <w:r>
        <w:rPr>
          <w:rFonts w:hint="eastAsia" w:asciiTheme="minorEastAsia" w:hAnsiTheme="minorEastAsia" w:eastAsiaTheme="minorEastAsia" w:cstheme="minorEastAsia"/>
          <w:b/>
          <w:bCs/>
          <w:color w:val="auto"/>
          <w:spacing w:val="-3"/>
          <w:sz w:val="21"/>
          <w:szCs w:val="21"/>
        </w:rPr>
        <w:t>、获取招标文件</w:t>
      </w:r>
    </w:p>
    <w:p w14:paraId="0845679C">
      <w:pPr>
        <w:tabs>
          <w:tab w:val="left" w:pos="243"/>
        </w:tabs>
        <w:spacing w:before="172" w:line="388" w:lineRule="auto"/>
        <w:ind w:left="105" w:right="57" w:firstLine="439"/>
        <w:jc w:val="left"/>
        <w:rPr>
          <w:rFonts w:hint="eastAsia" w:asciiTheme="minorEastAsia" w:hAnsiTheme="minorEastAsia" w:eastAsiaTheme="minorEastAsia" w:cstheme="minorEastAsia"/>
          <w:color w:val="auto"/>
          <w:spacing w:val="6"/>
          <w:sz w:val="21"/>
          <w:szCs w:val="21"/>
        </w:rPr>
      </w:pPr>
      <w:r>
        <w:rPr>
          <w:rFonts w:hint="eastAsia" w:asciiTheme="minorEastAsia" w:hAnsiTheme="minorEastAsia" w:eastAsiaTheme="minorEastAsia" w:cstheme="minorEastAsia"/>
          <w:color w:val="auto"/>
          <w:spacing w:val="6"/>
          <w:sz w:val="21"/>
          <w:szCs w:val="21"/>
        </w:rPr>
        <w:t>时间：202</w:t>
      </w:r>
      <w:r>
        <w:rPr>
          <w:rFonts w:hint="eastAsia" w:asciiTheme="minorEastAsia" w:hAnsiTheme="minorEastAsia" w:eastAsiaTheme="minorEastAsia" w:cstheme="minorEastAsia"/>
          <w:color w:val="auto"/>
          <w:spacing w:val="6"/>
          <w:sz w:val="21"/>
          <w:szCs w:val="21"/>
          <w:lang w:val="en-US" w:eastAsia="zh-CN"/>
        </w:rPr>
        <w:t>6</w:t>
      </w:r>
      <w:r>
        <w:rPr>
          <w:rFonts w:hint="eastAsia" w:asciiTheme="minorEastAsia" w:hAnsiTheme="minorEastAsia" w:eastAsiaTheme="minorEastAsia" w:cstheme="minorEastAsia"/>
          <w:color w:val="auto"/>
          <w:spacing w:val="6"/>
          <w:sz w:val="21"/>
          <w:szCs w:val="21"/>
        </w:rPr>
        <w:t>年</w:t>
      </w:r>
      <w:r>
        <w:rPr>
          <w:rFonts w:hint="eastAsia" w:asciiTheme="minorEastAsia" w:hAnsiTheme="minorEastAsia" w:eastAsiaTheme="minorEastAsia" w:cstheme="minorEastAsia"/>
          <w:color w:val="auto"/>
          <w:spacing w:val="6"/>
          <w:sz w:val="21"/>
          <w:szCs w:val="21"/>
          <w:lang w:val="en-US" w:eastAsia="zh-CN"/>
        </w:rPr>
        <w:t xml:space="preserve"> </w:t>
      </w:r>
      <w:r>
        <w:rPr>
          <w:rFonts w:hint="eastAsia" w:asciiTheme="minorEastAsia" w:hAnsiTheme="minorEastAsia" w:eastAsiaTheme="minorEastAsia" w:cstheme="minorEastAsia"/>
          <w:color w:val="auto"/>
          <w:spacing w:val="6"/>
          <w:sz w:val="21"/>
          <w:szCs w:val="21"/>
        </w:rPr>
        <w:t>月</w:t>
      </w:r>
      <w:r>
        <w:rPr>
          <w:rFonts w:hint="eastAsia" w:asciiTheme="minorEastAsia" w:hAnsiTheme="minorEastAsia" w:eastAsiaTheme="minorEastAsia" w:cstheme="minorEastAsia"/>
          <w:color w:val="auto"/>
          <w:spacing w:val="6"/>
          <w:sz w:val="21"/>
          <w:szCs w:val="21"/>
          <w:lang w:val="en-US" w:eastAsia="zh-CN"/>
        </w:rPr>
        <w:t xml:space="preserve"> </w:t>
      </w:r>
      <w:r>
        <w:rPr>
          <w:rFonts w:hint="eastAsia" w:asciiTheme="minorEastAsia" w:hAnsiTheme="minorEastAsia" w:eastAsiaTheme="minorEastAsia" w:cstheme="minorEastAsia"/>
          <w:color w:val="auto"/>
          <w:spacing w:val="6"/>
          <w:sz w:val="21"/>
          <w:szCs w:val="21"/>
        </w:rPr>
        <w:t>日至202</w:t>
      </w:r>
      <w:r>
        <w:rPr>
          <w:rFonts w:hint="eastAsia" w:asciiTheme="minorEastAsia" w:hAnsiTheme="minorEastAsia" w:eastAsiaTheme="minorEastAsia" w:cstheme="minorEastAsia"/>
          <w:color w:val="auto"/>
          <w:spacing w:val="6"/>
          <w:sz w:val="21"/>
          <w:szCs w:val="21"/>
          <w:lang w:val="en-US" w:eastAsia="zh-CN"/>
        </w:rPr>
        <w:t>6</w:t>
      </w:r>
      <w:r>
        <w:rPr>
          <w:rFonts w:hint="eastAsia" w:asciiTheme="minorEastAsia" w:hAnsiTheme="minorEastAsia" w:eastAsiaTheme="minorEastAsia" w:cstheme="minorEastAsia"/>
          <w:color w:val="auto"/>
          <w:spacing w:val="6"/>
          <w:sz w:val="21"/>
          <w:szCs w:val="21"/>
        </w:rPr>
        <w:t>年</w:t>
      </w:r>
      <w:r>
        <w:rPr>
          <w:rFonts w:hint="eastAsia" w:asciiTheme="minorEastAsia" w:hAnsiTheme="minorEastAsia" w:eastAsiaTheme="minorEastAsia" w:cstheme="minorEastAsia"/>
          <w:color w:val="auto"/>
          <w:spacing w:val="6"/>
          <w:sz w:val="21"/>
          <w:szCs w:val="21"/>
          <w:lang w:val="en-US" w:eastAsia="zh-CN"/>
        </w:rPr>
        <w:t xml:space="preserve"> </w:t>
      </w:r>
      <w:r>
        <w:rPr>
          <w:rFonts w:hint="eastAsia" w:asciiTheme="minorEastAsia" w:hAnsiTheme="minorEastAsia" w:eastAsiaTheme="minorEastAsia" w:cstheme="minorEastAsia"/>
          <w:color w:val="auto"/>
          <w:spacing w:val="6"/>
          <w:sz w:val="21"/>
          <w:szCs w:val="21"/>
        </w:rPr>
        <w:t>月</w:t>
      </w:r>
      <w:r>
        <w:rPr>
          <w:rFonts w:hint="eastAsia" w:asciiTheme="minorEastAsia" w:hAnsiTheme="minorEastAsia" w:eastAsiaTheme="minorEastAsia" w:cstheme="minorEastAsia"/>
          <w:color w:val="auto"/>
          <w:spacing w:val="6"/>
          <w:sz w:val="21"/>
          <w:szCs w:val="21"/>
          <w:lang w:val="en-US" w:eastAsia="zh-CN"/>
        </w:rPr>
        <w:t xml:space="preserve"> </w:t>
      </w:r>
      <w:r>
        <w:rPr>
          <w:rFonts w:hint="eastAsia" w:asciiTheme="minorEastAsia" w:hAnsiTheme="minorEastAsia" w:eastAsiaTheme="minorEastAsia" w:cstheme="minorEastAsia"/>
          <w:color w:val="auto"/>
          <w:spacing w:val="6"/>
          <w:sz w:val="21"/>
          <w:szCs w:val="21"/>
        </w:rPr>
        <w:t>日，每天上午00:00至11:59,下午12:00至23:59(北京时间，法定节假日除外)</w:t>
      </w:r>
      <w:bookmarkStart w:id="2" w:name="bookmark8"/>
      <w:bookmarkEnd w:id="2"/>
      <w:r>
        <w:rPr>
          <w:rFonts w:hint="eastAsia" w:asciiTheme="minorEastAsia" w:hAnsiTheme="minorEastAsia" w:eastAsiaTheme="minorEastAsia" w:cstheme="minorEastAsia"/>
          <w:color w:val="auto"/>
          <w:spacing w:val="6"/>
          <w:sz w:val="21"/>
          <w:szCs w:val="21"/>
          <w:lang w:val="en-US" w:eastAsia="zh-CN"/>
        </w:rPr>
        <w:t>,</w:t>
      </w:r>
      <w:r>
        <w:rPr>
          <w:rFonts w:hint="eastAsia" w:asciiTheme="minorEastAsia" w:hAnsiTheme="minorEastAsia" w:eastAsiaTheme="minorEastAsia" w:cstheme="minorEastAsia"/>
          <w:color w:val="auto"/>
          <w:spacing w:val="6"/>
          <w:sz w:val="21"/>
          <w:szCs w:val="21"/>
        </w:rPr>
        <w:t>地点：广西政府采购云平台(</w:t>
      </w:r>
      <w:r>
        <w:rPr>
          <w:rFonts w:hint="eastAsia" w:asciiTheme="minorEastAsia" w:hAnsiTheme="minorEastAsia" w:eastAsiaTheme="minorEastAsia" w:cstheme="minorEastAsia"/>
          <w:color w:val="auto"/>
          <w:spacing w:val="6"/>
          <w:sz w:val="21"/>
          <w:szCs w:val="21"/>
        </w:rPr>
        <w:fldChar w:fldCharType="begin"/>
      </w:r>
      <w:r>
        <w:rPr>
          <w:rFonts w:hint="eastAsia" w:asciiTheme="minorEastAsia" w:hAnsiTheme="minorEastAsia" w:eastAsiaTheme="minorEastAsia" w:cstheme="minorEastAsia"/>
          <w:color w:val="auto"/>
          <w:spacing w:val="6"/>
          <w:sz w:val="21"/>
          <w:szCs w:val="21"/>
        </w:rPr>
        <w:instrText xml:space="preserve"> HYPERLINK "https://www.gcy.zfcg.gxzf.gov.cn/)。" </w:instrText>
      </w:r>
      <w:r>
        <w:rPr>
          <w:rFonts w:hint="eastAsia" w:asciiTheme="minorEastAsia" w:hAnsiTheme="minorEastAsia" w:eastAsiaTheme="minorEastAsia" w:cstheme="minorEastAsia"/>
          <w:color w:val="auto"/>
          <w:spacing w:val="6"/>
          <w:sz w:val="21"/>
          <w:szCs w:val="21"/>
        </w:rPr>
        <w:fldChar w:fldCharType="separate"/>
      </w:r>
      <w:r>
        <w:rPr>
          <w:rFonts w:hint="eastAsia" w:asciiTheme="minorEastAsia" w:hAnsiTheme="minorEastAsia" w:eastAsiaTheme="minorEastAsia" w:cstheme="minorEastAsia"/>
          <w:color w:val="auto"/>
          <w:spacing w:val="6"/>
          <w:sz w:val="21"/>
          <w:szCs w:val="21"/>
        </w:rPr>
        <w:t>https://www.gcy.zfcg.gxzf.gov.cn/) 。</w:t>
      </w:r>
      <w:r>
        <w:rPr>
          <w:rFonts w:hint="eastAsia" w:asciiTheme="minorEastAsia" w:hAnsiTheme="minorEastAsia" w:eastAsiaTheme="minorEastAsia" w:cstheme="minorEastAsia"/>
          <w:color w:val="auto"/>
          <w:spacing w:val="6"/>
          <w:sz w:val="21"/>
          <w:szCs w:val="21"/>
        </w:rPr>
        <w:fldChar w:fldCharType="end"/>
      </w:r>
      <w:r>
        <w:rPr>
          <w:rFonts w:hint="eastAsia" w:asciiTheme="minorEastAsia" w:hAnsiTheme="minorEastAsia" w:eastAsiaTheme="minorEastAsia" w:cstheme="minorEastAsia"/>
          <w:color w:val="auto"/>
          <w:spacing w:val="6"/>
          <w:sz w:val="21"/>
          <w:szCs w:val="21"/>
          <w:lang w:val="en-US" w:eastAsia="zh-CN"/>
        </w:rPr>
        <w:t xml:space="preserve">      </w:t>
      </w:r>
      <w:r>
        <w:rPr>
          <w:rFonts w:hint="eastAsia" w:asciiTheme="minorEastAsia" w:hAnsiTheme="minorEastAsia" w:eastAsiaTheme="minorEastAsia" w:cstheme="minorEastAsia"/>
          <w:color w:val="auto"/>
          <w:spacing w:val="6"/>
          <w:sz w:val="21"/>
          <w:szCs w:val="21"/>
        </w:rPr>
        <w:t>方式：网上下载。本项目不发放纸质采购文件，潜在投标人可自行在广西政府采购云平台 (</w:t>
      </w:r>
      <w:r>
        <w:rPr>
          <w:rFonts w:hint="eastAsia" w:asciiTheme="minorEastAsia" w:hAnsiTheme="minorEastAsia" w:eastAsiaTheme="minorEastAsia" w:cstheme="minorEastAsia"/>
          <w:color w:val="auto"/>
          <w:spacing w:val="6"/>
          <w:sz w:val="21"/>
          <w:szCs w:val="21"/>
        </w:rPr>
        <w:fldChar w:fldCharType="begin"/>
      </w:r>
      <w:r>
        <w:rPr>
          <w:rFonts w:hint="eastAsia" w:asciiTheme="minorEastAsia" w:hAnsiTheme="minorEastAsia" w:eastAsiaTheme="minorEastAsia" w:cstheme="minorEastAsia"/>
          <w:color w:val="auto"/>
          <w:spacing w:val="6"/>
          <w:sz w:val="21"/>
          <w:szCs w:val="21"/>
        </w:rPr>
        <w:instrText xml:space="preserve"> HYPERLINK "https://www.gcy.zfcg.gxzf.gov.cn/" </w:instrText>
      </w:r>
      <w:r>
        <w:rPr>
          <w:rFonts w:hint="eastAsia" w:asciiTheme="minorEastAsia" w:hAnsiTheme="minorEastAsia" w:eastAsiaTheme="minorEastAsia" w:cstheme="minorEastAsia"/>
          <w:color w:val="auto"/>
          <w:spacing w:val="6"/>
          <w:sz w:val="21"/>
          <w:szCs w:val="21"/>
        </w:rPr>
        <w:fldChar w:fldCharType="separate"/>
      </w:r>
      <w:r>
        <w:rPr>
          <w:rFonts w:hint="eastAsia" w:asciiTheme="minorEastAsia" w:hAnsiTheme="minorEastAsia" w:eastAsiaTheme="minorEastAsia" w:cstheme="minorEastAsia"/>
          <w:color w:val="auto"/>
          <w:spacing w:val="6"/>
          <w:sz w:val="21"/>
          <w:szCs w:val="21"/>
        </w:rPr>
        <w:t>https://www.gcy.zfcg.gxzf.gov.cn/</w:t>
      </w:r>
      <w:r>
        <w:rPr>
          <w:rFonts w:hint="eastAsia" w:asciiTheme="minorEastAsia" w:hAnsiTheme="minorEastAsia" w:eastAsiaTheme="minorEastAsia" w:cstheme="minorEastAsia"/>
          <w:color w:val="auto"/>
          <w:spacing w:val="6"/>
          <w:sz w:val="21"/>
          <w:szCs w:val="21"/>
        </w:rPr>
        <w:fldChar w:fldCharType="end"/>
      </w:r>
      <w:r>
        <w:rPr>
          <w:rFonts w:hint="eastAsia" w:asciiTheme="minorEastAsia" w:hAnsiTheme="minorEastAsia" w:eastAsiaTheme="minorEastAsia" w:cstheme="minorEastAsia"/>
          <w:color w:val="auto"/>
          <w:spacing w:val="6"/>
          <w:sz w:val="21"/>
          <w:szCs w:val="21"/>
        </w:rPr>
        <w:t>)下载采购文件(操作路径：登录广西政府采购云平台- 项目采购-获取采购文件-找到本项目-点击“申请获取采购文件”),电子投标文件制作需要基于 广西政府采购云平台获取的采购文件编制。</w:t>
      </w:r>
    </w:p>
    <w:p w14:paraId="28AF4F7D">
      <w:pPr>
        <w:spacing w:before="23" w:line="222" w:lineRule="auto"/>
        <w:ind w:left="54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3"/>
          <w:sz w:val="21"/>
          <w:szCs w:val="21"/>
        </w:rPr>
        <w:t>售价：人民币0元。</w:t>
      </w:r>
    </w:p>
    <w:p w14:paraId="1B6443A1">
      <w:pPr>
        <w:spacing w:before="143" w:line="220" w:lineRule="auto"/>
        <w:ind w:left="54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1"/>
          <w:sz w:val="21"/>
          <w:szCs w:val="21"/>
        </w:rPr>
        <w:t>四、提交投标文件截止时间、开标时间和地点</w:t>
      </w:r>
    </w:p>
    <w:p w14:paraId="3AC4BD9C">
      <w:pPr>
        <w:spacing w:before="232" w:line="220" w:lineRule="auto"/>
        <w:ind w:left="54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1、提交投标文件截止时间和开标时间：</w:t>
      </w:r>
      <w:r>
        <w:rPr>
          <w:rFonts w:hint="eastAsia" w:asciiTheme="minorEastAsia" w:hAnsiTheme="minorEastAsia" w:eastAsiaTheme="minorEastAsia" w:cstheme="minorEastAsia"/>
          <w:color w:val="auto"/>
          <w:spacing w:val="-1"/>
          <w:sz w:val="21"/>
          <w:szCs w:val="21"/>
          <w:u w:val="none" w:color="auto"/>
        </w:rPr>
        <w:t>2</w:t>
      </w:r>
      <w:r>
        <w:rPr>
          <w:rFonts w:hint="eastAsia" w:asciiTheme="minorEastAsia" w:hAnsiTheme="minorEastAsia" w:eastAsiaTheme="minorEastAsia" w:cstheme="minorEastAsia"/>
          <w:color w:val="auto"/>
          <w:spacing w:val="-50"/>
          <w:sz w:val="21"/>
          <w:szCs w:val="21"/>
          <w:u w:val="none" w:color="auto"/>
        </w:rPr>
        <w:t xml:space="preserve"> </w:t>
      </w:r>
      <w:r>
        <w:rPr>
          <w:rFonts w:hint="eastAsia" w:asciiTheme="minorEastAsia" w:hAnsiTheme="minorEastAsia" w:eastAsiaTheme="minorEastAsia" w:cstheme="minorEastAsia"/>
          <w:color w:val="auto"/>
          <w:spacing w:val="-1"/>
          <w:sz w:val="21"/>
          <w:szCs w:val="21"/>
          <w:u w:val="none" w:color="auto"/>
        </w:rPr>
        <w:t>0</w:t>
      </w:r>
      <w:r>
        <w:rPr>
          <w:rFonts w:hint="eastAsia" w:asciiTheme="minorEastAsia" w:hAnsiTheme="minorEastAsia" w:eastAsiaTheme="minorEastAsia" w:cstheme="minorEastAsia"/>
          <w:color w:val="auto"/>
          <w:spacing w:val="-49"/>
          <w:sz w:val="21"/>
          <w:szCs w:val="21"/>
          <w:u w:val="none" w:color="auto"/>
        </w:rPr>
        <w:t xml:space="preserve"> </w:t>
      </w:r>
      <w:r>
        <w:rPr>
          <w:rFonts w:hint="eastAsia" w:asciiTheme="minorEastAsia" w:hAnsiTheme="minorEastAsia" w:eastAsiaTheme="minorEastAsia" w:cstheme="minorEastAsia"/>
          <w:color w:val="auto"/>
          <w:spacing w:val="-1"/>
          <w:sz w:val="21"/>
          <w:szCs w:val="21"/>
          <w:u w:val="none" w:color="auto"/>
        </w:rPr>
        <w:t>2</w:t>
      </w:r>
      <w:r>
        <w:rPr>
          <w:rFonts w:hint="eastAsia" w:asciiTheme="minorEastAsia" w:hAnsiTheme="minorEastAsia" w:eastAsiaTheme="minorEastAsia" w:cstheme="minorEastAsia"/>
          <w:color w:val="auto"/>
          <w:spacing w:val="-53"/>
          <w:sz w:val="21"/>
          <w:szCs w:val="21"/>
          <w:u w:val="none" w:color="auto"/>
        </w:rPr>
        <w:t xml:space="preserve"> </w:t>
      </w:r>
      <w:r>
        <w:rPr>
          <w:rFonts w:hint="eastAsia" w:asciiTheme="minorEastAsia" w:hAnsiTheme="minorEastAsia" w:eastAsiaTheme="minorEastAsia" w:cstheme="minorEastAsia"/>
          <w:color w:val="auto"/>
          <w:spacing w:val="-1"/>
          <w:sz w:val="21"/>
          <w:szCs w:val="21"/>
          <w:u w:val="none" w:color="auto"/>
          <w:lang w:val="en-US" w:eastAsia="zh-CN"/>
        </w:rPr>
        <w:t>6</w:t>
      </w:r>
      <w:r>
        <w:rPr>
          <w:rFonts w:hint="eastAsia" w:asciiTheme="minorEastAsia" w:hAnsiTheme="minorEastAsia" w:eastAsiaTheme="minorEastAsia" w:cstheme="minorEastAsia"/>
          <w:color w:val="auto"/>
          <w:spacing w:val="-47"/>
          <w:sz w:val="21"/>
          <w:szCs w:val="21"/>
          <w:u w:val="none" w:color="auto"/>
        </w:rPr>
        <w:t xml:space="preserve"> </w:t>
      </w:r>
      <w:r>
        <w:rPr>
          <w:rFonts w:hint="eastAsia" w:asciiTheme="minorEastAsia" w:hAnsiTheme="minorEastAsia" w:eastAsiaTheme="minorEastAsia" w:cstheme="minorEastAsia"/>
          <w:color w:val="auto"/>
          <w:spacing w:val="-1"/>
          <w:sz w:val="21"/>
          <w:szCs w:val="21"/>
          <w:u w:val="none" w:color="auto"/>
        </w:rPr>
        <w:t>年 月</w:t>
      </w:r>
      <w:r>
        <w:rPr>
          <w:rFonts w:hint="eastAsia" w:asciiTheme="minorEastAsia" w:hAnsiTheme="minorEastAsia" w:eastAsiaTheme="minorEastAsia" w:cstheme="minorEastAsia"/>
          <w:color w:val="auto"/>
          <w:spacing w:val="27"/>
          <w:sz w:val="21"/>
          <w:szCs w:val="21"/>
          <w:u w:val="none" w:color="auto"/>
        </w:rPr>
        <w:t xml:space="preserve"> </w:t>
      </w:r>
      <w:r>
        <w:rPr>
          <w:rFonts w:hint="eastAsia" w:asciiTheme="minorEastAsia" w:hAnsiTheme="minorEastAsia" w:eastAsiaTheme="minorEastAsia" w:cstheme="minorEastAsia"/>
          <w:color w:val="auto"/>
          <w:spacing w:val="-1"/>
          <w:sz w:val="21"/>
          <w:szCs w:val="21"/>
          <w:u w:val="none" w:color="auto"/>
        </w:rPr>
        <w:t>日</w:t>
      </w:r>
      <w:r>
        <w:rPr>
          <w:rFonts w:hint="eastAsia" w:asciiTheme="minorEastAsia" w:hAnsiTheme="minorEastAsia" w:eastAsiaTheme="minorEastAsia" w:cstheme="minorEastAsia"/>
          <w:color w:val="auto"/>
          <w:spacing w:val="-52"/>
          <w:sz w:val="21"/>
          <w:szCs w:val="21"/>
          <w:u w:val="none" w:color="auto"/>
        </w:rPr>
        <w:t xml:space="preserve"> </w:t>
      </w:r>
      <w:r>
        <w:rPr>
          <w:rFonts w:hint="eastAsia" w:asciiTheme="minorEastAsia" w:hAnsiTheme="minorEastAsia" w:eastAsiaTheme="minorEastAsia" w:cstheme="minorEastAsia"/>
          <w:color w:val="auto"/>
          <w:spacing w:val="-1"/>
          <w:sz w:val="21"/>
          <w:szCs w:val="21"/>
          <w:u w:val="none" w:color="auto"/>
        </w:rPr>
        <w:t>9</w:t>
      </w:r>
      <w:r>
        <w:rPr>
          <w:rFonts w:hint="eastAsia" w:asciiTheme="minorEastAsia" w:hAnsiTheme="minorEastAsia" w:eastAsiaTheme="minorEastAsia" w:cstheme="minorEastAsia"/>
          <w:color w:val="auto"/>
          <w:spacing w:val="-46"/>
          <w:sz w:val="21"/>
          <w:szCs w:val="21"/>
          <w:u w:val="none" w:color="auto"/>
        </w:rPr>
        <w:t xml:space="preserve"> </w:t>
      </w:r>
      <w:r>
        <w:rPr>
          <w:rFonts w:hint="eastAsia" w:asciiTheme="minorEastAsia" w:hAnsiTheme="minorEastAsia" w:eastAsiaTheme="minorEastAsia" w:cstheme="minorEastAsia"/>
          <w:color w:val="auto"/>
          <w:spacing w:val="-1"/>
          <w:sz w:val="21"/>
          <w:szCs w:val="21"/>
          <w:u w:val="none" w:color="auto"/>
        </w:rPr>
        <w:t>点</w:t>
      </w:r>
      <w:r>
        <w:rPr>
          <w:rFonts w:hint="eastAsia" w:asciiTheme="minorEastAsia" w:hAnsiTheme="minorEastAsia" w:eastAsiaTheme="minorEastAsia" w:cstheme="minorEastAsia"/>
          <w:color w:val="auto"/>
          <w:spacing w:val="-50"/>
          <w:sz w:val="21"/>
          <w:szCs w:val="21"/>
          <w:u w:val="none" w:color="auto"/>
        </w:rPr>
        <w:t xml:space="preserve"> </w:t>
      </w:r>
      <w:r>
        <w:rPr>
          <w:rFonts w:hint="eastAsia" w:asciiTheme="minorEastAsia" w:hAnsiTheme="minorEastAsia" w:eastAsiaTheme="minorEastAsia" w:cstheme="minorEastAsia"/>
          <w:color w:val="auto"/>
          <w:spacing w:val="-1"/>
          <w:sz w:val="21"/>
          <w:szCs w:val="21"/>
          <w:u w:val="none" w:color="auto"/>
        </w:rPr>
        <w:t>0</w:t>
      </w:r>
      <w:r>
        <w:rPr>
          <w:rFonts w:hint="eastAsia" w:asciiTheme="minorEastAsia" w:hAnsiTheme="minorEastAsia" w:eastAsiaTheme="minorEastAsia" w:cstheme="minorEastAsia"/>
          <w:color w:val="auto"/>
          <w:spacing w:val="-49"/>
          <w:sz w:val="21"/>
          <w:szCs w:val="21"/>
          <w:u w:val="none" w:color="auto"/>
        </w:rPr>
        <w:t xml:space="preserve"> </w:t>
      </w:r>
      <w:r>
        <w:rPr>
          <w:rFonts w:hint="eastAsia" w:asciiTheme="minorEastAsia" w:hAnsiTheme="minorEastAsia" w:eastAsiaTheme="minorEastAsia" w:cstheme="minorEastAsia"/>
          <w:color w:val="auto"/>
          <w:spacing w:val="-2"/>
          <w:sz w:val="21"/>
          <w:szCs w:val="21"/>
          <w:u w:val="none" w:color="auto"/>
        </w:rPr>
        <w:t>0</w:t>
      </w:r>
      <w:r>
        <w:rPr>
          <w:rFonts w:hint="eastAsia" w:asciiTheme="minorEastAsia" w:hAnsiTheme="minorEastAsia" w:eastAsiaTheme="minorEastAsia" w:cstheme="minorEastAsia"/>
          <w:color w:val="auto"/>
          <w:spacing w:val="-43"/>
          <w:sz w:val="21"/>
          <w:szCs w:val="21"/>
          <w:u w:val="none" w:color="auto"/>
        </w:rPr>
        <w:t xml:space="preserve"> </w:t>
      </w:r>
      <w:r>
        <w:rPr>
          <w:rFonts w:hint="eastAsia" w:asciiTheme="minorEastAsia" w:hAnsiTheme="minorEastAsia" w:eastAsiaTheme="minorEastAsia" w:cstheme="minorEastAsia"/>
          <w:color w:val="auto"/>
          <w:spacing w:val="-2"/>
          <w:sz w:val="21"/>
          <w:szCs w:val="21"/>
          <w:u w:val="none" w:color="auto"/>
        </w:rPr>
        <w:t>分</w:t>
      </w:r>
      <w:r>
        <w:rPr>
          <w:rFonts w:hint="eastAsia" w:asciiTheme="minorEastAsia" w:hAnsiTheme="minorEastAsia" w:eastAsiaTheme="minorEastAsia" w:cstheme="minorEastAsia"/>
          <w:color w:val="auto"/>
          <w:spacing w:val="-62"/>
          <w:sz w:val="21"/>
          <w:szCs w:val="21"/>
        </w:rPr>
        <w:t xml:space="preserve"> </w:t>
      </w:r>
      <w:r>
        <w:rPr>
          <w:rFonts w:hint="eastAsia" w:asciiTheme="minorEastAsia" w:hAnsiTheme="minorEastAsia" w:eastAsiaTheme="minorEastAsia" w:cstheme="minorEastAsia"/>
          <w:color w:val="auto"/>
          <w:spacing w:val="-2"/>
          <w:sz w:val="21"/>
          <w:szCs w:val="21"/>
        </w:rPr>
        <w:t>(北京时间)</w:t>
      </w:r>
    </w:p>
    <w:p w14:paraId="7C7629BB">
      <w:pPr>
        <w:spacing w:before="201" w:line="222" w:lineRule="auto"/>
        <w:ind w:left="54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2、提交投标文件和开标地点：</w:t>
      </w:r>
      <w:r>
        <w:rPr>
          <w:rFonts w:hint="eastAsia" w:asciiTheme="minorEastAsia" w:hAnsiTheme="minorEastAsia" w:eastAsiaTheme="minorEastAsia" w:cstheme="minorEastAsia"/>
          <w:color w:val="auto"/>
          <w:spacing w:val="1"/>
          <w:sz w:val="21"/>
          <w:szCs w:val="21"/>
          <w:u w:val="single" w:color="auto"/>
        </w:rPr>
        <w:t>广西政府采购云平台电子开标大厅</w:t>
      </w:r>
      <w:r>
        <w:rPr>
          <w:rFonts w:hint="eastAsia" w:asciiTheme="minorEastAsia" w:hAnsiTheme="minorEastAsia" w:eastAsiaTheme="minorEastAsia" w:cstheme="minorEastAsia"/>
          <w:color w:val="auto"/>
          <w:spacing w:val="1"/>
          <w:sz w:val="21"/>
          <w:szCs w:val="21"/>
        </w:rPr>
        <w:t>。</w:t>
      </w:r>
    </w:p>
    <w:p w14:paraId="405D51FA">
      <w:pPr>
        <w:spacing w:before="107" w:line="224" w:lineRule="auto"/>
        <w:ind w:left="54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5"/>
          <w:sz w:val="21"/>
          <w:szCs w:val="21"/>
        </w:rPr>
        <w:t>五</w:t>
      </w:r>
      <w:r>
        <w:rPr>
          <w:rFonts w:hint="eastAsia" w:asciiTheme="minorEastAsia" w:hAnsiTheme="minorEastAsia" w:eastAsiaTheme="minorEastAsia" w:cstheme="minorEastAsia"/>
          <w:color w:val="auto"/>
          <w:spacing w:val="-39"/>
          <w:sz w:val="21"/>
          <w:szCs w:val="21"/>
        </w:rPr>
        <w:t xml:space="preserve"> </w:t>
      </w:r>
      <w:r>
        <w:rPr>
          <w:rFonts w:hint="eastAsia" w:asciiTheme="minorEastAsia" w:hAnsiTheme="minorEastAsia" w:eastAsiaTheme="minorEastAsia" w:cstheme="minorEastAsia"/>
          <w:b/>
          <w:bCs/>
          <w:color w:val="auto"/>
          <w:spacing w:val="-5"/>
          <w:sz w:val="21"/>
          <w:szCs w:val="21"/>
        </w:rPr>
        <w:t>、公告期限</w:t>
      </w:r>
    </w:p>
    <w:p w14:paraId="765AB7D8">
      <w:pPr>
        <w:spacing w:before="185" w:line="221" w:lineRule="auto"/>
        <w:ind w:left="54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自本公告发布之日起5个工作日。</w:t>
      </w:r>
    </w:p>
    <w:p w14:paraId="5BB4D9AA">
      <w:pPr>
        <w:spacing w:before="178" w:line="222" w:lineRule="auto"/>
        <w:ind w:left="54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4"/>
          <w:sz w:val="21"/>
          <w:szCs w:val="21"/>
        </w:rPr>
        <w:t>六</w:t>
      </w:r>
      <w:r>
        <w:rPr>
          <w:rFonts w:hint="eastAsia" w:asciiTheme="minorEastAsia" w:hAnsiTheme="minorEastAsia" w:eastAsiaTheme="minorEastAsia" w:cstheme="minorEastAsia"/>
          <w:color w:val="auto"/>
          <w:spacing w:val="-41"/>
          <w:sz w:val="21"/>
          <w:szCs w:val="21"/>
        </w:rPr>
        <w:t xml:space="preserve"> </w:t>
      </w:r>
      <w:r>
        <w:rPr>
          <w:rFonts w:hint="eastAsia" w:asciiTheme="minorEastAsia" w:hAnsiTheme="minorEastAsia" w:eastAsiaTheme="minorEastAsia" w:cstheme="minorEastAsia"/>
          <w:b/>
          <w:bCs/>
          <w:color w:val="auto"/>
          <w:spacing w:val="-4"/>
          <w:sz w:val="21"/>
          <w:szCs w:val="21"/>
        </w:rPr>
        <w:t>、其他补充事宜</w:t>
      </w:r>
    </w:p>
    <w:p w14:paraId="54A991BF">
      <w:pPr>
        <w:spacing w:before="198" w:line="221" w:lineRule="auto"/>
        <w:ind w:left="54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1.投标保证金：本项目不需要缴纳投标保证金。</w:t>
      </w:r>
    </w:p>
    <w:p w14:paraId="42BED595">
      <w:pPr>
        <w:spacing w:before="191" w:line="222" w:lineRule="auto"/>
        <w:ind w:left="54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2.网上查询地址</w:t>
      </w:r>
    </w:p>
    <w:p w14:paraId="162BC779">
      <w:pPr>
        <w:spacing w:before="200" w:line="371" w:lineRule="auto"/>
        <w:ind w:left="105" w:right="70" w:firstLine="41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 xml:space="preserve"> </w:t>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"http://www.ccgp-guangxi.gov.cn/"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z w:val="21"/>
          <w:szCs w:val="21"/>
        </w:rPr>
        <w:t>http</w:t>
      </w:r>
      <w:r>
        <w:rPr>
          <w:rFonts w:hint="eastAsia" w:asciiTheme="minorEastAsia" w:hAnsiTheme="minorEastAsia" w:eastAsiaTheme="minorEastAsia" w:cstheme="minorEastAsia"/>
          <w:color w:val="auto"/>
          <w:spacing w:val="1"/>
          <w:sz w:val="21"/>
          <w:szCs w:val="21"/>
        </w:rPr>
        <w:t>://</w:t>
      </w:r>
      <w:r>
        <w:rPr>
          <w:rFonts w:hint="eastAsia" w:asciiTheme="minorEastAsia" w:hAnsiTheme="minorEastAsia" w:eastAsiaTheme="minorEastAsia" w:cstheme="minorEastAsia"/>
          <w:color w:val="auto"/>
          <w:sz w:val="21"/>
          <w:szCs w:val="21"/>
        </w:rPr>
        <w:t>www</w:t>
      </w:r>
      <w:r>
        <w:rPr>
          <w:rFonts w:hint="eastAsia" w:asciiTheme="minorEastAsia" w:hAnsiTheme="minorEastAsia" w:eastAsiaTheme="minorEastAsia" w:cstheme="minorEastAsia"/>
          <w:color w:val="auto"/>
          <w:spacing w:val="1"/>
          <w:sz w:val="21"/>
          <w:szCs w:val="21"/>
        </w:rPr>
        <w:t>.</w:t>
      </w:r>
      <w:r>
        <w:rPr>
          <w:rFonts w:hint="eastAsia" w:asciiTheme="minorEastAsia" w:hAnsiTheme="minorEastAsia" w:eastAsiaTheme="minorEastAsia" w:cstheme="minorEastAsia"/>
          <w:color w:val="auto"/>
          <w:sz w:val="21"/>
          <w:szCs w:val="21"/>
        </w:rPr>
        <w:t>ccgp-guangxi.gov.cn/</w:t>
      </w:r>
      <w:r>
        <w:rPr>
          <w:rFonts w:hint="eastAsia" w:asciiTheme="minorEastAsia" w:hAnsiTheme="minorEastAsia" w:eastAsiaTheme="minorEastAsia" w:cstheme="minorEastAsia"/>
          <w:color w:val="auto"/>
          <w:sz w:val="21"/>
          <w:szCs w:val="21"/>
        </w:rPr>
        <w:fldChar w:fldCharType="end"/>
      </w:r>
      <w:r>
        <w:rPr>
          <w:rFonts w:hint="eastAsia" w:asciiTheme="minorEastAsia" w:hAnsiTheme="minorEastAsia" w:eastAsiaTheme="minorEastAsia" w:cstheme="minorEastAsia"/>
          <w:color w:val="auto"/>
          <w:spacing w:val="35"/>
          <w:sz w:val="21"/>
          <w:szCs w:val="21"/>
        </w:rPr>
        <w:t xml:space="preserve"> </w:t>
      </w:r>
      <w:r>
        <w:rPr>
          <w:rFonts w:hint="eastAsia" w:asciiTheme="minorEastAsia" w:hAnsiTheme="minorEastAsia" w:eastAsiaTheme="minorEastAsia" w:cstheme="minorEastAsia"/>
          <w:color w:val="auto"/>
          <w:sz w:val="21"/>
          <w:szCs w:val="21"/>
        </w:rPr>
        <w:t>(广西 政府采购网)、全国公共资源交易平台(广西·百色)(</w:t>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"http://ggzy.jgswj.gxzf.gov.cn/bsggzy/)。"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z w:val="21"/>
          <w:szCs w:val="21"/>
        </w:rPr>
        <w:t>http://ggzy.jgswj.gxzf.gov.cn/bsggzy/)。</w:t>
      </w:r>
      <w:r>
        <w:rPr>
          <w:rFonts w:hint="eastAsia" w:asciiTheme="minorEastAsia" w:hAnsiTheme="minorEastAsia" w:eastAsiaTheme="minorEastAsia" w:cstheme="minorEastAsia"/>
          <w:color w:val="auto"/>
          <w:sz w:val="21"/>
          <w:szCs w:val="21"/>
        </w:rPr>
        <w:fldChar w:fldCharType="end"/>
      </w:r>
    </w:p>
    <w:p w14:paraId="6041F44F">
      <w:pPr>
        <w:spacing w:before="32" w:line="222" w:lineRule="auto"/>
        <w:ind w:left="54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3.本项目需要落实的政府采购政策：</w:t>
      </w:r>
    </w:p>
    <w:p w14:paraId="79F3A7BA">
      <w:pPr>
        <w:spacing w:before="187" w:line="221" w:lineRule="auto"/>
        <w:ind w:left="635"/>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(1)政府采购促进中小企业发展。</w:t>
      </w:r>
    </w:p>
    <w:p w14:paraId="40A7B7D5">
      <w:pPr>
        <w:spacing w:before="189" w:line="222" w:lineRule="auto"/>
        <w:ind w:left="635"/>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(2)政府采购支持采用本国产品的政策。</w:t>
      </w:r>
    </w:p>
    <w:p w14:paraId="45FD3E94">
      <w:pPr>
        <w:spacing w:before="168" w:line="213" w:lineRule="auto"/>
        <w:ind w:left="635"/>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(3)强制采购节能产品；优先采购节能产品、环境标志产品。</w:t>
      </w:r>
    </w:p>
    <w:p w14:paraId="3A27E42F">
      <w:pPr>
        <w:spacing w:before="221" w:line="217" w:lineRule="auto"/>
        <w:ind w:left="635"/>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(4)政府采购促进残疾人就业政策。</w:t>
      </w:r>
    </w:p>
    <w:p w14:paraId="332EE5C9">
      <w:pPr>
        <w:spacing w:before="179" w:line="221" w:lineRule="auto"/>
        <w:ind w:left="635"/>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(5)政府采购支持监狱企业发展。</w:t>
      </w:r>
    </w:p>
    <w:p w14:paraId="786072B3">
      <w:pPr>
        <w:spacing w:before="179" w:line="221" w:lineRule="auto"/>
        <w:ind w:left="635" w:firstLine="0"/>
        <w:rPr>
          <w:rFonts w:hint="eastAsia" w:asciiTheme="minorEastAsia" w:hAnsiTheme="minorEastAsia" w:eastAsiaTheme="minorEastAsia" w:cstheme="minorEastAsia"/>
          <w:color w:val="auto"/>
          <w:spacing w:val="6"/>
          <w:sz w:val="21"/>
          <w:szCs w:val="21"/>
        </w:rPr>
      </w:pPr>
      <w:r>
        <w:rPr>
          <w:rFonts w:hint="eastAsia" w:asciiTheme="minorEastAsia" w:hAnsiTheme="minorEastAsia" w:eastAsiaTheme="minorEastAsia" w:cstheme="minorEastAsia"/>
          <w:color w:val="auto"/>
          <w:spacing w:val="-1"/>
          <w:sz w:val="21"/>
          <w:szCs w:val="21"/>
        </w:rPr>
        <w:t>4.单位负责人为同一人或者存在直接控股、管</w:t>
      </w:r>
      <w:r>
        <w:rPr>
          <w:rFonts w:hint="eastAsia" w:asciiTheme="minorEastAsia" w:hAnsiTheme="minorEastAsia" w:eastAsiaTheme="minorEastAsia" w:cstheme="minorEastAsia"/>
          <w:color w:val="auto"/>
          <w:spacing w:val="-2"/>
          <w:sz w:val="21"/>
          <w:szCs w:val="21"/>
        </w:rPr>
        <w:t>理关系的不同供应商，不得参加同一合同项下的</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1"/>
          <w:sz w:val="21"/>
          <w:szCs w:val="21"/>
        </w:rPr>
        <w:t>政</w:t>
      </w:r>
      <w:r>
        <w:rPr>
          <w:rFonts w:hint="eastAsia" w:asciiTheme="minorEastAsia" w:hAnsiTheme="minorEastAsia" w:eastAsiaTheme="minorEastAsia" w:cstheme="minorEastAsia"/>
          <w:color w:val="auto"/>
          <w:spacing w:val="6"/>
          <w:sz w:val="21"/>
          <w:szCs w:val="21"/>
        </w:rPr>
        <w:t>府采购活动。为本项目提供过整体设计、规范编制或者项目管理、监理、检测等服务的供应商， 不得再参加本项目上述服务以外的其他采购活动。</w:t>
      </w:r>
    </w:p>
    <w:p w14:paraId="0E6D29CF">
      <w:pPr>
        <w:spacing w:before="179" w:line="221" w:lineRule="auto"/>
        <w:ind w:left="635" w:right="0" w:firstLine="0"/>
        <w:rPr>
          <w:rFonts w:hint="eastAsia" w:asciiTheme="minorEastAsia" w:hAnsiTheme="minorEastAsia" w:eastAsiaTheme="minorEastAsia" w:cstheme="minorEastAsia"/>
          <w:color w:val="auto"/>
          <w:spacing w:val="6"/>
          <w:sz w:val="21"/>
          <w:szCs w:val="21"/>
        </w:rPr>
      </w:pPr>
      <w:r>
        <w:rPr>
          <w:rFonts w:hint="eastAsia" w:asciiTheme="minorEastAsia" w:hAnsiTheme="minorEastAsia" w:eastAsiaTheme="minorEastAsia" w:cstheme="minorEastAsia"/>
          <w:color w:val="auto"/>
          <w:spacing w:val="6"/>
          <w:sz w:val="21"/>
          <w:szCs w:val="21"/>
        </w:rPr>
        <w:t>5.对在“信用中国”网站(</w:t>
      </w:r>
      <w:r>
        <w:rPr>
          <w:rFonts w:hint="eastAsia" w:asciiTheme="minorEastAsia" w:hAnsiTheme="minorEastAsia" w:eastAsiaTheme="minorEastAsia" w:cstheme="minorEastAsia"/>
          <w:color w:val="auto"/>
          <w:spacing w:val="6"/>
        </w:rPr>
        <w:fldChar w:fldCharType="begin"/>
      </w:r>
      <w:r>
        <w:rPr>
          <w:rFonts w:hint="eastAsia" w:asciiTheme="minorEastAsia" w:hAnsiTheme="minorEastAsia" w:eastAsiaTheme="minorEastAsia" w:cstheme="minorEastAsia"/>
          <w:color w:val="auto"/>
          <w:spacing w:val="6"/>
        </w:rPr>
        <w:instrText xml:space="preserve"> HYPERLINK "https://www.creditchina.gov.cn" </w:instrText>
      </w:r>
      <w:r>
        <w:rPr>
          <w:rFonts w:hint="eastAsia" w:asciiTheme="minorEastAsia" w:hAnsiTheme="minorEastAsia" w:eastAsiaTheme="minorEastAsia" w:cstheme="minorEastAsia"/>
          <w:color w:val="auto"/>
          <w:spacing w:val="6"/>
        </w:rPr>
        <w:fldChar w:fldCharType="separate"/>
      </w:r>
      <w:r>
        <w:rPr>
          <w:rFonts w:hint="eastAsia" w:asciiTheme="minorEastAsia" w:hAnsiTheme="minorEastAsia" w:eastAsiaTheme="minorEastAsia" w:cstheme="minorEastAsia"/>
          <w:color w:val="auto"/>
          <w:spacing w:val="6"/>
          <w:sz w:val="21"/>
          <w:szCs w:val="21"/>
        </w:rPr>
        <w:t>www.creditchina.gov.cn</w:t>
      </w:r>
      <w:r>
        <w:rPr>
          <w:rFonts w:hint="eastAsia" w:asciiTheme="minorEastAsia" w:hAnsiTheme="minorEastAsia" w:eastAsiaTheme="minorEastAsia" w:cstheme="minorEastAsia"/>
          <w:color w:val="auto"/>
          <w:spacing w:val="6"/>
          <w:sz w:val="21"/>
          <w:szCs w:val="21"/>
        </w:rPr>
        <w:fldChar w:fldCharType="end"/>
      </w:r>
      <w:r>
        <w:rPr>
          <w:rFonts w:hint="eastAsia" w:asciiTheme="minorEastAsia" w:hAnsiTheme="minorEastAsia" w:eastAsiaTheme="minorEastAsia" w:cstheme="minorEastAsia"/>
          <w:color w:val="auto"/>
          <w:spacing w:val="6"/>
          <w:sz w:val="21"/>
          <w:szCs w:val="21"/>
        </w:rPr>
        <w:t>)、 中国政府采购网(</w:t>
      </w:r>
      <w:r>
        <w:rPr>
          <w:rFonts w:hint="eastAsia" w:asciiTheme="minorEastAsia" w:hAnsiTheme="minorEastAsia" w:eastAsiaTheme="minorEastAsia" w:cstheme="minorEastAsia"/>
          <w:color w:val="auto"/>
          <w:spacing w:val="6"/>
        </w:rPr>
        <w:fldChar w:fldCharType="begin"/>
      </w:r>
      <w:r>
        <w:rPr>
          <w:rFonts w:hint="eastAsia" w:asciiTheme="minorEastAsia" w:hAnsiTheme="minorEastAsia" w:eastAsiaTheme="minorEastAsia" w:cstheme="minorEastAsia"/>
          <w:color w:val="auto"/>
          <w:spacing w:val="6"/>
        </w:rPr>
        <w:instrText xml:space="preserve"> HYPERLINK "https://www.ccgp.gov.cn)" </w:instrText>
      </w:r>
      <w:r>
        <w:rPr>
          <w:rFonts w:hint="eastAsia" w:asciiTheme="minorEastAsia" w:hAnsiTheme="minorEastAsia" w:eastAsiaTheme="minorEastAsia" w:cstheme="minorEastAsia"/>
          <w:color w:val="auto"/>
          <w:spacing w:val="6"/>
        </w:rPr>
        <w:fldChar w:fldCharType="separate"/>
      </w:r>
      <w:r>
        <w:rPr>
          <w:rFonts w:hint="eastAsia" w:asciiTheme="minorEastAsia" w:hAnsiTheme="minorEastAsia" w:eastAsiaTheme="minorEastAsia" w:cstheme="minorEastAsia"/>
          <w:color w:val="auto"/>
          <w:spacing w:val="6"/>
          <w:sz w:val="21"/>
          <w:szCs w:val="21"/>
        </w:rPr>
        <w:t>www.ccgp.gov.cn)</w:t>
      </w:r>
      <w:r>
        <w:rPr>
          <w:rFonts w:hint="eastAsia" w:asciiTheme="minorEastAsia" w:hAnsiTheme="minorEastAsia" w:eastAsiaTheme="minorEastAsia" w:cstheme="minorEastAsia"/>
          <w:color w:val="auto"/>
          <w:spacing w:val="6"/>
          <w:sz w:val="21"/>
          <w:szCs w:val="21"/>
        </w:rPr>
        <w:fldChar w:fldCharType="end"/>
      </w:r>
      <w:r>
        <w:rPr>
          <w:rFonts w:hint="eastAsia" w:asciiTheme="minorEastAsia" w:hAnsiTheme="minorEastAsia" w:eastAsiaTheme="minorEastAsia" w:cstheme="minorEastAsia"/>
          <w:color w:val="auto"/>
          <w:spacing w:val="6"/>
          <w:sz w:val="21"/>
          <w:szCs w:val="21"/>
        </w:rPr>
        <w:t xml:space="preserve"> 被列入失信被执行人、重大税收违法失信主体、政府采购严重违法失信行为记录名单及其他不符合 《中华人民共和国政府采购法》第二十二条规定条件的供应商，不得参与政府采购活动。</w:t>
      </w:r>
    </w:p>
    <w:p w14:paraId="2E8E844B">
      <w:pPr>
        <w:spacing w:before="194" w:line="221" w:lineRule="auto"/>
        <w:ind w:left="54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1"/>
          <w:sz w:val="21"/>
          <w:szCs w:val="21"/>
        </w:rPr>
        <w:t>6.评审说明：本项目为远程异地全流程电子评标。</w:t>
      </w:r>
    </w:p>
    <w:p w14:paraId="14D35EE6">
      <w:pPr>
        <w:spacing w:before="198" w:line="219" w:lineRule="auto"/>
        <w:ind w:left="54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3"/>
          <w:sz w:val="21"/>
          <w:szCs w:val="21"/>
        </w:rPr>
        <w:t>7.在线投标的有关说明：</w:t>
      </w:r>
    </w:p>
    <w:p w14:paraId="1B24FFF8">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20" w:firstLineChars="200"/>
        <w:textAlignment w:val="baseline"/>
        <w:rPr>
          <w:rFonts w:hint="eastAsia"/>
          <w:color w:val="auto"/>
        </w:rPr>
      </w:pPr>
      <w:r>
        <w:rPr>
          <w:rFonts w:hint="eastAsia" w:eastAsia="宋体"/>
          <w:color w:val="auto"/>
          <w:lang w:eastAsia="zh-CN"/>
        </w:rPr>
        <w:t>（</w:t>
      </w:r>
      <w:r>
        <w:rPr>
          <w:rFonts w:hint="eastAsia" w:eastAsia="宋体"/>
          <w:color w:val="auto"/>
          <w:lang w:val="en-US" w:eastAsia="zh-CN"/>
        </w:rPr>
        <w:t>1</w:t>
      </w:r>
      <w:r>
        <w:rPr>
          <w:rFonts w:hint="eastAsia" w:eastAsia="宋体"/>
          <w:color w:val="auto"/>
          <w:lang w:eastAsia="zh-CN"/>
        </w:rPr>
        <w:t>）</w:t>
      </w:r>
      <w:r>
        <w:rPr>
          <w:rFonts w:hint="eastAsia"/>
          <w:color w:val="auto"/>
        </w:rPr>
        <w:t>投标文件提交方式：本项目为全流程电子化项目，通过广西政府采购云平台(</w:t>
      </w:r>
      <w:r>
        <w:rPr>
          <w:rFonts w:hint="eastAsia"/>
          <w:color w:val="auto"/>
        </w:rPr>
        <w:fldChar w:fldCharType="begin"/>
      </w:r>
      <w:r>
        <w:rPr>
          <w:rFonts w:hint="eastAsia"/>
          <w:color w:val="auto"/>
        </w:rPr>
        <w:instrText xml:space="preserve"> HYPERLINK "https://www.gcy.zfcg.gxzf.gov.cn/" </w:instrText>
      </w:r>
      <w:r>
        <w:rPr>
          <w:rFonts w:hint="eastAsia"/>
          <w:color w:val="auto"/>
        </w:rPr>
        <w:fldChar w:fldCharType="separate"/>
      </w:r>
      <w:r>
        <w:rPr>
          <w:rFonts w:hint="eastAsia"/>
          <w:color w:val="auto"/>
        </w:rPr>
        <w:t>https://www.gcy.zfcg.gxzf.gov.cn/</w:t>
      </w:r>
      <w:r>
        <w:rPr>
          <w:rFonts w:hint="eastAsia"/>
          <w:color w:val="auto"/>
        </w:rPr>
        <w:fldChar w:fldCharType="end"/>
      </w:r>
      <w:r>
        <w:rPr>
          <w:rFonts w:hint="eastAsia"/>
          <w:color w:val="auto"/>
        </w:rPr>
        <w:t>)实行在线电子投标，供应商应先安装广西政府采购云平 台新版客户端(新版客户端下载路径：广西政府采购网(访问地址</w:t>
      </w:r>
      <w:r>
        <w:rPr>
          <w:rFonts w:hint="eastAsia"/>
          <w:color w:val="auto"/>
        </w:rPr>
        <w:fldChar w:fldCharType="begin"/>
      </w:r>
      <w:r>
        <w:rPr>
          <w:rFonts w:hint="eastAsia"/>
          <w:color w:val="auto"/>
        </w:rPr>
        <w:instrText xml:space="preserve"> HYPERLINK "http://zfcg.gxzf.gov.cn/)" </w:instrText>
      </w:r>
      <w:r>
        <w:rPr>
          <w:rFonts w:hint="eastAsia"/>
          <w:color w:val="auto"/>
        </w:rPr>
        <w:fldChar w:fldCharType="separate"/>
      </w:r>
      <w:r>
        <w:rPr>
          <w:rFonts w:hint="eastAsia"/>
          <w:color w:val="auto"/>
        </w:rPr>
        <w:t>http://zfcg.gxzf.gov.cn/)</w:t>
      </w:r>
      <w:r>
        <w:rPr>
          <w:rFonts w:hint="eastAsia"/>
          <w:color w:val="auto"/>
        </w:rPr>
        <w:fldChar w:fldCharType="end"/>
      </w:r>
      <w:r>
        <w:rPr>
          <w:rFonts w:hint="eastAsia"/>
          <w:color w:val="auto"/>
        </w:rPr>
        <w:t>一办事服务一下载专区),并按照本项目采购文件和广西政府采购云平台的要求编制、加密后在投 标文件提交截止时间前通过网络上传至广西政府采购云平台，供应商在广西政府采购云平台提交电 子版投标文件时，请填写参加远程开标活动经办人联系方式。</w:t>
      </w:r>
    </w:p>
    <w:p w14:paraId="49C3B083">
      <w:pPr>
        <w:wordWrap w:val="0"/>
        <w:spacing w:before="0" w:line="360" w:lineRule="auto"/>
        <w:ind w:firstLine="420" w:firstLineChars="200"/>
        <w:rPr>
          <w:rFonts w:hint="eastAsia"/>
          <w:color w:val="auto"/>
        </w:rPr>
      </w:pPr>
      <w:r>
        <w:rPr>
          <w:rFonts w:hint="eastAsia" w:eastAsia="宋体"/>
          <w:color w:val="auto"/>
          <w:lang w:eastAsia="zh-CN"/>
        </w:rPr>
        <w:t>（</w:t>
      </w:r>
      <w:r>
        <w:rPr>
          <w:rFonts w:hint="eastAsia" w:eastAsia="宋体"/>
          <w:color w:val="auto"/>
          <w:lang w:val="en-US" w:eastAsia="zh-CN"/>
        </w:rPr>
        <w:t>2</w:t>
      </w:r>
      <w:r>
        <w:rPr>
          <w:rFonts w:hint="eastAsia" w:eastAsia="宋体"/>
          <w:color w:val="auto"/>
          <w:lang w:eastAsia="zh-CN"/>
        </w:rPr>
        <w:t>）</w:t>
      </w:r>
      <w:r>
        <w:rPr>
          <w:rFonts w:hint="eastAsia"/>
          <w:color w:val="auto"/>
        </w:rPr>
        <w:t>未进行网上注册并办理数字证书(CA 认证)的供应商将无法参与本项目政府采购活动， 潜在投标人应当在投标截止时间前，完成电子交易平台上的CA数字证书办理及投标文件的提交。</w:t>
      </w:r>
    </w:p>
    <w:p w14:paraId="6A9EB12D">
      <w:pPr>
        <w:spacing w:before="198" w:line="304" w:lineRule="auto"/>
        <w:ind w:firstLine="432"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lang w:eastAsia="zh-CN"/>
        </w:rPr>
        <w:t>（</w:t>
      </w:r>
      <w:r>
        <w:rPr>
          <w:rFonts w:hint="eastAsia" w:asciiTheme="minorEastAsia" w:hAnsiTheme="minorEastAsia" w:eastAsiaTheme="minorEastAsia" w:cstheme="minorEastAsia"/>
          <w:color w:val="auto"/>
          <w:spacing w:val="3"/>
          <w:sz w:val="21"/>
          <w:szCs w:val="21"/>
          <w:lang w:val="en-US" w:eastAsia="zh-CN"/>
        </w:rPr>
        <w:t>3</w:t>
      </w:r>
      <w:r>
        <w:rPr>
          <w:rFonts w:hint="eastAsia" w:asciiTheme="minorEastAsia" w:hAnsiTheme="minorEastAsia" w:eastAsiaTheme="minorEastAsia" w:cstheme="minorEastAsia"/>
          <w:color w:val="auto"/>
          <w:spacing w:val="3"/>
          <w:sz w:val="21"/>
          <w:szCs w:val="21"/>
          <w:lang w:eastAsia="zh-CN"/>
        </w:rPr>
        <w:t>）</w:t>
      </w:r>
      <w:r>
        <w:rPr>
          <w:rFonts w:hint="eastAsia" w:asciiTheme="minorEastAsia" w:hAnsiTheme="minorEastAsia" w:eastAsiaTheme="minorEastAsia" w:cstheme="minorEastAsia"/>
          <w:color w:val="auto"/>
          <w:spacing w:val="3"/>
          <w:sz w:val="21"/>
          <w:szCs w:val="21"/>
        </w:rPr>
        <w:t>为确保网上操作合法、有效和安全，请投标人确保在电子投标过程中能够对相关数据电</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1"/>
          <w:sz w:val="21"/>
          <w:szCs w:val="21"/>
        </w:rPr>
        <w:t>文进行加密和使用电子签章，妥善保管</w:t>
      </w:r>
      <w:r>
        <w:rPr>
          <w:rFonts w:hint="eastAsia" w:asciiTheme="minorEastAsia" w:hAnsiTheme="minorEastAsia" w:eastAsiaTheme="minorEastAsia" w:cstheme="minorEastAsia"/>
          <w:color w:val="auto"/>
          <w:spacing w:val="-55"/>
          <w:sz w:val="21"/>
          <w:szCs w:val="21"/>
        </w:rPr>
        <w:t xml:space="preserve"> </w:t>
      </w:r>
      <w:r>
        <w:rPr>
          <w:rFonts w:hint="eastAsia" w:asciiTheme="minorEastAsia" w:hAnsiTheme="minorEastAsia" w:eastAsiaTheme="minorEastAsia" w:cstheme="minorEastAsia"/>
          <w:color w:val="auto"/>
          <w:sz w:val="21"/>
          <w:szCs w:val="21"/>
        </w:rPr>
        <w:t>CA</w:t>
      </w:r>
      <w:r>
        <w:rPr>
          <w:rFonts w:hint="eastAsia" w:asciiTheme="minorEastAsia" w:hAnsiTheme="minorEastAsia" w:eastAsiaTheme="minorEastAsia" w:cstheme="minorEastAsia"/>
          <w:color w:val="auto"/>
          <w:spacing w:val="-48"/>
          <w:sz w:val="21"/>
          <w:szCs w:val="21"/>
        </w:rPr>
        <w:t xml:space="preserve"> </w:t>
      </w:r>
      <w:r>
        <w:rPr>
          <w:rFonts w:hint="eastAsia" w:asciiTheme="minorEastAsia" w:hAnsiTheme="minorEastAsia" w:eastAsiaTheme="minorEastAsia" w:cstheme="minorEastAsia"/>
          <w:color w:val="auto"/>
          <w:spacing w:val="1"/>
          <w:sz w:val="21"/>
          <w:szCs w:val="21"/>
        </w:rPr>
        <w:t>数字证书并使用有效的</w:t>
      </w:r>
      <w:r>
        <w:rPr>
          <w:rFonts w:hint="eastAsia" w:asciiTheme="minorEastAsia" w:hAnsiTheme="minorEastAsia" w:eastAsiaTheme="minorEastAsia" w:cstheme="minorEastAsia"/>
          <w:color w:val="auto"/>
          <w:sz w:val="21"/>
          <w:szCs w:val="21"/>
        </w:rPr>
        <w:t>CA</w:t>
      </w:r>
      <w:r>
        <w:rPr>
          <w:rFonts w:hint="eastAsia" w:asciiTheme="minorEastAsia" w:hAnsiTheme="minorEastAsia" w:eastAsiaTheme="minorEastAsia" w:cstheme="minorEastAsia"/>
          <w:color w:val="auto"/>
          <w:spacing w:val="-29"/>
          <w:sz w:val="21"/>
          <w:szCs w:val="21"/>
        </w:rPr>
        <w:t xml:space="preserve"> </w:t>
      </w:r>
      <w:r>
        <w:rPr>
          <w:rFonts w:hint="eastAsia" w:asciiTheme="minorEastAsia" w:hAnsiTheme="minorEastAsia" w:eastAsiaTheme="minorEastAsia" w:cstheme="minorEastAsia"/>
          <w:color w:val="auto"/>
          <w:spacing w:val="1"/>
          <w:sz w:val="21"/>
          <w:szCs w:val="21"/>
        </w:rPr>
        <w:t>数字证</w:t>
      </w:r>
      <w:r>
        <w:rPr>
          <w:rFonts w:hint="eastAsia" w:asciiTheme="minorEastAsia" w:hAnsiTheme="minorEastAsia" w:eastAsiaTheme="minorEastAsia" w:cstheme="minorEastAsia"/>
          <w:color w:val="auto"/>
          <w:sz w:val="21"/>
          <w:szCs w:val="21"/>
        </w:rPr>
        <w:t>书参与整个招标活动。</w:t>
      </w:r>
    </w:p>
    <w:p w14:paraId="502A5918">
      <w:pPr>
        <w:spacing w:before="182" w:line="385" w:lineRule="auto"/>
        <w:ind w:left="3" w:right="44" w:firstLine="429"/>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2"/>
          <w:sz w:val="21"/>
          <w:szCs w:val="21"/>
          <w:u w:val="single" w:color="auto"/>
        </w:rPr>
        <w:t>注：投标人应当在投标截止时间前完成电子投标文件</w:t>
      </w:r>
      <w:r>
        <w:rPr>
          <w:rFonts w:hint="eastAsia" w:asciiTheme="minorEastAsia" w:hAnsiTheme="minorEastAsia" w:eastAsiaTheme="minorEastAsia" w:cstheme="minorEastAsia"/>
          <w:b/>
          <w:bCs/>
          <w:color w:val="auto"/>
          <w:spacing w:val="1"/>
          <w:sz w:val="21"/>
          <w:szCs w:val="21"/>
          <w:u w:val="single" w:color="auto"/>
        </w:rPr>
        <w:t>的上传、递交，投标截止时间前可以补</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b/>
          <w:bCs/>
          <w:color w:val="auto"/>
          <w:spacing w:val="2"/>
          <w:sz w:val="21"/>
          <w:szCs w:val="21"/>
          <w:u w:val="single" w:color="auto"/>
        </w:rPr>
        <w:t>充、修改或者撤回投标文件。补充或者修改投标文件的，应当先行撤回</w:t>
      </w:r>
      <w:r>
        <w:rPr>
          <w:rFonts w:hint="eastAsia" w:asciiTheme="minorEastAsia" w:hAnsiTheme="minorEastAsia" w:eastAsiaTheme="minorEastAsia" w:cstheme="minorEastAsia"/>
          <w:b/>
          <w:bCs/>
          <w:color w:val="auto"/>
          <w:spacing w:val="1"/>
          <w:sz w:val="21"/>
          <w:szCs w:val="21"/>
          <w:u w:val="single" w:color="auto"/>
        </w:rPr>
        <w:t>原文件，补充、修改后重</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b/>
          <w:bCs/>
          <w:color w:val="auto"/>
          <w:spacing w:val="2"/>
          <w:sz w:val="21"/>
          <w:szCs w:val="21"/>
          <w:u w:val="single" w:color="auto"/>
        </w:rPr>
        <w:t>新上传、递交。投标截止时间前未完成上传、递交的，视为撤回投</w:t>
      </w:r>
      <w:r>
        <w:rPr>
          <w:rFonts w:hint="eastAsia" w:asciiTheme="minorEastAsia" w:hAnsiTheme="minorEastAsia" w:eastAsiaTheme="minorEastAsia" w:cstheme="minorEastAsia"/>
          <w:b/>
          <w:bCs/>
          <w:color w:val="auto"/>
          <w:spacing w:val="1"/>
          <w:sz w:val="21"/>
          <w:szCs w:val="21"/>
          <w:u w:val="single" w:color="auto"/>
        </w:rPr>
        <w:t>标文件。投标截止时间以后上</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b/>
          <w:bCs/>
          <w:color w:val="auto"/>
          <w:spacing w:val="-2"/>
          <w:sz w:val="21"/>
          <w:szCs w:val="21"/>
          <w:u w:val="single" w:color="auto"/>
        </w:rPr>
        <w:t>传递交的投标文件广西政府采购云平台将予以</w:t>
      </w:r>
      <w:r>
        <w:rPr>
          <w:rFonts w:hint="eastAsia" w:asciiTheme="minorEastAsia" w:hAnsiTheme="minorEastAsia" w:eastAsiaTheme="minorEastAsia" w:cstheme="minorEastAsia"/>
          <w:b/>
          <w:bCs/>
          <w:color w:val="auto"/>
          <w:spacing w:val="-3"/>
          <w:sz w:val="21"/>
          <w:szCs w:val="21"/>
          <w:u w:val="single" w:color="auto"/>
        </w:rPr>
        <w:t>拒收。</w:t>
      </w:r>
      <w:r>
        <w:rPr>
          <w:rFonts w:hint="eastAsia" w:asciiTheme="minorEastAsia" w:hAnsiTheme="minorEastAsia" w:eastAsiaTheme="minorEastAsia" w:cstheme="minorEastAsia"/>
          <w:color w:val="auto"/>
          <w:spacing w:val="-3"/>
          <w:sz w:val="21"/>
          <w:szCs w:val="21"/>
          <w:u w:val="single" w:color="auto"/>
        </w:rPr>
        <w:t xml:space="preserve"> </w:t>
      </w:r>
    </w:p>
    <w:p w14:paraId="0D18FAB8">
      <w:pPr>
        <w:spacing w:line="388" w:lineRule="auto"/>
        <w:ind w:right="62" w:firstLine="424"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lang w:eastAsia="zh-CN"/>
        </w:rPr>
        <w:t>（</w:t>
      </w:r>
      <w:r>
        <w:rPr>
          <w:rFonts w:hint="eastAsia" w:asciiTheme="minorEastAsia" w:hAnsiTheme="minorEastAsia" w:eastAsiaTheme="minorEastAsia" w:cstheme="minorEastAsia"/>
          <w:color w:val="auto"/>
          <w:spacing w:val="1"/>
          <w:sz w:val="21"/>
          <w:szCs w:val="21"/>
          <w:lang w:val="en-US" w:eastAsia="zh-CN"/>
        </w:rPr>
        <w:t>4</w:t>
      </w:r>
      <w:r>
        <w:rPr>
          <w:rFonts w:hint="eastAsia" w:asciiTheme="minorEastAsia" w:hAnsiTheme="minorEastAsia" w:eastAsiaTheme="minorEastAsia" w:cstheme="minorEastAsia"/>
          <w:color w:val="auto"/>
          <w:spacing w:val="1"/>
          <w:sz w:val="21"/>
          <w:szCs w:val="21"/>
          <w:lang w:eastAsia="zh-CN"/>
        </w:rPr>
        <w:t>）</w:t>
      </w:r>
      <w:r>
        <w:rPr>
          <w:rFonts w:hint="eastAsia" w:asciiTheme="minorEastAsia" w:hAnsiTheme="minorEastAsia" w:eastAsiaTheme="minorEastAsia" w:cstheme="minorEastAsia"/>
          <w:color w:val="auto"/>
          <w:sz w:val="21"/>
          <w:szCs w:val="21"/>
        </w:rPr>
        <w:t>CA</w:t>
      </w:r>
      <w:r>
        <w:rPr>
          <w:rFonts w:hint="eastAsia" w:asciiTheme="minorEastAsia" w:hAnsiTheme="minorEastAsia" w:eastAsiaTheme="minorEastAsia" w:cstheme="minorEastAsia"/>
          <w:color w:val="auto"/>
          <w:spacing w:val="1"/>
          <w:sz w:val="21"/>
          <w:szCs w:val="21"/>
        </w:rPr>
        <w:t>证书在线解密：投标人投标时，需携带制作投标文件时用来加密的有效数字证书(</w:t>
      </w:r>
      <w:r>
        <w:rPr>
          <w:rFonts w:hint="eastAsia" w:asciiTheme="minorEastAsia" w:hAnsiTheme="minorEastAsia" w:eastAsiaTheme="minorEastAsia" w:cstheme="minorEastAsia"/>
          <w:color w:val="auto"/>
          <w:sz w:val="21"/>
          <w:szCs w:val="21"/>
        </w:rPr>
        <w:t xml:space="preserve">CA </w:t>
      </w:r>
      <w:r>
        <w:rPr>
          <w:rFonts w:hint="eastAsia" w:asciiTheme="minorEastAsia" w:hAnsiTheme="minorEastAsia" w:eastAsiaTheme="minorEastAsia" w:cstheme="minorEastAsia"/>
          <w:color w:val="auto"/>
          <w:spacing w:val="3"/>
          <w:sz w:val="21"/>
          <w:szCs w:val="21"/>
        </w:rPr>
        <w:t>认证)登录广西政府采购云平台电子开标大厅现场按规定时间对加密的投标文件进行解</w:t>
      </w:r>
      <w:r>
        <w:rPr>
          <w:rFonts w:hint="eastAsia" w:asciiTheme="minorEastAsia" w:hAnsiTheme="minorEastAsia" w:eastAsiaTheme="minorEastAsia" w:cstheme="minorEastAsia"/>
          <w:color w:val="auto"/>
          <w:spacing w:val="2"/>
          <w:sz w:val="21"/>
          <w:szCs w:val="21"/>
        </w:rPr>
        <w:t>密。</w:t>
      </w:r>
    </w:p>
    <w:p w14:paraId="1BAE46DE">
      <w:pPr>
        <w:bidi w:val="0"/>
        <w:spacing w:line="360" w:lineRule="auto"/>
        <w:ind w:firstLine="420" w:firstLineChars="200"/>
        <w:rPr>
          <w:rFonts w:hint="eastAsia"/>
          <w:color w:val="auto"/>
        </w:rPr>
        <w:sectPr>
          <w:footerReference r:id="rId6" w:type="default"/>
          <w:pgSz w:w="11900" w:h="16830"/>
          <w:pgMar w:top="1289" w:right="1415" w:bottom="989" w:left="1325" w:header="0" w:footer="845" w:gutter="0"/>
          <w:cols w:space="720" w:num="1"/>
        </w:sectPr>
      </w:pPr>
    </w:p>
    <w:p w14:paraId="7CB42BD7">
      <w:pPr>
        <w:tabs>
          <w:tab w:val="left" w:pos="108"/>
        </w:tabs>
        <w:wordWrap w:val="0"/>
        <w:autoSpaceDE/>
        <w:autoSpaceDN/>
        <w:spacing w:line="384" w:lineRule="auto"/>
        <w:ind w:right="40" w:firstLine="368" w:firstLineChars="200"/>
        <w:jc w:val="both"/>
        <w:rPr>
          <w:rFonts w:hint="eastAsia" w:asciiTheme="minorEastAsia" w:hAnsiTheme="minorEastAsia" w:eastAsiaTheme="minorEastAsia" w:cstheme="minorEastAsia"/>
          <w:color w:val="auto"/>
          <w:spacing w:val="4"/>
          <w:sz w:val="21"/>
          <w:szCs w:val="21"/>
        </w:rPr>
      </w:pPr>
      <w:r>
        <w:rPr>
          <w:rFonts w:hint="eastAsia" w:asciiTheme="minorEastAsia" w:hAnsiTheme="minorEastAsia" w:eastAsiaTheme="minorEastAsia" w:cstheme="minorEastAsia"/>
          <w:color w:val="auto"/>
          <w:spacing w:val="-13"/>
          <w:sz w:val="21"/>
          <w:szCs w:val="21"/>
          <w:lang w:eastAsia="zh-CN"/>
        </w:rPr>
        <w:t>（</w:t>
      </w:r>
      <w:r>
        <w:rPr>
          <w:rFonts w:hint="eastAsia" w:asciiTheme="minorEastAsia" w:hAnsiTheme="minorEastAsia" w:eastAsiaTheme="minorEastAsia" w:cstheme="minorEastAsia"/>
          <w:color w:val="auto"/>
          <w:spacing w:val="-13"/>
          <w:sz w:val="21"/>
          <w:szCs w:val="21"/>
          <w:lang w:val="en-US" w:eastAsia="zh-CN"/>
        </w:rPr>
        <w:t>5</w:t>
      </w:r>
      <w:r>
        <w:rPr>
          <w:rFonts w:hint="eastAsia" w:asciiTheme="minorEastAsia" w:hAnsiTheme="minorEastAsia" w:eastAsiaTheme="minorEastAsia" w:cstheme="minorEastAsia"/>
          <w:color w:val="auto"/>
          <w:spacing w:val="-13"/>
          <w:sz w:val="21"/>
          <w:szCs w:val="21"/>
          <w:lang w:eastAsia="zh-CN"/>
        </w:rPr>
        <w:t>）</w:t>
      </w:r>
      <w:r>
        <w:rPr>
          <w:rFonts w:hint="eastAsia" w:asciiTheme="minorEastAsia" w:hAnsiTheme="minorEastAsia" w:eastAsiaTheme="minorEastAsia" w:cstheme="minorEastAsia"/>
          <w:color w:val="auto"/>
          <w:spacing w:val="-13"/>
          <w:sz w:val="21"/>
          <w:szCs w:val="21"/>
        </w:rPr>
        <w:t>若</w:t>
      </w:r>
      <w:r>
        <w:rPr>
          <w:rFonts w:hint="eastAsia" w:asciiTheme="minorEastAsia" w:hAnsiTheme="minorEastAsia" w:eastAsiaTheme="minorEastAsia" w:cstheme="minorEastAsia"/>
          <w:color w:val="auto"/>
          <w:spacing w:val="-39"/>
          <w:sz w:val="21"/>
          <w:szCs w:val="21"/>
        </w:rPr>
        <w:t xml:space="preserve"> </w:t>
      </w:r>
      <w:r>
        <w:rPr>
          <w:rFonts w:hint="eastAsia" w:asciiTheme="minorEastAsia" w:hAnsiTheme="minorEastAsia" w:eastAsiaTheme="minorEastAsia" w:cstheme="minorEastAsia"/>
          <w:color w:val="auto"/>
          <w:spacing w:val="-13"/>
          <w:sz w:val="21"/>
          <w:szCs w:val="21"/>
        </w:rPr>
        <w:t>对</w:t>
      </w:r>
      <w:r>
        <w:rPr>
          <w:rFonts w:hint="eastAsia" w:asciiTheme="minorEastAsia" w:hAnsiTheme="minorEastAsia" w:eastAsiaTheme="minorEastAsia" w:cstheme="minorEastAsia"/>
          <w:color w:val="auto"/>
          <w:spacing w:val="-38"/>
          <w:sz w:val="21"/>
          <w:szCs w:val="21"/>
        </w:rPr>
        <w:t xml:space="preserve"> </w:t>
      </w:r>
      <w:r>
        <w:rPr>
          <w:rFonts w:hint="eastAsia" w:asciiTheme="minorEastAsia" w:hAnsiTheme="minorEastAsia" w:eastAsiaTheme="minorEastAsia" w:cstheme="minorEastAsia"/>
          <w:color w:val="auto"/>
          <w:spacing w:val="-13"/>
          <w:sz w:val="21"/>
          <w:szCs w:val="21"/>
        </w:rPr>
        <w:t>项 目</w:t>
      </w:r>
      <w:r>
        <w:rPr>
          <w:rFonts w:hint="eastAsia" w:asciiTheme="minorEastAsia" w:hAnsiTheme="minorEastAsia" w:eastAsiaTheme="minorEastAsia" w:cstheme="minorEastAsia"/>
          <w:color w:val="auto"/>
          <w:spacing w:val="-38"/>
          <w:sz w:val="21"/>
          <w:szCs w:val="21"/>
        </w:rPr>
        <w:t xml:space="preserve"> </w:t>
      </w:r>
      <w:r>
        <w:rPr>
          <w:rFonts w:hint="eastAsia" w:asciiTheme="minorEastAsia" w:hAnsiTheme="minorEastAsia" w:eastAsiaTheme="minorEastAsia" w:cstheme="minorEastAsia"/>
          <w:color w:val="auto"/>
          <w:spacing w:val="-13"/>
          <w:sz w:val="21"/>
          <w:szCs w:val="21"/>
        </w:rPr>
        <w:t>采</w:t>
      </w:r>
      <w:r>
        <w:rPr>
          <w:rFonts w:hint="eastAsia" w:asciiTheme="minorEastAsia" w:hAnsiTheme="minorEastAsia" w:eastAsiaTheme="minorEastAsia" w:cstheme="minorEastAsia"/>
          <w:color w:val="auto"/>
          <w:spacing w:val="-39"/>
          <w:sz w:val="21"/>
          <w:szCs w:val="21"/>
        </w:rPr>
        <w:t xml:space="preserve"> </w:t>
      </w:r>
      <w:r>
        <w:rPr>
          <w:rFonts w:hint="eastAsia" w:asciiTheme="minorEastAsia" w:hAnsiTheme="minorEastAsia" w:eastAsiaTheme="minorEastAsia" w:cstheme="minorEastAsia"/>
          <w:color w:val="auto"/>
          <w:spacing w:val="-13"/>
          <w:sz w:val="21"/>
          <w:szCs w:val="21"/>
        </w:rPr>
        <w:t>购</w:t>
      </w:r>
      <w:r>
        <w:rPr>
          <w:rFonts w:hint="eastAsia" w:asciiTheme="minorEastAsia" w:hAnsiTheme="minorEastAsia" w:eastAsiaTheme="minorEastAsia" w:cstheme="minorEastAsia"/>
          <w:color w:val="auto"/>
          <w:spacing w:val="-24"/>
          <w:sz w:val="21"/>
          <w:szCs w:val="21"/>
        </w:rPr>
        <w:t xml:space="preserve"> </w:t>
      </w:r>
      <w:r>
        <w:rPr>
          <w:rFonts w:hint="eastAsia" w:asciiTheme="minorEastAsia" w:hAnsiTheme="minorEastAsia" w:eastAsiaTheme="minorEastAsia" w:cstheme="minorEastAsia"/>
          <w:color w:val="auto"/>
          <w:spacing w:val="-13"/>
          <w:sz w:val="21"/>
          <w:szCs w:val="21"/>
        </w:rPr>
        <w:t>电</w:t>
      </w:r>
      <w:r>
        <w:rPr>
          <w:rFonts w:hint="eastAsia" w:asciiTheme="minorEastAsia" w:hAnsiTheme="minorEastAsia" w:eastAsiaTheme="minorEastAsia" w:cstheme="minorEastAsia"/>
          <w:color w:val="auto"/>
          <w:spacing w:val="-34"/>
          <w:sz w:val="21"/>
          <w:szCs w:val="21"/>
        </w:rPr>
        <w:t xml:space="preserve"> </w:t>
      </w:r>
      <w:r>
        <w:rPr>
          <w:rFonts w:hint="eastAsia" w:asciiTheme="minorEastAsia" w:hAnsiTheme="minorEastAsia" w:eastAsiaTheme="minorEastAsia" w:cstheme="minorEastAsia"/>
          <w:color w:val="auto"/>
          <w:spacing w:val="-13"/>
          <w:sz w:val="21"/>
          <w:szCs w:val="21"/>
        </w:rPr>
        <w:t>子</w:t>
      </w:r>
      <w:r>
        <w:rPr>
          <w:rFonts w:hint="eastAsia" w:asciiTheme="minorEastAsia" w:hAnsiTheme="minorEastAsia" w:eastAsiaTheme="minorEastAsia" w:cstheme="minorEastAsia"/>
          <w:color w:val="auto"/>
          <w:spacing w:val="-33"/>
          <w:sz w:val="21"/>
          <w:szCs w:val="21"/>
        </w:rPr>
        <w:t xml:space="preserve"> </w:t>
      </w:r>
      <w:r>
        <w:rPr>
          <w:rFonts w:hint="eastAsia" w:asciiTheme="minorEastAsia" w:hAnsiTheme="minorEastAsia" w:eastAsiaTheme="minorEastAsia" w:cstheme="minorEastAsia"/>
          <w:color w:val="auto"/>
          <w:spacing w:val="-13"/>
          <w:sz w:val="21"/>
          <w:szCs w:val="21"/>
        </w:rPr>
        <w:t>交</w:t>
      </w:r>
      <w:r>
        <w:rPr>
          <w:rFonts w:hint="eastAsia" w:asciiTheme="minorEastAsia" w:hAnsiTheme="minorEastAsia" w:eastAsiaTheme="minorEastAsia" w:cstheme="minorEastAsia"/>
          <w:color w:val="auto"/>
          <w:spacing w:val="-33"/>
          <w:sz w:val="21"/>
          <w:szCs w:val="21"/>
        </w:rPr>
        <w:t xml:space="preserve"> </w:t>
      </w:r>
      <w:r>
        <w:rPr>
          <w:rFonts w:hint="eastAsia" w:asciiTheme="minorEastAsia" w:hAnsiTheme="minorEastAsia" w:eastAsiaTheme="minorEastAsia" w:cstheme="minorEastAsia"/>
          <w:color w:val="auto"/>
          <w:spacing w:val="-13"/>
          <w:sz w:val="21"/>
          <w:szCs w:val="21"/>
        </w:rPr>
        <w:t>易</w:t>
      </w:r>
      <w:r>
        <w:rPr>
          <w:rFonts w:hint="eastAsia" w:asciiTheme="minorEastAsia" w:hAnsiTheme="minorEastAsia" w:eastAsiaTheme="minorEastAsia" w:cstheme="minorEastAsia"/>
          <w:color w:val="auto"/>
          <w:spacing w:val="-33"/>
          <w:sz w:val="21"/>
          <w:szCs w:val="21"/>
        </w:rPr>
        <w:t xml:space="preserve"> </w:t>
      </w:r>
      <w:r>
        <w:rPr>
          <w:rFonts w:hint="eastAsia" w:asciiTheme="minorEastAsia" w:hAnsiTheme="minorEastAsia" w:eastAsiaTheme="minorEastAsia" w:cstheme="minorEastAsia"/>
          <w:color w:val="auto"/>
          <w:spacing w:val="-13"/>
          <w:sz w:val="21"/>
          <w:szCs w:val="21"/>
        </w:rPr>
        <w:t>系</w:t>
      </w:r>
      <w:r>
        <w:rPr>
          <w:rFonts w:hint="eastAsia" w:asciiTheme="minorEastAsia" w:hAnsiTheme="minorEastAsia" w:eastAsiaTheme="minorEastAsia" w:cstheme="minorEastAsia"/>
          <w:color w:val="auto"/>
          <w:spacing w:val="-39"/>
          <w:sz w:val="21"/>
          <w:szCs w:val="21"/>
        </w:rPr>
        <w:t xml:space="preserve"> </w:t>
      </w:r>
      <w:r>
        <w:rPr>
          <w:rFonts w:hint="eastAsia" w:asciiTheme="minorEastAsia" w:hAnsiTheme="minorEastAsia" w:eastAsiaTheme="minorEastAsia" w:cstheme="minorEastAsia"/>
          <w:color w:val="auto"/>
          <w:spacing w:val="-13"/>
          <w:sz w:val="21"/>
          <w:szCs w:val="21"/>
        </w:rPr>
        <w:t>统</w:t>
      </w:r>
      <w:r>
        <w:rPr>
          <w:rFonts w:hint="eastAsia" w:asciiTheme="minorEastAsia" w:hAnsiTheme="minorEastAsia" w:eastAsiaTheme="minorEastAsia" w:cstheme="minorEastAsia"/>
          <w:color w:val="auto"/>
          <w:spacing w:val="-37"/>
          <w:sz w:val="21"/>
          <w:szCs w:val="21"/>
        </w:rPr>
        <w:t xml:space="preserve"> </w:t>
      </w:r>
      <w:r>
        <w:rPr>
          <w:rFonts w:hint="eastAsia" w:asciiTheme="minorEastAsia" w:hAnsiTheme="minorEastAsia" w:eastAsiaTheme="minorEastAsia" w:cstheme="minorEastAsia"/>
          <w:color w:val="auto"/>
          <w:spacing w:val="-13"/>
          <w:sz w:val="21"/>
          <w:szCs w:val="21"/>
        </w:rPr>
        <w:t>操</w:t>
      </w:r>
      <w:r>
        <w:rPr>
          <w:rFonts w:hint="eastAsia" w:asciiTheme="minorEastAsia" w:hAnsiTheme="minorEastAsia" w:eastAsiaTheme="minorEastAsia" w:cstheme="minorEastAsia"/>
          <w:color w:val="auto"/>
          <w:spacing w:val="-39"/>
          <w:sz w:val="21"/>
          <w:szCs w:val="21"/>
        </w:rPr>
        <w:t xml:space="preserve"> </w:t>
      </w:r>
      <w:r>
        <w:rPr>
          <w:rFonts w:hint="eastAsia" w:asciiTheme="minorEastAsia" w:hAnsiTheme="minorEastAsia" w:eastAsiaTheme="minorEastAsia" w:cstheme="minorEastAsia"/>
          <w:color w:val="auto"/>
          <w:spacing w:val="-13"/>
          <w:sz w:val="21"/>
          <w:szCs w:val="21"/>
        </w:rPr>
        <w:t>作</w:t>
      </w:r>
      <w:r>
        <w:rPr>
          <w:rFonts w:hint="eastAsia" w:asciiTheme="minorEastAsia" w:hAnsiTheme="minorEastAsia" w:eastAsiaTheme="minorEastAsia" w:cstheme="minorEastAsia"/>
          <w:color w:val="auto"/>
          <w:spacing w:val="-37"/>
          <w:sz w:val="21"/>
          <w:szCs w:val="21"/>
        </w:rPr>
        <w:t xml:space="preserve"> </w:t>
      </w:r>
      <w:r>
        <w:rPr>
          <w:rFonts w:hint="eastAsia" w:asciiTheme="minorEastAsia" w:hAnsiTheme="minorEastAsia" w:eastAsiaTheme="minorEastAsia" w:cstheme="minorEastAsia"/>
          <w:color w:val="auto"/>
          <w:spacing w:val="-13"/>
          <w:sz w:val="21"/>
          <w:szCs w:val="21"/>
        </w:rPr>
        <w:t>有</w:t>
      </w:r>
      <w:r>
        <w:rPr>
          <w:rFonts w:hint="eastAsia" w:asciiTheme="minorEastAsia" w:hAnsiTheme="minorEastAsia" w:eastAsiaTheme="minorEastAsia" w:cstheme="minorEastAsia"/>
          <w:color w:val="auto"/>
          <w:spacing w:val="-38"/>
          <w:sz w:val="21"/>
          <w:szCs w:val="21"/>
        </w:rPr>
        <w:t xml:space="preserve"> </w:t>
      </w:r>
      <w:r>
        <w:rPr>
          <w:rFonts w:hint="eastAsia" w:asciiTheme="minorEastAsia" w:hAnsiTheme="minorEastAsia" w:eastAsiaTheme="minorEastAsia" w:cstheme="minorEastAsia"/>
          <w:color w:val="auto"/>
          <w:spacing w:val="-13"/>
          <w:sz w:val="21"/>
          <w:szCs w:val="21"/>
        </w:rPr>
        <w:t>疑</w:t>
      </w:r>
      <w:r>
        <w:rPr>
          <w:rFonts w:hint="eastAsia" w:asciiTheme="minorEastAsia" w:hAnsiTheme="minorEastAsia" w:eastAsiaTheme="minorEastAsia" w:cstheme="minorEastAsia"/>
          <w:color w:val="auto"/>
          <w:spacing w:val="-25"/>
          <w:sz w:val="21"/>
          <w:szCs w:val="21"/>
        </w:rPr>
        <w:t xml:space="preserve"> </w:t>
      </w:r>
      <w:r>
        <w:rPr>
          <w:rFonts w:hint="eastAsia" w:asciiTheme="minorEastAsia" w:hAnsiTheme="minorEastAsia" w:eastAsiaTheme="minorEastAsia" w:cstheme="minorEastAsia"/>
          <w:color w:val="auto"/>
          <w:spacing w:val="-13"/>
          <w:sz w:val="21"/>
          <w:szCs w:val="21"/>
        </w:rPr>
        <w:t>问 ，</w:t>
      </w:r>
      <w:r>
        <w:rPr>
          <w:rFonts w:hint="eastAsia" w:asciiTheme="minorEastAsia" w:hAnsiTheme="minorEastAsia" w:eastAsiaTheme="minorEastAsia" w:cstheme="minorEastAsia"/>
          <w:color w:val="auto"/>
          <w:spacing w:val="-34"/>
          <w:sz w:val="21"/>
          <w:szCs w:val="21"/>
        </w:rPr>
        <w:t xml:space="preserve"> </w:t>
      </w:r>
      <w:r>
        <w:rPr>
          <w:rFonts w:hint="eastAsia" w:asciiTheme="minorEastAsia" w:hAnsiTheme="minorEastAsia" w:eastAsiaTheme="minorEastAsia" w:cstheme="minorEastAsia"/>
          <w:color w:val="auto"/>
          <w:spacing w:val="-13"/>
          <w:sz w:val="21"/>
          <w:szCs w:val="21"/>
        </w:rPr>
        <w:t>可</w:t>
      </w:r>
      <w:r>
        <w:rPr>
          <w:rFonts w:hint="eastAsia" w:asciiTheme="minorEastAsia" w:hAnsiTheme="minorEastAsia" w:eastAsiaTheme="minorEastAsia" w:cstheme="minorEastAsia"/>
          <w:color w:val="auto"/>
          <w:spacing w:val="-36"/>
          <w:sz w:val="21"/>
          <w:szCs w:val="21"/>
        </w:rPr>
        <w:t xml:space="preserve"> </w:t>
      </w:r>
      <w:r>
        <w:rPr>
          <w:rFonts w:hint="eastAsia" w:asciiTheme="minorEastAsia" w:hAnsiTheme="minorEastAsia" w:eastAsiaTheme="minorEastAsia" w:cstheme="minorEastAsia"/>
          <w:color w:val="auto"/>
          <w:spacing w:val="-13"/>
          <w:sz w:val="21"/>
          <w:szCs w:val="21"/>
        </w:rPr>
        <w:t>登</w:t>
      </w:r>
      <w:r>
        <w:rPr>
          <w:rFonts w:hint="eastAsia" w:asciiTheme="minorEastAsia" w:hAnsiTheme="minorEastAsia" w:eastAsiaTheme="minorEastAsia" w:cstheme="minorEastAsia"/>
          <w:color w:val="auto"/>
          <w:spacing w:val="-36"/>
          <w:sz w:val="21"/>
          <w:szCs w:val="21"/>
        </w:rPr>
        <w:t xml:space="preserve"> </w:t>
      </w:r>
      <w:r>
        <w:rPr>
          <w:rFonts w:hint="eastAsia" w:asciiTheme="minorEastAsia" w:hAnsiTheme="minorEastAsia" w:eastAsiaTheme="minorEastAsia" w:cstheme="minorEastAsia"/>
          <w:color w:val="auto"/>
          <w:spacing w:val="-13"/>
          <w:sz w:val="21"/>
          <w:szCs w:val="21"/>
        </w:rPr>
        <w:t>录</w:t>
      </w:r>
      <w:r>
        <w:rPr>
          <w:rFonts w:hint="eastAsia" w:asciiTheme="minorEastAsia" w:hAnsiTheme="minorEastAsia" w:eastAsiaTheme="minorEastAsia" w:cstheme="minorEastAsia"/>
          <w:color w:val="auto"/>
          <w:spacing w:val="-38"/>
          <w:sz w:val="21"/>
          <w:szCs w:val="21"/>
        </w:rPr>
        <w:t xml:space="preserve"> </w:t>
      </w:r>
      <w:r>
        <w:rPr>
          <w:rFonts w:hint="eastAsia" w:asciiTheme="minorEastAsia" w:hAnsiTheme="minorEastAsia" w:eastAsiaTheme="minorEastAsia" w:cstheme="minorEastAsia"/>
          <w:color w:val="auto"/>
          <w:spacing w:val="-13"/>
          <w:sz w:val="21"/>
          <w:szCs w:val="21"/>
        </w:rPr>
        <w:t>广</w:t>
      </w:r>
      <w:r>
        <w:rPr>
          <w:rFonts w:hint="eastAsia" w:asciiTheme="minorEastAsia" w:hAnsiTheme="minorEastAsia" w:eastAsiaTheme="minorEastAsia" w:cstheme="minorEastAsia"/>
          <w:color w:val="auto"/>
          <w:spacing w:val="-31"/>
          <w:sz w:val="21"/>
          <w:szCs w:val="21"/>
        </w:rPr>
        <w:t xml:space="preserve"> </w:t>
      </w:r>
      <w:r>
        <w:rPr>
          <w:rFonts w:hint="eastAsia" w:asciiTheme="minorEastAsia" w:hAnsiTheme="minorEastAsia" w:eastAsiaTheme="minorEastAsia" w:cstheme="minorEastAsia"/>
          <w:color w:val="auto"/>
          <w:spacing w:val="-13"/>
          <w:sz w:val="21"/>
          <w:szCs w:val="21"/>
        </w:rPr>
        <w:t>西</w:t>
      </w:r>
      <w:r>
        <w:rPr>
          <w:rFonts w:hint="eastAsia" w:asciiTheme="minorEastAsia" w:hAnsiTheme="minorEastAsia" w:eastAsiaTheme="minorEastAsia" w:cstheme="minorEastAsia"/>
          <w:color w:val="auto"/>
          <w:spacing w:val="-39"/>
          <w:sz w:val="21"/>
          <w:szCs w:val="21"/>
        </w:rPr>
        <w:t xml:space="preserve"> </w:t>
      </w:r>
      <w:r>
        <w:rPr>
          <w:rFonts w:hint="eastAsia" w:asciiTheme="minorEastAsia" w:hAnsiTheme="minorEastAsia" w:eastAsiaTheme="minorEastAsia" w:cstheme="minorEastAsia"/>
          <w:color w:val="auto"/>
          <w:spacing w:val="-13"/>
          <w:sz w:val="21"/>
          <w:szCs w:val="21"/>
        </w:rPr>
        <w:t>政</w:t>
      </w:r>
      <w:r>
        <w:rPr>
          <w:rFonts w:hint="eastAsia" w:asciiTheme="minorEastAsia" w:hAnsiTheme="minorEastAsia" w:eastAsiaTheme="minorEastAsia" w:cstheme="minorEastAsia"/>
          <w:color w:val="auto"/>
          <w:spacing w:val="-38"/>
          <w:sz w:val="21"/>
          <w:szCs w:val="21"/>
        </w:rPr>
        <w:t xml:space="preserve"> </w:t>
      </w:r>
      <w:r>
        <w:rPr>
          <w:rFonts w:hint="eastAsia" w:asciiTheme="minorEastAsia" w:hAnsiTheme="minorEastAsia" w:eastAsiaTheme="minorEastAsia" w:cstheme="minorEastAsia"/>
          <w:color w:val="auto"/>
          <w:spacing w:val="-13"/>
          <w:sz w:val="21"/>
          <w:szCs w:val="21"/>
        </w:rPr>
        <w:t>府</w:t>
      </w:r>
      <w:r>
        <w:rPr>
          <w:rFonts w:hint="eastAsia" w:asciiTheme="minorEastAsia" w:hAnsiTheme="minorEastAsia" w:eastAsiaTheme="minorEastAsia" w:cstheme="minorEastAsia"/>
          <w:color w:val="auto"/>
          <w:spacing w:val="-39"/>
          <w:sz w:val="21"/>
          <w:szCs w:val="21"/>
        </w:rPr>
        <w:t xml:space="preserve"> </w:t>
      </w:r>
      <w:r>
        <w:rPr>
          <w:rFonts w:hint="eastAsia" w:asciiTheme="minorEastAsia" w:hAnsiTheme="minorEastAsia" w:eastAsiaTheme="minorEastAsia" w:cstheme="minorEastAsia"/>
          <w:color w:val="auto"/>
          <w:spacing w:val="-13"/>
          <w:sz w:val="21"/>
          <w:szCs w:val="21"/>
        </w:rPr>
        <w:t>采</w:t>
      </w:r>
      <w:r>
        <w:rPr>
          <w:rFonts w:hint="eastAsia" w:asciiTheme="minorEastAsia" w:hAnsiTheme="minorEastAsia" w:eastAsiaTheme="minorEastAsia" w:cstheme="minorEastAsia"/>
          <w:color w:val="auto"/>
          <w:spacing w:val="-38"/>
          <w:sz w:val="21"/>
          <w:szCs w:val="21"/>
        </w:rPr>
        <w:t xml:space="preserve"> </w:t>
      </w:r>
      <w:r>
        <w:rPr>
          <w:rFonts w:hint="eastAsia" w:asciiTheme="minorEastAsia" w:hAnsiTheme="minorEastAsia" w:eastAsiaTheme="minorEastAsia" w:cstheme="minorEastAsia"/>
          <w:color w:val="auto"/>
          <w:spacing w:val="-13"/>
          <w:sz w:val="21"/>
          <w:szCs w:val="21"/>
        </w:rPr>
        <w:t>购</w:t>
      </w:r>
      <w:r>
        <w:rPr>
          <w:rFonts w:hint="eastAsia" w:asciiTheme="minorEastAsia" w:hAnsiTheme="minorEastAsia" w:eastAsiaTheme="minorEastAsia" w:cstheme="minorEastAsia"/>
          <w:color w:val="auto"/>
          <w:spacing w:val="-32"/>
          <w:sz w:val="21"/>
          <w:szCs w:val="21"/>
        </w:rPr>
        <w:t xml:space="preserve"> </w:t>
      </w:r>
      <w:r>
        <w:rPr>
          <w:rFonts w:hint="eastAsia" w:asciiTheme="minorEastAsia" w:hAnsiTheme="minorEastAsia" w:eastAsiaTheme="minorEastAsia" w:cstheme="minorEastAsia"/>
          <w:color w:val="auto"/>
          <w:spacing w:val="-13"/>
          <w:sz w:val="21"/>
          <w:szCs w:val="21"/>
        </w:rPr>
        <w:t>云</w:t>
      </w:r>
      <w:r>
        <w:rPr>
          <w:rFonts w:hint="eastAsia" w:asciiTheme="minorEastAsia" w:hAnsiTheme="minorEastAsia" w:eastAsiaTheme="minorEastAsia" w:cstheme="minorEastAsia"/>
          <w:color w:val="auto"/>
          <w:spacing w:val="-33"/>
          <w:sz w:val="21"/>
          <w:szCs w:val="21"/>
        </w:rPr>
        <w:t xml:space="preserve"> </w:t>
      </w:r>
      <w:r>
        <w:rPr>
          <w:rFonts w:hint="eastAsia" w:asciiTheme="minorEastAsia" w:hAnsiTheme="minorEastAsia" w:eastAsiaTheme="minorEastAsia" w:cstheme="minorEastAsia"/>
          <w:color w:val="auto"/>
          <w:spacing w:val="-13"/>
          <w:sz w:val="21"/>
          <w:szCs w:val="21"/>
        </w:rPr>
        <w:t>平</w:t>
      </w:r>
      <w:r>
        <w:rPr>
          <w:rFonts w:hint="eastAsia" w:asciiTheme="minorEastAsia" w:hAnsiTheme="minorEastAsia" w:eastAsiaTheme="minorEastAsia" w:cstheme="minorEastAsia"/>
          <w:color w:val="auto"/>
          <w:spacing w:val="-24"/>
          <w:sz w:val="21"/>
          <w:szCs w:val="21"/>
        </w:rPr>
        <w:t xml:space="preserve"> </w:t>
      </w:r>
      <w:r>
        <w:rPr>
          <w:rFonts w:hint="eastAsia" w:asciiTheme="minorEastAsia" w:hAnsiTheme="minorEastAsia" w:eastAsiaTheme="minorEastAsia" w:cstheme="minorEastAsia"/>
          <w:color w:val="auto"/>
          <w:spacing w:val="-13"/>
          <w:sz w:val="21"/>
          <w:szCs w:val="21"/>
        </w:rPr>
        <w:t>台</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pacing w:val="1"/>
          <w:sz w:val="21"/>
          <w:szCs w:val="21"/>
        </w:rPr>
        <w:t>(</w:t>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"https://www.gcy.zfcg.gxzf.gov.cn/"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z w:val="21"/>
          <w:szCs w:val="21"/>
        </w:rPr>
        <w:t>https</w:t>
      </w:r>
      <w:r>
        <w:rPr>
          <w:rFonts w:hint="eastAsia" w:asciiTheme="minorEastAsia" w:hAnsiTheme="minorEastAsia" w:eastAsiaTheme="minorEastAsia" w:cstheme="minorEastAsia"/>
          <w:color w:val="auto"/>
          <w:spacing w:val="1"/>
          <w:sz w:val="21"/>
          <w:szCs w:val="21"/>
        </w:rPr>
        <w:t>://</w:t>
      </w:r>
      <w:r>
        <w:rPr>
          <w:rFonts w:hint="eastAsia" w:asciiTheme="minorEastAsia" w:hAnsiTheme="minorEastAsia" w:eastAsiaTheme="minorEastAsia" w:cstheme="minorEastAsia"/>
          <w:color w:val="auto"/>
          <w:sz w:val="21"/>
          <w:szCs w:val="21"/>
        </w:rPr>
        <w:t>www</w:t>
      </w:r>
      <w:r>
        <w:rPr>
          <w:rFonts w:hint="eastAsia" w:asciiTheme="minorEastAsia" w:hAnsiTheme="minorEastAsia" w:eastAsiaTheme="minorEastAsia" w:cstheme="minorEastAsia"/>
          <w:color w:val="auto"/>
          <w:spacing w:val="1"/>
          <w:sz w:val="21"/>
          <w:szCs w:val="21"/>
        </w:rPr>
        <w:t>.</w:t>
      </w:r>
      <w:r>
        <w:rPr>
          <w:rFonts w:hint="eastAsia" w:asciiTheme="minorEastAsia" w:hAnsiTheme="minorEastAsia" w:eastAsiaTheme="minorEastAsia" w:cstheme="minorEastAsia"/>
          <w:color w:val="auto"/>
          <w:sz w:val="21"/>
          <w:szCs w:val="21"/>
        </w:rPr>
        <w:t>gcy</w:t>
      </w:r>
      <w:r>
        <w:rPr>
          <w:rFonts w:hint="eastAsia" w:asciiTheme="minorEastAsia" w:hAnsiTheme="minorEastAsia" w:eastAsiaTheme="minorEastAsia" w:cstheme="minorEastAsia"/>
          <w:color w:val="auto"/>
          <w:spacing w:val="1"/>
          <w:sz w:val="21"/>
          <w:szCs w:val="21"/>
        </w:rPr>
        <w:t>.</w:t>
      </w:r>
      <w:r>
        <w:rPr>
          <w:rFonts w:hint="eastAsia" w:asciiTheme="minorEastAsia" w:hAnsiTheme="minorEastAsia" w:eastAsiaTheme="minorEastAsia" w:cstheme="minorEastAsia"/>
          <w:color w:val="auto"/>
          <w:sz w:val="21"/>
          <w:szCs w:val="21"/>
        </w:rPr>
        <w:t>zfcg</w:t>
      </w:r>
      <w:r>
        <w:rPr>
          <w:rFonts w:hint="eastAsia" w:asciiTheme="minorEastAsia" w:hAnsiTheme="minorEastAsia" w:eastAsiaTheme="minorEastAsia" w:cstheme="minorEastAsia"/>
          <w:color w:val="auto"/>
          <w:spacing w:val="1"/>
          <w:sz w:val="21"/>
          <w:szCs w:val="21"/>
        </w:rPr>
        <w:t>.</w:t>
      </w:r>
      <w:r>
        <w:rPr>
          <w:rFonts w:hint="eastAsia" w:asciiTheme="minorEastAsia" w:hAnsiTheme="minorEastAsia" w:eastAsiaTheme="minorEastAsia" w:cstheme="minorEastAsia"/>
          <w:color w:val="auto"/>
          <w:sz w:val="21"/>
          <w:szCs w:val="21"/>
        </w:rPr>
        <w:t>gxzf</w:t>
      </w:r>
      <w:r>
        <w:rPr>
          <w:rFonts w:hint="eastAsia" w:asciiTheme="minorEastAsia" w:hAnsiTheme="minorEastAsia" w:eastAsiaTheme="minorEastAsia" w:cstheme="minorEastAsia"/>
          <w:color w:val="auto"/>
          <w:spacing w:val="1"/>
          <w:sz w:val="21"/>
          <w:szCs w:val="21"/>
        </w:rPr>
        <w:t>.</w:t>
      </w:r>
      <w:r>
        <w:rPr>
          <w:rFonts w:hint="eastAsia" w:asciiTheme="minorEastAsia" w:hAnsiTheme="minorEastAsia" w:eastAsiaTheme="minorEastAsia" w:cstheme="minorEastAsia"/>
          <w:color w:val="auto"/>
          <w:sz w:val="21"/>
          <w:szCs w:val="21"/>
        </w:rPr>
        <w:t>gov</w:t>
      </w:r>
      <w:r>
        <w:rPr>
          <w:rFonts w:hint="eastAsia" w:asciiTheme="minorEastAsia" w:hAnsiTheme="minorEastAsia" w:eastAsiaTheme="minorEastAsia" w:cstheme="minorEastAsia"/>
          <w:color w:val="auto"/>
          <w:spacing w:val="1"/>
          <w:sz w:val="21"/>
          <w:szCs w:val="21"/>
        </w:rPr>
        <w:t>.</w:t>
      </w:r>
      <w:r>
        <w:rPr>
          <w:rFonts w:hint="eastAsia" w:asciiTheme="minorEastAsia" w:hAnsiTheme="minorEastAsia" w:eastAsiaTheme="minorEastAsia" w:cstheme="minorEastAsia"/>
          <w:color w:val="auto"/>
          <w:sz w:val="21"/>
          <w:szCs w:val="21"/>
        </w:rPr>
        <w:t>cn</w:t>
      </w:r>
      <w:r>
        <w:rPr>
          <w:rFonts w:hint="eastAsia" w:asciiTheme="minorEastAsia" w:hAnsiTheme="minorEastAsia" w:eastAsiaTheme="minorEastAsia" w:cstheme="minorEastAsia"/>
          <w:color w:val="auto"/>
          <w:spacing w:val="1"/>
          <w:sz w:val="21"/>
          <w:szCs w:val="21"/>
        </w:rPr>
        <w:t>/</w:t>
      </w:r>
      <w:r>
        <w:rPr>
          <w:rFonts w:hint="eastAsia" w:asciiTheme="minorEastAsia" w:hAnsiTheme="minorEastAsia" w:eastAsiaTheme="minorEastAsia" w:cstheme="minorEastAsia"/>
          <w:color w:val="auto"/>
          <w:spacing w:val="1"/>
          <w:sz w:val="21"/>
          <w:szCs w:val="21"/>
        </w:rPr>
        <w:fldChar w:fldCharType="end"/>
      </w:r>
      <w:r>
        <w:rPr>
          <w:rFonts w:hint="eastAsia" w:asciiTheme="minorEastAsia" w:hAnsiTheme="minorEastAsia" w:eastAsiaTheme="minorEastAsia" w:cstheme="minorEastAsia"/>
          <w:color w:val="auto"/>
          <w:spacing w:val="1"/>
          <w:sz w:val="21"/>
          <w:szCs w:val="21"/>
        </w:rPr>
        <w:t>),  点击右侧咨询小采，获取采小蜜智能服务管家帮助，</w:t>
      </w:r>
      <w:r>
        <w:rPr>
          <w:rFonts w:hint="eastAsia" w:asciiTheme="minorEastAsia" w:hAnsiTheme="minorEastAsia" w:eastAsiaTheme="minorEastAsia" w:cstheme="minorEastAsia"/>
          <w:color w:val="auto"/>
          <w:spacing w:val="8"/>
          <w:sz w:val="21"/>
          <w:szCs w:val="21"/>
        </w:rPr>
        <w:t xml:space="preserve"> </w:t>
      </w:r>
      <w:r>
        <w:rPr>
          <w:rFonts w:hint="eastAsia" w:asciiTheme="minorEastAsia" w:hAnsiTheme="minorEastAsia" w:eastAsiaTheme="minorEastAsia" w:cstheme="minorEastAsia"/>
          <w:color w:val="auto"/>
          <w:spacing w:val="4"/>
          <w:sz w:val="21"/>
          <w:szCs w:val="21"/>
        </w:rPr>
        <w:t>或拨打广西政府采购云平台服务热线95763获取热线服务帮助。</w:t>
      </w:r>
    </w:p>
    <w:p w14:paraId="4CD9A3C8">
      <w:pPr>
        <w:tabs>
          <w:tab w:val="left" w:pos="108"/>
        </w:tabs>
        <w:spacing w:line="383" w:lineRule="auto"/>
        <w:ind w:right="40" w:firstLine="520"/>
        <w:jc w:val="both"/>
        <w:rPr>
          <w:rFonts w:hint="eastAsia" w:asciiTheme="minorEastAsia" w:hAnsiTheme="minorEastAsia" w:eastAsiaTheme="minorEastAsia" w:cstheme="minorEastAsia"/>
          <w:b/>
          <w:bCs/>
          <w:color w:val="auto"/>
          <w:spacing w:val="4"/>
          <w:sz w:val="21"/>
          <w:szCs w:val="21"/>
          <w:highlight w:val="none"/>
        </w:rPr>
      </w:pPr>
      <w:r>
        <w:rPr>
          <w:rFonts w:hint="eastAsia" w:asciiTheme="minorEastAsia" w:hAnsiTheme="minorEastAsia" w:eastAsiaTheme="minorEastAsia" w:cstheme="minorEastAsia"/>
          <w:b/>
          <w:bCs/>
          <w:color w:val="auto"/>
          <w:spacing w:val="4"/>
          <w:sz w:val="21"/>
          <w:szCs w:val="21"/>
          <w:highlight w:val="none"/>
          <w:lang w:val="en-US" w:eastAsia="zh-CN"/>
        </w:rPr>
        <w:t>8</w:t>
      </w:r>
      <w:r>
        <w:rPr>
          <w:rFonts w:hint="eastAsia" w:asciiTheme="minorEastAsia" w:hAnsiTheme="minorEastAsia" w:eastAsiaTheme="minorEastAsia" w:cstheme="minorEastAsia"/>
          <w:b/>
          <w:bCs/>
          <w:color w:val="auto"/>
          <w:spacing w:val="4"/>
          <w:sz w:val="21"/>
          <w:szCs w:val="21"/>
          <w:highlight w:val="none"/>
        </w:rPr>
        <w:t>.本项目采用远程异地评标，评标主场设在</w:t>
      </w:r>
      <w:r>
        <w:rPr>
          <w:rFonts w:hint="eastAsia" w:asciiTheme="minorEastAsia" w:hAnsiTheme="minorEastAsia" w:eastAsiaTheme="minorEastAsia" w:cstheme="minorEastAsia"/>
          <w:b/>
          <w:bCs/>
          <w:color w:val="auto"/>
          <w:spacing w:val="4"/>
          <w:sz w:val="21"/>
          <w:szCs w:val="21"/>
          <w:highlight w:val="none"/>
          <w:lang w:val="en-US" w:eastAsia="zh-CN"/>
        </w:rPr>
        <w:t>百色</w:t>
      </w:r>
      <w:r>
        <w:rPr>
          <w:rFonts w:hint="eastAsia" w:asciiTheme="minorEastAsia" w:hAnsiTheme="minorEastAsia" w:eastAsiaTheme="minorEastAsia" w:cstheme="minorEastAsia"/>
          <w:b/>
          <w:bCs/>
          <w:color w:val="auto"/>
          <w:spacing w:val="4"/>
          <w:sz w:val="21"/>
          <w:szCs w:val="21"/>
          <w:highlight w:val="none"/>
        </w:rPr>
        <w:t>市公共资源交易中心（</w:t>
      </w:r>
      <w:r>
        <w:rPr>
          <w:rFonts w:hint="eastAsia" w:asciiTheme="minorEastAsia" w:hAnsiTheme="minorEastAsia" w:eastAsiaTheme="minorEastAsia" w:cstheme="minorEastAsia"/>
          <w:b/>
          <w:bCs/>
          <w:color w:val="auto"/>
          <w:spacing w:val="4"/>
          <w:sz w:val="21"/>
          <w:szCs w:val="21"/>
          <w:highlight w:val="none"/>
          <w:lang w:eastAsia="zh-CN"/>
        </w:rPr>
        <w:t>百色市右江区百色市政务服务中心3层</w:t>
      </w:r>
      <w:r>
        <w:rPr>
          <w:rFonts w:hint="eastAsia" w:asciiTheme="minorEastAsia" w:hAnsiTheme="minorEastAsia" w:eastAsiaTheme="minorEastAsia" w:cstheme="minorEastAsia"/>
          <w:b/>
          <w:bCs/>
          <w:color w:val="auto"/>
          <w:spacing w:val="4"/>
          <w:sz w:val="21"/>
          <w:szCs w:val="21"/>
          <w:highlight w:val="none"/>
        </w:rPr>
        <w:t>），评标副场设在青秀区南宁市青秀区枫林路18号三楼专家评标室（广西国资交易中心）</w:t>
      </w:r>
    </w:p>
    <w:p w14:paraId="23BA2AB5">
      <w:pPr>
        <w:spacing w:before="1" w:line="212" w:lineRule="auto"/>
        <w:ind w:left="43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1"/>
          <w:sz w:val="21"/>
          <w:szCs w:val="21"/>
        </w:rPr>
        <w:t>七、对本次招标提出询问，请按以下方式联系。</w:t>
      </w:r>
    </w:p>
    <w:p w14:paraId="13A03AEE">
      <w:pPr>
        <w:spacing w:before="192" w:line="223" w:lineRule="auto"/>
        <w:ind w:left="4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1.采购人信息</w:t>
      </w:r>
    </w:p>
    <w:p w14:paraId="34403266">
      <w:pPr>
        <w:spacing w:before="154" w:line="222" w:lineRule="auto"/>
        <w:ind w:left="62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pacing w:val="-2"/>
          <w:sz w:val="21"/>
          <w:szCs w:val="21"/>
        </w:rPr>
        <w:t>名  称：</w:t>
      </w:r>
      <w:r>
        <w:rPr>
          <w:rFonts w:hint="eastAsia" w:asciiTheme="minorEastAsia" w:hAnsiTheme="minorEastAsia" w:eastAsiaTheme="minorEastAsia" w:cstheme="minorEastAsia"/>
          <w:color w:val="auto"/>
          <w:spacing w:val="-2"/>
          <w:sz w:val="21"/>
          <w:szCs w:val="21"/>
          <w:lang w:eastAsia="zh-CN"/>
        </w:rPr>
        <w:t>广西雅长兰科植物国家级自然保护区管理中心</w:t>
      </w:r>
    </w:p>
    <w:p w14:paraId="7F127949">
      <w:pPr>
        <w:spacing w:before="161" w:line="229" w:lineRule="auto"/>
        <w:ind w:left="629"/>
        <w:rPr>
          <w:rFonts w:hint="default"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rPr>
        <w:t>地</w:t>
      </w:r>
      <w:r>
        <w:rPr>
          <w:rFonts w:hint="eastAsia" w:asciiTheme="minorEastAsia" w:hAnsiTheme="minorEastAsia" w:eastAsiaTheme="minorEastAsia" w:cstheme="minorEastAsia"/>
          <w:color w:val="auto"/>
          <w:spacing w:val="110"/>
          <w:sz w:val="21"/>
          <w:szCs w:val="21"/>
        </w:rPr>
        <w:t xml:space="preserve"> </w:t>
      </w:r>
      <w:r>
        <w:rPr>
          <w:rFonts w:hint="eastAsia" w:asciiTheme="minorEastAsia" w:hAnsiTheme="minorEastAsia" w:eastAsiaTheme="minorEastAsia" w:cstheme="minorEastAsia"/>
          <w:color w:val="auto"/>
          <w:sz w:val="21"/>
          <w:szCs w:val="21"/>
        </w:rPr>
        <w:t>址：</w:t>
      </w:r>
      <w:r>
        <w:rPr>
          <w:rFonts w:hint="eastAsia" w:asciiTheme="minorEastAsia" w:hAnsiTheme="minorEastAsia" w:eastAsiaTheme="minorEastAsia" w:cstheme="minorEastAsia"/>
          <w:color w:val="auto"/>
          <w:sz w:val="21"/>
          <w:szCs w:val="21"/>
          <w:lang w:eastAsia="zh-CN"/>
        </w:rPr>
        <w:t>广西百色乐业县同乐镇迎宾大道1号</w:t>
      </w:r>
    </w:p>
    <w:p w14:paraId="150218A0">
      <w:pPr>
        <w:spacing w:before="167" w:line="213" w:lineRule="auto"/>
        <w:ind w:left="629"/>
        <w:rPr>
          <w:rFonts w:hint="default"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pacing w:val="-1"/>
          <w:sz w:val="21"/>
          <w:szCs w:val="21"/>
        </w:rPr>
        <w:t>联系方式：</w:t>
      </w:r>
      <w:r>
        <w:rPr>
          <w:rFonts w:hint="eastAsia" w:asciiTheme="minorEastAsia" w:hAnsiTheme="minorEastAsia" w:eastAsiaTheme="minorEastAsia" w:cstheme="minorEastAsia"/>
          <w:color w:val="auto"/>
          <w:spacing w:val="-1"/>
          <w:sz w:val="21"/>
          <w:szCs w:val="21"/>
          <w:lang w:eastAsia="zh-CN"/>
        </w:rPr>
        <w:t>黄</w:t>
      </w:r>
      <w:r>
        <w:rPr>
          <w:rFonts w:hint="eastAsia" w:asciiTheme="minorEastAsia" w:hAnsiTheme="minorEastAsia" w:eastAsiaTheme="minorEastAsia" w:cstheme="minorEastAsia"/>
          <w:color w:val="auto"/>
          <w:spacing w:val="-1"/>
          <w:sz w:val="21"/>
          <w:szCs w:val="21"/>
          <w:lang w:val="en-US" w:eastAsia="zh-CN"/>
        </w:rPr>
        <w:t>工 19977676330</w:t>
      </w:r>
    </w:p>
    <w:p w14:paraId="16B4E73A">
      <w:pPr>
        <w:spacing w:before="219" w:line="222" w:lineRule="auto"/>
        <w:ind w:left="4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2.采购代理机构信息</w:t>
      </w:r>
    </w:p>
    <w:p w14:paraId="79F1468D">
      <w:pPr>
        <w:spacing w:before="166" w:line="222" w:lineRule="auto"/>
        <w:ind w:left="62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pacing w:val="6"/>
          <w:sz w:val="21"/>
          <w:szCs w:val="21"/>
        </w:rPr>
        <w:t>名 称：</w:t>
      </w:r>
      <w:r>
        <w:rPr>
          <w:rFonts w:hint="eastAsia" w:asciiTheme="minorEastAsia" w:hAnsiTheme="minorEastAsia" w:eastAsiaTheme="minorEastAsia" w:cstheme="minorEastAsia"/>
          <w:color w:val="auto"/>
          <w:spacing w:val="6"/>
          <w:sz w:val="21"/>
          <w:szCs w:val="21"/>
          <w:lang w:eastAsia="zh-CN"/>
        </w:rPr>
        <w:t>广西合士嘉项目咨询有限公司</w:t>
      </w:r>
    </w:p>
    <w:p w14:paraId="4A528BDE">
      <w:pPr>
        <w:spacing w:before="157" w:line="221" w:lineRule="auto"/>
        <w:ind w:left="62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pacing w:val="18"/>
          <w:sz w:val="21"/>
          <w:szCs w:val="21"/>
        </w:rPr>
        <w:t>地</w:t>
      </w:r>
      <w:r>
        <w:rPr>
          <w:rFonts w:hint="eastAsia" w:asciiTheme="minorEastAsia" w:hAnsiTheme="minorEastAsia" w:eastAsiaTheme="minorEastAsia" w:cstheme="minorEastAsia"/>
          <w:color w:val="auto"/>
          <w:spacing w:val="47"/>
          <w:sz w:val="21"/>
          <w:szCs w:val="21"/>
        </w:rPr>
        <w:t xml:space="preserve"> </w:t>
      </w:r>
      <w:r>
        <w:rPr>
          <w:rFonts w:hint="eastAsia" w:asciiTheme="minorEastAsia" w:hAnsiTheme="minorEastAsia" w:eastAsiaTheme="minorEastAsia" w:cstheme="minorEastAsia"/>
          <w:color w:val="auto"/>
          <w:spacing w:val="18"/>
          <w:sz w:val="21"/>
          <w:szCs w:val="21"/>
        </w:rPr>
        <w:t>址：</w:t>
      </w:r>
      <w:r>
        <w:rPr>
          <w:rFonts w:hint="eastAsia" w:asciiTheme="minorEastAsia" w:hAnsiTheme="minorEastAsia" w:eastAsiaTheme="minorEastAsia" w:cstheme="minorEastAsia"/>
          <w:color w:val="auto"/>
          <w:spacing w:val="18"/>
          <w:sz w:val="21"/>
          <w:szCs w:val="21"/>
          <w:lang w:eastAsia="zh-CN"/>
        </w:rPr>
        <w:t>南宁市青秀区民族大道192号鑫隆国际商业中心1号楼20层2001-2009</w:t>
      </w:r>
    </w:p>
    <w:p w14:paraId="380FABE1">
      <w:pPr>
        <w:spacing w:before="178" w:line="221" w:lineRule="auto"/>
        <w:ind w:left="62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pacing w:val="-1"/>
          <w:sz w:val="21"/>
          <w:szCs w:val="21"/>
        </w:rPr>
        <w:t>联系方式：</w:t>
      </w:r>
      <w:r>
        <w:rPr>
          <w:rFonts w:hint="eastAsia" w:asciiTheme="minorEastAsia" w:hAnsiTheme="minorEastAsia" w:eastAsiaTheme="minorEastAsia" w:cstheme="minorEastAsia"/>
          <w:color w:val="auto"/>
          <w:spacing w:val="-1"/>
          <w:sz w:val="21"/>
          <w:szCs w:val="21"/>
          <w:lang w:eastAsia="zh-CN"/>
        </w:rPr>
        <w:t>0771-5585523</w:t>
      </w:r>
    </w:p>
    <w:p w14:paraId="1EB989C8">
      <w:pPr>
        <w:spacing w:before="169" w:line="221" w:lineRule="auto"/>
        <w:ind w:left="4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3.项目联系方式</w:t>
      </w:r>
    </w:p>
    <w:p w14:paraId="63E3FA6E">
      <w:pPr>
        <w:spacing w:before="198" w:line="221" w:lineRule="auto"/>
        <w:ind w:left="629"/>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pacing w:val="-1"/>
          <w:sz w:val="21"/>
          <w:szCs w:val="21"/>
        </w:rPr>
        <w:t>项目联系人：</w:t>
      </w:r>
      <w:r>
        <w:rPr>
          <w:rFonts w:hint="eastAsia" w:asciiTheme="minorEastAsia" w:hAnsiTheme="minorEastAsia" w:eastAsiaTheme="minorEastAsia" w:cstheme="minorEastAsia"/>
          <w:color w:val="auto"/>
          <w:spacing w:val="-1"/>
          <w:sz w:val="21"/>
          <w:szCs w:val="21"/>
          <w:lang w:val="en-US" w:eastAsia="zh-CN"/>
        </w:rPr>
        <w:t>葛继广</w:t>
      </w:r>
    </w:p>
    <w:p w14:paraId="655CDFE0">
      <w:pPr>
        <w:spacing w:before="172" w:line="224" w:lineRule="auto"/>
        <w:ind w:left="629"/>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电    话：</w:t>
      </w:r>
      <w:r>
        <w:rPr>
          <w:rFonts w:hint="eastAsia" w:asciiTheme="minorEastAsia" w:hAnsiTheme="minorEastAsia" w:eastAsiaTheme="minorEastAsia" w:cstheme="minorEastAsia"/>
          <w:color w:val="auto"/>
          <w:sz w:val="21"/>
          <w:szCs w:val="21"/>
          <w:lang w:val="en-US" w:eastAsia="zh-CN"/>
        </w:rPr>
        <w:t>17307716333</w:t>
      </w:r>
    </w:p>
    <w:p w14:paraId="7CBEE5E2">
      <w:pPr>
        <w:spacing w:line="224" w:lineRule="auto"/>
        <w:rPr>
          <w:rFonts w:hint="eastAsia" w:asciiTheme="minorEastAsia" w:hAnsiTheme="minorEastAsia" w:eastAsiaTheme="minorEastAsia" w:cstheme="minorEastAsia"/>
          <w:color w:val="auto"/>
          <w:sz w:val="21"/>
          <w:szCs w:val="21"/>
        </w:rPr>
        <w:sectPr>
          <w:footerReference r:id="rId7" w:type="default"/>
          <w:pgSz w:w="11900" w:h="16830"/>
          <w:pgMar w:top="1294" w:right="1424" w:bottom="991" w:left="1440" w:header="0" w:footer="847" w:gutter="0"/>
          <w:cols w:space="720" w:num="1"/>
        </w:sectPr>
      </w:pPr>
    </w:p>
    <w:p w14:paraId="1E54E76A">
      <w:pPr>
        <w:pStyle w:val="2"/>
        <w:bidi w:val="0"/>
        <w:spacing w:line="240" w:lineRule="auto"/>
        <w:rPr>
          <w:rFonts w:hint="eastAsia"/>
          <w:color w:val="auto"/>
        </w:rPr>
      </w:pPr>
      <w:bookmarkStart w:id="3" w:name="_Toc17026"/>
      <w:r>
        <w:rPr>
          <w:rFonts w:hint="eastAsia"/>
          <w:color w:val="auto"/>
        </w:rPr>
        <w:t>第二章  采购需求</w:t>
      </w:r>
      <w:bookmarkEnd w:id="3"/>
    </w:p>
    <w:p w14:paraId="4C6262B6">
      <w:pPr>
        <w:pStyle w:val="10"/>
        <w:spacing w:line="332" w:lineRule="auto"/>
        <w:rPr>
          <w:rFonts w:hint="eastAsia" w:asciiTheme="minorEastAsia" w:hAnsiTheme="minorEastAsia" w:eastAsiaTheme="minorEastAsia" w:cstheme="minorEastAsia"/>
          <w:color w:val="auto"/>
        </w:rPr>
      </w:pPr>
    </w:p>
    <w:p w14:paraId="0902C855">
      <w:pPr>
        <w:pStyle w:val="10"/>
        <w:spacing w:line="333" w:lineRule="auto"/>
        <w:rPr>
          <w:rFonts w:hint="eastAsia" w:asciiTheme="minorEastAsia" w:hAnsiTheme="minorEastAsia" w:eastAsiaTheme="minorEastAsia" w:cstheme="minorEastAsia"/>
          <w:color w:val="auto"/>
        </w:rPr>
      </w:pPr>
    </w:p>
    <w:p w14:paraId="1F812FA1">
      <w:pPr>
        <w:spacing w:before="68" w:line="221" w:lineRule="auto"/>
        <w:ind w:left="575"/>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说明：</w:t>
      </w:r>
    </w:p>
    <w:p w14:paraId="0CF3B1D6">
      <w:pPr>
        <w:spacing w:before="49" w:line="222" w:lineRule="auto"/>
        <w:ind w:left="100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1. 为落实政府采购政策需满足的要求：</w:t>
      </w:r>
    </w:p>
    <w:p w14:paraId="008EDB0C">
      <w:pPr>
        <w:spacing w:before="156" w:line="293" w:lineRule="auto"/>
        <w:ind w:left="575" w:right="565" w:firstLine="5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(1)本招标文件所称中小企业必须符合《政府采购促进中小企</w:t>
      </w:r>
      <w:r>
        <w:rPr>
          <w:rFonts w:hint="eastAsia" w:asciiTheme="minorEastAsia" w:hAnsiTheme="minorEastAsia" w:eastAsiaTheme="minorEastAsia" w:cstheme="minorEastAsia"/>
          <w:color w:val="auto"/>
          <w:spacing w:val="-1"/>
          <w:sz w:val="21"/>
          <w:szCs w:val="21"/>
        </w:rPr>
        <w:t>业发展管理办法》(财库〔2020)</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18"/>
          <w:sz w:val="21"/>
          <w:szCs w:val="21"/>
        </w:rPr>
        <w:t>46号)的规定。</w:t>
      </w:r>
    </w:p>
    <w:p w14:paraId="60F61D74">
      <w:pPr>
        <w:spacing w:before="131" w:line="342" w:lineRule="auto"/>
        <w:ind w:left="575" w:right="509" w:firstLine="55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(2)服务项目中伴随货物的，根据《财政部发展改革委生态环境部市场监</w:t>
      </w:r>
      <w:r>
        <w:rPr>
          <w:rFonts w:hint="eastAsia" w:asciiTheme="minorEastAsia" w:hAnsiTheme="minorEastAsia" w:eastAsiaTheme="minorEastAsia" w:cstheme="minorEastAsia"/>
          <w:color w:val="auto"/>
          <w:spacing w:val="8"/>
          <w:sz w:val="21"/>
          <w:szCs w:val="21"/>
        </w:rPr>
        <w:t>管总局关于调整</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6"/>
          <w:sz w:val="21"/>
          <w:szCs w:val="21"/>
        </w:rPr>
        <w:t>优化节能产品、环境标志产品政府采购执行机制的通知》(财库〔2</w:t>
      </w:r>
      <w:r>
        <w:rPr>
          <w:rFonts w:hint="eastAsia" w:asciiTheme="minorEastAsia" w:hAnsiTheme="minorEastAsia" w:eastAsiaTheme="minorEastAsia" w:cstheme="minorEastAsia"/>
          <w:color w:val="auto"/>
          <w:spacing w:val="5"/>
          <w:sz w:val="21"/>
          <w:szCs w:val="21"/>
        </w:rPr>
        <w:t>019〕9号)和《关于印发节能</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7"/>
          <w:sz w:val="21"/>
          <w:szCs w:val="21"/>
        </w:rPr>
        <w:t>产品政府采购品目清单的通知》(财库〔2019〕19号)的规定，采购需求中的产品属于节能产品</w:t>
      </w:r>
      <w:r>
        <w:rPr>
          <w:rFonts w:hint="eastAsia" w:asciiTheme="minorEastAsia" w:hAnsiTheme="minorEastAsia" w:eastAsiaTheme="minorEastAsia" w:cstheme="minorEastAsia"/>
          <w:color w:val="auto"/>
          <w:spacing w:val="1"/>
          <w:sz w:val="21"/>
          <w:szCs w:val="21"/>
        </w:rPr>
        <w:t xml:space="preserve">  </w:t>
      </w:r>
      <w:r>
        <w:rPr>
          <w:rFonts w:hint="eastAsia" w:asciiTheme="minorEastAsia" w:hAnsiTheme="minorEastAsia" w:eastAsiaTheme="minorEastAsia" w:cstheme="minorEastAsia"/>
          <w:color w:val="auto"/>
          <w:spacing w:val="-1"/>
          <w:sz w:val="21"/>
          <w:szCs w:val="21"/>
        </w:rPr>
        <w:t>政府采购品目清单内标注“★”的，投标人的投标货物必须使用政府强制采购的节能产品，投标人</w:t>
      </w:r>
      <w:r>
        <w:rPr>
          <w:rFonts w:hint="eastAsia" w:asciiTheme="minorEastAsia" w:hAnsiTheme="minorEastAsia" w:eastAsiaTheme="minorEastAsia" w:cstheme="minorEastAsia"/>
          <w:color w:val="auto"/>
          <w:spacing w:val="1"/>
          <w:sz w:val="21"/>
          <w:szCs w:val="21"/>
        </w:rPr>
        <w:t xml:space="preserve"> </w:t>
      </w:r>
      <w:r>
        <w:rPr>
          <w:rFonts w:hint="eastAsia" w:asciiTheme="minorEastAsia" w:hAnsiTheme="minorEastAsia" w:eastAsiaTheme="minorEastAsia" w:cstheme="minorEastAsia"/>
          <w:color w:val="auto"/>
          <w:spacing w:val="9"/>
          <w:sz w:val="21"/>
          <w:szCs w:val="21"/>
        </w:rPr>
        <w:t>必须在投标文件中提供所投标产品有效期内的节能产品认证证书复印件(加盖投标</w:t>
      </w:r>
      <w:r>
        <w:rPr>
          <w:rFonts w:hint="eastAsia" w:asciiTheme="minorEastAsia" w:hAnsiTheme="minorEastAsia" w:eastAsiaTheme="minorEastAsia" w:cstheme="minorEastAsia"/>
          <w:color w:val="auto"/>
          <w:spacing w:val="8"/>
          <w:sz w:val="21"/>
          <w:szCs w:val="21"/>
        </w:rPr>
        <w:t>人公章),否</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4"/>
          <w:sz w:val="21"/>
          <w:szCs w:val="21"/>
        </w:rPr>
        <w:t>贝投标文件作无效处理。如本项目包含的货物属于品目清单内非标注“★”的产品时，应优先采购，</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5"/>
          <w:sz w:val="21"/>
          <w:szCs w:val="21"/>
        </w:rPr>
        <w:t>具体详见“第四章评标方法和评标标准”。</w:t>
      </w:r>
    </w:p>
    <w:p w14:paraId="2CFFD9FB">
      <w:pPr>
        <w:spacing w:before="131" w:line="295" w:lineRule="auto"/>
        <w:ind w:left="575" w:right="510" w:firstLine="4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2.“实质性要求”是指招标文件中已经指明不满足则投标无效的</w:t>
      </w:r>
      <w:r>
        <w:rPr>
          <w:rFonts w:hint="eastAsia" w:asciiTheme="minorEastAsia" w:hAnsiTheme="minorEastAsia" w:eastAsiaTheme="minorEastAsia" w:cstheme="minorEastAsia"/>
          <w:color w:val="auto"/>
          <w:spacing w:val="-5"/>
          <w:sz w:val="21"/>
          <w:szCs w:val="21"/>
        </w:rPr>
        <w:t>条款，或者不能负偏离的条款，</w:t>
      </w:r>
      <w:r>
        <w:rPr>
          <w:rFonts w:hint="eastAsia" w:asciiTheme="minorEastAsia" w:hAnsiTheme="minorEastAsia" w:eastAsiaTheme="minorEastAsia" w:cstheme="minorEastAsia"/>
          <w:color w:val="auto"/>
          <w:sz w:val="21"/>
          <w:szCs w:val="21"/>
        </w:rPr>
        <w:t xml:space="preserve"> 或者采购需求中带“</w:t>
      </w:r>
      <w:r>
        <w:rPr>
          <w:rFonts w:hint="eastAsia" w:asciiTheme="minorEastAsia" w:hAnsiTheme="minorEastAsia" w:eastAsiaTheme="minorEastAsia" w:cstheme="minorEastAsia"/>
          <w:color w:val="auto"/>
          <w:spacing w:val="-4"/>
          <w:sz w:val="21"/>
          <w:szCs w:val="21"/>
        </w:rPr>
        <w:t>★</w:t>
      </w:r>
      <w:r>
        <w:rPr>
          <w:rFonts w:hint="eastAsia" w:asciiTheme="minorEastAsia" w:hAnsiTheme="minorEastAsia" w:eastAsiaTheme="minorEastAsia" w:cstheme="minorEastAsia"/>
          <w:color w:val="auto"/>
          <w:sz w:val="21"/>
          <w:szCs w:val="21"/>
        </w:rPr>
        <w:t>”的条款。</w:t>
      </w:r>
    </w:p>
    <w:p w14:paraId="32EEC857">
      <w:pPr>
        <w:spacing w:before="167" w:line="311" w:lineRule="auto"/>
        <w:ind w:left="575" w:right="510" w:firstLine="4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3.本服务项目中伴随货物的，采购需求中出现的品牌、型号或者制造商仅起参考</w:t>
      </w:r>
      <w:r>
        <w:rPr>
          <w:rFonts w:hint="eastAsia" w:asciiTheme="minorEastAsia" w:hAnsiTheme="minorEastAsia" w:eastAsiaTheme="minorEastAsia" w:cstheme="minorEastAsia"/>
          <w:color w:val="auto"/>
          <w:spacing w:val="-3"/>
          <w:sz w:val="21"/>
          <w:szCs w:val="21"/>
        </w:rPr>
        <w:t>作用，不属于</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4"/>
          <w:sz w:val="21"/>
          <w:szCs w:val="21"/>
        </w:rPr>
        <w:t>指定品牌、型号或者制造商的情形。投标人可参照或者选用其他相当的品牌、型号或者制造商替代，</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2"/>
          <w:sz w:val="21"/>
          <w:szCs w:val="21"/>
        </w:rPr>
        <w:t>但选用的投标产品技术参数及配置必须满足采购要求。</w:t>
      </w:r>
    </w:p>
    <w:p w14:paraId="38E4E871">
      <w:pPr>
        <w:spacing w:before="141" w:line="295" w:lineRule="auto"/>
        <w:ind w:left="575" w:right="509" w:firstLine="4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4.投标人必须对投标文件中提供的证明材料和资质文件真实性负责，如出现虚假应标情况，投</w:t>
      </w:r>
      <w:r>
        <w:rPr>
          <w:rFonts w:hint="eastAsia" w:asciiTheme="minorEastAsia" w:hAnsiTheme="minorEastAsia" w:eastAsiaTheme="minorEastAsia" w:cstheme="minorEastAsia"/>
          <w:color w:val="auto"/>
          <w:spacing w:val="4"/>
          <w:sz w:val="21"/>
          <w:szCs w:val="21"/>
        </w:rPr>
        <w:t xml:space="preserve">  </w:t>
      </w:r>
      <w:r>
        <w:rPr>
          <w:rFonts w:hint="eastAsia" w:asciiTheme="minorEastAsia" w:hAnsiTheme="minorEastAsia" w:eastAsiaTheme="minorEastAsia" w:cstheme="minorEastAsia"/>
          <w:color w:val="auto"/>
          <w:spacing w:val="1"/>
          <w:sz w:val="21"/>
          <w:szCs w:val="21"/>
        </w:rPr>
        <w:t>标人除了应接受有关部门的处罚外，还应依据《中华人民共和国民法典》的相</w:t>
      </w:r>
      <w:r>
        <w:rPr>
          <w:rFonts w:hint="eastAsia" w:asciiTheme="minorEastAsia" w:hAnsiTheme="minorEastAsia" w:eastAsiaTheme="minorEastAsia" w:cstheme="minorEastAsia"/>
          <w:color w:val="auto"/>
          <w:sz w:val="21"/>
          <w:szCs w:val="21"/>
        </w:rPr>
        <w:t>关条款来进行赔偿。</w:t>
      </w:r>
    </w:p>
    <w:p w14:paraId="56E63915">
      <w:pPr>
        <w:spacing w:before="167" w:line="294" w:lineRule="auto"/>
        <w:ind w:left="575" w:right="509" w:firstLine="4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5.投标人应对投标内容所涉及的专利承担法律责任，</w:t>
      </w:r>
      <w:r>
        <w:rPr>
          <w:rFonts w:hint="eastAsia" w:asciiTheme="minorEastAsia" w:hAnsiTheme="minorEastAsia" w:eastAsiaTheme="minorEastAsia" w:cstheme="minorEastAsia"/>
          <w:color w:val="auto"/>
          <w:sz w:val="21"/>
          <w:szCs w:val="21"/>
        </w:rPr>
        <w:t xml:space="preserve">并负责保护采购人的利益不受任何损害。 </w:t>
      </w:r>
      <w:r>
        <w:rPr>
          <w:rFonts w:hint="eastAsia" w:asciiTheme="minorEastAsia" w:hAnsiTheme="minorEastAsia" w:eastAsiaTheme="minorEastAsia" w:cstheme="minorEastAsia"/>
          <w:color w:val="auto"/>
          <w:spacing w:val="1"/>
          <w:sz w:val="21"/>
          <w:szCs w:val="21"/>
        </w:rPr>
        <w:t>一切由于文字、商标、技术和软件专利授权引起的法律</w:t>
      </w:r>
      <w:r>
        <w:rPr>
          <w:rFonts w:hint="eastAsia" w:asciiTheme="minorEastAsia" w:hAnsiTheme="minorEastAsia" w:eastAsiaTheme="minorEastAsia" w:cstheme="minorEastAsia"/>
          <w:color w:val="auto"/>
          <w:sz w:val="21"/>
          <w:szCs w:val="21"/>
        </w:rPr>
        <w:t>裁决、诉讼和赔偿费用均由中标人负责。</w:t>
      </w:r>
    </w:p>
    <w:p w14:paraId="78DC89E6">
      <w:pPr>
        <w:spacing w:before="167" w:line="294" w:lineRule="auto"/>
        <w:ind w:left="575" w:right="509" w:firstLine="429" w:firstLineChars="0"/>
        <w:rPr>
          <w:rFonts w:hint="eastAsia" w:asciiTheme="minorEastAsia" w:hAnsiTheme="minorEastAsia" w:eastAsiaTheme="minorEastAsia" w:cstheme="minorEastAsia"/>
          <w:color w:val="auto"/>
          <w:spacing w:val="-1"/>
          <w:sz w:val="22"/>
          <w:szCs w:val="22"/>
        </w:rPr>
      </w:pPr>
      <w:r>
        <w:rPr>
          <w:rFonts w:hint="eastAsia" w:asciiTheme="minorEastAsia" w:hAnsiTheme="minorEastAsia" w:eastAsiaTheme="minorEastAsia" w:cstheme="minorEastAsia"/>
          <w:color w:val="auto"/>
          <w:sz w:val="22"/>
          <w:szCs w:val="22"/>
        </w:rPr>
        <w:t>6.采购标的对应的中小企业划分标准所属行业名称：软件和信息技术服务</w:t>
      </w:r>
      <w:r>
        <w:rPr>
          <w:rFonts w:hint="eastAsia" w:asciiTheme="minorEastAsia" w:hAnsiTheme="minorEastAsia" w:eastAsiaTheme="minorEastAsia" w:cstheme="minorEastAsia"/>
          <w:color w:val="auto"/>
          <w:spacing w:val="-1"/>
          <w:sz w:val="22"/>
          <w:szCs w:val="22"/>
        </w:rPr>
        <w:t>业。</w:t>
      </w:r>
    </w:p>
    <w:p w14:paraId="378C551E">
      <w:pPr>
        <w:spacing w:before="51" w:line="219" w:lineRule="auto"/>
        <w:jc w:val="center"/>
        <w:rPr>
          <w:rFonts w:hint="default" w:asciiTheme="minorEastAsia" w:hAnsiTheme="minorEastAsia" w:eastAsiaTheme="minorEastAsia" w:cstheme="minorEastAsia"/>
          <w:b/>
          <w:bCs/>
          <w:color w:val="auto"/>
          <w:spacing w:val="-1"/>
          <w:sz w:val="24"/>
          <w:szCs w:val="24"/>
          <w:lang w:val="en-US" w:eastAsia="zh-CN"/>
        </w:rPr>
      </w:pPr>
      <w:r>
        <w:rPr>
          <w:rFonts w:hint="eastAsia" w:asciiTheme="minorEastAsia" w:hAnsiTheme="minorEastAsia" w:eastAsiaTheme="minorEastAsia" w:cstheme="minorEastAsia"/>
          <w:b/>
          <w:bCs/>
          <w:color w:val="auto"/>
          <w:spacing w:val="-1"/>
          <w:sz w:val="24"/>
          <w:szCs w:val="24"/>
          <w:lang w:val="en-US" w:eastAsia="zh-CN"/>
        </w:rPr>
        <w:t>采购需求表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424"/>
        <w:gridCol w:w="736"/>
        <w:gridCol w:w="768"/>
        <w:gridCol w:w="6066"/>
      </w:tblGrid>
      <w:tr w14:paraId="4F3BE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7" w:type="dxa"/>
            <w:gridSpan w:val="5"/>
            <w:noWrap w:val="0"/>
            <w:vAlign w:val="center"/>
          </w:tcPr>
          <w:p w14:paraId="67AA1638">
            <w:pPr>
              <w:tabs>
                <w:tab w:val="left" w:pos="180"/>
                <w:tab w:val="left" w:pos="1620"/>
              </w:tabs>
              <w:spacing w:after="0" w:line="360" w:lineRule="auto"/>
              <w:jc w:val="left"/>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b/>
                <w:bCs/>
                <w:color w:val="auto"/>
                <w:sz w:val="24"/>
                <w:szCs w:val="24"/>
                <w:highlight w:val="none"/>
                <w:lang w:val="en-US" w:eastAsia="zh-CN"/>
              </w:rPr>
              <w:t>一、项目要求及技术服务要求</w:t>
            </w:r>
          </w:p>
        </w:tc>
      </w:tr>
      <w:tr w14:paraId="3840E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33" w:type="dxa"/>
            <w:noWrap w:val="0"/>
            <w:vAlign w:val="center"/>
          </w:tcPr>
          <w:p w14:paraId="11B2A15C">
            <w:pPr>
              <w:tabs>
                <w:tab w:val="left" w:pos="180"/>
                <w:tab w:val="left" w:pos="1620"/>
              </w:tabs>
              <w:spacing w:after="0" w:line="240" w:lineRule="auto"/>
              <w:jc w:val="center"/>
              <w:rPr>
                <w:rFonts w:hint="eastAsia" w:asciiTheme="minorEastAsia" w:hAnsiTheme="minorEastAsia" w:eastAsiaTheme="minorEastAsia" w:cstheme="minorEastAsia"/>
                <w:b/>
                <w:bCs/>
                <w:color w:val="auto"/>
                <w:sz w:val="21"/>
                <w:szCs w:val="21"/>
                <w:highlight w:val="none"/>
                <w:vertAlign w:val="baseline"/>
                <w:lang w:val="en-US" w:eastAsia="zh-CN" w:bidi="ar-SA"/>
              </w:rPr>
            </w:pPr>
            <w:r>
              <w:rPr>
                <w:rFonts w:hint="eastAsia" w:asciiTheme="minorEastAsia" w:hAnsiTheme="minorEastAsia" w:eastAsiaTheme="minorEastAsia" w:cstheme="minorEastAsia"/>
                <w:b/>
                <w:bCs/>
                <w:color w:val="auto"/>
                <w:sz w:val="21"/>
                <w:szCs w:val="21"/>
                <w:highlight w:val="none"/>
              </w:rPr>
              <w:t>序号</w:t>
            </w:r>
          </w:p>
        </w:tc>
        <w:tc>
          <w:tcPr>
            <w:tcW w:w="1424" w:type="dxa"/>
            <w:noWrap w:val="0"/>
            <w:vAlign w:val="center"/>
          </w:tcPr>
          <w:p w14:paraId="6ADF4EA2">
            <w:pPr>
              <w:tabs>
                <w:tab w:val="left" w:pos="180"/>
                <w:tab w:val="left" w:pos="1620"/>
              </w:tabs>
              <w:spacing w:after="0" w:line="240" w:lineRule="auto"/>
              <w:jc w:val="center"/>
              <w:rPr>
                <w:rFonts w:hint="eastAsia" w:asciiTheme="minorEastAsia" w:hAnsiTheme="minorEastAsia" w:eastAsiaTheme="minorEastAsia" w:cstheme="minorEastAsia"/>
                <w:b/>
                <w:bCs/>
                <w:color w:val="auto"/>
                <w:sz w:val="21"/>
                <w:szCs w:val="21"/>
                <w:highlight w:val="none"/>
                <w:vertAlign w:val="baseline"/>
                <w:lang w:val="en-US" w:eastAsia="zh-CN" w:bidi="ar-SA"/>
              </w:rPr>
            </w:pPr>
            <w:r>
              <w:rPr>
                <w:rFonts w:hint="eastAsia" w:asciiTheme="minorEastAsia" w:hAnsiTheme="minorEastAsia" w:eastAsiaTheme="minorEastAsia" w:cstheme="minorEastAsia"/>
                <w:b/>
                <w:bCs/>
                <w:color w:val="auto"/>
                <w:sz w:val="21"/>
                <w:szCs w:val="21"/>
                <w:highlight w:val="none"/>
                <w:lang w:eastAsia="zh-CN"/>
              </w:rPr>
              <w:t>服务</w:t>
            </w:r>
            <w:r>
              <w:rPr>
                <w:rFonts w:hint="eastAsia" w:asciiTheme="minorEastAsia" w:hAnsiTheme="minorEastAsia" w:eastAsiaTheme="minorEastAsia" w:cstheme="minorEastAsia"/>
                <w:b/>
                <w:bCs/>
                <w:color w:val="auto"/>
                <w:sz w:val="21"/>
                <w:szCs w:val="21"/>
                <w:highlight w:val="none"/>
              </w:rPr>
              <w:t>名称</w:t>
            </w:r>
          </w:p>
        </w:tc>
        <w:tc>
          <w:tcPr>
            <w:tcW w:w="736" w:type="dxa"/>
            <w:noWrap w:val="0"/>
            <w:vAlign w:val="center"/>
          </w:tcPr>
          <w:p w14:paraId="6E6D5D6A">
            <w:pPr>
              <w:tabs>
                <w:tab w:val="left" w:pos="180"/>
                <w:tab w:val="left" w:pos="1620"/>
              </w:tabs>
              <w:spacing w:after="0" w:line="240" w:lineRule="auto"/>
              <w:jc w:val="center"/>
              <w:rPr>
                <w:rFonts w:hint="eastAsia" w:asciiTheme="minorEastAsia" w:hAnsiTheme="minorEastAsia" w:eastAsiaTheme="minorEastAsia" w:cstheme="minorEastAsia"/>
                <w:b/>
                <w:bCs/>
                <w:color w:val="auto"/>
                <w:sz w:val="21"/>
                <w:szCs w:val="21"/>
                <w:highlight w:val="none"/>
                <w:vertAlign w:val="baseline"/>
                <w:lang w:val="en-US" w:eastAsia="zh-CN" w:bidi="ar-SA"/>
              </w:rPr>
            </w:pPr>
            <w:r>
              <w:rPr>
                <w:rFonts w:hint="eastAsia" w:asciiTheme="minorEastAsia" w:hAnsiTheme="minorEastAsia" w:eastAsiaTheme="minorEastAsia" w:cstheme="minorEastAsia"/>
                <w:b/>
                <w:bCs/>
                <w:color w:val="auto"/>
                <w:sz w:val="21"/>
                <w:szCs w:val="21"/>
                <w:highlight w:val="none"/>
              </w:rPr>
              <w:t>数量</w:t>
            </w:r>
          </w:p>
        </w:tc>
        <w:tc>
          <w:tcPr>
            <w:tcW w:w="768" w:type="dxa"/>
            <w:noWrap w:val="0"/>
            <w:vAlign w:val="center"/>
          </w:tcPr>
          <w:p w14:paraId="0F5D9F4A">
            <w:pPr>
              <w:tabs>
                <w:tab w:val="left" w:pos="180"/>
                <w:tab w:val="left" w:pos="1620"/>
              </w:tabs>
              <w:spacing w:after="0" w:line="240" w:lineRule="auto"/>
              <w:jc w:val="center"/>
              <w:rPr>
                <w:rFonts w:hint="eastAsia" w:asciiTheme="minorEastAsia" w:hAnsiTheme="minorEastAsia" w:eastAsiaTheme="minorEastAsia" w:cstheme="minorEastAsia"/>
                <w:b/>
                <w:bCs/>
                <w:color w:val="auto"/>
                <w:sz w:val="21"/>
                <w:szCs w:val="21"/>
                <w:highlight w:val="none"/>
                <w:vertAlign w:val="baseline"/>
                <w:lang w:val="en-US" w:eastAsia="zh-CN" w:bidi="ar-SA"/>
              </w:rPr>
            </w:pPr>
            <w:r>
              <w:rPr>
                <w:rFonts w:hint="eastAsia" w:asciiTheme="minorEastAsia" w:hAnsiTheme="minorEastAsia" w:eastAsiaTheme="minorEastAsia" w:cstheme="minorEastAsia"/>
                <w:b/>
                <w:bCs/>
                <w:color w:val="auto"/>
                <w:sz w:val="21"/>
                <w:szCs w:val="21"/>
                <w:highlight w:val="none"/>
              </w:rPr>
              <w:t>单位</w:t>
            </w:r>
          </w:p>
        </w:tc>
        <w:tc>
          <w:tcPr>
            <w:tcW w:w="6066" w:type="dxa"/>
            <w:noWrap w:val="0"/>
            <w:vAlign w:val="center"/>
          </w:tcPr>
          <w:p w14:paraId="0B3CBBD5">
            <w:pPr>
              <w:tabs>
                <w:tab w:val="left" w:pos="180"/>
                <w:tab w:val="left" w:pos="1620"/>
              </w:tabs>
              <w:spacing w:after="0" w:line="240" w:lineRule="auto"/>
              <w:jc w:val="center"/>
              <w:rPr>
                <w:rFonts w:hint="eastAsia" w:asciiTheme="minorEastAsia" w:hAnsiTheme="minorEastAsia" w:eastAsiaTheme="minorEastAsia" w:cstheme="minorEastAsia"/>
                <w:b/>
                <w:bCs/>
                <w:color w:val="auto"/>
                <w:sz w:val="21"/>
                <w:szCs w:val="21"/>
                <w:highlight w:val="none"/>
                <w:vertAlign w:val="baseline"/>
                <w:lang w:val="en-US" w:eastAsia="zh-CN" w:bidi="ar-SA"/>
              </w:rPr>
            </w:pPr>
            <w:r>
              <w:rPr>
                <w:rFonts w:hint="eastAsia" w:asciiTheme="minorEastAsia" w:hAnsiTheme="minorEastAsia" w:eastAsiaTheme="minorEastAsia" w:cstheme="minorEastAsia"/>
                <w:b/>
                <w:bCs/>
                <w:color w:val="auto"/>
                <w:sz w:val="21"/>
                <w:szCs w:val="21"/>
                <w:highlight w:val="none"/>
              </w:rPr>
              <w:t>技术</w:t>
            </w:r>
            <w:r>
              <w:rPr>
                <w:rFonts w:hint="eastAsia" w:asciiTheme="minorEastAsia" w:hAnsiTheme="minorEastAsia" w:eastAsiaTheme="minorEastAsia" w:cstheme="minorEastAsia"/>
                <w:b/>
                <w:bCs/>
                <w:color w:val="auto"/>
                <w:sz w:val="21"/>
                <w:szCs w:val="21"/>
                <w:highlight w:val="none"/>
                <w:lang w:val="en-US" w:eastAsia="zh-CN"/>
              </w:rPr>
              <w:t>服务</w:t>
            </w:r>
            <w:r>
              <w:rPr>
                <w:rFonts w:hint="eastAsia" w:asciiTheme="minorEastAsia" w:hAnsiTheme="minorEastAsia" w:eastAsiaTheme="minorEastAsia" w:cstheme="minorEastAsia"/>
                <w:b/>
                <w:bCs/>
                <w:color w:val="auto"/>
                <w:sz w:val="21"/>
                <w:szCs w:val="21"/>
                <w:highlight w:val="none"/>
              </w:rPr>
              <w:t>需求</w:t>
            </w:r>
          </w:p>
        </w:tc>
      </w:tr>
      <w:tr w14:paraId="1F75C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633" w:type="dxa"/>
            <w:noWrap w:val="0"/>
            <w:vAlign w:val="center"/>
          </w:tcPr>
          <w:p w14:paraId="4F4F330A">
            <w:pPr>
              <w:tabs>
                <w:tab w:val="left" w:pos="180"/>
                <w:tab w:val="left" w:pos="1620"/>
              </w:tabs>
              <w:spacing w:after="0" w:line="360" w:lineRule="auto"/>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1</w:t>
            </w:r>
          </w:p>
        </w:tc>
        <w:tc>
          <w:tcPr>
            <w:tcW w:w="1424" w:type="dxa"/>
            <w:noWrap w:val="0"/>
            <w:vAlign w:val="center"/>
          </w:tcPr>
          <w:p w14:paraId="7BD677F5">
            <w:pPr>
              <w:tabs>
                <w:tab w:val="left" w:pos="180"/>
                <w:tab w:val="left" w:pos="1620"/>
              </w:tabs>
              <w:spacing w:after="0" w:line="360" w:lineRule="auto"/>
              <w:jc w:val="center"/>
              <w:rPr>
                <w:rFonts w:hint="eastAsia" w:asciiTheme="minorEastAsia" w:hAnsiTheme="minorEastAsia" w:eastAsiaTheme="minorEastAsia" w:cstheme="minorEastAsia"/>
                <w:color w:val="auto"/>
                <w:sz w:val="21"/>
                <w:szCs w:val="21"/>
                <w:highlight w:val="none"/>
                <w:vertAlign w:val="baseline"/>
                <w:lang w:eastAsia="zh-CN"/>
              </w:rPr>
            </w:pPr>
            <w:r>
              <w:rPr>
                <w:rFonts w:hint="eastAsia" w:asciiTheme="minorEastAsia" w:hAnsiTheme="minorEastAsia" w:eastAsiaTheme="minorEastAsia" w:cstheme="minorEastAsia"/>
                <w:color w:val="auto"/>
                <w:sz w:val="21"/>
                <w:szCs w:val="21"/>
                <w:highlight w:val="none"/>
                <w:vertAlign w:val="baseline"/>
                <w:lang w:eastAsia="zh-CN"/>
              </w:rPr>
              <w:t>广西雅长兰科植物国家级自然保护区保护设施设备购置维护及宣传教育提升项目-智慧管理系统新增模块及感知设备建设</w:t>
            </w:r>
          </w:p>
        </w:tc>
        <w:tc>
          <w:tcPr>
            <w:tcW w:w="736" w:type="dxa"/>
            <w:noWrap w:val="0"/>
            <w:vAlign w:val="center"/>
          </w:tcPr>
          <w:p w14:paraId="7D7B4533">
            <w:pPr>
              <w:tabs>
                <w:tab w:val="left" w:pos="180"/>
                <w:tab w:val="left" w:pos="1620"/>
              </w:tabs>
              <w:spacing w:after="0" w:line="360" w:lineRule="auto"/>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1</w:t>
            </w:r>
          </w:p>
        </w:tc>
        <w:tc>
          <w:tcPr>
            <w:tcW w:w="768" w:type="dxa"/>
            <w:noWrap w:val="0"/>
            <w:vAlign w:val="center"/>
          </w:tcPr>
          <w:p w14:paraId="55A490CF">
            <w:pPr>
              <w:tabs>
                <w:tab w:val="left" w:pos="180"/>
                <w:tab w:val="left" w:pos="1620"/>
              </w:tabs>
              <w:spacing w:after="0" w:line="360" w:lineRule="auto"/>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项</w:t>
            </w:r>
          </w:p>
        </w:tc>
        <w:tc>
          <w:tcPr>
            <w:tcW w:w="6066" w:type="dxa"/>
            <w:noWrap w:val="0"/>
            <w:vAlign w:val="top"/>
          </w:tcPr>
          <w:p w14:paraId="2CA9291E">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jc w:val="both"/>
              <w:textAlignment w:val="auto"/>
              <w:rPr>
                <w:rFonts w:hint="eastAsia" w:asciiTheme="minorEastAsia" w:hAnsiTheme="minorEastAsia" w:eastAsiaTheme="minorEastAsia" w:cstheme="minorEastAsia"/>
                <w:b/>
                <w:bCs/>
                <w:color w:val="auto"/>
                <w:kern w:val="2"/>
                <w:sz w:val="21"/>
                <w:szCs w:val="21"/>
                <w:highlight w:val="none"/>
                <w:lang w:val="en-US" w:eastAsia="zh-CN"/>
              </w:rPr>
            </w:pPr>
            <w:r>
              <w:rPr>
                <w:rFonts w:hint="eastAsia" w:asciiTheme="minorEastAsia" w:hAnsiTheme="minorEastAsia" w:eastAsiaTheme="minorEastAsia" w:cstheme="minorEastAsia"/>
                <w:b/>
                <w:bCs/>
                <w:color w:val="auto"/>
                <w:kern w:val="2"/>
                <w:sz w:val="21"/>
                <w:szCs w:val="21"/>
                <w:highlight w:val="none"/>
                <w:lang w:val="en-US" w:eastAsia="zh-CN"/>
              </w:rPr>
              <w:t>一、项目建设目标</w:t>
            </w:r>
          </w:p>
          <w:p w14:paraId="0A0D2F80">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firstLine="420" w:firstLineChars="200"/>
              <w:jc w:val="both"/>
              <w:textAlignment w:val="auto"/>
              <w:rPr>
                <w:rFonts w:hint="eastAsia" w:asciiTheme="minorEastAsia" w:hAnsiTheme="minorEastAsia" w:eastAsiaTheme="minorEastAsia" w:cstheme="minorEastAsia"/>
                <w:b w:val="0"/>
                <w:bCs w:val="0"/>
                <w:color w:val="auto"/>
                <w:kern w:val="2"/>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lang w:val="en-US" w:eastAsia="zh-CN"/>
              </w:rPr>
              <w:t>通过建设本项目，结合雅长保护区保护管理与科研监测工作，提升保护区数字化治理能力，进一步完善信息化平台软硬件建设，进一步发挥广西雅长兰科植物国家级自然保区管理中心智慧管理系统数据信息化能力，充分发挥保护区科普平台的作用，打造智慧监测与宣传教育体系示范样板，探索出一套可复制、可推广的经验，推动广西自然保护区智慧化管理服务水平提升。</w:t>
            </w:r>
          </w:p>
          <w:p w14:paraId="3DA672DA">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jc w:val="both"/>
              <w:textAlignment w:val="auto"/>
              <w:rPr>
                <w:rFonts w:hint="eastAsia" w:asciiTheme="minorEastAsia" w:hAnsiTheme="minorEastAsia" w:eastAsiaTheme="minorEastAsia" w:cstheme="minorEastAsia"/>
                <w:b/>
                <w:bCs/>
                <w:color w:val="auto"/>
                <w:kern w:val="2"/>
                <w:sz w:val="21"/>
                <w:szCs w:val="21"/>
                <w:highlight w:val="none"/>
                <w:lang w:val="en-US" w:eastAsia="zh-CN"/>
              </w:rPr>
            </w:pPr>
            <w:r>
              <w:rPr>
                <w:rFonts w:hint="eastAsia" w:asciiTheme="minorEastAsia" w:hAnsiTheme="minorEastAsia" w:eastAsiaTheme="minorEastAsia" w:cstheme="minorEastAsia"/>
                <w:b/>
                <w:bCs/>
                <w:color w:val="auto"/>
                <w:kern w:val="2"/>
                <w:sz w:val="21"/>
                <w:szCs w:val="21"/>
                <w:highlight w:val="none"/>
                <w:lang w:val="en-US" w:eastAsia="zh-CN"/>
              </w:rPr>
              <w:t>二、项目建设规模</w:t>
            </w:r>
          </w:p>
          <w:p w14:paraId="43BE0C57">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firstLine="420" w:firstLineChars="200"/>
              <w:jc w:val="both"/>
              <w:textAlignment w:val="auto"/>
              <w:rPr>
                <w:rFonts w:hint="eastAsia" w:asciiTheme="minorEastAsia" w:hAnsiTheme="minorEastAsia" w:eastAsiaTheme="minorEastAsia" w:cstheme="minorEastAsia"/>
                <w:b w:val="0"/>
                <w:bCs w:val="0"/>
                <w:color w:val="auto"/>
                <w:kern w:val="2"/>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lang w:val="en-US" w:eastAsia="zh-CN"/>
              </w:rPr>
              <w:t>项目建设覆盖区域为西乐业县花坪镇、雅长乡、逻沙乡的保护区实验区和缓冲区边缘区域。主要包括保护设施设备购置、智慧管理系统新增功能模块、商用密码应用建设、安全系统等保二级等建设和解说系统建设。</w:t>
            </w:r>
          </w:p>
          <w:p w14:paraId="24359502">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jc w:val="both"/>
              <w:textAlignment w:val="auto"/>
              <w:rPr>
                <w:rFonts w:hint="eastAsia" w:asciiTheme="minorEastAsia" w:hAnsiTheme="minorEastAsia" w:eastAsiaTheme="minorEastAsia" w:cstheme="minorEastAsia"/>
                <w:b/>
                <w:bCs/>
                <w:color w:val="auto"/>
                <w:kern w:val="2"/>
                <w:sz w:val="21"/>
                <w:szCs w:val="21"/>
                <w:highlight w:val="none"/>
                <w:lang w:val="en-US" w:eastAsia="zh-CN"/>
              </w:rPr>
            </w:pPr>
            <w:r>
              <w:rPr>
                <w:rFonts w:hint="eastAsia" w:asciiTheme="minorEastAsia" w:hAnsiTheme="minorEastAsia" w:eastAsiaTheme="minorEastAsia" w:cstheme="minorEastAsia"/>
                <w:b/>
                <w:bCs/>
                <w:color w:val="auto"/>
                <w:kern w:val="2"/>
                <w:sz w:val="21"/>
                <w:szCs w:val="21"/>
                <w:highlight w:val="none"/>
                <w:lang w:val="en-US" w:eastAsia="zh-CN"/>
              </w:rPr>
              <w:t>三、建设周期</w:t>
            </w:r>
          </w:p>
          <w:p w14:paraId="006A461A">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firstLine="420" w:firstLineChars="200"/>
              <w:jc w:val="both"/>
              <w:textAlignment w:val="auto"/>
              <w:rPr>
                <w:rFonts w:hint="eastAsia" w:asciiTheme="minorEastAsia" w:hAnsiTheme="minorEastAsia" w:eastAsiaTheme="minorEastAsia" w:cstheme="minorEastAsia"/>
                <w:b/>
                <w:bCs/>
                <w:color w:val="auto"/>
                <w:kern w:val="2"/>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lang w:val="en-US" w:eastAsia="zh-CN"/>
              </w:rPr>
              <w:t>项目建设周期从合同签订之日起至2026年6月完成本项目。</w:t>
            </w:r>
          </w:p>
          <w:p w14:paraId="3FB3340F">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jc w:val="both"/>
              <w:textAlignment w:val="auto"/>
              <w:rPr>
                <w:rFonts w:hint="eastAsia" w:asciiTheme="minorEastAsia" w:hAnsiTheme="minorEastAsia" w:eastAsiaTheme="minorEastAsia" w:cstheme="minorEastAsia"/>
                <w:b/>
                <w:bCs/>
                <w:color w:val="auto"/>
                <w:kern w:val="2"/>
                <w:sz w:val="21"/>
                <w:szCs w:val="21"/>
                <w:highlight w:val="none"/>
                <w:lang w:val="en-US" w:eastAsia="zh-CN"/>
              </w:rPr>
            </w:pPr>
            <w:r>
              <w:rPr>
                <w:rFonts w:hint="eastAsia" w:asciiTheme="minorEastAsia" w:hAnsiTheme="minorEastAsia" w:eastAsiaTheme="minorEastAsia" w:cstheme="minorEastAsia"/>
                <w:b/>
                <w:bCs/>
                <w:color w:val="auto"/>
                <w:kern w:val="2"/>
                <w:sz w:val="21"/>
                <w:szCs w:val="21"/>
                <w:highlight w:val="none"/>
                <w:lang w:val="en-US" w:eastAsia="zh-CN"/>
              </w:rPr>
              <w:t>五、项目建设内容</w:t>
            </w:r>
          </w:p>
          <w:p w14:paraId="338DB274">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firstLine="420" w:firstLineChars="200"/>
              <w:jc w:val="both"/>
              <w:textAlignment w:val="auto"/>
              <w:rPr>
                <w:rFonts w:hint="eastAsia" w:asciiTheme="minorEastAsia" w:hAnsiTheme="minorEastAsia" w:eastAsiaTheme="minorEastAsia" w:cstheme="minorEastAsia"/>
                <w:b w:val="0"/>
                <w:bCs w:val="0"/>
                <w:color w:val="auto"/>
                <w:kern w:val="2"/>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lang w:val="en-US" w:eastAsia="zh-CN"/>
              </w:rPr>
              <w:t>本期项目建设内容主要包括保护设施设备购置、智慧管理系统新增功能模块、商用密码应用建设和安全系统等保二级等建设、解说系统建设。</w:t>
            </w:r>
          </w:p>
          <w:p w14:paraId="163630A5">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jc w:val="both"/>
              <w:textAlignment w:val="auto"/>
              <w:rPr>
                <w:rFonts w:hint="eastAsia" w:asciiTheme="minorEastAsia" w:hAnsiTheme="minorEastAsia" w:eastAsiaTheme="minorEastAsia" w:cstheme="minorEastAsia"/>
                <w:b/>
                <w:bCs/>
                <w:color w:val="auto"/>
                <w:kern w:val="2"/>
                <w:sz w:val="21"/>
                <w:szCs w:val="21"/>
                <w:highlight w:val="none"/>
                <w:lang w:val="en-US" w:eastAsia="zh-CN"/>
              </w:rPr>
            </w:pPr>
            <w:r>
              <w:rPr>
                <w:rFonts w:hint="eastAsia" w:asciiTheme="minorEastAsia" w:hAnsiTheme="minorEastAsia" w:eastAsiaTheme="minorEastAsia" w:cstheme="minorEastAsia"/>
                <w:b/>
                <w:bCs/>
                <w:color w:val="auto"/>
                <w:kern w:val="2"/>
                <w:sz w:val="21"/>
                <w:szCs w:val="21"/>
                <w:highlight w:val="none"/>
                <w:lang w:val="en-US" w:eastAsia="zh-CN"/>
              </w:rPr>
              <w:t>标段1具体内容如下：</w:t>
            </w:r>
          </w:p>
          <w:p w14:paraId="6F949092">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firstLine="422" w:firstLineChars="200"/>
              <w:jc w:val="both"/>
              <w:textAlignment w:val="auto"/>
              <w:rPr>
                <w:rFonts w:hint="eastAsia" w:asciiTheme="minorEastAsia" w:hAnsiTheme="minorEastAsia" w:eastAsiaTheme="minorEastAsia" w:cstheme="minorEastAsia"/>
                <w:b/>
                <w:bCs/>
                <w:color w:val="auto"/>
                <w:kern w:val="2"/>
                <w:sz w:val="21"/>
                <w:szCs w:val="21"/>
                <w:highlight w:val="none"/>
                <w:lang w:val="en-US" w:eastAsia="zh-CN"/>
              </w:rPr>
            </w:pPr>
            <w:r>
              <w:rPr>
                <w:rFonts w:hint="eastAsia" w:asciiTheme="minorEastAsia" w:hAnsiTheme="minorEastAsia" w:eastAsiaTheme="minorEastAsia" w:cstheme="minorEastAsia"/>
                <w:b/>
                <w:bCs/>
                <w:color w:val="auto"/>
                <w:kern w:val="2"/>
                <w:sz w:val="21"/>
                <w:szCs w:val="21"/>
                <w:highlight w:val="none"/>
                <w:lang w:val="en-US" w:eastAsia="zh-CN"/>
              </w:rPr>
              <w:t>保护设施设备购置</w:t>
            </w:r>
          </w:p>
          <w:p w14:paraId="4BD4CBFD">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firstLine="420" w:firstLineChars="200"/>
              <w:jc w:val="both"/>
              <w:textAlignment w:val="auto"/>
              <w:rPr>
                <w:rFonts w:hint="eastAsia" w:asciiTheme="minorEastAsia" w:hAnsiTheme="minorEastAsia" w:eastAsiaTheme="minorEastAsia" w:cstheme="minorEastAsia"/>
                <w:b w:val="0"/>
                <w:bCs w:val="0"/>
                <w:color w:val="auto"/>
                <w:kern w:val="2"/>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lang w:val="en-US" w:eastAsia="zh-CN"/>
              </w:rPr>
              <w:t>建设卡口监控前端设备、防灾减灾前端设备、通信网络配置设施等设备，进一步完善保护区基础设施，提高管理水平，提升安全防控和防灾减灾能力</w:t>
            </w:r>
            <w:r>
              <w:rPr>
                <w:rFonts w:hint="eastAsia" w:asciiTheme="minorEastAsia" w:hAnsiTheme="minorEastAsia" w:eastAsiaTheme="minorEastAsia" w:cstheme="minorEastAsia"/>
                <w:b/>
                <w:bCs/>
                <w:color w:val="auto"/>
                <w:kern w:val="2"/>
                <w:sz w:val="21"/>
                <w:szCs w:val="21"/>
                <w:highlight w:val="none"/>
                <w:lang w:val="en-US" w:eastAsia="zh-CN"/>
              </w:rPr>
              <w:t>（具体保护设施设备及数量等详细要求详见本表《附件一：保护设施设备购置清单》）</w:t>
            </w:r>
            <w:r>
              <w:rPr>
                <w:rFonts w:hint="eastAsia" w:asciiTheme="minorEastAsia" w:hAnsiTheme="minorEastAsia" w:eastAsiaTheme="minorEastAsia" w:cstheme="minorEastAsia"/>
                <w:b w:val="0"/>
                <w:bCs w:val="0"/>
                <w:color w:val="auto"/>
                <w:kern w:val="2"/>
                <w:sz w:val="21"/>
                <w:szCs w:val="21"/>
                <w:highlight w:val="none"/>
                <w:lang w:val="en-US" w:eastAsia="zh-CN"/>
              </w:rPr>
              <w:t>。</w:t>
            </w:r>
          </w:p>
          <w:p w14:paraId="5EE248EE">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jc w:val="both"/>
              <w:textAlignment w:val="auto"/>
              <w:rPr>
                <w:rFonts w:hint="eastAsia" w:asciiTheme="minorEastAsia" w:hAnsiTheme="minorEastAsia" w:eastAsiaTheme="minorEastAsia" w:cstheme="minorEastAsia"/>
                <w:b/>
                <w:bCs/>
                <w:color w:val="auto"/>
                <w:kern w:val="2"/>
                <w:sz w:val="21"/>
                <w:szCs w:val="21"/>
                <w:highlight w:val="none"/>
                <w:lang w:val="en-US" w:eastAsia="zh-CN"/>
              </w:rPr>
            </w:pPr>
            <w:r>
              <w:rPr>
                <w:rFonts w:hint="eastAsia" w:asciiTheme="minorEastAsia" w:hAnsiTheme="minorEastAsia" w:eastAsiaTheme="minorEastAsia" w:cstheme="minorEastAsia"/>
                <w:b/>
                <w:bCs/>
                <w:color w:val="auto"/>
                <w:kern w:val="2"/>
                <w:sz w:val="21"/>
                <w:szCs w:val="21"/>
                <w:highlight w:val="none"/>
                <w:lang w:val="en-US" w:eastAsia="zh-CN"/>
              </w:rPr>
              <w:t>标段2具体内容如下：</w:t>
            </w:r>
          </w:p>
          <w:p w14:paraId="0D15CA25">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jc w:val="both"/>
              <w:textAlignment w:val="auto"/>
              <w:rPr>
                <w:rFonts w:hint="eastAsia" w:asciiTheme="minorEastAsia" w:hAnsiTheme="minorEastAsia" w:eastAsiaTheme="minorEastAsia" w:cstheme="minorEastAsia"/>
                <w:b/>
                <w:bCs/>
                <w:color w:val="auto"/>
                <w:kern w:val="2"/>
                <w:sz w:val="21"/>
                <w:szCs w:val="21"/>
                <w:highlight w:val="none"/>
                <w:lang w:val="en-US" w:eastAsia="zh-CN"/>
              </w:rPr>
            </w:pPr>
            <w:r>
              <w:rPr>
                <w:rFonts w:hint="eastAsia" w:asciiTheme="minorEastAsia" w:hAnsiTheme="minorEastAsia" w:eastAsiaTheme="minorEastAsia" w:cstheme="minorEastAsia"/>
                <w:b/>
                <w:bCs/>
                <w:color w:val="auto"/>
                <w:kern w:val="2"/>
                <w:sz w:val="21"/>
                <w:szCs w:val="21"/>
                <w:highlight w:val="none"/>
                <w:lang w:val="en-US" w:eastAsia="zh-CN"/>
              </w:rPr>
              <w:t>（1）广西雅长兰科植物国家级自然保护区三维实景模型与场景空间展示系统（以下正文统称“智慧管理系统新增模块”）</w:t>
            </w:r>
          </w:p>
          <w:p w14:paraId="141A9783">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firstLine="420" w:firstLineChars="200"/>
              <w:jc w:val="both"/>
              <w:textAlignment w:val="auto"/>
              <w:rPr>
                <w:rFonts w:hint="eastAsia" w:asciiTheme="minorEastAsia" w:hAnsiTheme="minorEastAsia" w:eastAsiaTheme="minorEastAsia" w:cstheme="minorEastAsia"/>
                <w:b w:val="0"/>
                <w:bCs w:val="0"/>
                <w:color w:val="auto"/>
                <w:kern w:val="2"/>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lang w:val="en-US" w:eastAsia="zh-CN"/>
              </w:rPr>
              <w:t>智慧管理系统新增模块包括数据清洗、监测感知系统模块、三维可视化模块和新增模块硬件配套，充分利用采集监测数据的科研价值，进行生态系统恢复和演替、生物多样性评估与监测、物种行为与生态等研究</w:t>
            </w:r>
            <w:r>
              <w:rPr>
                <w:rFonts w:hint="eastAsia" w:asciiTheme="minorEastAsia" w:hAnsiTheme="minorEastAsia" w:eastAsiaTheme="minorEastAsia" w:cstheme="minorEastAsia"/>
                <w:b/>
                <w:bCs/>
                <w:color w:val="auto"/>
                <w:kern w:val="2"/>
                <w:sz w:val="21"/>
                <w:szCs w:val="21"/>
                <w:highlight w:val="none"/>
                <w:lang w:val="en-US" w:eastAsia="zh-CN"/>
              </w:rPr>
              <w:t>（具体智慧管理系统新增模块及数量等详细要求详见本表《附件二：智慧管理系统新增模块清单》）</w:t>
            </w:r>
            <w:r>
              <w:rPr>
                <w:rFonts w:hint="eastAsia" w:asciiTheme="minorEastAsia" w:hAnsiTheme="minorEastAsia" w:eastAsiaTheme="minorEastAsia" w:cstheme="minorEastAsia"/>
                <w:b w:val="0"/>
                <w:bCs w:val="0"/>
                <w:color w:val="auto"/>
                <w:kern w:val="2"/>
                <w:sz w:val="21"/>
                <w:szCs w:val="21"/>
                <w:highlight w:val="none"/>
                <w:lang w:val="en-US" w:eastAsia="zh-CN"/>
              </w:rPr>
              <w:t>。</w:t>
            </w:r>
          </w:p>
          <w:p w14:paraId="0620356C">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jc w:val="both"/>
              <w:textAlignment w:val="auto"/>
              <w:rPr>
                <w:rFonts w:hint="eastAsia" w:asciiTheme="minorEastAsia" w:hAnsiTheme="minorEastAsia" w:eastAsiaTheme="minorEastAsia" w:cstheme="minorEastAsia"/>
                <w:b/>
                <w:bCs/>
                <w:color w:val="auto"/>
                <w:kern w:val="2"/>
                <w:sz w:val="21"/>
                <w:szCs w:val="21"/>
                <w:highlight w:val="none"/>
                <w:lang w:val="en-US" w:eastAsia="zh-CN"/>
              </w:rPr>
            </w:pPr>
            <w:r>
              <w:rPr>
                <w:rFonts w:hint="eastAsia" w:asciiTheme="minorEastAsia" w:hAnsiTheme="minorEastAsia" w:eastAsiaTheme="minorEastAsia" w:cstheme="minorEastAsia"/>
                <w:b/>
                <w:bCs/>
                <w:color w:val="auto"/>
                <w:kern w:val="2"/>
                <w:sz w:val="21"/>
                <w:szCs w:val="21"/>
                <w:highlight w:val="none"/>
                <w:lang w:val="en-US" w:eastAsia="zh-CN"/>
              </w:rPr>
              <w:t>（2）商用密码应用建设</w:t>
            </w:r>
          </w:p>
          <w:p w14:paraId="7C743697">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firstLine="420" w:firstLineChars="200"/>
              <w:jc w:val="both"/>
              <w:textAlignment w:val="auto"/>
              <w:rPr>
                <w:rFonts w:hint="eastAsia" w:asciiTheme="minorEastAsia" w:hAnsiTheme="minorEastAsia" w:eastAsiaTheme="minorEastAsia" w:cstheme="minorEastAsia"/>
                <w:b w:val="0"/>
                <w:bCs w:val="0"/>
                <w:color w:val="auto"/>
                <w:kern w:val="2"/>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lang w:val="en-US" w:eastAsia="zh-CN"/>
              </w:rPr>
              <w:t>结合信息系统现状和GB/T39786中对不同等级的信息系统提出的密码应用基本要求，对密码应用方案涉及的计算平台、业务应用、管理制度、人员管理、建设运行和应急处置进行安全风险分析，确定风险控制措施、密码应用基本需求分析和密码应用特殊需求分析。通过风险控制措施缓解信息系统存在的高风险</w:t>
            </w:r>
            <w:r>
              <w:rPr>
                <w:rFonts w:hint="eastAsia" w:asciiTheme="minorEastAsia" w:hAnsiTheme="minorEastAsia" w:eastAsiaTheme="minorEastAsia" w:cstheme="minorEastAsia"/>
                <w:b/>
                <w:bCs/>
                <w:color w:val="auto"/>
                <w:kern w:val="2"/>
                <w:sz w:val="21"/>
                <w:szCs w:val="21"/>
                <w:highlight w:val="none"/>
                <w:lang w:val="en-US" w:eastAsia="zh-CN"/>
              </w:rPr>
              <w:t>（具体商用密码应用建设及数量等详细要求详见本表《附件三：商用密码应用建设清单》）</w:t>
            </w:r>
            <w:r>
              <w:rPr>
                <w:rFonts w:hint="eastAsia" w:asciiTheme="minorEastAsia" w:hAnsiTheme="minorEastAsia" w:eastAsiaTheme="minorEastAsia" w:cstheme="minorEastAsia"/>
                <w:b w:val="0"/>
                <w:bCs w:val="0"/>
                <w:color w:val="auto"/>
                <w:kern w:val="2"/>
                <w:sz w:val="21"/>
                <w:szCs w:val="21"/>
                <w:highlight w:val="none"/>
                <w:lang w:val="en-US" w:eastAsia="zh-CN"/>
              </w:rPr>
              <w:t>。</w:t>
            </w:r>
          </w:p>
          <w:p w14:paraId="2B9CDF8C">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jc w:val="both"/>
              <w:textAlignment w:val="auto"/>
              <w:rPr>
                <w:rFonts w:hint="eastAsia" w:asciiTheme="minorEastAsia" w:hAnsiTheme="minorEastAsia" w:eastAsiaTheme="minorEastAsia" w:cstheme="minorEastAsia"/>
                <w:b/>
                <w:bCs/>
                <w:color w:val="auto"/>
                <w:kern w:val="2"/>
                <w:sz w:val="21"/>
                <w:szCs w:val="21"/>
                <w:highlight w:val="none"/>
                <w:lang w:val="en-US" w:eastAsia="zh-CN"/>
              </w:rPr>
            </w:pPr>
            <w:r>
              <w:rPr>
                <w:rFonts w:hint="eastAsia" w:asciiTheme="minorEastAsia" w:hAnsiTheme="minorEastAsia" w:eastAsiaTheme="minorEastAsia" w:cstheme="minorEastAsia"/>
                <w:b/>
                <w:bCs/>
                <w:color w:val="auto"/>
                <w:kern w:val="2"/>
                <w:sz w:val="21"/>
                <w:szCs w:val="21"/>
                <w:highlight w:val="none"/>
                <w:lang w:val="en-US" w:eastAsia="zh-CN"/>
              </w:rPr>
              <w:t>（3）安全系统等保二级</w:t>
            </w:r>
          </w:p>
          <w:p w14:paraId="5AE0F61A">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firstLine="420" w:firstLineChars="200"/>
              <w:jc w:val="both"/>
              <w:textAlignment w:val="auto"/>
              <w:rPr>
                <w:rFonts w:hint="eastAsia" w:asciiTheme="minorEastAsia" w:hAnsiTheme="minorEastAsia" w:eastAsiaTheme="minorEastAsia" w:cstheme="minorEastAsia"/>
                <w:b w:val="0"/>
                <w:bCs w:val="0"/>
                <w:color w:val="auto"/>
                <w:kern w:val="2"/>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lang w:val="en-US" w:eastAsia="zh-CN"/>
              </w:rPr>
              <w:t>本项目安全系统建设满足信息系统达到安全等级保护第二级要求。借助相关技术和管理等手段，建立全网的安全防控管理服务体系，从而全面提高安全防护能力</w:t>
            </w:r>
            <w:r>
              <w:rPr>
                <w:rFonts w:hint="eastAsia" w:asciiTheme="minorEastAsia" w:hAnsiTheme="minorEastAsia" w:eastAsiaTheme="minorEastAsia" w:cstheme="minorEastAsia"/>
                <w:b/>
                <w:bCs/>
                <w:color w:val="auto"/>
                <w:kern w:val="2"/>
                <w:sz w:val="21"/>
                <w:szCs w:val="21"/>
                <w:highlight w:val="none"/>
                <w:lang w:val="en-US" w:eastAsia="zh-CN"/>
              </w:rPr>
              <w:t>（具体等保安全设备及数量等详细要求详见本表《附件四：等保安全设备清单》）</w:t>
            </w:r>
            <w:r>
              <w:rPr>
                <w:rFonts w:hint="eastAsia" w:asciiTheme="minorEastAsia" w:hAnsiTheme="minorEastAsia" w:eastAsiaTheme="minorEastAsia" w:cstheme="minorEastAsia"/>
                <w:b w:val="0"/>
                <w:bCs w:val="0"/>
                <w:color w:val="auto"/>
                <w:kern w:val="2"/>
                <w:sz w:val="21"/>
                <w:szCs w:val="21"/>
                <w:highlight w:val="none"/>
                <w:lang w:val="en-US" w:eastAsia="zh-CN"/>
              </w:rPr>
              <w:t>。</w:t>
            </w:r>
          </w:p>
          <w:p w14:paraId="2421FAD0">
            <w:pPr>
              <w:numPr>
                <w:ilvl w:val="0"/>
                <w:numId w:val="3"/>
              </w:numPr>
              <w:kinsoku/>
              <w:autoSpaceDE/>
              <w:autoSpaceDN/>
              <w:bidi w:val="0"/>
              <w:spacing w:line="380" w:lineRule="exact"/>
              <w:jc w:val="both"/>
              <w:textAlignment w:val="auto"/>
              <w:rPr>
                <w:rFonts w:hint="eastAsia"/>
                <w:color w:val="auto"/>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lang w:val="en-US" w:eastAsia="zh-CN"/>
              </w:rPr>
              <w:t>解说系统建设</w:t>
            </w:r>
          </w:p>
          <w:p w14:paraId="742C0C10">
            <w:pPr>
              <w:spacing w:line="420" w:lineRule="exact"/>
              <w:ind w:firstLine="420" w:firstLineChars="200"/>
              <w:rPr>
                <w:rFonts w:hint="eastAsia"/>
                <w:color w:val="auto"/>
              </w:rPr>
            </w:pPr>
            <w:r>
              <w:rPr>
                <w:rFonts w:hint="eastAsia"/>
                <w:color w:val="auto"/>
              </w:rPr>
              <w:t>在兰花繁育中心、自然教育中心、兰花科普园建设自然教育导览解说系统。让公众深度了解保护区、获知野生动植物和自然景观故事。根据自然教育路线实际情况，室外采用全程北斗或GPS触发讲解，室内安装触发基站设备的模式，构建智慧导览系统。首先调查评估资源的价值、特点，确定解说内容和主题，至少编写60个线上自然解说点。其次是实施安装，将讲解词和所需要内容，全部植入导览机，在对相应点位进行定位调试和安装，确保触发及时、不串信号、语言清楚，达到正常运营。最后是运行管理，设置自助柜机导览机服务或人工发放导览设备服务点，满足公众自由了解自然的需求。</w:t>
            </w:r>
          </w:p>
          <w:p w14:paraId="2BE7841D">
            <w:pPr>
              <w:keepNext w:val="0"/>
              <w:keepLines w:val="0"/>
              <w:pageBreakBefore w:val="0"/>
              <w:widowControl/>
              <w:kinsoku w:val="0"/>
              <w:wordWrap/>
              <w:overflowPunct/>
              <w:topLinePunct w:val="0"/>
              <w:autoSpaceDE w:val="0"/>
              <w:autoSpaceDN w:val="0"/>
              <w:bidi w:val="0"/>
              <w:adjustRightInd w:val="0"/>
              <w:snapToGrid w:val="0"/>
              <w:spacing w:line="420" w:lineRule="exact"/>
              <w:ind w:firstLine="0" w:firstLineChars="0"/>
              <w:textAlignment w:val="baseline"/>
              <w:rPr>
                <w:rFonts w:hint="default" w:eastAsia="宋体"/>
                <w:color w:val="auto"/>
                <w:lang w:val="en-US" w:eastAsia="zh-CN"/>
              </w:rPr>
            </w:pPr>
            <w:r>
              <w:rPr>
                <w:rFonts w:hint="eastAsia" w:eastAsia="宋体"/>
                <w:color w:val="auto"/>
                <w:lang w:val="en-US" w:eastAsia="zh-CN"/>
              </w:rPr>
              <w:t>（具体解说系统建设需求详见本表《附件五：解说系统建设清单》）</w:t>
            </w:r>
          </w:p>
          <w:p w14:paraId="027C7BCA">
            <w:pPr>
              <w:pStyle w:val="12"/>
              <w:rPr>
                <w:rFonts w:hint="default"/>
                <w:color w:val="auto"/>
                <w:lang w:val="en-US" w:eastAsia="zh-CN"/>
              </w:rPr>
            </w:pPr>
            <w:r>
              <w:rPr>
                <w:rFonts w:hint="eastAsia" w:asciiTheme="minorEastAsia" w:hAnsiTheme="minorEastAsia" w:eastAsiaTheme="minorEastAsia" w:cstheme="minorEastAsia"/>
                <w:b/>
                <w:bCs/>
                <w:color w:val="auto"/>
                <w:kern w:val="2"/>
                <w:sz w:val="21"/>
                <w:szCs w:val="21"/>
                <w:highlight w:val="none"/>
                <w:lang w:val="en-US" w:eastAsia="zh-CN"/>
              </w:rPr>
              <w:t>注：标段1详见附件一，标段2详见附件二、附件三、附件四、附件五。</w:t>
            </w:r>
          </w:p>
        </w:tc>
      </w:tr>
      <w:tr w14:paraId="35AA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7" w:type="dxa"/>
            <w:gridSpan w:val="5"/>
            <w:noWrap w:val="0"/>
            <w:vAlign w:val="top"/>
          </w:tcPr>
          <w:p w14:paraId="2C53DC63">
            <w:pPr>
              <w:tabs>
                <w:tab w:val="left" w:pos="180"/>
                <w:tab w:val="left" w:pos="1620"/>
              </w:tabs>
              <w:spacing w:after="0" w:line="360" w:lineRule="auto"/>
              <w:jc w:val="left"/>
              <w:rPr>
                <w:rFonts w:hint="eastAsia" w:asciiTheme="minorEastAsia" w:hAnsiTheme="minorEastAsia" w:eastAsiaTheme="minorEastAsia" w:cstheme="minorEastAsia"/>
                <w:color w:val="auto"/>
                <w:sz w:val="21"/>
                <w:szCs w:val="21"/>
                <w:highlight w:val="none"/>
              </w:rPr>
            </w:pPr>
            <w:bookmarkStart w:id="4" w:name="OLE_LINK4"/>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b/>
                <w:bCs/>
                <w:color w:val="auto"/>
                <w:sz w:val="21"/>
                <w:szCs w:val="21"/>
                <w:highlight w:val="none"/>
                <w:lang w:val="en-US" w:eastAsia="zh-CN"/>
              </w:rPr>
              <w:t>二</w:t>
            </w:r>
            <w:r>
              <w:rPr>
                <w:rFonts w:hint="eastAsia" w:asciiTheme="minorEastAsia" w:hAnsiTheme="minorEastAsia" w:eastAsiaTheme="minorEastAsia" w:cstheme="minorEastAsia"/>
                <w:b/>
                <w:bCs/>
                <w:color w:val="auto"/>
                <w:sz w:val="21"/>
                <w:szCs w:val="21"/>
                <w:highlight w:val="none"/>
              </w:rPr>
              <w:t>、商务条款</w:t>
            </w:r>
            <w:bookmarkEnd w:id="4"/>
          </w:p>
        </w:tc>
      </w:tr>
      <w:tr w14:paraId="5AEB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7" w:type="dxa"/>
            <w:gridSpan w:val="5"/>
            <w:noWrap w:val="0"/>
            <w:vAlign w:val="top"/>
          </w:tcPr>
          <w:p w14:paraId="65E684EB">
            <w:pPr>
              <w:pStyle w:val="8"/>
              <w:numPr>
                <w:ilvl w:val="0"/>
                <w:numId w:val="0"/>
              </w:numPr>
              <w:spacing w:line="336" w:lineRule="auto"/>
              <w:ind w:firstLine="422" w:firstLineChars="200"/>
              <w:rPr>
                <w:rFonts w:hint="eastAsia" w:asciiTheme="minorEastAsia" w:hAnsiTheme="minorEastAsia" w:eastAsiaTheme="minorEastAsia" w:cstheme="minorEastAsia"/>
                <w:color w:val="auto"/>
                <w:sz w:val="21"/>
                <w:szCs w:val="21"/>
                <w:highlight w:val="none"/>
              </w:rPr>
            </w:pPr>
            <w:bookmarkStart w:id="5" w:name="OLE_LINK5"/>
            <w:r>
              <w:rPr>
                <w:rFonts w:hint="eastAsia" w:asciiTheme="minorEastAsia" w:hAnsiTheme="minorEastAsia" w:eastAsiaTheme="minorEastAsia" w:cstheme="minorEastAsia"/>
                <w:b/>
                <w:bCs/>
                <w:color w:val="auto"/>
                <w:sz w:val="21"/>
                <w:szCs w:val="21"/>
                <w:highlight w:val="none"/>
              </w:rPr>
              <w:t>1</w:t>
            </w:r>
            <w:r>
              <w:rPr>
                <w:rFonts w:hint="eastAsia" w:asciiTheme="minorEastAsia" w:hAnsiTheme="minorEastAsia" w:eastAsiaTheme="minorEastAsia" w:cstheme="minorEastAsia"/>
                <w:b/>
                <w:bCs/>
                <w:color w:val="auto"/>
                <w:sz w:val="21"/>
                <w:szCs w:val="21"/>
                <w:highlight w:val="none"/>
                <w:lang w:eastAsia="zh-CN"/>
              </w:rPr>
              <w:t>、服务</w:t>
            </w:r>
            <w:r>
              <w:rPr>
                <w:rFonts w:hint="eastAsia" w:asciiTheme="minorEastAsia" w:hAnsiTheme="minorEastAsia" w:eastAsiaTheme="minorEastAsia" w:cstheme="minorEastAsia"/>
                <w:b/>
                <w:bCs/>
                <w:color w:val="auto"/>
                <w:sz w:val="21"/>
                <w:szCs w:val="21"/>
                <w:highlight w:val="none"/>
              </w:rPr>
              <w:t>地点：广西雅长兰科植物国家级自然保护区管理中心</w:t>
            </w:r>
            <w:r>
              <w:rPr>
                <w:rFonts w:hint="eastAsia" w:asciiTheme="minorEastAsia" w:hAnsiTheme="minorEastAsia" w:eastAsiaTheme="minorEastAsia" w:cstheme="minorEastAsia"/>
                <w:b/>
                <w:bCs/>
                <w:color w:val="auto"/>
                <w:sz w:val="21"/>
                <w:szCs w:val="21"/>
                <w:highlight w:val="none"/>
                <w:lang w:eastAsia="zh-CN"/>
              </w:rPr>
              <w:t>指定地点</w:t>
            </w:r>
            <w:r>
              <w:rPr>
                <w:rFonts w:hint="eastAsia" w:asciiTheme="minorEastAsia" w:hAnsiTheme="minorEastAsia" w:eastAsiaTheme="minorEastAsia" w:cstheme="minorEastAsia"/>
                <w:color w:val="auto"/>
                <w:sz w:val="21"/>
                <w:szCs w:val="21"/>
                <w:highlight w:val="none"/>
              </w:rPr>
              <w:t>。</w:t>
            </w:r>
          </w:p>
          <w:p w14:paraId="3F994399">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2</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val="en-US" w:eastAsia="zh-CN"/>
              </w:rPr>
              <w:t>服务</w:t>
            </w:r>
            <w:r>
              <w:rPr>
                <w:rFonts w:hint="eastAsia" w:asciiTheme="minorEastAsia" w:hAnsiTheme="minorEastAsia" w:eastAsiaTheme="minorEastAsia" w:cstheme="minorEastAsia"/>
                <w:b/>
                <w:bCs/>
                <w:color w:val="auto"/>
                <w:sz w:val="21"/>
                <w:szCs w:val="21"/>
                <w:highlight w:val="none"/>
              </w:rPr>
              <w:t>期限：</w:t>
            </w:r>
          </w:p>
          <w:p w14:paraId="74317BA7">
            <w:pPr>
              <w:keepNext w:val="0"/>
              <w:keepLines w:val="0"/>
              <w:pageBreakBefore w:val="0"/>
              <w:widowControl/>
              <w:kinsoku w:val="0"/>
              <w:wordWrap/>
              <w:overflowPunct/>
              <w:topLinePunct w:val="0"/>
              <w:autoSpaceDE w:val="0"/>
              <w:autoSpaceDN w:val="0"/>
              <w:bidi w:val="0"/>
              <w:adjustRightInd w:val="0"/>
              <w:snapToGrid w:val="0"/>
              <w:spacing w:line="420" w:lineRule="exact"/>
              <w:ind w:firstLine="420" w:firstLineChars="200"/>
              <w:textAlignment w:val="baseline"/>
              <w:rPr>
                <w:rFonts w:hint="default" w:eastAsia="宋体"/>
                <w:color w:val="auto"/>
                <w:lang w:val="en-US" w:eastAsia="zh-CN"/>
              </w:rPr>
            </w:pPr>
            <w:r>
              <w:rPr>
                <w:rFonts w:hint="eastAsia"/>
                <w:color w:val="auto"/>
              </w:rPr>
              <w:t>合同履行期限：</w:t>
            </w:r>
            <w:r>
              <w:rPr>
                <w:rFonts w:hint="eastAsia" w:eastAsia="宋体"/>
                <w:color w:val="auto"/>
                <w:lang w:val="en-US" w:eastAsia="zh-CN"/>
              </w:rPr>
              <w:t>施工期为合同签订之日起至2026年6月30日止。标段1运维周期1年，标段2运维周期2年。</w:t>
            </w:r>
          </w:p>
          <w:p w14:paraId="3C52FF19">
            <w:pPr>
              <w:keepNext w:val="0"/>
              <w:keepLines w:val="0"/>
              <w:pageBreakBefore w:val="0"/>
              <w:widowControl/>
              <w:kinsoku w:val="0"/>
              <w:wordWrap/>
              <w:overflowPunct/>
              <w:topLinePunct w:val="0"/>
              <w:autoSpaceDE w:val="0"/>
              <w:autoSpaceDN w:val="0"/>
              <w:bidi w:val="0"/>
              <w:adjustRightInd w:val="0"/>
              <w:snapToGrid w:val="0"/>
              <w:spacing w:line="420" w:lineRule="exact"/>
              <w:ind w:firstLine="420" w:firstLineChars="200"/>
              <w:textAlignment w:val="baseline"/>
              <w:rPr>
                <w:rFonts w:hint="eastAsia"/>
                <w:color w:val="auto"/>
                <w:lang w:val="en-US" w:eastAsia="zh-CN"/>
              </w:rPr>
            </w:pPr>
            <w:r>
              <w:rPr>
                <w:rFonts w:hint="eastAsia"/>
                <w:color w:val="auto"/>
                <w:lang w:val="en-US" w:eastAsia="zh-CN"/>
              </w:rPr>
              <w:t>施工期界定：自合同签订之日起至2026年6月30止。</w:t>
            </w:r>
          </w:p>
          <w:p w14:paraId="1E478313">
            <w:pPr>
              <w:keepNext w:val="0"/>
              <w:keepLines w:val="0"/>
              <w:pageBreakBefore w:val="0"/>
              <w:widowControl/>
              <w:kinsoku w:val="0"/>
              <w:wordWrap/>
              <w:overflowPunct/>
              <w:topLinePunct w:val="0"/>
              <w:autoSpaceDE w:val="0"/>
              <w:autoSpaceDN w:val="0"/>
              <w:bidi w:val="0"/>
              <w:adjustRightInd w:val="0"/>
              <w:snapToGrid w:val="0"/>
              <w:spacing w:line="420" w:lineRule="exact"/>
              <w:ind w:firstLine="420" w:firstLineChars="200"/>
              <w:textAlignment w:val="baseline"/>
              <w:rPr>
                <w:rFonts w:hint="eastAsia"/>
                <w:color w:val="auto"/>
                <w:lang w:val="en-US" w:eastAsia="zh-CN"/>
              </w:rPr>
            </w:pPr>
            <w:r>
              <w:rPr>
                <w:rFonts w:hint="eastAsia"/>
                <w:color w:val="auto"/>
                <w:lang w:val="en-US" w:eastAsia="zh-CN"/>
              </w:rPr>
              <w:t xml:space="preserve">服务运维周期界定：本合同约定的服务运维周期（即核心服务履约期限）从项目验收之日起计算，  </w:t>
            </w:r>
            <w:r>
              <w:rPr>
                <w:rFonts w:hint="eastAsia" w:ascii="Arial" w:hAnsi="Arial" w:eastAsia="Arial" w:cs="Arial"/>
                <w:strike w:val="0"/>
                <w:dstrike w:val="0"/>
                <w:color w:val="auto"/>
                <w:kern w:val="0"/>
                <w:sz w:val="21"/>
                <w:szCs w:val="21"/>
                <w:lang w:val="en-US" w:eastAsia="zh-CN" w:bidi="ar-SA"/>
              </w:rPr>
              <w:t>标段1质保期为</w:t>
            </w:r>
            <w:r>
              <w:rPr>
                <w:rFonts w:hint="eastAsia" w:cs="Arial"/>
                <w:strike w:val="0"/>
                <w:dstrike w:val="0"/>
                <w:color w:val="auto"/>
                <w:kern w:val="0"/>
                <w:sz w:val="21"/>
                <w:szCs w:val="21"/>
                <w:lang w:val="en-US" w:eastAsia="zh-CN" w:bidi="ar-SA"/>
              </w:rPr>
              <w:t>1</w:t>
            </w:r>
            <w:r>
              <w:rPr>
                <w:rFonts w:hint="eastAsia" w:ascii="Arial" w:hAnsi="Arial" w:eastAsia="Arial" w:cs="Arial"/>
                <w:strike w:val="0"/>
                <w:dstrike w:val="0"/>
                <w:color w:val="auto"/>
                <w:kern w:val="0"/>
                <w:sz w:val="21"/>
                <w:szCs w:val="21"/>
                <w:lang w:val="en-US" w:eastAsia="zh-CN" w:bidi="ar-SA"/>
              </w:rPr>
              <w:t>年，标段2质保期为</w:t>
            </w:r>
            <w:r>
              <w:rPr>
                <w:rFonts w:hint="eastAsia" w:cs="Arial"/>
                <w:strike w:val="0"/>
                <w:dstrike w:val="0"/>
                <w:color w:val="auto"/>
                <w:kern w:val="0"/>
                <w:sz w:val="21"/>
                <w:szCs w:val="21"/>
                <w:lang w:val="en-US" w:eastAsia="zh-CN" w:bidi="ar-SA"/>
              </w:rPr>
              <w:t>2</w:t>
            </w:r>
            <w:r>
              <w:rPr>
                <w:rFonts w:hint="eastAsia" w:ascii="Arial" w:hAnsi="Arial" w:eastAsia="Arial" w:cs="Arial"/>
                <w:strike w:val="0"/>
                <w:dstrike w:val="0"/>
                <w:color w:val="auto"/>
                <w:kern w:val="0"/>
                <w:sz w:val="21"/>
                <w:szCs w:val="21"/>
                <w:lang w:val="en-US" w:eastAsia="zh-CN" w:bidi="ar-SA"/>
              </w:rPr>
              <w:t>年，负责期间的免费</w:t>
            </w:r>
            <w:r>
              <w:rPr>
                <w:rFonts w:hint="eastAsia" w:cs="Arial"/>
                <w:strike w:val="0"/>
                <w:dstrike w:val="0"/>
                <w:color w:val="auto"/>
                <w:kern w:val="0"/>
                <w:sz w:val="21"/>
                <w:szCs w:val="21"/>
                <w:lang w:val="en-US" w:eastAsia="zh-CN" w:bidi="ar-SA"/>
              </w:rPr>
              <w:t>运维保障</w:t>
            </w:r>
            <w:r>
              <w:rPr>
                <w:rFonts w:hint="eastAsia" w:ascii="Arial" w:hAnsi="Arial" w:eastAsia="Arial" w:cs="Arial"/>
                <w:strike w:val="0"/>
                <w:dstrike w:val="0"/>
                <w:color w:val="auto"/>
                <w:kern w:val="0"/>
                <w:sz w:val="21"/>
                <w:szCs w:val="21"/>
                <w:lang w:val="en-US" w:eastAsia="zh-CN" w:bidi="ar-SA"/>
              </w:rPr>
              <w:t>。</w:t>
            </w:r>
          </w:p>
          <w:p w14:paraId="241D8888">
            <w:pPr>
              <w:keepNext w:val="0"/>
              <w:keepLines w:val="0"/>
              <w:pageBreakBefore w:val="0"/>
              <w:widowControl/>
              <w:kinsoku w:val="0"/>
              <w:wordWrap/>
              <w:overflowPunct/>
              <w:topLinePunct w:val="0"/>
              <w:autoSpaceDE w:val="0"/>
              <w:autoSpaceDN w:val="0"/>
              <w:bidi w:val="0"/>
              <w:adjustRightInd w:val="0"/>
              <w:snapToGrid w:val="0"/>
              <w:spacing w:line="420" w:lineRule="exact"/>
              <w:ind w:firstLine="420" w:firstLineChars="200"/>
              <w:textAlignment w:val="baseline"/>
              <w:rPr>
                <w:rFonts w:hint="eastAsia" w:asciiTheme="minorEastAsia" w:hAnsiTheme="minorEastAsia" w:eastAsiaTheme="minorEastAsia" w:cstheme="minorEastAsia"/>
                <w:b w:val="0"/>
                <w:bCs w:val="0"/>
                <w:color w:val="auto"/>
                <w:szCs w:val="21"/>
                <w:lang w:val="en-US" w:eastAsia="zh-CN"/>
              </w:rPr>
            </w:pPr>
            <w:r>
              <w:rPr>
                <w:rFonts w:hint="eastAsia"/>
                <w:color w:val="auto"/>
                <w:lang w:val="en-US" w:eastAsia="zh-CN"/>
              </w:rPr>
              <w:t>费用承担约定：在上述施工期内，因项目施工所产生的全部费用（包括但不限于人工成本、材料成本、设备采购及安装成本、</w:t>
            </w:r>
            <w:r>
              <w:rPr>
                <w:rFonts w:hint="eastAsia" w:asciiTheme="minorEastAsia" w:hAnsiTheme="minorEastAsia" w:eastAsiaTheme="minorEastAsia" w:cstheme="minorEastAsia"/>
                <w:b w:val="0"/>
                <w:bCs w:val="0"/>
                <w:color w:val="auto"/>
                <w:spacing w:val="3"/>
                <w:szCs w:val="21"/>
                <w:lang w:val="en-US" w:eastAsia="zh-CN"/>
              </w:rPr>
              <w:t>线路租用试运行、监控接入等与施工相关的各类支出），均由乙方自行承担。</w:t>
            </w:r>
          </w:p>
          <w:p w14:paraId="2A12F152">
            <w:pPr>
              <w:pStyle w:val="8"/>
              <w:numPr>
                <w:ilvl w:val="0"/>
                <w:numId w:val="0"/>
              </w:numPr>
              <w:shd w:val="clear" w:color="auto" w:fill="auto"/>
              <w:spacing w:line="336" w:lineRule="auto"/>
              <w:ind w:firstLine="422"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3</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rPr>
              <w:t>付款方式</w:t>
            </w:r>
            <w:r>
              <w:rPr>
                <w:rFonts w:hint="eastAsia" w:asciiTheme="minorEastAsia" w:hAnsiTheme="minorEastAsia" w:eastAsiaTheme="minorEastAsia" w:cstheme="minorEastAsia"/>
                <w:b/>
                <w:bCs/>
                <w:color w:val="auto"/>
                <w:sz w:val="21"/>
                <w:szCs w:val="21"/>
                <w:highlight w:val="none"/>
                <w:lang w:eastAsia="zh-CN"/>
              </w:rPr>
              <w:t>（以银行转账的方式支付）</w:t>
            </w:r>
            <w:r>
              <w:rPr>
                <w:rFonts w:hint="eastAsia" w:asciiTheme="minorEastAsia" w:hAnsiTheme="minorEastAsia" w:eastAsiaTheme="minorEastAsia" w:cstheme="minorEastAsia"/>
                <w:b/>
                <w:bCs/>
                <w:color w:val="auto"/>
                <w:sz w:val="21"/>
                <w:szCs w:val="21"/>
                <w:highlight w:val="none"/>
              </w:rPr>
              <w:t>：</w:t>
            </w:r>
          </w:p>
          <w:p w14:paraId="2D46DEA1">
            <w:pPr>
              <w:pStyle w:val="8"/>
              <w:numPr>
                <w:ilvl w:val="0"/>
                <w:numId w:val="0"/>
              </w:numPr>
              <w:shd w:val="clear" w:color="auto" w:fill="auto"/>
              <w:spacing w:line="336" w:lineRule="auto"/>
              <w:ind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（1）第一次支付：合同签订后</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日内，采购人支付中标供应商合同款</w:t>
            </w:r>
            <w:r>
              <w:rPr>
                <w:rFonts w:hint="eastAsia" w:asciiTheme="minorEastAsia" w:hAnsiTheme="minorEastAsia" w:eastAsiaTheme="minorEastAsia" w:cstheme="minorEastAsia"/>
                <w:color w:val="auto"/>
                <w:sz w:val="21"/>
                <w:szCs w:val="21"/>
                <w:highlight w:val="none"/>
                <w:lang w:val="en-US" w:eastAsia="zh-CN"/>
              </w:rPr>
              <w:t>30</w:t>
            </w:r>
            <w:r>
              <w:rPr>
                <w:rFonts w:hint="eastAsia" w:asciiTheme="minorEastAsia" w:hAnsiTheme="minorEastAsia" w:eastAsiaTheme="minorEastAsia" w:cstheme="minorEastAsia"/>
                <w:color w:val="auto"/>
                <w:sz w:val="21"/>
                <w:szCs w:val="21"/>
                <w:highlight w:val="none"/>
                <w:lang w:eastAsia="zh-CN"/>
              </w:rPr>
              <w:t>%费用。</w:t>
            </w:r>
          </w:p>
          <w:p w14:paraId="19A30C4E">
            <w:pPr>
              <w:pStyle w:val="8"/>
              <w:numPr>
                <w:ilvl w:val="0"/>
                <w:numId w:val="0"/>
              </w:numPr>
              <w:shd w:val="clear" w:color="auto" w:fill="auto"/>
              <w:spacing w:line="336" w:lineRule="auto"/>
              <w:ind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（2）第二次支付：</w:t>
            </w:r>
            <w:r>
              <w:rPr>
                <w:rFonts w:hint="eastAsia" w:asciiTheme="minorEastAsia" w:hAnsiTheme="minorEastAsia" w:eastAsiaTheme="minorEastAsia" w:cstheme="minorEastAsia"/>
                <w:color w:val="auto"/>
                <w:sz w:val="21"/>
                <w:szCs w:val="21"/>
                <w:highlight w:val="none"/>
                <w:lang w:val="en-US" w:eastAsia="zh-CN"/>
              </w:rPr>
              <w:t>完成项目施工70%工程总量后，</w:t>
            </w:r>
            <w:r>
              <w:rPr>
                <w:rFonts w:hint="eastAsia" w:asciiTheme="minorEastAsia" w:hAnsiTheme="minorEastAsia" w:eastAsiaTheme="minorEastAsia" w:cstheme="minorEastAsia"/>
                <w:color w:val="auto"/>
                <w:sz w:val="21"/>
                <w:szCs w:val="21"/>
                <w:highlight w:val="none"/>
                <w:lang w:eastAsia="zh-CN"/>
              </w:rPr>
              <w:t>采购人支付中标供应商合同款</w:t>
            </w:r>
            <w:r>
              <w:rPr>
                <w:rFonts w:hint="eastAsia" w:asciiTheme="minorEastAsia" w:hAnsiTheme="minorEastAsia" w:eastAsiaTheme="minorEastAsia" w:cstheme="minorEastAsia"/>
                <w:color w:val="auto"/>
                <w:sz w:val="21"/>
                <w:szCs w:val="21"/>
                <w:highlight w:val="none"/>
                <w:lang w:val="en-US" w:eastAsia="zh-CN"/>
              </w:rPr>
              <w:t>50</w:t>
            </w:r>
            <w:r>
              <w:rPr>
                <w:rFonts w:hint="eastAsia" w:asciiTheme="minorEastAsia" w:hAnsiTheme="minorEastAsia" w:eastAsiaTheme="minorEastAsia" w:cstheme="minorEastAsia"/>
                <w:color w:val="auto"/>
                <w:sz w:val="21"/>
                <w:szCs w:val="21"/>
                <w:highlight w:val="none"/>
                <w:lang w:eastAsia="zh-CN"/>
              </w:rPr>
              <w:t>%费用。</w:t>
            </w:r>
          </w:p>
          <w:p w14:paraId="2F1AE9E0">
            <w:pPr>
              <w:pStyle w:val="8"/>
              <w:numPr>
                <w:ilvl w:val="0"/>
                <w:numId w:val="0"/>
              </w:numPr>
              <w:shd w:val="clear" w:color="auto" w:fill="auto"/>
              <w:spacing w:line="336" w:lineRule="auto"/>
              <w:ind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（3）第三次支付：</w:t>
            </w:r>
            <w:r>
              <w:rPr>
                <w:rFonts w:hint="eastAsia" w:asciiTheme="minorEastAsia" w:hAnsiTheme="minorEastAsia" w:eastAsiaTheme="minorEastAsia" w:cstheme="minorEastAsia"/>
                <w:color w:val="auto"/>
                <w:sz w:val="21"/>
                <w:szCs w:val="21"/>
                <w:highlight w:val="none"/>
                <w:lang w:val="en-US" w:eastAsia="zh-CN"/>
              </w:rPr>
              <w:t>完成项目施工100%工程总量后</w:t>
            </w:r>
            <w:r>
              <w:rPr>
                <w:rFonts w:hint="eastAsia" w:asciiTheme="minorEastAsia" w:hAnsiTheme="minorEastAsia" w:eastAsiaTheme="minorEastAsia" w:cstheme="minorEastAsia"/>
                <w:color w:val="auto"/>
                <w:sz w:val="21"/>
                <w:szCs w:val="21"/>
                <w:highlight w:val="none"/>
                <w:lang w:eastAsia="zh-CN"/>
              </w:rPr>
              <w:t>，经采购人审核通过后</w:t>
            </w:r>
            <w:r>
              <w:rPr>
                <w:rFonts w:hint="eastAsia" w:asciiTheme="minorEastAsia" w:hAnsiTheme="minorEastAsia" w:eastAsiaTheme="minorEastAsia" w:cstheme="minorEastAsia"/>
                <w:color w:val="auto"/>
                <w:sz w:val="21"/>
                <w:szCs w:val="21"/>
                <w:highlight w:val="none"/>
                <w:lang w:val="en-US" w:eastAsia="zh-CN"/>
              </w:rPr>
              <w:t>30日内组织验收。验收通过双方签署验收文件后，采购人于15日内支付中标供应商合同款剩余20%费用（即合同款尾款）</w:t>
            </w:r>
            <w:r>
              <w:rPr>
                <w:rFonts w:hint="eastAsia" w:asciiTheme="minorEastAsia" w:hAnsiTheme="minorEastAsia" w:eastAsiaTheme="minorEastAsia" w:cstheme="minorEastAsia"/>
                <w:color w:val="auto"/>
                <w:sz w:val="21"/>
                <w:szCs w:val="21"/>
                <w:highlight w:val="none"/>
                <w:lang w:eastAsia="zh-CN"/>
              </w:rPr>
              <w:t>。</w:t>
            </w:r>
          </w:p>
          <w:p w14:paraId="776E99B9">
            <w:pPr>
              <w:pStyle w:val="8"/>
              <w:numPr>
                <w:ilvl w:val="0"/>
                <w:numId w:val="0"/>
              </w:numPr>
              <w:shd w:val="clear" w:color="auto" w:fill="auto"/>
              <w:spacing w:line="336" w:lineRule="auto"/>
              <w:ind w:firstLine="422"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4、服务费用：</w:t>
            </w:r>
            <w:r>
              <w:rPr>
                <w:rFonts w:hint="eastAsia" w:asciiTheme="minorEastAsia" w:hAnsiTheme="minorEastAsia" w:eastAsiaTheme="minorEastAsia" w:cstheme="minorEastAsia"/>
                <w:color w:val="auto"/>
                <w:sz w:val="21"/>
                <w:szCs w:val="21"/>
                <w:highlight w:val="none"/>
                <w:lang w:val="en-US" w:eastAsia="zh-CN"/>
              </w:rPr>
              <w:t>本项目服务费用包含完成本项目所有工作任务所需的一切费用（含完成合同项目过程中所需的劳务、材料、设备、仪器、运输、协调沟通、咨询、管理、保险、税费、利润、培训等费用，以及合同中约定的所有责任、义务和一般风险等的一切费用）。</w:t>
            </w:r>
          </w:p>
          <w:bookmarkEnd w:id="5"/>
          <w:p w14:paraId="0EA355A6">
            <w:pPr>
              <w:pStyle w:val="8"/>
              <w:numPr>
                <w:ilvl w:val="0"/>
                <w:numId w:val="0"/>
              </w:numPr>
              <w:spacing w:line="336" w:lineRule="auto"/>
              <w:ind w:firstLine="422"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5</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rPr>
              <w:t>报价要求：</w:t>
            </w:r>
            <w:r>
              <w:rPr>
                <w:rFonts w:hint="eastAsia" w:asciiTheme="minorEastAsia" w:hAnsiTheme="minorEastAsia" w:eastAsiaTheme="minorEastAsia" w:cstheme="minorEastAsia"/>
                <w:color w:val="auto"/>
                <w:sz w:val="21"/>
                <w:szCs w:val="21"/>
                <w:highlight w:val="none"/>
              </w:rPr>
              <w:t>本次报价须为人民币报价，供应商可投1个或多个标</w:t>
            </w:r>
            <w:r>
              <w:rPr>
                <w:rFonts w:hint="eastAsia" w:asciiTheme="minorEastAsia" w:hAnsiTheme="minorEastAsia" w:eastAsiaTheme="minorEastAsia" w:cstheme="minorEastAsia"/>
                <w:color w:val="auto"/>
                <w:sz w:val="21"/>
                <w:szCs w:val="21"/>
                <w:highlight w:val="none"/>
                <w:lang w:val="en-US" w:eastAsia="zh-CN"/>
              </w:rPr>
              <w:t>段</w:t>
            </w:r>
            <w:r>
              <w:rPr>
                <w:rFonts w:hint="eastAsia" w:asciiTheme="minorEastAsia" w:hAnsiTheme="minorEastAsia" w:eastAsiaTheme="minorEastAsia" w:cstheme="minorEastAsia"/>
                <w:color w:val="auto"/>
                <w:sz w:val="21"/>
                <w:szCs w:val="21"/>
                <w:highlight w:val="none"/>
              </w:rPr>
              <w:t>，但在本项目中只能中一个标</w:t>
            </w:r>
            <w:r>
              <w:rPr>
                <w:rFonts w:hint="eastAsia" w:asciiTheme="minorEastAsia" w:hAnsiTheme="minorEastAsia" w:eastAsiaTheme="minorEastAsia" w:cstheme="minorEastAsia"/>
                <w:color w:val="auto"/>
                <w:sz w:val="21"/>
                <w:szCs w:val="21"/>
                <w:highlight w:val="none"/>
                <w:lang w:val="en-US" w:eastAsia="zh-CN"/>
              </w:rPr>
              <w:t>段</w:t>
            </w:r>
            <w:r>
              <w:rPr>
                <w:rFonts w:hint="eastAsia" w:asciiTheme="minorEastAsia" w:hAnsiTheme="minorEastAsia" w:eastAsiaTheme="minorEastAsia" w:cstheme="minorEastAsia"/>
                <w:color w:val="auto"/>
                <w:sz w:val="21"/>
                <w:szCs w:val="21"/>
                <w:highlight w:val="none"/>
              </w:rPr>
              <w:t>，成交候选人推荐顺序为</w:t>
            </w:r>
            <w:r>
              <w:rPr>
                <w:rFonts w:hint="eastAsia" w:asciiTheme="minorEastAsia" w:hAnsiTheme="minorEastAsia" w:eastAsiaTheme="minorEastAsia" w:cstheme="minorEastAsia"/>
                <w:color w:val="auto"/>
                <w:sz w:val="21"/>
                <w:szCs w:val="21"/>
                <w:highlight w:val="none"/>
                <w:lang w:val="en-US" w:eastAsia="zh-CN"/>
              </w:rPr>
              <w:t>标段1</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标段2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供应商如果同时参与两个标</w:t>
            </w:r>
            <w:r>
              <w:rPr>
                <w:rFonts w:hint="eastAsia" w:asciiTheme="minorEastAsia" w:hAnsiTheme="minorEastAsia" w:eastAsiaTheme="minorEastAsia" w:cstheme="minorEastAsia"/>
                <w:color w:val="auto"/>
                <w:sz w:val="21"/>
                <w:szCs w:val="21"/>
                <w:highlight w:val="none"/>
                <w:lang w:val="en-US" w:eastAsia="zh-CN"/>
              </w:rPr>
              <w:t>段</w:t>
            </w:r>
            <w:r>
              <w:rPr>
                <w:rFonts w:hint="eastAsia" w:asciiTheme="minorEastAsia" w:hAnsiTheme="minorEastAsia" w:eastAsiaTheme="minorEastAsia" w:cstheme="minorEastAsia"/>
                <w:color w:val="auto"/>
                <w:sz w:val="21"/>
                <w:szCs w:val="21"/>
                <w:highlight w:val="none"/>
              </w:rPr>
              <w:t>竞标，须</w:t>
            </w:r>
            <w:r>
              <w:rPr>
                <w:rFonts w:hint="eastAsia" w:asciiTheme="minorEastAsia" w:hAnsiTheme="minorEastAsia" w:eastAsiaTheme="minorEastAsia" w:cstheme="minorEastAsia"/>
                <w:color w:val="auto"/>
                <w:sz w:val="21"/>
                <w:szCs w:val="21"/>
                <w:highlight w:val="none"/>
                <w:lang w:val="en-US" w:eastAsia="zh-CN"/>
              </w:rPr>
              <w:t>独立对</w:t>
            </w:r>
            <w:r>
              <w:rPr>
                <w:rFonts w:hint="eastAsia" w:asciiTheme="minorEastAsia" w:hAnsiTheme="minorEastAsia" w:eastAsiaTheme="minorEastAsia" w:cstheme="minorEastAsia"/>
                <w:color w:val="auto"/>
                <w:sz w:val="21"/>
                <w:szCs w:val="21"/>
                <w:highlight w:val="none"/>
              </w:rPr>
              <w:t>每个标</w:t>
            </w:r>
            <w:r>
              <w:rPr>
                <w:rFonts w:hint="eastAsia" w:asciiTheme="minorEastAsia" w:hAnsiTheme="minorEastAsia" w:eastAsiaTheme="minorEastAsia" w:cstheme="minorEastAsia"/>
                <w:color w:val="auto"/>
                <w:sz w:val="21"/>
                <w:szCs w:val="21"/>
                <w:highlight w:val="none"/>
                <w:lang w:val="en-US" w:eastAsia="zh-CN"/>
              </w:rPr>
              <w:t>段</w:t>
            </w:r>
            <w:r>
              <w:rPr>
                <w:rFonts w:hint="eastAsia" w:asciiTheme="minorEastAsia" w:hAnsiTheme="minorEastAsia" w:eastAsiaTheme="minorEastAsia" w:cstheme="minorEastAsia"/>
                <w:color w:val="auto"/>
                <w:sz w:val="21"/>
                <w:szCs w:val="21"/>
                <w:highlight w:val="none"/>
              </w:rPr>
              <w:t>的全部内容分别作完整唯一总价报价。报价应包含了（但并不限于）本项目服务所需的所有费用和所需缴纳的保险、税、费等一切费用。对于本文件中未列明，而供应商认为必需的费用也需列入总报价。在合同实施时，采购人将不予支付</w:t>
            </w:r>
            <w:r>
              <w:rPr>
                <w:rFonts w:hint="eastAsia" w:asciiTheme="minorEastAsia" w:hAnsiTheme="minorEastAsia" w:eastAsiaTheme="minorEastAsia" w:cstheme="minorEastAsia"/>
                <w:color w:val="auto"/>
                <w:sz w:val="21"/>
                <w:szCs w:val="21"/>
                <w:highlight w:val="none"/>
                <w:lang w:eastAsia="zh-CN"/>
              </w:rPr>
              <w:t>中标供应商</w:t>
            </w:r>
            <w:r>
              <w:rPr>
                <w:rFonts w:hint="eastAsia" w:asciiTheme="minorEastAsia" w:hAnsiTheme="minorEastAsia" w:eastAsiaTheme="minorEastAsia" w:cstheme="minorEastAsia"/>
                <w:color w:val="auto"/>
                <w:sz w:val="21"/>
                <w:szCs w:val="21"/>
                <w:highlight w:val="none"/>
              </w:rPr>
              <w:t>没有列入的项目费用，并认为此项目的费用已包括在总报价中。</w:t>
            </w:r>
          </w:p>
          <w:p w14:paraId="0343C49B">
            <w:pPr>
              <w:pStyle w:val="8"/>
              <w:numPr>
                <w:ilvl w:val="0"/>
                <w:numId w:val="0"/>
              </w:numPr>
              <w:spacing w:line="336" w:lineRule="auto"/>
              <w:ind w:firstLine="422" w:firstLineChars="20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6、数据安全及保密:</w:t>
            </w:r>
          </w:p>
          <w:p w14:paraId="582C417E">
            <w:pPr>
              <w:pStyle w:val="8"/>
              <w:numPr>
                <w:ilvl w:val="0"/>
                <w:numId w:val="0"/>
              </w:numPr>
              <w:spacing w:line="336" w:lineRule="auto"/>
              <w:ind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（1）所投产品供应商须保证本项目所有数据和资料不被泄露与盗取；</w:t>
            </w:r>
          </w:p>
          <w:p w14:paraId="02318001">
            <w:pPr>
              <w:pStyle w:val="8"/>
              <w:numPr>
                <w:ilvl w:val="0"/>
                <w:numId w:val="0"/>
              </w:numPr>
              <w:spacing w:line="336" w:lineRule="auto"/>
              <w:ind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（2）要求供应商需按照国家、省（自治区）的有关法规文件规定，开展生产工作、履行保密责任，如供应商在项目实施过程中造成数据泄漏或违反其它保密条例规定的，将追究法律责任；</w:t>
            </w:r>
          </w:p>
          <w:p w14:paraId="51AD0A65">
            <w:pPr>
              <w:pStyle w:val="8"/>
              <w:numPr>
                <w:ilvl w:val="0"/>
                <w:numId w:val="0"/>
              </w:numPr>
              <w:spacing w:line="336" w:lineRule="auto"/>
              <w:ind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（3）本项目所涉及的保密数据和资料，仅限于供应商在本项目的合同期内部使用，只能用于本项目，不得用于其它用途，不得向第三方提供；</w:t>
            </w:r>
          </w:p>
          <w:p w14:paraId="7DCF3AFC">
            <w:pPr>
              <w:pStyle w:val="8"/>
              <w:numPr>
                <w:ilvl w:val="0"/>
                <w:numId w:val="0"/>
              </w:numPr>
              <w:spacing w:line="336" w:lineRule="auto"/>
              <w:ind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（4）供应商不得将涉密数据在计算机互联网、政务网等非涉密网络上传输、登载；</w:t>
            </w:r>
          </w:p>
          <w:p w14:paraId="766A8DBA">
            <w:pPr>
              <w:pStyle w:val="8"/>
              <w:numPr>
                <w:ilvl w:val="0"/>
                <w:numId w:val="0"/>
              </w:numPr>
              <w:spacing w:line="336" w:lineRule="auto"/>
              <w:ind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（5）供应商发生涉密数据外传、丢失、被盗或者造成泄密事故的，应采取有效措施，及时补救，并及时向采购人报告；否则所造成的后果，由供应商承担所有责任。</w:t>
            </w:r>
          </w:p>
          <w:p w14:paraId="12835FD7">
            <w:pPr>
              <w:pStyle w:val="8"/>
              <w:numPr>
                <w:ilvl w:val="0"/>
                <w:numId w:val="0"/>
              </w:numPr>
              <w:spacing w:line="336" w:lineRule="auto"/>
              <w:ind w:firstLine="422" w:firstLineChars="20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7、培训要求：</w:t>
            </w:r>
          </w:p>
          <w:p w14:paraId="5E776B7F">
            <w:pPr>
              <w:pStyle w:val="8"/>
              <w:numPr>
                <w:ilvl w:val="0"/>
                <w:numId w:val="0"/>
              </w:numPr>
              <w:spacing w:line="336" w:lineRule="auto"/>
              <w:ind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（1）提供软件技术和系统操作等方面的培训；</w:t>
            </w:r>
          </w:p>
          <w:p w14:paraId="0E7703EA">
            <w:pPr>
              <w:pStyle w:val="8"/>
              <w:numPr>
                <w:ilvl w:val="0"/>
                <w:numId w:val="0"/>
              </w:numPr>
              <w:spacing w:line="336" w:lineRule="auto"/>
              <w:ind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（2）实施过程中提供一次全面的培训，培训内容包括系统操作培训、配置管理和系统维护等；</w:t>
            </w:r>
          </w:p>
          <w:p w14:paraId="44179121">
            <w:pPr>
              <w:pStyle w:val="8"/>
              <w:numPr>
                <w:ilvl w:val="0"/>
                <w:numId w:val="0"/>
              </w:numPr>
              <w:spacing w:line="336" w:lineRule="auto"/>
              <w:ind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（3）中标供应商必须为所有被培训人员提供培训用文字资料和讲义等相关培训资料。</w:t>
            </w:r>
          </w:p>
          <w:p w14:paraId="3441A3DC">
            <w:pPr>
              <w:pStyle w:val="22"/>
              <w:spacing w:line="360" w:lineRule="auto"/>
              <w:ind w:firstLine="422" w:firstLineChars="200"/>
              <w:rPr>
                <w:rFonts w:hint="eastAsia" w:asciiTheme="minorEastAsia" w:hAnsiTheme="minorEastAsia" w:eastAsiaTheme="minorEastAsia" w:cstheme="minorEastAsia"/>
                <w:b/>
                <w:bCs/>
                <w:strike w:val="0"/>
                <w:dstrike w:val="0"/>
                <w:color w:val="auto"/>
                <w:kern w:val="2"/>
                <w:sz w:val="21"/>
                <w:szCs w:val="21"/>
                <w:highlight w:val="none"/>
                <w:lang w:val="en-US" w:eastAsia="zh-CN" w:bidi="ar-SA"/>
              </w:rPr>
            </w:pPr>
            <w:r>
              <w:rPr>
                <w:rFonts w:hint="eastAsia" w:asciiTheme="minorEastAsia" w:hAnsiTheme="minorEastAsia" w:eastAsiaTheme="minorEastAsia" w:cstheme="minorEastAsia"/>
                <w:b/>
                <w:bCs/>
                <w:strike w:val="0"/>
                <w:dstrike w:val="0"/>
                <w:color w:val="auto"/>
                <w:kern w:val="2"/>
                <w:sz w:val="21"/>
                <w:szCs w:val="21"/>
                <w:highlight w:val="none"/>
                <w:lang w:val="en-US" w:eastAsia="zh-CN" w:bidi="ar-SA"/>
              </w:rPr>
              <w:t>8、质保期及售后服务要求:</w:t>
            </w:r>
          </w:p>
          <w:p w14:paraId="0358A135">
            <w:pPr>
              <w:pStyle w:val="22"/>
              <w:spacing w:line="360" w:lineRule="auto"/>
              <w:ind w:firstLine="420" w:firstLineChars="200"/>
              <w:rPr>
                <w:rFonts w:hint="eastAsia" w:asciiTheme="minorEastAsia" w:hAnsiTheme="minorEastAsia" w:eastAsiaTheme="minorEastAsia" w:cstheme="minorEastAsia"/>
                <w:strike w:val="0"/>
                <w:dstrike w:val="0"/>
                <w:color w:val="auto"/>
                <w:kern w:val="2"/>
                <w:sz w:val="21"/>
                <w:szCs w:val="21"/>
                <w:highlight w:val="none"/>
                <w:lang w:val="en-US" w:eastAsia="zh-CN" w:bidi="ar-SA"/>
              </w:rPr>
            </w:pPr>
            <w:r>
              <w:rPr>
                <w:rFonts w:hint="eastAsia" w:asciiTheme="minorEastAsia" w:hAnsiTheme="minorEastAsia" w:eastAsiaTheme="minorEastAsia" w:cstheme="minorEastAsia"/>
                <w:strike w:val="0"/>
                <w:dstrike w:val="0"/>
                <w:color w:val="auto"/>
                <w:kern w:val="2"/>
                <w:sz w:val="21"/>
                <w:szCs w:val="21"/>
                <w:highlight w:val="none"/>
                <w:lang w:val="en-US" w:eastAsia="zh-CN" w:bidi="ar-SA"/>
              </w:rPr>
              <w:t>（1）保证系统工程有序、规范建设，成立一个由专业技术人员组成的信息化工作机构，确保项目建设方面政策、标准、技术的快速与持续贯彻；</w:t>
            </w:r>
          </w:p>
          <w:p w14:paraId="5B332133">
            <w:pPr>
              <w:pStyle w:val="22"/>
              <w:spacing w:line="360" w:lineRule="auto"/>
              <w:ind w:firstLine="420" w:firstLineChars="200"/>
              <w:rPr>
                <w:rFonts w:hint="eastAsia" w:asciiTheme="minorEastAsia" w:hAnsiTheme="minorEastAsia" w:eastAsiaTheme="minorEastAsia" w:cstheme="minorEastAsia"/>
                <w:strike w:val="0"/>
                <w:dstrike w:val="0"/>
                <w:color w:val="auto"/>
                <w:kern w:val="2"/>
                <w:sz w:val="21"/>
                <w:szCs w:val="22"/>
                <w:highlight w:val="none"/>
                <w:lang w:val="en-US" w:eastAsia="zh-CN" w:bidi="ar-SA"/>
              </w:rPr>
            </w:pPr>
            <w:r>
              <w:rPr>
                <w:rFonts w:hint="eastAsia" w:asciiTheme="minorEastAsia" w:hAnsiTheme="minorEastAsia" w:eastAsiaTheme="minorEastAsia" w:cstheme="minorEastAsia"/>
                <w:strike w:val="0"/>
                <w:dstrike w:val="0"/>
                <w:color w:val="auto"/>
                <w:kern w:val="2"/>
                <w:sz w:val="21"/>
                <w:szCs w:val="21"/>
                <w:highlight w:val="none"/>
                <w:lang w:val="en-US" w:eastAsia="zh-CN" w:bidi="ar-SA"/>
              </w:rPr>
              <w:t>（2）项目通过终验后，系统开始免费质保。标段1质保期为一年，标段2质保期为2年，负责期间的免费运维保障；</w:t>
            </w:r>
          </w:p>
          <w:p w14:paraId="4D9A3F6A">
            <w:pPr>
              <w:pStyle w:val="22"/>
              <w:spacing w:line="360" w:lineRule="auto"/>
              <w:rPr>
                <w:rFonts w:hint="eastAsia" w:asciiTheme="minorEastAsia" w:hAnsiTheme="minorEastAsia" w:eastAsiaTheme="minorEastAsia" w:cstheme="minorEastAsia"/>
                <w:strike w:val="0"/>
                <w:dstrike w:val="0"/>
                <w:color w:val="auto"/>
                <w:kern w:val="2"/>
                <w:sz w:val="21"/>
                <w:szCs w:val="21"/>
                <w:highlight w:val="none"/>
                <w:lang w:val="en-US" w:eastAsia="zh-CN" w:bidi="ar-SA"/>
              </w:rPr>
            </w:pPr>
            <w:r>
              <w:rPr>
                <w:rFonts w:hint="eastAsia" w:asciiTheme="minorEastAsia" w:hAnsiTheme="minorEastAsia" w:eastAsiaTheme="minorEastAsia" w:cstheme="minorEastAsia"/>
                <w:strike w:val="0"/>
                <w:dstrike w:val="0"/>
                <w:color w:val="auto"/>
                <w:kern w:val="2"/>
                <w:sz w:val="21"/>
                <w:szCs w:val="21"/>
                <w:highlight w:val="none"/>
                <w:lang w:val="en-US" w:eastAsia="zh-CN" w:bidi="ar-SA"/>
              </w:rPr>
              <w:t>（3）在免费维护和更新期内，软件故障报修的响应时间：2小时内到达现场；如果故障在检修8小时后仍无法排除，中标人应在48小时内提供采用备份系统进行修复供采购人使用；</w:t>
            </w:r>
          </w:p>
          <w:p w14:paraId="2EE02177">
            <w:pPr>
              <w:pStyle w:val="22"/>
              <w:spacing w:line="36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（4）提供对采购方使用系统的有关人员的技术培训服务；</w:t>
            </w:r>
          </w:p>
          <w:p w14:paraId="7CFA5975">
            <w:pPr>
              <w:pStyle w:val="8"/>
              <w:numPr>
                <w:ilvl w:val="0"/>
                <w:numId w:val="0"/>
              </w:numPr>
              <w:spacing w:line="336"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（5）在免费维护期内应提供系统扩充、升级方面的技术支持服务。</w:t>
            </w:r>
          </w:p>
          <w:p w14:paraId="30B31040">
            <w:pPr>
              <w:pStyle w:val="22"/>
              <w:spacing w:line="360" w:lineRule="auto"/>
              <w:ind w:firstLine="422" w:firstLineChars="200"/>
              <w:rPr>
                <w:rFonts w:hint="eastAsia" w:asciiTheme="minorEastAsia" w:hAnsiTheme="minorEastAsia" w:eastAsiaTheme="minorEastAsia" w:cstheme="minorEastAsia"/>
                <w:b/>
                <w:bCs/>
                <w:color w:val="auto"/>
                <w:kern w:val="2"/>
                <w:sz w:val="21"/>
                <w:szCs w:val="21"/>
                <w:highlight w:val="none"/>
                <w:lang w:val="en-US" w:eastAsia="zh-CN" w:bidi="ar-SA"/>
              </w:rPr>
            </w:pPr>
            <w:r>
              <w:rPr>
                <w:rFonts w:hint="eastAsia" w:asciiTheme="minorEastAsia" w:hAnsiTheme="minorEastAsia" w:eastAsiaTheme="minorEastAsia" w:cstheme="minorEastAsia"/>
                <w:b/>
                <w:bCs/>
                <w:color w:val="auto"/>
                <w:kern w:val="2"/>
                <w:sz w:val="21"/>
                <w:szCs w:val="21"/>
                <w:highlight w:val="none"/>
                <w:lang w:val="en-US" w:eastAsia="zh-CN" w:bidi="ar-SA"/>
              </w:rPr>
              <w:t>9、验收要求:</w:t>
            </w:r>
          </w:p>
          <w:p w14:paraId="72B8589A">
            <w:pPr>
              <w:pStyle w:val="11"/>
              <w:tabs>
                <w:tab w:val="left" w:pos="0"/>
              </w:tabs>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）中标供应商</w:t>
            </w:r>
            <w:r>
              <w:rPr>
                <w:rFonts w:hint="eastAsia" w:asciiTheme="minorEastAsia" w:hAnsiTheme="minorEastAsia" w:eastAsiaTheme="minorEastAsia" w:cstheme="minorEastAsia"/>
                <w:color w:val="auto"/>
                <w:sz w:val="21"/>
                <w:szCs w:val="21"/>
                <w:highlight w:val="none"/>
              </w:rPr>
              <w:t>应对提交的服务成果作出全面检查和整理，并列出清单，作为</w:t>
            </w:r>
            <w:r>
              <w:rPr>
                <w:rFonts w:hint="eastAsia" w:asciiTheme="minorEastAsia" w:hAnsiTheme="minorEastAsia" w:eastAsiaTheme="minorEastAsia" w:cstheme="minorEastAsia"/>
                <w:color w:val="auto"/>
                <w:sz w:val="21"/>
                <w:szCs w:val="21"/>
                <w:highlight w:val="none"/>
                <w:lang w:eastAsia="zh-CN"/>
              </w:rPr>
              <w:t>采购人</w:t>
            </w:r>
            <w:r>
              <w:rPr>
                <w:rFonts w:hint="eastAsia" w:asciiTheme="minorEastAsia" w:hAnsiTheme="minorEastAsia" w:eastAsiaTheme="minorEastAsia" w:cstheme="minorEastAsia"/>
                <w:color w:val="auto"/>
                <w:sz w:val="21"/>
                <w:szCs w:val="21"/>
                <w:highlight w:val="none"/>
              </w:rPr>
              <w:t>验收和使用的技术条件依据，清单应随提交的服务成果交给</w:t>
            </w:r>
            <w:r>
              <w:rPr>
                <w:rFonts w:hint="eastAsia" w:asciiTheme="minorEastAsia" w:hAnsiTheme="minorEastAsia" w:eastAsiaTheme="minorEastAsia" w:cstheme="minorEastAsia"/>
                <w:color w:val="auto"/>
                <w:sz w:val="21"/>
                <w:szCs w:val="21"/>
                <w:highlight w:val="none"/>
                <w:lang w:eastAsia="zh-CN"/>
              </w:rPr>
              <w:t>采购人</w:t>
            </w:r>
            <w:r>
              <w:rPr>
                <w:rFonts w:hint="eastAsia" w:asciiTheme="minorEastAsia" w:hAnsiTheme="minorEastAsia" w:eastAsiaTheme="minorEastAsia" w:cstheme="minorEastAsia"/>
                <w:color w:val="auto"/>
                <w:sz w:val="21"/>
                <w:szCs w:val="21"/>
                <w:highlight w:val="none"/>
              </w:rPr>
              <w:t>。</w:t>
            </w:r>
          </w:p>
          <w:p w14:paraId="6D968C8F">
            <w:pPr>
              <w:pStyle w:val="11"/>
              <w:tabs>
                <w:tab w:val="left" w:pos="0"/>
              </w:tabs>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lang w:eastAsia="zh-CN"/>
              </w:rPr>
              <w:t>中标供应商</w:t>
            </w:r>
            <w:r>
              <w:rPr>
                <w:rFonts w:hint="eastAsia" w:asciiTheme="minorEastAsia" w:hAnsiTheme="minorEastAsia" w:eastAsiaTheme="minorEastAsia" w:cstheme="minorEastAsia"/>
                <w:color w:val="auto"/>
                <w:sz w:val="21"/>
                <w:szCs w:val="21"/>
                <w:highlight w:val="none"/>
              </w:rPr>
              <w:t>在指定地点提交服务成果后，</w:t>
            </w:r>
            <w:r>
              <w:rPr>
                <w:rFonts w:hint="eastAsia" w:asciiTheme="minorEastAsia" w:hAnsiTheme="minorEastAsia" w:eastAsiaTheme="minorEastAsia" w:cstheme="minorEastAsia"/>
                <w:color w:val="auto"/>
                <w:sz w:val="21"/>
                <w:szCs w:val="21"/>
                <w:highlight w:val="none"/>
                <w:lang w:eastAsia="zh-CN"/>
              </w:rPr>
              <w:t>采购人</w:t>
            </w:r>
            <w:r>
              <w:rPr>
                <w:rFonts w:hint="eastAsia" w:asciiTheme="minorEastAsia" w:hAnsiTheme="minorEastAsia" w:eastAsiaTheme="minorEastAsia" w:cstheme="minorEastAsia"/>
                <w:color w:val="auto"/>
                <w:sz w:val="21"/>
                <w:szCs w:val="21"/>
                <w:highlight w:val="none"/>
              </w:rPr>
              <w:t>应在五个工作日内依据</w:t>
            </w:r>
            <w:r>
              <w:rPr>
                <w:rFonts w:hint="eastAsia" w:asciiTheme="minorEastAsia" w:hAnsiTheme="minorEastAsia" w:eastAsiaTheme="minorEastAsia" w:cstheme="minorEastAsia"/>
                <w:color w:val="auto"/>
                <w:sz w:val="21"/>
                <w:szCs w:val="21"/>
                <w:highlight w:val="none"/>
                <w:lang w:val="en-US" w:eastAsia="zh-CN"/>
              </w:rPr>
              <w:t>招标</w:t>
            </w:r>
            <w:r>
              <w:rPr>
                <w:rFonts w:hint="eastAsia" w:asciiTheme="minorEastAsia" w:hAnsiTheme="minorEastAsia" w:eastAsiaTheme="minorEastAsia" w:cstheme="minorEastAsia"/>
                <w:color w:val="auto"/>
                <w:sz w:val="21"/>
                <w:szCs w:val="21"/>
                <w:highlight w:val="none"/>
              </w:rPr>
              <w:t>文件、</w:t>
            </w:r>
            <w:r>
              <w:rPr>
                <w:rFonts w:hint="eastAsia" w:asciiTheme="minorEastAsia" w:hAnsiTheme="minorEastAsia" w:eastAsiaTheme="minorEastAsia" w:cstheme="minorEastAsia"/>
                <w:color w:val="auto"/>
                <w:sz w:val="21"/>
                <w:szCs w:val="21"/>
                <w:highlight w:val="none"/>
                <w:lang w:eastAsia="zh-CN"/>
              </w:rPr>
              <w:t>中标供应商</w:t>
            </w:r>
            <w:r>
              <w:rPr>
                <w:rFonts w:hint="eastAsia" w:asciiTheme="minorEastAsia" w:hAnsiTheme="minorEastAsia" w:eastAsiaTheme="minorEastAsia" w:cstheme="minorEastAsia"/>
                <w:color w:val="auto"/>
                <w:sz w:val="21"/>
                <w:szCs w:val="21"/>
                <w:highlight w:val="none"/>
              </w:rPr>
              <w:t>的</w:t>
            </w:r>
            <w:r>
              <w:rPr>
                <w:rFonts w:hint="eastAsia" w:asciiTheme="minorEastAsia" w:hAnsiTheme="minorEastAsia" w:eastAsiaTheme="minorEastAsia" w:cstheme="minorEastAsia"/>
                <w:color w:val="auto"/>
                <w:sz w:val="21"/>
                <w:szCs w:val="21"/>
                <w:highlight w:val="none"/>
                <w:lang w:eastAsia="zh-CN"/>
              </w:rPr>
              <w:t>投标文件</w:t>
            </w:r>
            <w:r>
              <w:rPr>
                <w:rFonts w:hint="eastAsia" w:asciiTheme="minorEastAsia" w:hAnsiTheme="minorEastAsia" w:eastAsiaTheme="minorEastAsia" w:cstheme="minorEastAsia"/>
                <w:color w:val="auto"/>
                <w:sz w:val="21"/>
                <w:szCs w:val="21"/>
                <w:highlight w:val="none"/>
              </w:rPr>
              <w:t>等组织验收，验收完毕后作出书面验收报告。验收时</w:t>
            </w:r>
            <w:r>
              <w:rPr>
                <w:rFonts w:hint="eastAsia" w:asciiTheme="minorEastAsia" w:hAnsiTheme="minorEastAsia" w:eastAsiaTheme="minorEastAsia" w:cstheme="minorEastAsia"/>
                <w:color w:val="auto"/>
                <w:sz w:val="21"/>
                <w:szCs w:val="21"/>
                <w:highlight w:val="none"/>
                <w:lang w:eastAsia="zh-CN"/>
              </w:rPr>
              <w:t>中标供应商</w:t>
            </w:r>
            <w:r>
              <w:rPr>
                <w:rFonts w:hint="eastAsia" w:asciiTheme="minorEastAsia" w:hAnsiTheme="minorEastAsia" w:eastAsiaTheme="minorEastAsia" w:cstheme="minorEastAsia"/>
                <w:color w:val="auto"/>
                <w:sz w:val="21"/>
                <w:szCs w:val="21"/>
                <w:highlight w:val="none"/>
              </w:rPr>
              <w:t>必须在现场。</w:t>
            </w:r>
          </w:p>
          <w:p w14:paraId="0F940E10">
            <w:pPr>
              <w:pStyle w:val="11"/>
              <w:tabs>
                <w:tab w:val="left" w:pos="0"/>
              </w:tabs>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对复杂的服务，</w:t>
            </w:r>
            <w:r>
              <w:rPr>
                <w:rFonts w:hint="eastAsia" w:asciiTheme="minorEastAsia" w:hAnsiTheme="minorEastAsia" w:eastAsiaTheme="minorEastAsia" w:cstheme="minorEastAsia"/>
                <w:color w:val="auto"/>
                <w:sz w:val="21"/>
                <w:szCs w:val="21"/>
                <w:highlight w:val="none"/>
                <w:lang w:eastAsia="zh-CN"/>
              </w:rPr>
              <w:t>采购人</w:t>
            </w:r>
            <w:r>
              <w:rPr>
                <w:rFonts w:hint="eastAsia" w:asciiTheme="minorEastAsia" w:hAnsiTheme="minorEastAsia" w:eastAsiaTheme="minorEastAsia" w:cstheme="minorEastAsia"/>
                <w:color w:val="auto"/>
                <w:sz w:val="21"/>
                <w:szCs w:val="21"/>
                <w:highlight w:val="none"/>
              </w:rPr>
              <w:t>可请国家认可的专业机构参与验收，并由其出具验收报告，相关费用由</w:t>
            </w:r>
            <w:r>
              <w:rPr>
                <w:rFonts w:hint="eastAsia" w:asciiTheme="minorEastAsia" w:hAnsiTheme="minorEastAsia" w:eastAsiaTheme="minorEastAsia" w:cstheme="minorEastAsia"/>
                <w:color w:val="auto"/>
                <w:sz w:val="21"/>
                <w:szCs w:val="21"/>
                <w:highlight w:val="none"/>
                <w:lang w:eastAsia="zh-CN"/>
              </w:rPr>
              <w:t>采购人</w:t>
            </w:r>
            <w:r>
              <w:rPr>
                <w:rFonts w:hint="eastAsia" w:asciiTheme="minorEastAsia" w:hAnsiTheme="minorEastAsia" w:eastAsiaTheme="minorEastAsia" w:cstheme="minorEastAsia"/>
                <w:color w:val="auto"/>
                <w:sz w:val="21"/>
                <w:szCs w:val="21"/>
                <w:highlight w:val="none"/>
              </w:rPr>
              <w:t>承担。</w:t>
            </w:r>
          </w:p>
          <w:p w14:paraId="3F648C75">
            <w:pPr>
              <w:pStyle w:val="11"/>
              <w:tabs>
                <w:tab w:val="left" w:pos="0"/>
              </w:tabs>
              <w:snapToGrid w:val="0"/>
              <w:spacing w:line="360" w:lineRule="auto"/>
              <w:rPr>
                <w:rFonts w:hint="eastAsia"/>
                <w:color w:val="auto"/>
                <w:lang w:val="en-US" w:eastAsia="zh-CN"/>
              </w:rPr>
            </w:pPr>
            <w:r>
              <w:rPr>
                <w:rFonts w:hint="eastAsia" w:asciiTheme="minorEastAsia" w:hAnsiTheme="minorEastAsia" w:eastAsiaTheme="minorEastAsia" w:cstheme="minorEastAsia"/>
                <w:color w:val="auto"/>
                <w:sz w:val="21"/>
                <w:szCs w:val="21"/>
                <w:highlight w:val="none"/>
                <w:lang w:val="en-US" w:eastAsia="zh-CN"/>
              </w:rPr>
              <w:t>（4）验收小组以项目采购文件及采购合同为验收依据，对供货产品技术参数核对检验，如不符合技术参数要求的，中标人承担所有责任和费用，采购人有权选择单方解除本合同并要求供应商支付解除合同总额的20%作为违约金，由此带来的一切责任由中标人自行承担。</w:t>
            </w:r>
          </w:p>
        </w:tc>
      </w:tr>
      <w:tr w14:paraId="06FF1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7" w:type="dxa"/>
            <w:gridSpan w:val="5"/>
            <w:noWrap w:val="0"/>
            <w:vAlign w:val="top"/>
          </w:tcPr>
          <w:p w14:paraId="5E19C359">
            <w:pPr>
              <w:pStyle w:val="8"/>
              <w:numPr>
                <w:ilvl w:val="0"/>
                <w:numId w:val="0"/>
              </w:numPr>
              <w:spacing w:line="336"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说明：</w:t>
            </w:r>
            <w:r>
              <w:rPr>
                <w:rFonts w:hint="eastAsia" w:asciiTheme="minorEastAsia" w:hAnsiTheme="minorEastAsia" w:eastAsiaTheme="minorEastAsia" w:cstheme="minorEastAsia"/>
                <w:color w:val="auto"/>
                <w:sz w:val="21"/>
                <w:szCs w:val="21"/>
                <w:highlight w:val="none"/>
              </w:rPr>
              <w:t>打“★”号条款为实质性条款，若有任何一条负偏离或不满足则导致投标（响应）无效。</w:t>
            </w:r>
            <w:r>
              <w:rPr>
                <w:rFonts w:hint="eastAsia" w:asciiTheme="minorEastAsia" w:hAnsiTheme="minorEastAsia" w:eastAsiaTheme="minorEastAsia" w:cstheme="minorEastAsia"/>
                <w:snapToGrid w:val="0"/>
                <w:color w:val="auto"/>
                <w:kern w:val="0"/>
                <w:sz w:val="21"/>
                <w:szCs w:val="21"/>
                <w:highlight w:val="none"/>
                <w:lang w:val="en-US" w:eastAsia="zh-CN" w:bidi="ar-SA"/>
              </w:rPr>
              <w:t>项目采购需求一览表中标注“▲”号的技术参数为重要技术指标、功能条款，将作为货物性能评审依据。若有部分“▲”条款未响应或不满足，将根据评审要求影响其得分，但不作为无效投标（响应）条</w:t>
            </w:r>
            <w:r>
              <w:rPr>
                <w:rFonts w:hint="eastAsia" w:asciiTheme="minorEastAsia" w:hAnsiTheme="minorEastAsia" w:eastAsiaTheme="minorEastAsia" w:cstheme="minorEastAsia"/>
                <w:color w:val="auto"/>
                <w:sz w:val="21"/>
                <w:szCs w:val="21"/>
                <w:highlight w:val="none"/>
              </w:rPr>
              <w:t>款。</w:t>
            </w:r>
          </w:p>
        </w:tc>
      </w:tr>
    </w:tbl>
    <w:p w14:paraId="3682876A">
      <w:pPr>
        <w:spacing w:before="51" w:line="219" w:lineRule="auto"/>
        <w:ind w:left="255"/>
        <w:rPr>
          <w:rFonts w:hint="eastAsia" w:asciiTheme="minorEastAsia" w:hAnsiTheme="minorEastAsia" w:eastAsiaTheme="minorEastAsia" w:cstheme="minorEastAsia"/>
          <w:color w:val="auto"/>
          <w:spacing w:val="-1"/>
          <w:sz w:val="22"/>
          <w:szCs w:val="22"/>
        </w:rPr>
      </w:pPr>
    </w:p>
    <w:p w14:paraId="1316FAF4">
      <w:pPr>
        <w:spacing w:before="51" w:line="219" w:lineRule="auto"/>
        <w:ind w:left="255"/>
        <w:rPr>
          <w:rFonts w:hint="eastAsia" w:asciiTheme="minorEastAsia" w:hAnsiTheme="minorEastAsia" w:eastAsiaTheme="minorEastAsia" w:cstheme="minorEastAsia"/>
          <w:color w:val="auto"/>
          <w:spacing w:val="-1"/>
          <w:sz w:val="22"/>
          <w:szCs w:val="22"/>
        </w:rPr>
      </w:pPr>
    </w:p>
    <w:p w14:paraId="3E9A04B2">
      <w:pPr>
        <w:spacing w:before="51" w:line="219" w:lineRule="auto"/>
        <w:ind w:left="255"/>
        <w:rPr>
          <w:rFonts w:hint="eastAsia" w:asciiTheme="minorEastAsia" w:hAnsiTheme="minorEastAsia" w:eastAsiaTheme="minorEastAsia" w:cstheme="minorEastAsia"/>
          <w:color w:val="auto"/>
          <w:spacing w:val="-1"/>
          <w:sz w:val="22"/>
          <w:szCs w:val="22"/>
        </w:rPr>
      </w:pPr>
    </w:p>
    <w:p w14:paraId="4B9E0CC7">
      <w:pPr>
        <w:spacing w:before="51" w:line="219" w:lineRule="auto"/>
        <w:ind w:left="255"/>
        <w:rPr>
          <w:rFonts w:hint="eastAsia" w:asciiTheme="minorEastAsia" w:hAnsiTheme="minorEastAsia" w:eastAsiaTheme="minorEastAsia" w:cstheme="minorEastAsia"/>
          <w:color w:val="auto"/>
          <w:spacing w:val="-1"/>
          <w:sz w:val="22"/>
          <w:szCs w:val="22"/>
        </w:rPr>
      </w:pPr>
    </w:p>
    <w:p w14:paraId="4689CCB6">
      <w:pPr>
        <w:spacing w:before="51" w:line="219" w:lineRule="auto"/>
        <w:ind w:left="255"/>
        <w:rPr>
          <w:rFonts w:hint="eastAsia" w:asciiTheme="minorEastAsia" w:hAnsiTheme="minorEastAsia" w:eastAsiaTheme="minorEastAsia" w:cstheme="minorEastAsia"/>
          <w:color w:val="auto"/>
          <w:spacing w:val="-1"/>
          <w:sz w:val="22"/>
          <w:szCs w:val="22"/>
        </w:rPr>
        <w:sectPr>
          <w:footerReference r:id="rId8" w:type="default"/>
          <w:pgSz w:w="11900" w:h="16830"/>
          <w:pgMar w:top="1217" w:right="1254" w:bottom="991" w:left="1214" w:header="0" w:footer="847" w:gutter="0"/>
          <w:cols w:space="720" w:num="1"/>
        </w:sectPr>
      </w:pPr>
    </w:p>
    <w:p w14:paraId="7636CD25">
      <w:pPr>
        <w:pStyle w:val="3"/>
        <w:numPr>
          <w:ilvl w:val="1"/>
          <w:numId w:val="0"/>
        </w:numPr>
        <w:bidi w:val="0"/>
        <w:ind w:leftChars="0"/>
        <w:rPr>
          <w:rFonts w:hint="default"/>
          <w:color w:val="auto"/>
          <w:sz w:val="30"/>
          <w:szCs w:val="30"/>
          <w:highlight w:val="none"/>
          <w:lang w:val="en-US" w:eastAsia="zh-CN"/>
        </w:rPr>
      </w:pPr>
      <w:bookmarkStart w:id="6" w:name="_Toc212741293"/>
      <w:r>
        <w:rPr>
          <w:rFonts w:hint="eastAsia"/>
          <w:color w:val="auto"/>
          <w:sz w:val="30"/>
          <w:szCs w:val="30"/>
          <w:highlight w:val="none"/>
          <w:lang w:val="en-US" w:eastAsia="zh-CN"/>
        </w:rPr>
        <w:t>标段1：</w:t>
      </w:r>
    </w:p>
    <w:p w14:paraId="22C37B54">
      <w:pPr>
        <w:pStyle w:val="3"/>
        <w:numPr>
          <w:ilvl w:val="1"/>
          <w:numId w:val="0"/>
        </w:numPr>
        <w:bidi w:val="0"/>
        <w:ind w:leftChars="0"/>
        <w:rPr>
          <w:rFonts w:hint="eastAsia"/>
          <w:color w:val="auto"/>
          <w:sz w:val="30"/>
          <w:szCs w:val="30"/>
          <w:highlight w:val="none"/>
        </w:rPr>
      </w:pPr>
      <w:r>
        <w:rPr>
          <w:rFonts w:hint="eastAsia"/>
          <w:color w:val="auto"/>
          <w:sz w:val="30"/>
          <w:szCs w:val="30"/>
          <w:highlight w:val="none"/>
          <w:lang w:val="en-US" w:eastAsia="zh-CN"/>
        </w:rPr>
        <w:t>附件一：</w:t>
      </w:r>
      <w:r>
        <w:rPr>
          <w:rFonts w:hint="eastAsia"/>
          <w:color w:val="auto"/>
          <w:sz w:val="30"/>
          <w:szCs w:val="30"/>
          <w:highlight w:val="none"/>
        </w:rPr>
        <w:t>保护设施设备购置清单</w:t>
      </w:r>
      <w:bookmarkEnd w:id="6"/>
    </w:p>
    <w:p w14:paraId="6350935C">
      <w:pPr>
        <w:rPr>
          <w:rFonts w:hint="eastAsia"/>
          <w:color w:val="auto"/>
        </w:rPr>
      </w:pPr>
    </w:p>
    <w:tbl>
      <w:tblPr>
        <w:tblStyle w:val="17"/>
        <w:tblW w:w="492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57"/>
        <w:gridCol w:w="8700"/>
        <w:gridCol w:w="901"/>
        <w:gridCol w:w="880"/>
      </w:tblGrid>
      <w:tr w14:paraId="74CB8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299" w:type="pct"/>
            <w:noWrap/>
            <w:vAlign w:val="center"/>
          </w:tcPr>
          <w:p w14:paraId="1A0107C7">
            <w:pPr>
              <w:widowControl/>
              <w:spacing w:line="240" w:lineRule="auto"/>
              <w:ind w:firstLine="0" w:firstLineChars="0"/>
              <w:jc w:val="center"/>
              <w:rPr>
                <w:rFonts w:hint="eastAsia" w:ascii="宋体" w:hAnsi="宋体" w:cs="宋体"/>
                <w:b/>
                <w:bCs/>
                <w:color w:val="auto"/>
                <w:kern w:val="0"/>
                <w:sz w:val="21"/>
                <w:szCs w:val="21"/>
              </w:rPr>
            </w:pPr>
            <w:r>
              <w:rPr>
                <w:rFonts w:hint="eastAsia" w:ascii="宋体" w:hAnsi="宋体" w:cs="宋体"/>
                <w:b/>
                <w:bCs/>
                <w:color w:val="auto"/>
                <w:kern w:val="0"/>
                <w:sz w:val="21"/>
                <w:szCs w:val="21"/>
              </w:rPr>
              <w:t>序号</w:t>
            </w:r>
          </w:p>
        </w:tc>
        <w:tc>
          <w:tcPr>
            <w:tcW w:w="1114" w:type="pct"/>
            <w:noWrap/>
            <w:vAlign w:val="center"/>
          </w:tcPr>
          <w:p w14:paraId="65AFD03C">
            <w:pPr>
              <w:widowControl/>
              <w:spacing w:line="240" w:lineRule="auto"/>
              <w:ind w:firstLine="0" w:firstLineChars="0"/>
              <w:jc w:val="center"/>
              <w:rPr>
                <w:rFonts w:hint="eastAsia" w:ascii="宋体" w:hAnsi="宋体" w:cs="宋体"/>
                <w:b/>
                <w:bCs/>
                <w:color w:val="auto"/>
                <w:kern w:val="0"/>
                <w:sz w:val="21"/>
                <w:szCs w:val="21"/>
              </w:rPr>
            </w:pPr>
            <w:r>
              <w:rPr>
                <w:rFonts w:hint="eastAsia" w:ascii="宋体" w:hAnsi="宋体" w:cs="宋体"/>
                <w:b/>
                <w:bCs/>
                <w:color w:val="auto"/>
                <w:kern w:val="0"/>
                <w:sz w:val="21"/>
                <w:szCs w:val="21"/>
              </w:rPr>
              <w:t>设备名称</w:t>
            </w:r>
          </w:p>
        </w:tc>
        <w:tc>
          <w:tcPr>
            <w:tcW w:w="2976" w:type="pct"/>
            <w:vAlign w:val="center"/>
          </w:tcPr>
          <w:p w14:paraId="2A4441A6">
            <w:pPr>
              <w:widowControl/>
              <w:spacing w:line="240" w:lineRule="auto"/>
              <w:ind w:firstLine="0" w:firstLineChars="0"/>
              <w:jc w:val="center"/>
              <w:rPr>
                <w:rFonts w:hint="eastAsia" w:ascii="宋体" w:hAnsi="宋体" w:cs="宋体"/>
                <w:b/>
                <w:bCs/>
                <w:color w:val="auto"/>
                <w:kern w:val="0"/>
                <w:sz w:val="21"/>
                <w:szCs w:val="21"/>
              </w:rPr>
            </w:pPr>
            <w:r>
              <w:rPr>
                <w:rFonts w:hint="eastAsia" w:ascii="宋体" w:hAnsi="宋体" w:cs="宋体"/>
                <w:b/>
                <w:bCs/>
                <w:color w:val="auto"/>
                <w:kern w:val="0"/>
                <w:sz w:val="21"/>
                <w:szCs w:val="21"/>
              </w:rPr>
              <w:t>参数</w:t>
            </w:r>
          </w:p>
        </w:tc>
        <w:tc>
          <w:tcPr>
            <w:tcW w:w="308" w:type="pct"/>
            <w:noWrap/>
            <w:vAlign w:val="center"/>
          </w:tcPr>
          <w:p w14:paraId="0E7DD77A">
            <w:pPr>
              <w:widowControl/>
              <w:spacing w:line="240" w:lineRule="auto"/>
              <w:ind w:firstLine="0" w:firstLineChars="0"/>
              <w:jc w:val="center"/>
              <w:rPr>
                <w:rFonts w:hint="eastAsia" w:ascii="宋体" w:hAnsi="宋体" w:cs="宋体"/>
                <w:b/>
                <w:bCs/>
                <w:color w:val="auto"/>
                <w:kern w:val="0"/>
                <w:sz w:val="21"/>
                <w:szCs w:val="21"/>
              </w:rPr>
            </w:pPr>
            <w:r>
              <w:rPr>
                <w:rFonts w:hint="eastAsia" w:ascii="宋体" w:hAnsi="宋体" w:cs="宋体"/>
                <w:b/>
                <w:bCs/>
                <w:color w:val="auto"/>
                <w:kern w:val="0"/>
                <w:sz w:val="21"/>
                <w:szCs w:val="21"/>
              </w:rPr>
              <w:t>数量</w:t>
            </w:r>
          </w:p>
        </w:tc>
        <w:tc>
          <w:tcPr>
            <w:tcW w:w="300" w:type="pct"/>
            <w:noWrap/>
            <w:vAlign w:val="center"/>
          </w:tcPr>
          <w:p w14:paraId="0E4224AE">
            <w:pPr>
              <w:widowControl/>
              <w:spacing w:line="240" w:lineRule="auto"/>
              <w:ind w:firstLine="0" w:firstLineChars="0"/>
              <w:jc w:val="center"/>
              <w:rPr>
                <w:rFonts w:hint="eastAsia" w:ascii="宋体" w:hAnsi="宋体" w:cs="宋体"/>
                <w:b/>
                <w:bCs/>
                <w:color w:val="auto"/>
                <w:kern w:val="0"/>
                <w:sz w:val="21"/>
                <w:szCs w:val="21"/>
              </w:rPr>
            </w:pPr>
            <w:r>
              <w:rPr>
                <w:rFonts w:hint="eastAsia" w:ascii="宋体" w:hAnsi="宋体" w:cs="宋体"/>
                <w:b/>
                <w:bCs/>
                <w:color w:val="auto"/>
                <w:kern w:val="0"/>
                <w:sz w:val="21"/>
                <w:szCs w:val="21"/>
              </w:rPr>
              <w:t>单位</w:t>
            </w:r>
          </w:p>
        </w:tc>
      </w:tr>
      <w:tr w14:paraId="6275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noWrap/>
            <w:vAlign w:val="center"/>
          </w:tcPr>
          <w:p w14:paraId="7760D5BC">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一、</w:t>
            </w:r>
          </w:p>
        </w:tc>
        <w:tc>
          <w:tcPr>
            <w:tcW w:w="4090" w:type="pct"/>
            <w:gridSpan w:val="2"/>
            <w:noWrap/>
            <w:vAlign w:val="center"/>
          </w:tcPr>
          <w:p w14:paraId="3017E95F">
            <w:pPr>
              <w:widowControl/>
              <w:spacing w:line="240" w:lineRule="auto"/>
              <w:ind w:firstLine="0" w:firstLineChars="0"/>
              <w:jc w:val="left"/>
              <w:rPr>
                <w:rFonts w:hint="eastAsia" w:ascii="宋体" w:hAnsi="宋体" w:cs="宋体"/>
                <w:b/>
                <w:bCs/>
                <w:color w:val="auto"/>
                <w:kern w:val="0"/>
                <w:sz w:val="21"/>
                <w:szCs w:val="21"/>
              </w:rPr>
            </w:pPr>
            <w:r>
              <w:rPr>
                <w:rFonts w:hint="eastAsia" w:ascii="宋体" w:hAnsi="宋体" w:cs="宋体"/>
                <w:b/>
                <w:bCs/>
                <w:color w:val="auto"/>
                <w:kern w:val="0"/>
                <w:sz w:val="21"/>
                <w:szCs w:val="21"/>
              </w:rPr>
              <w:t>保护设施设备购置</w:t>
            </w:r>
          </w:p>
        </w:tc>
        <w:tc>
          <w:tcPr>
            <w:tcW w:w="308" w:type="pct"/>
            <w:noWrap/>
            <w:vAlign w:val="center"/>
          </w:tcPr>
          <w:p w14:paraId="461F1D02">
            <w:pPr>
              <w:widowControl/>
              <w:spacing w:line="240" w:lineRule="auto"/>
              <w:ind w:firstLine="0" w:firstLineChars="0"/>
              <w:jc w:val="center"/>
              <w:rPr>
                <w:rFonts w:hint="eastAsia" w:ascii="宋体" w:hAnsi="宋体" w:cs="宋体"/>
                <w:b/>
                <w:bCs/>
                <w:color w:val="auto"/>
                <w:kern w:val="0"/>
                <w:sz w:val="21"/>
                <w:szCs w:val="21"/>
              </w:rPr>
            </w:pPr>
            <w:r>
              <w:rPr>
                <w:rFonts w:hint="eastAsia" w:ascii="宋体" w:hAnsi="宋体" w:cs="宋体"/>
                <w:b/>
                <w:bCs/>
                <w:color w:val="auto"/>
                <w:kern w:val="0"/>
                <w:sz w:val="21"/>
                <w:szCs w:val="21"/>
              </w:rPr>
              <w:t>　</w:t>
            </w:r>
          </w:p>
        </w:tc>
        <w:tc>
          <w:tcPr>
            <w:tcW w:w="300" w:type="pct"/>
            <w:noWrap/>
            <w:vAlign w:val="center"/>
          </w:tcPr>
          <w:p w14:paraId="2E29F891">
            <w:pPr>
              <w:widowControl/>
              <w:spacing w:line="240" w:lineRule="auto"/>
              <w:ind w:firstLine="0" w:firstLineChars="0"/>
              <w:jc w:val="center"/>
              <w:rPr>
                <w:rFonts w:hint="eastAsia" w:ascii="宋体" w:hAnsi="宋体" w:cs="宋体"/>
                <w:b/>
                <w:bCs/>
                <w:color w:val="auto"/>
                <w:kern w:val="0"/>
                <w:sz w:val="21"/>
                <w:szCs w:val="21"/>
              </w:rPr>
            </w:pPr>
            <w:r>
              <w:rPr>
                <w:rFonts w:hint="eastAsia" w:ascii="宋体" w:hAnsi="宋体" w:cs="宋体"/>
                <w:b/>
                <w:bCs/>
                <w:color w:val="auto"/>
                <w:kern w:val="0"/>
                <w:sz w:val="21"/>
                <w:szCs w:val="21"/>
              </w:rPr>
              <w:t>　</w:t>
            </w:r>
          </w:p>
        </w:tc>
      </w:tr>
      <w:tr w14:paraId="2485A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noWrap/>
            <w:vAlign w:val="center"/>
          </w:tcPr>
          <w:p w14:paraId="1F6D4910">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(一)</w:t>
            </w:r>
          </w:p>
        </w:tc>
        <w:tc>
          <w:tcPr>
            <w:tcW w:w="4700" w:type="pct"/>
            <w:gridSpan w:val="4"/>
            <w:noWrap/>
            <w:vAlign w:val="center"/>
          </w:tcPr>
          <w:p w14:paraId="7730F807">
            <w:pPr>
              <w:widowControl/>
              <w:spacing w:line="240" w:lineRule="auto"/>
              <w:ind w:firstLine="0" w:firstLineChars="0"/>
              <w:jc w:val="left"/>
              <w:rPr>
                <w:rFonts w:hint="eastAsia" w:ascii="宋体" w:hAnsi="宋体" w:cs="宋体"/>
                <w:b/>
                <w:bCs/>
                <w:color w:val="auto"/>
                <w:kern w:val="0"/>
                <w:sz w:val="21"/>
                <w:szCs w:val="21"/>
              </w:rPr>
            </w:pPr>
            <w:r>
              <w:rPr>
                <w:rFonts w:hint="eastAsia" w:ascii="宋体" w:hAnsi="宋体" w:cs="宋体"/>
                <w:b/>
                <w:bCs/>
                <w:color w:val="auto"/>
                <w:kern w:val="0"/>
                <w:sz w:val="21"/>
                <w:szCs w:val="21"/>
              </w:rPr>
              <w:t>卡口监控前端设备</w:t>
            </w:r>
          </w:p>
        </w:tc>
      </w:tr>
      <w:tr w14:paraId="18656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351FDD26">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w:t>
            </w:r>
          </w:p>
        </w:tc>
        <w:tc>
          <w:tcPr>
            <w:tcW w:w="1114" w:type="pct"/>
            <w:vAlign w:val="center"/>
          </w:tcPr>
          <w:p w14:paraId="176D4363">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高清抓拍单元</w:t>
            </w:r>
          </w:p>
        </w:tc>
        <w:tc>
          <w:tcPr>
            <w:tcW w:w="2976" w:type="pct"/>
            <w:vAlign w:val="center"/>
          </w:tcPr>
          <w:p w14:paraId="550BD7CC">
            <w:pPr>
              <w:bidi w:val="0"/>
            </w:pPr>
            <w:r>
              <w:rPr>
                <w:rFonts w:hint="eastAsia" w:eastAsia="宋体"/>
                <w:lang w:val="en-US" w:eastAsia="zh-CN"/>
              </w:rPr>
              <w:t>1、</w:t>
            </w:r>
            <w:r>
              <w:t>车辆人脸卡口抓拍单元由防护罩组件及高清智能摄像机组成，抓拍单元防护罩前面板具有防尘、防水功能，单元内置LED暖光灯，单元支持网络防雷、防浪涌，宽温宽压等。</w:t>
            </w:r>
          </w:p>
          <w:p w14:paraId="6E71550A">
            <w:pPr>
              <w:bidi w:val="0"/>
            </w:pPr>
            <w:r>
              <w:rPr>
                <w:rFonts w:hint="eastAsia" w:eastAsia="宋体"/>
                <w:lang w:val="en-US" w:eastAsia="zh-CN"/>
              </w:rPr>
              <w:t>2、</w:t>
            </w:r>
            <w:r>
              <w:t>内置摄像机采用</w:t>
            </w:r>
            <w:r>
              <w:rPr>
                <w:rFonts w:hint="eastAsia"/>
              </w:rPr>
              <w:t>≥</w:t>
            </w:r>
            <w:r>
              <w:t>2/3英寸高帧率全局曝光CMOS传感器，分辨率可达</w:t>
            </w:r>
            <w:r>
              <w:rPr>
                <w:rFonts w:hint="eastAsia"/>
              </w:rPr>
              <w:t>≥</w:t>
            </w:r>
            <w:r>
              <w:t>2448 × 2048，帧率高达</w:t>
            </w:r>
            <w:r>
              <w:rPr>
                <w:rFonts w:hint="eastAsia"/>
              </w:rPr>
              <w:t>≥</w:t>
            </w:r>
            <w:r>
              <w:t>25帧，具有清晰度高、照度低、帧率高、色彩还原度好等特点。</w:t>
            </w:r>
          </w:p>
          <w:p w14:paraId="3979C74A">
            <w:pPr>
              <w:bidi w:val="0"/>
            </w:pPr>
            <w:r>
              <w:rPr>
                <w:rFonts w:hint="eastAsia" w:eastAsia="宋体"/>
                <w:lang w:val="en-US" w:eastAsia="zh-CN"/>
              </w:rPr>
              <w:t>3、</w:t>
            </w:r>
            <w:r>
              <w:t>视频采用H.265、H.264或MJPEG编码，低延时，低码率，压缩比高，处理灵活。</w:t>
            </w:r>
          </w:p>
          <w:p w14:paraId="7B910FE7">
            <w:pPr>
              <w:bidi w:val="0"/>
            </w:pPr>
            <w:r>
              <w:rPr>
                <w:rFonts w:hint="eastAsia" w:eastAsia="宋体"/>
                <w:lang w:val="en-US" w:eastAsia="zh-CN"/>
              </w:rPr>
              <w:t>4</w:t>
            </w:r>
            <w:r>
              <w:rPr>
                <w:rFonts w:hint="eastAsia" w:eastAsia="宋体"/>
                <w:lang w:eastAsia="zh-CN"/>
              </w:rPr>
              <w:t>、</w:t>
            </w:r>
            <w:r>
              <w:t>支持视频触发等多种触发模式并实现全结构化：支持深度学习算法，支持多目标混合场景应用，实时提取机动车、非机动车、行人、人脸等目标全结构化信息，为大数据业务提供全方位的特征数据基础。</w:t>
            </w:r>
          </w:p>
          <w:p w14:paraId="1E2FEAE9">
            <w:pPr>
              <w:bidi w:val="0"/>
            </w:pPr>
            <w:r>
              <w:rPr>
                <w:rFonts w:hint="eastAsia" w:eastAsia="宋体"/>
                <w:lang w:val="en-US" w:eastAsia="zh-CN"/>
              </w:rPr>
              <w:t>5、</w:t>
            </w:r>
            <w:r>
              <w:t>支持机动车的车牌，车身颜色，车型，子品牌，驾驶室人员等特征检测，支持机动车的过车记录和违章行为检测抓拍。</w:t>
            </w:r>
          </w:p>
          <w:p w14:paraId="2CB7EDE5">
            <w:pPr>
              <w:bidi w:val="0"/>
            </w:pPr>
            <w:r>
              <w:rPr>
                <w:rFonts w:hint="eastAsia" w:eastAsia="宋体"/>
                <w:lang w:val="en-US" w:eastAsia="zh-CN"/>
              </w:rPr>
              <w:t>6、</w:t>
            </w:r>
            <w:r>
              <w:t>支持非机动车和行人的抓拍和特征检测。</w:t>
            </w:r>
          </w:p>
          <w:p w14:paraId="76795548">
            <w:pPr>
              <w:bidi w:val="0"/>
            </w:pPr>
            <w:r>
              <w:rPr>
                <w:rFonts w:hint="eastAsia" w:eastAsia="宋体"/>
                <w:lang w:val="en-US" w:eastAsia="zh-CN"/>
              </w:rPr>
              <w:t>7、</w:t>
            </w:r>
            <w:r>
              <w:t>支持车辆检测处理器、雷达、补光灯的接入。</w:t>
            </w:r>
          </w:p>
          <w:p w14:paraId="1E988214">
            <w:pPr>
              <w:bidi w:val="0"/>
            </w:pPr>
            <w:r>
              <w:rPr>
                <w:rFonts w:hint="eastAsia" w:eastAsia="宋体"/>
                <w:lang w:val="en-US" w:eastAsia="zh-CN"/>
              </w:rPr>
              <w:t>8、</w:t>
            </w:r>
            <w:r>
              <w:t>白天使用闪光灯补光，夜晚仅使用LED频闪灯补光，抓拍图片可看清司乘人员人脸，并能够用于后端人脸比对。</w:t>
            </w:r>
          </w:p>
          <w:p w14:paraId="46CD3DB9">
            <w:pPr>
              <w:bidi w:val="0"/>
              <w:rPr>
                <w:rFonts w:hint="eastAsia" w:eastAsia="宋体"/>
                <w:lang w:eastAsia="zh-CN"/>
              </w:rPr>
            </w:pPr>
            <w:r>
              <w:rPr>
                <w:rFonts w:hint="eastAsia" w:eastAsia="宋体"/>
                <w:lang w:val="en-US" w:eastAsia="zh-CN"/>
              </w:rPr>
              <w:t>9、</w:t>
            </w:r>
            <w:r>
              <w:t>支持远程数据上传，GB/T 28181-2016视频联网标准、GA/T 1400视图库标准、FTP协议，可将抓拍的图片上传给终端服务器、FTP服务器或者后端平台</w:t>
            </w:r>
            <w:r>
              <w:rPr>
                <w:rFonts w:hint="eastAsia" w:eastAsia="宋体"/>
                <w:lang w:eastAsia="zh-CN"/>
              </w:rPr>
              <w:t>。</w:t>
            </w:r>
          </w:p>
          <w:p w14:paraId="2D63A3FC">
            <w:pPr>
              <w:bidi w:val="0"/>
            </w:pPr>
            <w:r>
              <w:rPr>
                <w:rFonts w:hint="eastAsia" w:eastAsia="宋体"/>
                <w:lang w:val="en-US" w:eastAsia="zh-CN"/>
              </w:rPr>
              <w:t>10、</w:t>
            </w:r>
            <w:r>
              <w:t>支持TF插卡本地存储，可支持至256G，抓拍图片可断网续传。支持中国香港、中国澳门和大陆车牌识别。</w:t>
            </w:r>
          </w:p>
          <w:p w14:paraId="3204CC5B">
            <w:pPr>
              <w:bidi w:val="0"/>
              <w:rPr>
                <w:rFonts w:hint="eastAsia" w:eastAsia="宋体"/>
                <w:lang w:eastAsia="zh-CN"/>
              </w:rPr>
            </w:pPr>
            <w:r>
              <w:rPr>
                <w:rFonts w:hint="eastAsia" w:eastAsia="宋体"/>
                <w:lang w:val="en-US" w:eastAsia="zh-CN"/>
              </w:rPr>
              <w:t>11、</w:t>
            </w:r>
            <w:r>
              <w:t>多码流：支持</w:t>
            </w:r>
            <w:r>
              <w:rPr>
                <w:rFonts w:hint="eastAsia"/>
              </w:rPr>
              <w:t>≥</w:t>
            </w:r>
            <w:r>
              <w:t>3码流</w:t>
            </w:r>
            <w:r>
              <w:rPr>
                <w:rFonts w:hint="eastAsia" w:eastAsia="宋体"/>
                <w:lang w:eastAsia="zh-CN"/>
              </w:rPr>
              <w:t>；</w:t>
            </w:r>
          </w:p>
          <w:p w14:paraId="1994AD62">
            <w:pPr>
              <w:bidi w:val="0"/>
            </w:pPr>
            <w:r>
              <w:t>主码流：</w:t>
            </w:r>
            <w:r>
              <w:rPr>
                <w:rFonts w:hint="eastAsia"/>
              </w:rPr>
              <w:t>≥</w:t>
            </w:r>
            <w:r>
              <w:t>2448×2048；</w:t>
            </w:r>
          </w:p>
          <w:p w14:paraId="48C47917">
            <w:pPr>
              <w:bidi w:val="0"/>
            </w:pPr>
            <w:r>
              <w:t>子码流：</w:t>
            </w:r>
            <w:r>
              <w:rPr>
                <w:rFonts w:hint="eastAsia"/>
              </w:rPr>
              <w:t>≥</w:t>
            </w:r>
            <w:r>
              <w:t>1920×1080P；</w:t>
            </w:r>
          </w:p>
          <w:p w14:paraId="0E0435D4">
            <w:pPr>
              <w:bidi w:val="0"/>
              <w:rPr>
                <w:rFonts w:hint="eastAsia" w:eastAsia="宋体"/>
                <w:lang w:eastAsia="zh-CN"/>
              </w:rPr>
            </w:pPr>
            <w:r>
              <w:t>三码流：</w:t>
            </w:r>
            <w:r>
              <w:rPr>
                <w:rFonts w:hint="eastAsia"/>
              </w:rPr>
              <w:t>≥</w:t>
            </w:r>
            <w:r>
              <w:t>704×576</w:t>
            </w:r>
            <w:r>
              <w:rPr>
                <w:rFonts w:hint="eastAsia" w:eastAsia="宋体"/>
                <w:lang w:eastAsia="zh-CN"/>
              </w:rPr>
              <w:t>；</w:t>
            </w:r>
          </w:p>
          <w:p w14:paraId="3D247D50">
            <w:pPr>
              <w:bidi w:val="0"/>
              <w:rPr>
                <w:rFonts w:hint="eastAsia" w:eastAsia="宋体"/>
                <w:lang w:eastAsia="zh-CN"/>
              </w:rPr>
            </w:pPr>
            <w:r>
              <w:rPr>
                <w:rFonts w:hint="eastAsia" w:eastAsia="宋体"/>
                <w:lang w:val="en-US" w:eastAsia="zh-CN"/>
              </w:rPr>
              <w:t>12、</w:t>
            </w:r>
            <w:r>
              <w:t>镜头规格：50mm</w:t>
            </w:r>
            <w:r>
              <w:rPr>
                <w:rFonts w:hint="eastAsia" w:eastAsia="宋体"/>
                <w:lang w:eastAsia="zh-CN"/>
              </w:rPr>
              <w:t>；</w:t>
            </w:r>
          </w:p>
          <w:p w14:paraId="12F7CECC">
            <w:pPr>
              <w:bidi w:val="0"/>
              <w:rPr>
                <w:rFonts w:hint="eastAsia" w:eastAsia="宋体"/>
                <w:lang w:eastAsia="zh-CN"/>
              </w:rPr>
            </w:pPr>
            <w:r>
              <w:rPr>
                <w:rFonts w:hint="eastAsia" w:eastAsia="宋体"/>
                <w:lang w:val="en-US" w:eastAsia="zh-CN"/>
              </w:rPr>
              <w:t>13、</w:t>
            </w:r>
            <w:r>
              <w:t>光圈类型：手动光圈</w:t>
            </w:r>
            <w:r>
              <w:rPr>
                <w:rFonts w:hint="eastAsia" w:eastAsia="宋体"/>
                <w:lang w:eastAsia="zh-CN"/>
              </w:rPr>
              <w:t>。</w:t>
            </w:r>
          </w:p>
          <w:p w14:paraId="3D7F838D">
            <w:pPr>
              <w:bidi w:val="0"/>
              <w:rPr>
                <w:rFonts w:hint="eastAsia"/>
                <w:lang w:eastAsia="zh-CN"/>
              </w:rPr>
            </w:pPr>
            <w:r>
              <w:rPr>
                <w:rFonts w:hint="eastAsia" w:eastAsia="宋体"/>
                <w:lang w:val="en-US" w:eastAsia="zh-CN"/>
              </w:rPr>
              <w:t>14、</w:t>
            </w:r>
            <w:r>
              <w:t>图像控制：曝光速度、AGC控制、白平衡方式控制等</w:t>
            </w:r>
            <w:r>
              <w:rPr>
                <w:rFonts w:hint="eastAsia"/>
                <w:lang w:eastAsia="zh-CN"/>
              </w:rPr>
              <w:t>。</w:t>
            </w:r>
          </w:p>
          <w:p w14:paraId="41A53815">
            <w:pPr>
              <w:bidi w:val="0"/>
              <w:rPr>
                <w:rFonts w:hint="eastAsia" w:eastAsia="宋体"/>
                <w:lang w:eastAsia="zh-CN"/>
              </w:rPr>
            </w:pPr>
            <w:r>
              <w:rPr>
                <w:rFonts w:hint="eastAsia" w:eastAsia="宋体"/>
                <w:lang w:val="en-US" w:eastAsia="zh-CN"/>
              </w:rPr>
              <w:t>15、</w:t>
            </w:r>
            <w:r>
              <w:t>通讯接口：</w:t>
            </w:r>
            <w:r>
              <w:rPr>
                <w:rFonts w:hint="eastAsia"/>
              </w:rPr>
              <w:t>≥</w:t>
            </w:r>
            <w:r>
              <w:t>3个RS-485接口，</w:t>
            </w:r>
            <w:r>
              <w:rPr>
                <w:rFonts w:hint="eastAsia"/>
              </w:rPr>
              <w:t>≥</w:t>
            </w:r>
            <w:r>
              <w:t>1个RS-232接口，</w:t>
            </w:r>
            <w:r>
              <w:rPr>
                <w:rFonts w:hint="eastAsia"/>
              </w:rPr>
              <w:t>≥</w:t>
            </w:r>
            <w:r>
              <w:t>2个RJ45 10M/100M/1000M自适应以太网口触发输入：</w:t>
            </w:r>
            <w:r>
              <w:rPr>
                <w:rFonts w:hint="eastAsia"/>
              </w:rPr>
              <w:t>≥</w:t>
            </w:r>
            <w:r>
              <w:t>1个触发/报警输入</w:t>
            </w:r>
            <w:r>
              <w:rPr>
                <w:rFonts w:hint="eastAsia" w:eastAsia="宋体"/>
                <w:lang w:eastAsia="zh-CN"/>
              </w:rPr>
              <w:t>。</w:t>
            </w:r>
          </w:p>
          <w:p w14:paraId="52C4486A">
            <w:pPr>
              <w:bidi w:val="0"/>
              <w:rPr>
                <w:rFonts w:hint="eastAsia" w:eastAsia="宋体"/>
                <w:lang w:eastAsia="zh-CN"/>
              </w:rPr>
            </w:pPr>
            <w:r>
              <w:rPr>
                <w:rFonts w:hint="eastAsia" w:eastAsia="宋体"/>
                <w:lang w:val="en-US" w:eastAsia="zh-CN"/>
              </w:rPr>
              <w:t>16、</w:t>
            </w:r>
            <w:r>
              <w:t>触发输出：</w:t>
            </w:r>
            <w:r>
              <w:rPr>
                <w:rFonts w:hint="eastAsia"/>
              </w:rPr>
              <w:t>≥</w:t>
            </w:r>
            <w:r>
              <w:t>7路F+F-输出接口，可作为补光灯同步输出控制同步输入：SYNC信号灯电源同步输入</w:t>
            </w:r>
            <w:r>
              <w:rPr>
                <w:rFonts w:hint="eastAsia" w:eastAsia="宋体"/>
                <w:lang w:eastAsia="zh-CN"/>
              </w:rPr>
              <w:t>。</w:t>
            </w:r>
          </w:p>
          <w:p w14:paraId="14632343">
            <w:pPr>
              <w:bidi w:val="0"/>
              <w:rPr>
                <w:rFonts w:hint="eastAsia" w:eastAsia="宋体"/>
                <w:lang w:eastAsia="zh-CN"/>
              </w:rPr>
            </w:pPr>
            <w:r>
              <w:rPr>
                <w:rFonts w:hint="eastAsia" w:eastAsia="宋体"/>
                <w:lang w:val="en-US" w:eastAsia="zh-CN"/>
              </w:rPr>
              <w:t>17、</w:t>
            </w:r>
            <w:r>
              <w:t>图片格式：JPEG</w:t>
            </w:r>
            <w:r>
              <w:rPr>
                <w:rFonts w:hint="eastAsia" w:eastAsia="宋体"/>
                <w:lang w:eastAsia="zh-CN"/>
              </w:rPr>
              <w:t>；</w:t>
            </w:r>
          </w:p>
          <w:p w14:paraId="1A965986">
            <w:pPr>
              <w:bidi w:val="0"/>
              <w:rPr>
                <w:rFonts w:hint="eastAsia" w:eastAsia="宋体"/>
                <w:lang w:eastAsia="zh-CN"/>
              </w:rPr>
            </w:pPr>
            <w:r>
              <w:rPr>
                <w:rFonts w:hint="eastAsia" w:eastAsia="宋体"/>
                <w:lang w:val="en-US" w:eastAsia="zh-CN"/>
              </w:rPr>
              <w:t>18、</w:t>
            </w:r>
            <w:r>
              <w:t>图片分辨率：</w:t>
            </w:r>
            <w:r>
              <w:rPr>
                <w:rFonts w:hint="eastAsia"/>
              </w:rPr>
              <w:t>≥</w:t>
            </w:r>
            <w:r>
              <w:t>2448(H)×2048(V)</w:t>
            </w:r>
            <w:r>
              <w:rPr>
                <w:rFonts w:hint="eastAsia" w:eastAsia="宋体"/>
                <w:lang w:eastAsia="zh-CN"/>
              </w:rPr>
              <w:t>；</w:t>
            </w:r>
          </w:p>
          <w:p w14:paraId="5C2EB996">
            <w:pPr>
              <w:bidi w:val="0"/>
            </w:pPr>
            <w:r>
              <w:rPr>
                <w:rFonts w:hint="eastAsia" w:eastAsia="宋体"/>
                <w:lang w:val="en-US" w:eastAsia="zh-CN"/>
              </w:rPr>
              <w:t>19、</w:t>
            </w:r>
            <w:r>
              <w:t>违章检测：超速、压车道线、违章变道、未系安全带、未戴头盔、非机动车载人、逆行、低速、机动车闯禁令、打电话、占用机动车道、摩托车闯禁令、加塞、机占非等违法行为机动车：车牌识别：支持识别符合GA 36《中华人民共和国机动车号牌》标准的车牌类型；</w:t>
            </w:r>
            <w:r>
              <w:rPr>
                <w:rFonts w:hint="eastAsia" w:eastAsia="宋体"/>
                <w:lang w:val="en-US" w:eastAsia="zh-CN"/>
              </w:rPr>
              <w:t>20、</w:t>
            </w:r>
            <w:r>
              <w:t>车身颜色识别：白、灰、黄、红、紫、绿、蓝、棕、黑；</w:t>
            </w:r>
          </w:p>
          <w:p w14:paraId="5D6A07FF">
            <w:pPr>
              <w:bidi w:val="0"/>
            </w:pPr>
            <w:r>
              <w:rPr>
                <w:rFonts w:hint="eastAsia" w:eastAsia="宋体"/>
                <w:lang w:val="en-US" w:eastAsia="zh-CN"/>
              </w:rPr>
              <w:t>21、</w:t>
            </w:r>
            <w:r>
              <w:t>车型识别：大客车、中型客车、大货车、小货车、面包车、皮卡、轿车、SUV/MPV、二轮车、三轮车；</w:t>
            </w:r>
          </w:p>
          <w:p w14:paraId="028BF46D">
            <w:pPr>
              <w:bidi w:val="0"/>
              <w:rPr>
                <w:rFonts w:hint="eastAsia" w:eastAsia="宋体"/>
                <w:lang w:eastAsia="zh-CN"/>
              </w:rPr>
            </w:pPr>
            <w:r>
              <w:rPr>
                <w:rFonts w:hint="eastAsia" w:eastAsia="宋体"/>
                <w:lang w:val="en-US" w:eastAsia="zh-CN"/>
              </w:rPr>
              <w:t>22、</w:t>
            </w:r>
            <w:r>
              <w:t>车辆品牌，子品牌识别</w:t>
            </w:r>
            <w:r>
              <w:rPr>
                <w:rFonts w:hint="eastAsia" w:eastAsia="宋体"/>
                <w:lang w:eastAsia="zh-CN"/>
              </w:rPr>
              <w:t>；</w:t>
            </w:r>
          </w:p>
          <w:p w14:paraId="50C0B1AB">
            <w:pPr>
              <w:bidi w:val="0"/>
            </w:pPr>
            <w:r>
              <w:rPr>
                <w:rFonts w:hint="eastAsia" w:eastAsia="宋体"/>
                <w:lang w:val="en-US" w:eastAsia="zh-CN"/>
              </w:rPr>
              <w:t>23、</w:t>
            </w:r>
            <w:r>
              <w:t>非机动车：车型识别、特征识别</w:t>
            </w:r>
          </w:p>
          <w:p w14:paraId="30D0756B">
            <w:pPr>
              <w:bidi w:val="0"/>
              <w:rPr>
                <w:rFonts w:hint="eastAsia" w:eastAsia="宋体"/>
                <w:lang w:eastAsia="zh-CN"/>
              </w:rPr>
            </w:pPr>
            <w:r>
              <w:rPr>
                <w:rFonts w:hint="eastAsia" w:eastAsia="宋体"/>
                <w:lang w:val="en-US" w:eastAsia="zh-CN"/>
              </w:rPr>
              <w:t>24、</w:t>
            </w:r>
            <w:r>
              <w:t>行人：人体识别、特征识别</w:t>
            </w:r>
            <w:r>
              <w:rPr>
                <w:rFonts w:hint="eastAsia" w:eastAsia="宋体"/>
                <w:lang w:eastAsia="zh-CN"/>
              </w:rPr>
              <w:t>；</w:t>
            </w:r>
          </w:p>
          <w:p w14:paraId="76C3E3DD">
            <w:pPr>
              <w:bidi w:val="0"/>
            </w:pPr>
            <w:r>
              <w:rPr>
                <w:rFonts w:hint="eastAsia" w:eastAsia="宋体"/>
                <w:lang w:val="en-US" w:eastAsia="zh-CN"/>
              </w:rPr>
              <w:t>25、</w:t>
            </w:r>
            <w:r>
              <w:t>视频压缩标准：H.264;H.265;MJPEG</w:t>
            </w:r>
          </w:p>
          <w:p w14:paraId="5E7D6314">
            <w:pPr>
              <w:bidi w:val="0"/>
            </w:pPr>
            <w:r>
              <w:rPr>
                <w:rFonts w:hint="eastAsia" w:eastAsia="宋体"/>
                <w:lang w:val="en-US" w:eastAsia="zh-CN"/>
              </w:rPr>
              <w:t>26、</w:t>
            </w:r>
            <w:r>
              <w:t>压缩输出码率：</w:t>
            </w:r>
            <w:r>
              <w:rPr>
                <w:rFonts w:hint="eastAsia"/>
              </w:rPr>
              <w:t>≥</w:t>
            </w:r>
            <w:r>
              <w:t>32 Kbps~16 Mbps</w:t>
            </w:r>
          </w:p>
          <w:p w14:paraId="6040323C">
            <w:pPr>
              <w:bidi w:val="0"/>
            </w:pPr>
            <w:r>
              <w:rPr>
                <w:rFonts w:hint="eastAsia" w:eastAsia="宋体"/>
                <w:lang w:val="en-US" w:eastAsia="zh-CN"/>
              </w:rPr>
              <w:t>27、</w:t>
            </w:r>
            <w:r>
              <w:t>视频分辨率：</w:t>
            </w:r>
            <w:r>
              <w:rPr>
                <w:rFonts w:hint="eastAsia"/>
              </w:rPr>
              <w:t>≥</w:t>
            </w:r>
            <w:r>
              <w:t>2448(H)×2048(V)</w:t>
            </w:r>
          </w:p>
          <w:p w14:paraId="4188EEF4">
            <w:pPr>
              <w:bidi w:val="0"/>
            </w:pPr>
            <w:r>
              <w:rPr>
                <w:rFonts w:hint="eastAsia" w:eastAsia="宋体"/>
                <w:lang w:val="en-US" w:eastAsia="zh-CN"/>
              </w:rPr>
              <w:t>28、</w:t>
            </w:r>
            <w:r>
              <w:t>帧率：</w:t>
            </w:r>
            <w:r>
              <w:rPr>
                <w:rFonts w:hint="eastAsia"/>
              </w:rPr>
              <w:t>≥</w:t>
            </w:r>
            <w:r>
              <w:t>25fps</w:t>
            </w:r>
          </w:p>
          <w:p w14:paraId="57D882CC">
            <w:pPr>
              <w:bidi w:val="0"/>
            </w:pPr>
            <w:r>
              <w:rPr>
                <w:rFonts w:hint="eastAsia" w:eastAsia="宋体"/>
                <w:lang w:val="en-US" w:eastAsia="zh-CN"/>
              </w:rPr>
              <w:t>29、</w:t>
            </w:r>
            <w:r>
              <w:t>存储功能：TF;USB</w:t>
            </w:r>
          </w:p>
          <w:p w14:paraId="466CEAA9">
            <w:pPr>
              <w:bidi w:val="0"/>
              <w:rPr>
                <w:rFonts w:hint="eastAsia" w:eastAsia="宋体"/>
                <w:lang w:eastAsia="zh-CN"/>
              </w:rPr>
            </w:pPr>
            <w:r>
              <w:rPr>
                <w:rFonts w:hint="eastAsia" w:eastAsia="宋体"/>
                <w:lang w:val="en-US" w:eastAsia="zh-CN"/>
              </w:rPr>
              <w:t>30、</w:t>
            </w:r>
            <w:r>
              <w:t>支持协议：ISAPI，GB/T 28181-2016视频联网标准，GA/T 1400视图库标准，FTP协议等</w:t>
            </w:r>
            <w:r>
              <w:rPr>
                <w:rFonts w:hint="eastAsia" w:eastAsia="宋体"/>
                <w:lang w:eastAsia="zh-CN"/>
              </w:rPr>
              <w:t>。</w:t>
            </w:r>
          </w:p>
          <w:p w14:paraId="411CCC58">
            <w:pPr>
              <w:bidi w:val="0"/>
            </w:pPr>
            <w:r>
              <w:rPr>
                <w:rFonts w:hint="eastAsia" w:eastAsia="宋体"/>
                <w:lang w:val="en-US" w:eastAsia="zh-CN"/>
              </w:rPr>
              <w:t>31、</w:t>
            </w:r>
            <w:r>
              <w:t>终端接入：支持</w:t>
            </w:r>
          </w:p>
          <w:p w14:paraId="4B1E5030">
            <w:pPr>
              <w:bidi w:val="0"/>
            </w:pPr>
            <w:r>
              <w:rPr>
                <w:rFonts w:hint="eastAsia" w:eastAsia="宋体"/>
                <w:lang w:val="en-US" w:eastAsia="zh-CN"/>
              </w:rPr>
              <w:t>32、</w:t>
            </w:r>
            <w:r>
              <w:t>整体组成：防尘、防水面板，内置LED补光灯，摄像机，单元防护罩，电源适配器（AC220转 DC12）</w:t>
            </w:r>
          </w:p>
          <w:p w14:paraId="2F051F27">
            <w:pPr>
              <w:bidi w:val="0"/>
              <w:rPr>
                <w:rFonts w:hint="eastAsia" w:eastAsia="宋体"/>
                <w:lang w:eastAsia="zh-CN"/>
              </w:rPr>
            </w:pPr>
            <w:r>
              <w:rPr>
                <w:rFonts w:hint="eastAsia"/>
              </w:rPr>
              <w:t xml:space="preserve"> </w:t>
            </w:r>
            <w:r>
              <w:rPr>
                <w:rFonts w:hint="eastAsia" w:eastAsia="宋体"/>
                <w:lang w:val="en-US" w:eastAsia="zh-CN"/>
              </w:rPr>
              <w:t>33、</w:t>
            </w:r>
            <w:r>
              <w:t>▲</w:t>
            </w:r>
            <w:r>
              <w:rPr>
                <w:rFonts w:hint="eastAsia"/>
              </w:rPr>
              <w:t>车牌识别功能</w:t>
            </w:r>
            <w:r>
              <w:t xml:space="preserve"> ：支持对≥25×10 像素～1100×3000 像素的机动车车牌进行抓拍并识别号码； 支持抓拍并识别垂直倾斜角度≤45°、水平倾斜角度≤35°、俯仰角度≤40°的机动车车牌号码</w:t>
            </w:r>
            <w:r>
              <w:rPr>
                <w:rFonts w:hint="eastAsia" w:eastAsia="宋体"/>
                <w:lang w:eastAsia="zh-CN"/>
              </w:rPr>
              <w:t>。</w:t>
            </w:r>
          </w:p>
          <w:p w14:paraId="1EEBFAF7">
            <w:pPr>
              <w:bidi w:val="0"/>
              <w:rPr>
                <w:rFonts w:hint="eastAsia" w:eastAsia="宋体"/>
                <w:lang w:eastAsia="zh-CN"/>
              </w:rPr>
            </w:pPr>
            <w:r>
              <w:rPr>
                <w:rFonts w:hint="eastAsia" w:eastAsia="宋体"/>
                <w:lang w:val="en-US" w:eastAsia="zh-CN"/>
              </w:rPr>
              <w:t>34、</w:t>
            </w:r>
            <w:r>
              <w:t>▲</w:t>
            </w:r>
            <w:r>
              <w:rPr>
                <w:rFonts w:hint="eastAsia"/>
              </w:rPr>
              <w:t>支持车辆子品牌识别并可在</w:t>
            </w:r>
            <w:r>
              <w:t>OSD上叠加显示相应的子品牌及年款，通过车头可识别≥7600种车辆子品牌，车尾≥3900种车辆子品牌</w:t>
            </w:r>
            <w:r>
              <w:rPr>
                <w:rFonts w:hint="eastAsia" w:eastAsia="宋体"/>
                <w:lang w:eastAsia="zh-CN"/>
              </w:rPr>
              <w:t>。</w:t>
            </w:r>
          </w:p>
          <w:p w14:paraId="4541E311">
            <w:pPr>
              <w:bidi w:val="0"/>
              <w:rPr>
                <w:rFonts w:hint="eastAsia" w:eastAsia="宋体"/>
                <w:lang w:eastAsia="zh-CN"/>
              </w:rPr>
            </w:pPr>
            <w:r>
              <w:rPr>
                <w:rFonts w:hint="eastAsia" w:eastAsia="宋体"/>
                <w:lang w:val="en-US" w:eastAsia="zh-CN"/>
              </w:rPr>
              <w:t>35、</w:t>
            </w:r>
            <w:r>
              <w:t>▲</w:t>
            </w:r>
            <w:r>
              <w:rPr>
                <w:rFonts w:hint="eastAsia"/>
              </w:rPr>
              <w:t>目标跟踪功能</w:t>
            </w:r>
            <w:r>
              <w:t xml:space="preserve"> ：支持检测并跟踪指定区域内不少于 245 个目标，目标包括机动车、非机动车以及行人</w:t>
            </w:r>
            <w:r>
              <w:rPr>
                <w:rFonts w:hint="eastAsia" w:eastAsia="宋体"/>
                <w:lang w:eastAsia="zh-CN"/>
              </w:rPr>
              <w:t>。</w:t>
            </w:r>
          </w:p>
          <w:p w14:paraId="665F3580">
            <w:pPr>
              <w:bidi w:val="0"/>
            </w:pPr>
            <w:r>
              <w:rPr>
                <w:rFonts w:hint="eastAsia" w:eastAsia="宋体"/>
                <w:lang w:val="en-US" w:eastAsia="zh-CN"/>
              </w:rPr>
              <w:t>36、</w:t>
            </w:r>
            <w:r>
              <w:t>工作温度：</w:t>
            </w:r>
            <w:r>
              <w:rPr>
                <w:rFonts w:hint="eastAsia"/>
              </w:rPr>
              <w:t>≥</w:t>
            </w:r>
            <w:r>
              <w:t>-30°C~70°C</w:t>
            </w:r>
          </w:p>
          <w:p w14:paraId="6F3ECD9F">
            <w:pPr>
              <w:bidi w:val="0"/>
            </w:pPr>
            <w:r>
              <w:rPr>
                <w:rFonts w:hint="eastAsia" w:eastAsia="宋体"/>
                <w:lang w:val="en-US" w:eastAsia="zh-CN"/>
              </w:rPr>
              <w:t>37、</w:t>
            </w:r>
            <w:r>
              <w:t>工作湿度：</w:t>
            </w:r>
            <w:r>
              <w:rPr>
                <w:rFonts w:hint="eastAsia"/>
              </w:rPr>
              <w:t>≥</w:t>
            </w:r>
            <w:r>
              <w:t>5%~95%@40°C，无凝结</w:t>
            </w:r>
          </w:p>
          <w:p w14:paraId="07671FD1">
            <w:pPr>
              <w:bidi w:val="0"/>
            </w:pPr>
            <w:r>
              <w:rPr>
                <w:rFonts w:hint="eastAsia" w:eastAsia="宋体"/>
                <w:lang w:val="en-US" w:eastAsia="zh-CN"/>
              </w:rPr>
              <w:t>38、</w:t>
            </w:r>
            <w:r>
              <w:t>电源：</w:t>
            </w:r>
            <w:r>
              <w:rPr>
                <w:rFonts w:hint="eastAsia"/>
              </w:rPr>
              <w:t>≥</w:t>
            </w:r>
            <w:r>
              <w:t>100VAC～240VAC；频率：</w:t>
            </w:r>
            <w:r>
              <w:rPr>
                <w:rFonts w:hint="eastAsia"/>
              </w:rPr>
              <w:t>≥</w:t>
            </w:r>
            <w:r>
              <w:t>48Hz～52Hz</w:t>
            </w:r>
          </w:p>
          <w:p w14:paraId="303858F8">
            <w:pPr>
              <w:bidi w:val="0"/>
              <w:rPr>
                <w:rFonts w:hint="eastAsia" w:eastAsia="宋体"/>
                <w:spacing w:val="-3"/>
                <w:lang w:val="en-US" w:eastAsia="zh-CN"/>
              </w:rPr>
            </w:pPr>
            <w:r>
              <w:rPr>
                <w:rFonts w:hint="eastAsia" w:eastAsia="宋体"/>
                <w:lang w:val="en-US" w:eastAsia="zh-CN"/>
              </w:rPr>
              <w:t>39、</w:t>
            </w:r>
            <w:r>
              <w:t>★为保障售后服务质量和产品质量，供货时提供原厂商售后服务承诺函原件、原厂商供货证明函原件并加盖原厂商公章。</w:t>
            </w:r>
          </w:p>
        </w:tc>
        <w:tc>
          <w:tcPr>
            <w:tcW w:w="308" w:type="pct"/>
            <w:vAlign w:val="center"/>
          </w:tcPr>
          <w:p w14:paraId="5914B73E">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22</w:t>
            </w:r>
          </w:p>
        </w:tc>
        <w:tc>
          <w:tcPr>
            <w:tcW w:w="300" w:type="pct"/>
            <w:vAlign w:val="center"/>
          </w:tcPr>
          <w:p w14:paraId="1AA6FC08">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台</w:t>
            </w:r>
          </w:p>
        </w:tc>
      </w:tr>
      <w:tr w14:paraId="50621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420B0B16">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2</w:t>
            </w:r>
          </w:p>
        </w:tc>
        <w:tc>
          <w:tcPr>
            <w:tcW w:w="1114" w:type="pct"/>
            <w:vAlign w:val="center"/>
          </w:tcPr>
          <w:p w14:paraId="76FD3A95">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多合一补光灯</w:t>
            </w:r>
          </w:p>
        </w:tc>
        <w:tc>
          <w:tcPr>
            <w:tcW w:w="2976" w:type="pct"/>
            <w:vAlign w:val="center"/>
          </w:tcPr>
          <w:p w14:paraId="01C3F1B4">
            <w:pPr>
              <w:bidi w:val="0"/>
              <w:rPr>
                <w:rFonts w:hint="eastAsia" w:eastAsia="宋体"/>
                <w:lang w:eastAsia="zh-CN"/>
              </w:rPr>
            </w:pPr>
            <w:r>
              <w:rPr>
                <w:rFonts w:hint="eastAsia" w:eastAsia="宋体"/>
                <w:lang w:val="en-US" w:eastAsia="zh-CN"/>
              </w:rPr>
              <w:t>1、一款</w:t>
            </w:r>
            <w:r>
              <w:t>集成高亮度暖光LED光源、氙气灯管光源与一体的监控用特殊专业灯具，产品采用灯具散热结构和恒流驱动控制方式，选用大功率LED光源、大尺寸高功率氙气灯管为光源，铝合金灯体，鳍片式散热结构，面罩采用耐高温的PC材料，透光效果好采用</w:t>
            </w:r>
            <w:r>
              <w:rPr>
                <w:rFonts w:hint="eastAsia"/>
              </w:rPr>
              <w:t>≥</w:t>
            </w:r>
            <w:r>
              <w:t>24颗原装高亮度暖光LED光源，寿命长，稳定性好，发光效率高</w:t>
            </w:r>
            <w:r>
              <w:rPr>
                <w:rFonts w:hint="eastAsia" w:eastAsia="宋体"/>
                <w:lang w:eastAsia="zh-CN"/>
              </w:rPr>
              <w:t>。</w:t>
            </w:r>
          </w:p>
          <w:p w14:paraId="49AA0C7C">
            <w:pPr>
              <w:bidi w:val="0"/>
              <w:rPr>
                <w:rFonts w:hint="eastAsia" w:eastAsia="宋体"/>
                <w:lang w:eastAsia="zh-CN"/>
              </w:rPr>
            </w:pPr>
            <w:r>
              <w:rPr>
                <w:rFonts w:hint="eastAsia" w:eastAsia="宋体"/>
                <w:lang w:val="en-US" w:eastAsia="zh-CN"/>
              </w:rPr>
              <w:t>2、</w:t>
            </w:r>
            <w:r>
              <w:t>气体灯管采用大尺寸高功率氙气灯管，质量可靠，寿命长</w:t>
            </w:r>
            <w:r>
              <w:rPr>
                <w:rFonts w:hint="eastAsia" w:eastAsia="宋体"/>
                <w:lang w:eastAsia="zh-CN"/>
              </w:rPr>
              <w:t>。</w:t>
            </w:r>
          </w:p>
          <w:p w14:paraId="517557F5">
            <w:pPr>
              <w:bidi w:val="0"/>
              <w:rPr>
                <w:rFonts w:hint="eastAsia" w:eastAsia="宋体"/>
                <w:lang w:eastAsia="zh-CN"/>
              </w:rPr>
            </w:pPr>
            <w:r>
              <w:rPr>
                <w:rFonts w:hint="eastAsia" w:eastAsia="宋体"/>
                <w:lang w:val="en-US" w:eastAsia="zh-CN"/>
              </w:rPr>
              <w:t>3、</w:t>
            </w:r>
            <w:r>
              <w:t>经专业光学设计，发光均匀，目标光斑显明，有效减少光污染</w:t>
            </w:r>
            <w:r>
              <w:rPr>
                <w:rFonts w:hint="eastAsia" w:eastAsia="宋体"/>
                <w:lang w:eastAsia="zh-CN"/>
              </w:rPr>
              <w:t>。</w:t>
            </w:r>
          </w:p>
          <w:p w14:paraId="6A0DB6CD">
            <w:pPr>
              <w:bidi w:val="0"/>
              <w:rPr>
                <w:rFonts w:hint="eastAsia" w:eastAsia="宋体"/>
                <w:lang w:eastAsia="zh-CN"/>
              </w:rPr>
            </w:pPr>
            <w:r>
              <w:rPr>
                <w:rFonts w:hint="eastAsia" w:eastAsia="宋体"/>
                <w:lang w:val="en-US" w:eastAsia="zh-CN"/>
              </w:rPr>
              <w:t>4、</w:t>
            </w:r>
            <w:r>
              <w:t>LED控制采用先进的恒流驱动技术，电流控制准确、稳定，产品稳定性好、可靠性高，有效减少光衰</w:t>
            </w:r>
            <w:r>
              <w:rPr>
                <w:rFonts w:hint="eastAsia" w:eastAsia="宋体"/>
                <w:lang w:eastAsia="zh-CN"/>
              </w:rPr>
              <w:t>。</w:t>
            </w:r>
          </w:p>
          <w:p w14:paraId="3687A29D">
            <w:pPr>
              <w:bidi w:val="0"/>
              <w:rPr>
                <w:rFonts w:hint="eastAsia" w:eastAsia="宋体"/>
                <w:lang w:eastAsia="zh-CN"/>
              </w:rPr>
            </w:pPr>
            <w:r>
              <w:rPr>
                <w:rFonts w:hint="eastAsia" w:eastAsia="宋体"/>
                <w:lang w:val="en-US" w:eastAsia="zh-CN"/>
              </w:rPr>
              <w:t>5、</w:t>
            </w:r>
            <w:r>
              <w:t>气体光源回电时间小于67ms，支持超速连拍气体补光控制具有峰值抑制功能</w:t>
            </w:r>
            <w:r>
              <w:rPr>
                <w:rFonts w:hint="eastAsia" w:eastAsia="宋体"/>
                <w:lang w:eastAsia="zh-CN"/>
              </w:rPr>
              <w:t>。</w:t>
            </w:r>
          </w:p>
          <w:p w14:paraId="71D33894">
            <w:pPr>
              <w:bidi w:val="0"/>
              <w:rPr>
                <w:rFonts w:hint="eastAsia" w:eastAsia="宋体"/>
                <w:lang w:eastAsia="zh-CN"/>
              </w:rPr>
            </w:pPr>
            <w:r>
              <w:rPr>
                <w:rFonts w:hint="eastAsia" w:eastAsia="宋体"/>
                <w:lang w:val="en-US" w:eastAsia="zh-CN"/>
              </w:rPr>
              <w:t>6、</w:t>
            </w:r>
            <w:r>
              <w:t>支持LED频闪、LED爆闪、白光气体爆闪</w:t>
            </w:r>
            <w:r>
              <w:rPr>
                <w:rFonts w:hint="eastAsia" w:eastAsia="宋体"/>
                <w:lang w:eastAsia="zh-CN"/>
              </w:rPr>
              <w:t>。</w:t>
            </w:r>
          </w:p>
          <w:p w14:paraId="11E46AD2">
            <w:pPr>
              <w:bidi w:val="0"/>
              <w:rPr>
                <w:rFonts w:hint="eastAsia" w:eastAsia="宋体"/>
                <w:lang w:eastAsia="zh-CN"/>
              </w:rPr>
            </w:pPr>
            <w:r>
              <w:rPr>
                <w:rFonts w:hint="eastAsia" w:eastAsia="宋体"/>
                <w:lang w:val="en-US" w:eastAsia="zh-CN"/>
              </w:rPr>
              <w:t>7、</w:t>
            </w:r>
            <w:r>
              <w:t>支持相机误触发保护功能，触发信号输入异常时自动保护、且自动恢复灯体自主设计，设计新颖别致、适应性强，安装简单，调节方便</w:t>
            </w:r>
            <w:r>
              <w:rPr>
                <w:rFonts w:hint="eastAsia" w:eastAsia="宋体"/>
                <w:lang w:eastAsia="zh-CN"/>
              </w:rPr>
              <w:t>。</w:t>
            </w:r>
          </w:p>
          <w:p w14:paraId="01F42095">
            <w:pPr>
              <w:bidi w:val="0"/>
              <w:rPr>
                <w:rFonts w:hint="eastAsia" w:eastAsia="宋体"/>
                <w:lang w:eastAsia="zh-CN"/>
              </w:rPr>
            </w:pPr>
            <w:r>
              <w:rPr>
                <w:rFonts w:hint="eastAsia" w:eastAsia="宋体"/>
                <w:lang w:val="en-US" w:eastAsia="zh-CN"/>
              </w:rPr>
              <w:t>8、</w:t>
            </w:r>
            <w:r>
              <w:t>结构采用</w:t>
            </w:r>
            <w:r>
              <w:rPr>
                <w:rFonts w:hint="eastAsia"/>
              </w:rPr>
              <w:t>≥</w:t>
            </w:r>
            <w:r>
              <w:t>IP65设计，增加透气孔，保持内外压强均衡，可靠防水、防尘不含有害金属铅、汞，绿色环保</w:t>
            </w:r>
            <w:r>
              <w:rPr>
                <w:rFonts w:hint="eastAsia" w:eastAsia="宋体"/>
                <w:lang w:eastAsia="zh-CN"/>
              </w:rPr>
              <w:t>。</w:t>
            </w:r>
          </w:p>
          <w:p w14:paraId="4FBE09A0">
            <w:pPr>
              <w:bidi w:val="0"/>
            </w:pPr>
            <w:r>
              <w:rPr>
                <w:rFonts w:hint="eastAsia" w:eastAsia="宋体"/>
                <w:lang w:val="en-US" w:eastAsia="zh-CN"/>
              </w:rPr>
              <w:t>9、</w:t>
            </w:r>
            <w:r>
              <w:t>佩带LED光栅，可有效减少光污染</w:t>
            </w:r>
            <w:r>
              <w:rPr>
                <w:rFonts w:hint="eastAsia" w:eastAsia="宋体"/>
                <w:lang w:eastAsia="zh-CN"/>
              </w:rPr>
              <w:t>。</w:t>
            </w:r>
          </w:p>
          <w:p w14:paraId="427AAAD8">
            <w:pPr>
              <w:bidi w:val="0"/>
              <w:rPr>
                <w:rFonts w:hint="eastAsia" w:eastAsia="宋体"/>
                <w:lang w:eastAsia="zh-CN"/>
              </w:rPr>
            </w:pPr>
            <w:r>
              <w:rPr>
                <w:rFonts w:hint="eastAsia" w:eastAsia="宋体"/>
                <w:lang w:val="en-US" w:eastAsia="zh-CN"/>
              </w:rPr>
              <w:t>10、</w:t>
            </w:r>
            <w:r>
              <w:t>一般规范</w:t>
            </w:r>
            <w:r>
              <w:rPr>
                <w:rFonts w:hint="eastAsia" w:eastAsia="宋体"/>
                <w:lang w:eastAsia="zh-CN"/>
              </w:rPr>
              <w:t>：</w:t>
            </w:r>
          </w:p>
          <w:p w14:paraId="29BD1AA4">
            <w:pPr>
              <w:bidi w:val="0"/>
              <w:rPr>
                <w:rFonts w:hint="eastAsia" w:eastAsia="宋体"/>
                <w:lang w:eastAsia="zh-CN"/>
              </w:rPr>
            </w:pPr>
            <w:r>
              <w:t>工作电压 220VAC±10%</w:t>
            </w:r>
            <w:r>
              <w:rPr>
                <w:rFonts w:hint="eastAsia" w:eastAsia="宋体"/>
                <w:lang w:eastAsia="zh-CN"/>
              </w:rPr>
              <w:t>；</w:t>
            </w:r>
          </w:p>
          <w:p w14:paraId="787ADBA7">
            <w:pPr>
              <w:bidi w:val="0"/>
              <w:rPr>
                <w:rFonts w:hint="eastAsia" w:eastAsia="宋体"/>
                <w:lang w:eastAsia="zh-CN"/>
              </w:rPr>
            </w:pPr>
            <w:r>
              <w:t xml:space="preserve">工作温度 </w:t>
            </w:r>
            <w:r>
              <w:rPr>
                <w:rFonts w:hint="eastAsia"/>
              </w:rPr>
              <w:t>≥</w:t>
            </w:r>
            <w:r>
              <w:t xml:space="preserve">-40℃~70℃工作湿度 </w:t>
            </w:r>
            <w:r>
              <w:rPr>
                <w:rFonts w:hint="eastAsia"/>
              </w:rPr>
              <w:t>≥</w:t>
            </w:r>
            <w:r>
              <w:t>10%～90%</w:t>
            </w:r>
            <w:r>
              <w:rPr>
                <w:rFonts w:hint="eastAsia" w:eastAsia="宋体"/>
                <w:lang w:eastAsia="zh-CN"/>
              </w:rPr>
              <w:t>；</w:t>
            </w:r>
          </w:p>
          <w:p w14:paraId="4C396E6C">
            <w:pPr>
              <w:bidi w:val="0"/>
              <w:rPr>
                <w:rFonts w:hint="eastAsia" w:eastAsia="宋体"/>
                <w:lang w:eastAsia="zh-CN"/>
              </w:rPr>
            </w:pPr>
            <w:r>
              <w:t xml:space="preserve">LED颗数 </w:t>
            </w:r>
            <w:r>
              <w:rPr>
                <w:rFonts w:hint="eastAsia"/>
              </w:rPr>
              <w:t>≥</w:t>
            </w:r>
            <w:r>
              <w:t>24颗</w:t>
            </w:r>
            <w:r>
              <w:rPr>
                <w:rFonts w:hint="eastAsia" w:eastAsia="宋体"/>
                <w:lang w:eastAsia="zh-CN"/>
              </w:rPr>
              <w:t>。</w:t>
            </w:r>
          </w:p>
          <w:p w14:paraId="777F42B6">
            <w:pPr>
              <w:bidi w:val="0"/>
              <w:rPr>
                <w:rFonts w:hint="eastAsia" w:eastAsia="宋体"/>
                <w:lang w:eastAsia="zh-CN"/>
              </w:rPr>
            </w:pPr>
            <w:r>
              <w:rPr>
                <w:rFonts w:hint="eastAsia" w:eastAsia="宋体"/>
                <w:lang w:val="en-US" w:eastAsia="zh-CN"/>
              </w:rPr>
              <w:t>11、</w:t>
            </w:r>
            <w:r>
              <w:t>详细功能</w:t>
            </w:r>
            <w:r>
              <w:rPr>
                <w:rFonts w:hint="eastAsia" w:eastAsia="宋体"/>
                <w:lang w:eastAsia="zh-CN"/>
              </w:rPr>
              <w:t>：</w:t>
            </w:r>
          </w:p>
          <w:p w14:paraId="6196BABA">
            <w:pPr>
              <w:bidi w:val="0"/>
              <w:rPr>
                <w:rFonts w:hint="eastAsia" w:eastAsia="宋体"/>
                <w:lang w:eastAsia="zh-CN"/>
              </w:rPr>
            </w:pPr>
            <w:r>
              <w:t>光源类型 原装大功率暖光LED、大尺寸高功率氙气灯管两种光源</w:t>
            </w:r>
            <w:r>
              <w:rPr>
                <w:rFonts w:hint="eastAsia" w:eastAsia="宋体"/>
                <w:lang w:eastAsia="zh-CN"/>
              </w:rPr>
              <w:t>；</w:t>
            </w:r>
            <w:r>
              <w:t xml:space="preserve"> LED灯珠数量 </w:t>
            </w:r>
            <w:r>
              <w:rPr>
                <w:rFonts w:hint="eastAsia"/>
              </w:rPr>
              <w:t>≥</w:t>
            </w:r>
            <w:r>
              <w:t>24颗</w:t>
            </w:r>
            <w:r>
              <w:rPr>
                <w:rFonts w:hint="eastAsia" w:eastAsia="宋体"/>
                <w:lang w:eastAsia="zh-CN"/>
              </w:rPr>
              <w:t>；</w:t>
            </w:r>
          </w:p>
          <w:p w14:paraId="4F4EE972">
            <w:pPr>
              <w:bidi w:val="0"/>
              <w:rPr>
                <w:rFonts w:hint="eastAsia" w:eastAsia="宋体"/>
                <w:lang w:eastAsia="zh-CN"/>
              </w:rPr>
            </w:pPr>
            <w:r>
              <w:t>色温</w:t>
            </w:r>
            <w:r>
              <w:rPr>
                <w:rFonts w:hint="eastAsia" w:eastAsia="宋体"/>
                <w:lang w:val="en-US" w:eastAsia="zh-CN"/>
              </w:rPr>
              <w:t xml:space="preserve"> </w:t>
            </w:r>
            <w:r>
              <w:t>暖光</w:t>
            </w:r>
            <w:r>
              <w:rPr>
                <w:rFonts w:hint="eastAsia" w:eastAsia="宋体"/>
                <w:lang w:val="en-US" w:eastAsia="zh-CN"/>
              </w:rPr>
              <w:t xml:space="preserve"> </w:t>
            </w:r>
            <w:r>
              <w:t xml:space="preserve">发光角度 </w:t>
            </w:r>
            <w:r>
              <w:rPr>
                <w:rFonts w:hint="eastAsia"/>
              </w:rPr>
              <w:t>≥</w:t>
            </w:r>
            <w:r>
              <w:t>10°</w:t>
            </w:r>
            <w:r>
              <w:rPr>
                <w:rFonts w:hint="eastAsia" w:eastAsia="宋体"/>
                <w:lang w:eastAsia="zh-CN"/>
              </w:rPr>
              <w:t>；</w:t>
            </w:r>
          </w:p>
          <w:p w14:paraId="20F68770">
            <w:pPr>
              <w:bidi w:val="0"/>
              <w:rPr>
                <w:rFonts w:hint="eastAsia" w:eastAsia="宋体"/>
                <w:lang w:eastAsia="zh-CN"/>
              </w:rPr>
            </w:pPr>
            <w:r>
              <w:t xml:space="preserve">气体单次闪光能量 </w:t>
            </w:r>
            <w:r>
              <w:rPr>
                <w:rFonts w:hint="eastAsia"/>
              </w:rPr>
              <w:t>≥</w:t>
            </w:r>
            <w:r>
              <w:t>200J</w:t>
            </w:r>
            <w:r>
              <w:rPr>
                <w:rFonts w:hint="eastAsia" w:eastAsia="宋体"/>
                <w:lang w:eastAsia="zh-CN"/>
              </w:rPr>
              <w:t>；</w:t>
            </w:r>
          </w:p>
          <w:p w14:paraId="702A4C21">
            <w:pPr>
              <w:bidi w:val="0"/>
              <w:rPr>
                <w:rFonts w:hint="eastAsia" w:eastAsia="宋体"/>
                <w:lang w:eastAsia="zh-CN"/>
              </w:rPr>
            </w:pPr>
            <w:r>
              <w:t>气体闪光次数 ＞2000万次@间隔2秒1次</w:t>
            </w:r>
            <w:r>
              <w:rPr>
                <w:rFonts w:hint="eastAsia" w:eastAsia="宋体"/>
                <w:lang w:eastAsia="zh-CN"/>
              </w:rPr>
              <w:t>。</w:t>
            </w:r>
          </w:p>
          <w:p w14:paraId="38F08811">
            <w:pPr>
              <w:bidi w:val="0"/>
              <w:rPr>
                <w:rFonts w:hint="eastAsia" w:eastAsia="宋体"/>
                <w:lang w:eastAsia="zh-CN"/>
              </w:rPr>
            </w:pPr>
            <w:r>
              <w:rPr>
                <w:rFonts w:hint="eastAsia" w:eastAsia="宋体"/>
                <w:lang w:val="en-US" w:eastAsia="zh-CN"/>
              </w:rPr>
              <w:t>12、</w:t>
            </w:r>
            <w:r>
              <w:t>覆盖范围 单车道</w:t>
            </w:r>
            <w:r>
              <w:rPr>
                <w:rFonts w:hint="eastAsia" w:eastAsia="宋体"/>
                <w:lang w:eastAsia="zh-CN"/>
              </w:rPr>
              <w:t>。</w:t>
            </w:r>
          </w:p>
          <w:p w14:paraId="2EA5B4B5">
            <w:pPr>
              <w:bidi w:val="0"/>
              <w:rPr>
                <w:rFonts w:hint="eastAsia" w:eastAsia="宋体"/>
                <w:lang w:eastAsia="zh-CN"/>
              </w:rPr>
            </w:pPr>
            <w:r>
              <w:rPr>
                <w:rFonts w:hint="eastAsia" w:eastAsia="宋体"/>
                <w:lang w:val="en-US" w:eastAsia="zh-CN"/>
              </w:rPr>
              <w:t>13、</w:t>
            </w:r>
            <w:r>
              <w:t xml:space="preserve">最佳补光距离 </w:t>
            </w:r>
            <w:r>
              <w:rPr>
                <w:rFonts w:hint="eastAsia"/>
              </w:rPr>
              <w:t>≥</w:t>
            </w:r>
            <w:r>
              <w:t>16米～30米</w:t>
            </w:r>
            <w:r>
              <w:rPr>
                <w:rFonts w:hint="eastAsia" w:eastAsia="宋体"/>
                <w:lang w:eastAsia="zh-CN"/>
              </w:rPr>
              <w:t>。</w:t>
            </w:r>
          </w:p>
          <w:p w14:paraId="5D2D8BF4">
            <w:pPr>
              <w:bidi w:val="0"/>
              <w:rPr>
                <w:rFonts w:hint="eastAsia" w:eastAsia="宋体"/>
                <w:lang w:eastAsia="zh-CN"/>
              </w:rPr>
            </w:pPr>
            <w:r>
              <w:rPr>
                <w:rFonts w:hint="eastAsia" w:eastAsia="宋体"/>
                <w:lang w:val="en-US" w:eastAsia="zh-CN"/>
              </w:rPr>
              <w:t>14、</w:t>
            </w:r>
            <w:r>
              <w:t xml:space="preserve">触发方式 电平量触发 （可选配开关量触发）触发信号电平 </w:t>
            </w:r>
            <w:r>
              <w:rPr>
                <w:rFonts w:hint="eastAsia"/>
              </w:rPr>
              <w:t>≥</w:t>
            </w:r>
            <w:r>
              <w:t>4V~6V（高电平有效）</w:t>
            </w:r>
            <w:r>
              <w:rPr>
                <w:rFonts w:hint="eastAsia" w:eastAsia="宋体"/>
                <w:lang w:eastAsia="zh-CN"/>
              </w:rPr>
              <w:t>。</w:t>
            </w:r>
          </w:p>
          <w:p w14:paraId="49F1FBE5">
            <w:pPr>
              <w:bidi w:val="0"/>
              <w:rPr>
                <w:rFonts w:hint="eastAsia" w:eastAsia="宋体"/>
                <w:lang w:eastAsia="zh-CN"/>
              </w:rPr>
            </w:pPr>
            <w:r>
              <w:rPr>
                <w:rFonts w:hint="eastAsia" w:eastAsia="宋体"/>
                <w:lang w:val="en-US" w:eastAsia="zh-CN"/>
              </w:rPr>
              <w:t>15、</w:t>
            </w:r>
            <w:r>
              <w:t xml:space="preserve">触发频率 </w:t>
            </w:r>
            <w:r>
              <w:rPr>
                <w:rFonts w:hint="eastAsia"/>
              </w:rPr>
              <w:t>≥</w:t>
            </w:r>
            <w:r>
              <w:t>0Hz~250 Hz</w:t>
            </w:r>
            <w:r>
              <w:rPr>
                <w:rFonts w:hint="eastAsia" w:eastAsia="宋体"/>
                <w:lang w:eastAsia="zh-CN"/>
              </w:rPr>
              <w:t>。</w:t>
            </w:r>
          </w:p>
          <w:p w14:paraId="5E1B79E8">
            <w:pPr>
              <w:bidi w:val="0"/>
              <w:rPr>
                <w:rFonts w:hint="eastAsia" w:eastAsia="宋体"/>
                <w:lang w:eastAsia="zh-CN"/>
              </w:rPr>
            </w:pPr>
            <w:r>
              <w:rPr>
                <w:rFonts w:hint="eastAsia" w:eastAsia="宋体"/>
                <w:lang w:val="en-US" w:eastAsia="zh-CN"/>
              </w:rPr>
              <w:t>16、</w:t>
            </w:r>
            <w:r>
              <w:t xml:space="preserve">触发占空比 </w:t>
            </w:r>
            <w:r>
              <w:rPr>
                <w:rFonts w:hint="eastAsia"/>
              </w:rPr>
              <w:t>≥</w:t>
            </w:r>
            <w:r>
              <w:t>1%~39%，当占空比大于等于40%时进入自保护状态响应时间 ≤20us</w:t>
            </w:r>
            <w:r>
              <w:rPr>
                <w:rFonts w:hint="eastAsia" w:eastAsia="宋体"/>
                <w:lang w:eastAsia="zh-CN"/>
              </w:rPr>
              <w:t>。</w:t>
            </w:r>
          </w:p>
          <w:p w14:paraId="57A30244">
            <w:pPr>
              <w:bidi w:val="0"/>
              <w:rPr>
                <w:rFonts w:hint="eastAsia" w:eastAsia="宋体"/>
                <w:lang w:eastAsia="zh-CN"/>
              </w:rPr>
            </w:pPr>
            <w:r>
              <w:rPr>
                <w:rFonts w:hint="eastAsia" w:eastAsia="宋体"/>
                <w:lang w:val="en-US" w:eastAsia="zh-CN"/>
              </w:rPr>
              <w:t>17、</w:t>
            </w:r>
            <w:r>
              <w:t xml:space="preserve">触发接口 </w:t>
            </w:r>
            <w:r>
              <w:rPr>
                <w:rFonts w:hint="eastAsia"/>
              </w:rPr>
              <w:t>≥</w:t>
            </w:r>
            <w:r>
              <w:t>1路频闪触发输入，</w:t>
            </w:r>
            <w:r>
              <w:rPr>
                <w:rFonts w:hint="eastAsia"/>
              </w:rPr>
              <w:t>≥</w:t>
            </w:r>
            <w:r>
              <w:t>2路爆闪输入设计寿命 ≥50000小时</w:t>
            </w:r>
            <w:r>
              <w:rPr>
                <w:rFonts w:hint="eastAsia" w:eastAsia="宋体"/>
                <w:lang w:eastAsia="zh-CN"/>
              </w:rPr>
              <w:t>。</w:t>
            </w:r>
          </w:p>
          <w:p w14:paraId="70F750E0">
            <w:pPr>
              <w:bidi w:val="0"/>
              <w:rPr>
                <w:rFonts w:hint="eastAsia" w:eastAsia="宋体"/>
                <w:lang w:eastAsia="zh-CN"/>
              </w:rPr>
            </w:pPr>
            <w:r>
              <w:rPr>
                <w:rFonts w:hint="eastAsia" w:eastAsia="宋体"/>
                <w:lang w:val="en-US" w:eastAsia="zh-CN"/>
              </w:rPr>
              <w:t>18、</w:t>
            </w:r>
            <w:r>
              <w:t>外壳材质</w:t>
            </w:r>
            <w:r>
              <w:rPr>
                <w:rFonts w:hint="eastAsia" w:eastAsia="宋体"/>
                <w:lang w:eastAsia="zh-CN"/>
              </w:rPr>
              <w:t>：</w:t>
            </w:r>
            <w:r>
              <w:t>压铸铝</w:t>
            </w:r>
            <w:r>
              <w:rPr>
                <w:rFonts w:hint="eastAsia" w:eastAsia="宋体"/>
                <w:lang w:eastAsia="zh-CN"/>
              </w:rPr>
              <w:t>。</w:t>
            </w:r>
          </w:p>
          <w:p w14:paraId="6A264E7E">
            <w:pPr>
              <w:bidi w:val="0"/>
              <w:rPr>
                <w:rFonts w:hint="eastAsia" w:eastAsia="宋体"/>
                <w:lang w:eastAsia="zh-CN"/>
              </w:rPr>
            </w:pPr>
            <w:r>
              <w:rPr>
                <w:rFonts w:hint="eastAsia" w:eastAsia="宋体"/>
                <w:lang w:val="en-US" w:eastAsia="zh-CN"/>
              </w:rPr>
              <w:t>19、</w:t>
            </w:r>
            <w:r>
              <w:t>电源</w:t>
            </w:r>
            <w:r>
              <w:rPr>
                <w:rFonts w:hint="eastAsia" w:eastAsia="宋体"/>
                <w:lang w:eastAsia="zh-CN"/>
              </w:rPr>
              <w:t>：</w:t>
            </w:r>
            <w:r>
              <w:t>AC220V±10%，47Hz~63Hz1</w:t>
            </w:r>
            <w:r>
              <w:rPr>
                <w:rFonts w:hint="eastAsia" w:eastAsia="宋体"/>
                <w:lang w:eastAsia="zh-CN"/>
              </w:rPr>
              <w:t>。</w:t>
            </w:r>
          </w:p>
          <w:p w14:paraId="224C0BBC">
            <w:pPr>
              <w:bidi w:val="0"/>
              <w:rPr>
                <w:rFonts w:hint="eastAsia" w:eastAsia="宋体"/>
                <w:lang w:eastAsia="zh-CN"/>
              </w:rPr>
            </w:pPr>
            <w:r>
              <w:rPr>
                <w:rFonts w:hint="eastAsia" w:eastAsia="宋体"/>
                <w:lang w:val="en-US" w:eastAsia="zh-CN"/>
              </w:rPr>
              <w:t>20、</w:t>
            </w:r>
            <w:r>
              <w:t>工作环境</w:t>
            </w:r>
            <w:r>
              <w:rPr>
                <w:rFonts w:hint="eastAsia" w:eastAsia="宋体"/>
                <w:lang w:eastAsia="zh-CN"/>
              </w:rPr>
              <w:t>：</w:t>
            </w:r>
            <w:r>
              <w:t>工作温度</w:t>
            </w:r>
            <w:r>
              <w:rPr>
                <w:rFonts w:hint="eastAsia"/>
              </w:rPr>
              <w:t>≥</w:t>
            </w:r>
            <w:r>
              <w:t>-40℃～+70℃，工作湿度</w:t>
            </w:r>
            <w:r>
              <w:rPr>
                <w:rFonts w:hint="eastAsia"/>
              </w:rPr>
              <w:t>≥</w:t>
            </w:r>
            <w:r>
              <w:t>10%～90%</w:t>
            </w:r>
            <w:r>
              <w:rPr>
                <w:rFonts w:hint="eastAsia" w:eastAsia="宋体"/>
                <w:lang w:eastAsia="zh-CN"/>
              </w:rPr>
              <w:t>，</w:t>
            </w:r>
            <w:r>
              <w:t>防护等级 IP66</w:t>
            </w:r>
            <w:r>
              <w:rPr>
                <w:rFonts w:hint="eastAsia" w:eastAsia="宋体"/>
                <w:lang w:eastAsia="zh-CN"/>
              </w:rPr>
              <w:t>。</w:t>
            </w:r>
          </w:p>
          <w:p w14:paraId="1A194171">
            <w:pPr>
              <w:bidi w:val="0"/>
              <w:rPr>
                <w:rFonts w:hint="eastAsia" w:eastAsia="宋体"/>
                <w:lang w:eastAsia="zh-CN"/>
              </w:rPr>
            </w:pPr>
            <w:r>
              <w:rPr>
                <w:rFonts w:hint="eastAsia" w:eastAsia="宋体"/>
                <w:lang w:val="en-US" w:eastAsia="zh-CN"/>
              </w:rPr>
              <w:t>21、</w:t>
            </w:r>
            <w:r>
              <w:t>安装方式</w:t>
            </w:r>
            <w:r>
              <w:rPr>
                <w:rFonts w:hint="eastAsia" w:eastAsia="宋体"/>
                <w:lang w:eastAsia="zh-CN"/>
              </w:rPr>
              <w:t>：</w:t>
            </w:r>
            <w:r>
              <w:t>正装（支架旋转角度</w:t>
            </w:r>
            <w:r>
              <w:rPr>
                <w:rFonts w:hint="eastAsia"/>
              </w:rPr>
              <w:t>≥</w:t>
            </w:r>
            <w:r>
              <w:t>-90°~+90°）</w:t>
            </w:r>
            <w:r>
              <w:rPr>
                <w:rFonts w:hint="eastAsia" w:eastAsia="宋体"/>
                <w:lang w:eastAsia="zh-CN"/>
              </w:rPr>
              <w:t>。</w:t>
            </w:r>
          </w:p>
        </w:tc>
        <w:tc>
          <w:tcPr>
            <w:tcW w:w="308" w:type="pct"/>
            <w:vAlign w:val="center"/>
          </w:tcPr>
          <w:p w14:paraId="1742E4A8">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22</w:t>
            </w:r>
          </w:p>
        </w:tc>
        <w:tc>
          <w:tcPr>
            <w:tcW w:w="300" w:type="pct"/>
            <w:vAlign w:val="center"/>
          </w:tcPr>
          <w:p w14:paraId="282AF85F">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个</w:t>
            </w:r>
          </w:p>
        </w:tc>
      </w:tr>
      <w:tr w14:paraId="6523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75172701">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3</w:t>
            </w:r>
          </w:p>
        </w:tc>
        <w:tc>
          <w:tcPr>
            <w:tcW w:w="1114" w:type="pct"/>
            <w:vAlign w:val="center"/>
          </w:tcPr>
          <w:p w14:paraId="2F351E60">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常亮灯</w:t>
            </w:r>
          </w:p>
        </w:tc>
        <w:tc>
          <w:tcPr>
            <w:tcW w:w="2976" w:type="pct"/>
            <w:vAlign w:val="center"/>
          </w:tcPr>
          <w:p w14:paraId="765CCF03">
            <w:pPr>
              <w:bidi w:val="0"/>
            </w:pPr>
            <w:r>
              <w:t>【16颗】【暖光】</w:t>
            </w:r>
          </w:p>
          <w:p w14:paraId="718937DF">
            <w:pPr>
              <w:bidi w:val="0"/>
              <w:rPr>
                <w:rFonts w:hint="eastAsia" w:eastAsia="宋体"/>
                <w:lang w:eastAsia="zh-CN"/>
              </w:rPr>
            </w:pPr>
            <w:r>
              <w:rPr>
                <w:rFonts w:hint="eastAsia" w:eastAsia="宋体"/>
                <w:lang w:val="en-US" w:eastAsia="zh-CN"/>
              </w:rPr>
              <w:t>1、</w:t>
            </w:r>
            <w:r>
              <w:t xml:space="preserve">光源类型：优质大功率LED，三车道车牌补光灯 </w:t>
            </w:r>
            <w:r>
              <w:rPr>
                <w:rFonts w:hint="eastAsia" w:eastAsia="宋体"/>
                <w:lang w:eastAsia="zh-CN"/>
              </w:rPr>
              <w:t>，</w:t>
            </w:r>
            <w:r>
              <w:t>LED灯珠数量：</w:t>
            </w:r>
            <w:r>
              <w:rPr>
                <w:rFonts w:hint="eastAsia"/>
              </w:rPr>
              <w:t>≥</w:t>
            </w:r>
            <w:r>
              <w:t>16颗</w:t>
            </w:r>
            <w:r>
              <w:rPr>
                <w:rFonts w:hint="eastAsia" w:eastAsia="宋体"/>
                <w:lang w:eastAsia="zh-CN"/>
              </w:rPr>
              <w:t>。</w:t>
            </w:r>
          </w:p>
          <w:p w14:paraId="17BBB7BA">
            <w:pPr>
              <w:bidi w:val="0"/>
              <w:rPr>
                <w:rFonts w:hint="eastAsia" w:eastAsia="宋体"/>
                <w:lang w:eastAsia="zh-CN"/>
              </w:rPr>
            </w:pPr>
            <w:r>
              <w:rPr>
                <w:rFonts w:hint="eastAsia" w:eastAsia="宋体"/>
                <w:lang w:val="en-US" w:eastAsia="zh-CN"/>
              </w:rPr>
              <w:t>2、</w:t>
            </w:r>
            <w:r>
              <w:t>发光角度：</w:t>
            </w:r>
            <w:r>
              <w:rPr>
                <w:rFonts w:hint="eastAsia"/>
              </w:rPr>
              <w:t>≥</w:t>
            </w:r>
            <w:r>
              <w:t>40°</w:t>
            </w:r>
            <w:r>
              <w:rPr>
                <w:rFonts w:hint="eastAsia" w:eastAsia="宋体"/>
                <w:lang w:eastAsia="zh-CN"/>
              </w:rPr>
              <w:t>。</w:t>
            </w:r>
          </w:p>
          <w:p w14:paraId="54FC17AE">
            <w:pPr>
              <w:bidi w:val="0"/>
              <w:rPr>
                <w:rFonts w:hint="eastAsia" w:eastAsia="宋体"/>
                <w:lang w:eastAsia="zh-CN"/>
              </w:rPr>
            </w:pPr>
            <w:r>
              <w:rPr>
                <w:rFonts w:hint="eastAsia" w:eastAsia="宋体"/>
                <w:lang w:val="en-US" w:eastAsia="zh-CN"/>
              </w:rPr>
              <w:t>3、</w:t>
            </w:r>
            <w:r>
              <w:t>最佳补光距离：</w:t>
            </w:r>
            <w:r>
              <w:rPr>
                <w:rFonts w:hint="eastAsia"/>
              </w:rPr>
              <w:t>≥</w:t>
            </w:r>
            <w:r>
              <w:t>16米-25米</w:t>
            </w:r>
            <w:r>
              <w:rPr>
                <w:rFonts w:hint="eastAsia" w:eastAsia="宋体"/>
                <w:lang w:eastAsia="zh-CN"/>
              </w:rPr>
              <w:t>。</w:t>
            </w:r>
          </w:p>
          <w:p w14:paraId="7E0D8E70">
            <w:pPr>
              <w:bidi w:val="0"/>
              <w:rPr>
                <w:rFonts w:hint="eastAsia" w:eastAsia="宋体"/>
                <w:lang w:eastAsia="zh-CN"/>
              </w:rPr>
            </w:pPr>
            <w:r>
              <w:rPr>
                <w:rFonts w:hint="eastAsia" w:eastAsia="宋体"/>
                <w:lang w:val="en-US" w:eastAsia="zh-CN"/>
              </w:rPr>
              <w:t>4、</w:t>
            </w:r>
            <w:r>
              <w:t>触发方式：电平量触发(可选配开关量触发)响应时间：小于20us</w:t>
            </w:r>
            <w:r>
              <w:rPr>
                <w:rFonts w:hint="eastAsia" w:eastAsia="宋体"/>
                <w:lang w:eastAsia="zh-CN"/>
              </w:rPr>
              <w:t>。</w:t>
            </w:r>
          </w:p>
          <w:p w14:paraId="03001B41">
            <w:pPr>
              <w:bidi w:val="0"/>
              <w:rPr>
                <w:rFonts w:hint="eastAsia" w:eastAsia="宋体"/>
                <w:lang w:eastAsia="zh-CN"/>
              </w:rPr>
            </w:pPr>
            <w:r>
              <w:rPr>
                <w:rFonts w:hint="eastAsia" w:eastAsia="宋体"/>
                <w:lang w:val="en-US" w:eastAsia="zh-CN"/>
              </w:rPr>
              <w:t>5、</w:t>
            </w:r>
            <w:r>
              <w:t>触发信号电平：</w:t>
            </w:r>
            <w:r>
              <w:rPr>
                <w:rFonts w:hint="eastAsia"/>
              </w:rPr>
              <w:t>≥</w:t>
            </w:r>
            <w:r>
              <w:t>4V-6V防护等级：</w:t>
            </w:r>
            <w:r>
              <w:rPr>
                <w:rFonts w:hint="eastAsia"/>
              </w:rPr>
              <w:t>≥</w:t>
            </w:r>
            <w:r>
              <w:t>IP66</w:t>
            </w:r>
            <w:r>
              <w:rPr>
                <w:rFonts w:hint="eastAsia" w:eastAsia="宋体"/>
                <w:lang w:eastAsia="zh-CN"/>
              </w:rPr>
              <w:t>。</w:t>
            </w:r>
          </w:p>
          <w:p w14:paraId="29625FA7">
            <w:pPr>
              <w:bidi w:val="0"/>
              <w:rPr>
                <w:rFonts w:hint="eastAsia" w:ascii="宋体" w:hAnsi="宋体" w:eastAsia="宋体" w:cs="宋体"/>
                <w:color w:val="auto"/>
                <w:kern w:val="0"/>
                <w:szCs w:val="21"/>
                <w:lang w:eastAsia="zh-CN"/>
              </w:rPr>
            </w:pPr>
            <w:r>
              <w:rPr>
                <w:rFonts w:hint="eastAsia" w:eastAsia="宋体"/>
                <w:lang w:val="en-US" w:eastAsia="zh-CN"/>
              </w:rPr>
              <w:t>6、</w:t>
            </w:r>
            <w:r>
              <w:t>功率：最大功率</w:t>
            </w:r>
            <w:r>
              <w:rPr>
                <w:rFonts w:hint="eastAsia"/>
              </w:rPr>
              <w:t>≥</w:t>
            </w:r>
            <w:r>
              <w:t>36W</w:t>
            </w:r>
            <w:r>
              <w:rPr>
                <w:rFonts w:hint="eastAsia" w:eastAsia="宋体"/>
                <w:lang w:eastAsia="zh-CN"/>
              </w:rPr>
              <w:t>。</w:t>
            </w:r>
          </w:p>
        </w:tc>
        <w:tc>
          <w:tcPr>
            <w:tcW w:w="308" w:type="pct"/>
            <w:vAlign w:val="center"/>
          </w:tcPr>
          <w:p w14:paraId="52E03928">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22</w:t>
            </w:r>
          </w:p>
        </w:tc>
        <w:tc>
          <w:tcPr>
            <w:tcW w:w="300" w:type="pct"/>
            <w:vAlign w:val="center"/>
          </w:tcPr>
          <w:p w14:paraId="06843866">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个</w:t>
            </w:r>
          </w:p>
        </w:tc>
      </w:tr>
      <w:tr w14:paraId="4D39A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38C2B280">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4</w:t>
            </w:r>
          </w:p>
        </w:tc>
        <w:tc>
          <w:tcPr>
            <w:tcW w:w="1114" w:type="pct"/>
            <w:vAlign w:val="center"/>
          </w:tcPr>
          <w:p w14:paraId="4C834253">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边缘脸谱</w:t>
            </w:r>
          </w:p>
        </w:tc>
        <w:tc>
          <w:tcPr>
            <w:tcW w:w="2976" w:type="pct"/>
            <w:vAlign w:val="center"/>
          </w:tcPr>
          <w:p w14:paraId="7648ADD5">
            <w:pPr>
              <w:bidi w:val="0"/>
            </w:pPr>
            <w:r>
              <w:t>【智能应用】</w:t>
            </w:r>
          </w:p>
          <w:p w14:paraId="40DFBA4D">
            <w:pPr>
              <w:bidi w:val="0"/>
              <w:rPr>
                <w:rFonts w:hint="eastAsia" w:eastAsia="宋体"/>
                <w:lang w:eastAsia="zh-CN"/>
              </w:rPr>
            </w:pPr>
            <w:r>
              <w:rPr>
                <w:rFonts w:hint="eastAsia" w:eastAsia="宋体"/>
                <w:lang w:val="en-US" w:eastAsia="zh-CN"/>
              </w:rPr>
              <w:t>1、</w:t>
            </w:r>
            <w:r>
              <w:t>支持人脸算法</w:t>
            </w:r>
            <w:r>
              <w:rPr>
                <w:rFonts w:hint="eastAsia" w:eastAsia="宋体"/>
                <w:lang w:eastAsia="zh-CN"/>
              </w:rPr>
              <w:t>。</w:t>
            </w:r>
          </w:p>
          <w:p w14:paraId="154834BE">
            <w:pPr>
              <w:bidi w:val="0"/>
              <w:rPr>
                <w:rFonts w:hint="eastAsia" w:eastAsia="宋体"/>
                <w:lang w:val="en-US" w:eastAsia="zh-CN"/>
              </w:rPr>
            </w:pPr>
            <w:r>
              <w:rPr>
                <w:rFonts w:hint="eastAsia" w:eastAsia="宋体"/>
                <w:lang w:val="en-US" w:eastAsia="zh-CN"/>
              </w:rPr>
              <w:t>2、</w:t>
            </w:r>
            <w:r>
              <w:t>人员管理：名单库管理、名单人员管理、身份确认、目标布控、人员聚类、人员档案</w:t>
            </w:r>
            <w:r>
              <w:rPr>
                <w:rFonts w:hint="eastAsia" w:eastAsia="宋体"/>
                <w:lang w:eastAsia="zh-CN"/>
              </w:rPr>
              <w:t>。</w:t>
            </w:r>
          </w:p>
          <w:p w14:paraId="35162AE4">
            <w:pPr>
              <w:bidi w:val="0"/>
              <w:rPr>
                <w:rFonts w:hint="eastAsia" w:eastAsia="宋体"/>
                <w:lang w:eastAsia="zh-CN"/>
              </w:rPr>
            </w:pPr>
            <w:r>
              <w:rPr>
                <w:rFonts w:hint="eastAsia" w:eastAsia="宋体"/>
                <w:lang w:val="en-US" w:eastAsia="zh-CN"/>
              </w:rPr>
              <w:t>3、</w:t>
            </w:r>
            <w:r>
              <w:t>智能分析：实况视频流分析、历史视频流分析、离线视频文件分析、实时图片分析、离线图片分析</w:t>
            </w:r>
            <w:r>
              <w:rPr>
                <w:rFonts w:hint="eastAsia" w:eastAsia="宋体"/>
                <w:lang w:eastAsia="zh-CN"/>
              </w:rPr>
              <w:t>。</w:t>
            </w:r>
          </w:p>
          <w:p w14:paraId="55BE211A">
            <w:pPr>
              <w:bidi w:val="0"/>
              <w:rPr>
                <w:rFonts w:hint="eastAsia" w:eastAsia="宋体"/>
                <w:lang w:eastAsia="zh-CN"/>
              </w:rPr>
            </w:pPr>
            <w:r>
              <w:rPr>
                <w:rFonts w:hint="eastAsia" w:eastAsia="宋体"/>
                <w:lang w:val="en-US" w:eastAsia="zh-CN"/>
              </w:rPr>
              <w:t>4、</w:t>
            </w:r>
            <w:r>
              <w:t>智能报警：名单报警、陌生人报警、高频报警、低频报警</w:t>
            </w:r>
            <w:r>
              <w:rPr>
                <w:rFonts w:hint="eastAsia" w:eastAsia="宋体"/>
                <w:lang w:eastAsia="zh-CN"/>
              </w:rPr>
              <w:t>。</w:t>
            </w:r>
          </w:p>
          <w:p w14:paraId="50C1EEC3">
            <w:pPr>
              <w:bidi w:val="0"/>
              <w:rPr>
                <w:rFonts w:hint="eastAsia" w:eastAsia="宋体"/>
                <w:lang w:eastAsia="zh-CN"/>
              </w:rPr>
            </w:pPr>
            <w:r>
              <w:rPr>
                <w:rFonts w:hint="eastAsia" w:eastAsia="宋体"/>
                <w:lang w:val="en-US" w:eastAsia="zh-CN"/>
              </w:rPr>
              <w:t>5、</w:t>
            </w:r>
            <w:r>
              <w:t>智能应用：1V1比对、属性检索、以图搜图、布控</w:t>
            </w:r>
            <w:r>
              <w:rPr>
                <w:rFonts w:hint="eastAsia" w:eastAsia="宋体"/>
                <w:lang w:eastAsia="zh-CN"/>
              </w:rPr>
              <w:t>。</w:t>
            </w:r>
          </w:p>
          <w:p w14:paraId="05813FAA">
            <w:pPr>
              <w:bidi w:val="0"/>
              <w:rPr>
                <w:rFonts w:hint="eastAsia" w:eastAsia="宋体"/>
                <w:lang w:eastAsia="zh-CN"/>
              </w:rPr>
            </w:pPr>
            <w:r>
              <w:rPr>
                <w:rFonts w:hint="eastAsia" w:eastAsia="宋体"/>
                <w:lang w:val="en-US" w:eastAsia="zh-CN"/>
              </w:rPr>
              <w:t>6、</w:t>
            </w:r>
            <w:r>
              <w:t>▲</w:t>
            </w:r>
            <w:r>
              <w:rPr>
                <w:rFonts w:hint="eastAsia"/>
              </w:rPr>
              <w:t>支持检出水平转动不超过±</w:t>
            </w:r>
            <w:r>
              <w:t>60°、俯仰角不超过±45°角度的人脸，支持检出右斜向上、右斜向下、左斜向上、左斜向下角度的人脸，支持检出微笑、大笑、瞪眼、闭眼、张嘴、歪嘴、吐舌头等表情的人脸，支持检出齐刘海遮挡眉毛、头发遮挡眼睛、戴普通眼镜、戴墨镜、戴彩色眼镜、戴棒球帽、戴雷锋帽、戴普通帽子、戴头戴式耳机、披肩长发、长刘海等遮挡方式的人脸，支持检出面部过曝、面部欠曝、阴阳脸、逆光等不同光照条件下人脸</w:t>
            </w:r>
            <w:r>
              <w:rPr>
                <w:rFonts w:hint="eastAsia" w:eastAsia="宋体"/>
                <w:lang w:eastAsia="zh-CN"/>
              </w:rPr>
              <w:t>。</w:t>
            </w:r>
          </w:p>
          <w:p w14:paraId="4460636B">
            <w:pPr>
              <w:bidi w:val="0"/>
              <w:rPr>
                <w:rFonts w:hint="eastAsia" w:eastAsia="宋体"/>
                <w:lang w:eastAsia="zh-CN"/>
              </w:rPr>
            </w:pPr>
            <w:r>
              <w:rPr>
                <w:rFonts w:hint="eastAsia" w:eastAsia="宋体"/>
                <w:lang w:val="en-US" w:eastAsia="zh-CN"/>
              </w:rPr>
              <w:t>7、</w:t>
            </w:r>
            <w:r>
              <w:t>▲</w:t>
            </w:r>
            <w:r>
              <w:rPr>
                <w:rFonts w:hint="eastAsia"/>
              </w:rPr>
              <w:t>支持识别人脸年龄段，童年、少年、青年、中年、老年，单人图片人脸年龄段检出率不低于</w:t>
            </w:r>
            <w:r>
              <w:t>95%；支持批量导入人脸静态库，支持静态库人脸图片信息修改，静态库支持不少于100万张库容，100万静态库检索速度不超过1秒，100万静态库检索首位命中率不低于99%</w:t>
            </w:r>
            <w:r>
              <w:rPr>
                <w:rFonts w:hint="eastAsia" w:eastAsia="宋体"/>
                <w:lang w:eastAsia="zh-CN"/>
              </w:rPr>
              <w:t>。</w:t>
            </w:r>
          </w:p>
          <w:p w14:paraId="75DF719A">
            <w:pPr>
              <w:bidi w:val="0"/>
              <w:rPr>
                <w:rFonts w:hint="eastAsia" w:eastAsia="宋体"/>
                <w:lang w:eastAsia="zh-CN"/>
              </w:rPr>
            </w:pPr>
            <w:r>
              <w:rPr>
                <w:rFonts w:hint="eastAsia" w:eastAsia="宋体"/>
                <w:lang w:val="en-US" w:eastAsia="zh-CN"/>
              </w:rPr>
              <w:t>8、</w:t>
            </w:r>
            <w:r>
              <w:t>▲</w:t>
            </w:r>
            <w:r>
              <w:rPr>
                <w:rFonts w:hint="eastAsia"/>
              </w:rPr>
              <w:t>名单库报警：支持在特定条件下，设备对抓拍的人脸图片进行分析，将分析后的结果与关联的名单库进行比较，比对成功时触发报警，并产生报警提示，支持报警界面同时显示名单库图片信息与报警图片结构化信息，名单库实时报警响应速度不超过</w:t>
            </w:r>
            <w:r>
              <w:t>1秒，名单库实时报警首位命中准确率不低于99%，名单库实时报警误报率不超过0.01%，名单库实时漏报率不超过0.1%，支持名单库报警历史信息查询、导出</w:t>
            </w:r>
            <w:r>
              <w:rPr>
                <w:rFonts w:hint="eastAsia" w:eastAsia="宋体"/>
                <w:lang w:eastAsia="zh-CN"/>
              </w:rPr>
              <w:t>。</w:t>
            </w:r>
          </w:p>
          <w:p w14:paraId="01292237">
            <w:pPr>
              <w:bidi w:val="0"/>
            </w:pPr>
            <w:r>
              <w:rPr>
                <w:rFonts w:hint="eastAsia" w:eastAsia="宋体"/>
                <w:lang w:val="en-US" w:eastAsia="zh-CN"/>
              </w:rPr>
              <w:t>9、</w:t>
            </w:r>
            <w:r>
              <w:t>产品性能：</w:t>
            </w:r>
          </w:p>
          <w:p w14:paraId="26AB3931">
            <w:pPr>
              <w:bidi w:val="0"/>
              <w:rPr>
                <w:rFonts w:hint="eastAsia" w:eastAsia="宋体"/>
                <w:lang w:eastAsia="zh-CN"/>
              </w:rPr>
            </w:pPr>
            <w:r>
              <w:t>视频流：整机最大支持</w:t>
            </w:r>
            <w:r>
              <w:rPr>
                <w:rFonts w:hint="eastAsia"/>
              </w:rPr>
              <w:t>≥</w:t>
            </w:r>
            <w:r>
              <w:t>4路（200万像素）</w:t>
            </w:r>
            <w:r>
              <w:rPr>
                <w:rFonts w:hint="eastAsia" w:eastAsia="宋体"/>
                <w:lang w:eastAsia="zh-CN"/>
              </w:rPr>
              <w:t>；</w:t>
            </w:r>
          </w:p>
          <w:p w14:paraId="2D83D488">
            <w:pPr>
              <w:bidi w:val="0"/>
              <w:rPr>
                <w:rFonts w:hint="eastAsia" w:eastAsia="宋体"/>
                <w:lang w:eastAsia="zh-CN"/>
              </w:rPr>
            </w:pPr>
            <w:r>
              <w:t>图片流：整机最大支持</w:t>
            </w:r>
            <w:r>
              <w:rPr>
                <w:rFonts w:hint="eastAsia"/>
              </w:rPr>
              <w:t>≥</w:t>
            </w:r>
            <w:r>
              <w:t>20张/秒，</w:t>
            </w:r>
            <w:r>
              <w:rPr>
                <w:rFonts w:hint="eastAsia"/>
              </w:rPr>
              <w:t>≥</w:t>
            </w:r>
            <w:r>
              <w:t>3对/秒人脸图片1V1（单机接入≤20路抓拍机）历史流：支持导入录像分析（可同步开启布控）</w:t>
            </w:r>
            <w:r>
              <w:rPr>
                <w:rFonts w:hint="eastAsia" w:eastAsia="宋体"/>
                <w:lang w:eastAsia="zh-CN"/>
              </w:rPr>
              <w:t>；</w:t>
            </w:r>
          </w:p>
          <w:p w14:paraId="70B548A3">
            <w:pPr>
              <w:bidi w:val="0"/>
              <w:rPr>
                <w:rFonts w:hint="eastAsia" w:eastAsia="宋体"/>
                <w:lang w:eastAsia="zh-CN"/>
              </w:rPr>
            </w:pPr>
            <w:r>
              <w:t>支持</w:t>
            </w:r>
            <w:r>
              <w:rPr>
                <w:rFonts w:hint="eastAsia"/>
              </w:rPr>
              <w:t>≥</w:t>
            </w:r>
            <w:r>
              <w:t>100万人脸静态库，</w:t>
            </w:r>
            <w:r>
              <w:rPr>
                <w:rFonts w:hint="eastAsia"/>
              </w:rPr>
              <w:t>≥</w:t>
            </w:r>
            <w:r>
              <w:t>100万人脸名单库比对报警，</w:t>
            </w:r>
            <w:r>
              <w:rPr>
                <w:rFonts w:hint="eastAsia"/>
              </w:rPr>
              <w:t>≥</w:t>
            </w:r>
            <w:r>
              <w:t>128个名单库，</w:t>
            </w:r>
            <w:r>
              <w:rPr>
                <w:rFonts w:hint="eastAsia"/>
              </w:rPr>
              <w:t>≥</w:t>
            </w:r>
            <w:r>
              <w:t>100万条图片、结构化属性、模型存储</w:t>
            </w:r>
            <w:r>
              <w:rPr>
                <w:rFonts w:hint="eastAsia" w:eastAsia="宋体"/>
                <w:lang w:eastAsia="zh-CN"/>
              </w:rPr>
              <w:t>；</w:t>
            </w:r>
          </w:p>
          <w:p w14:paraId="32B65BD2">
            <w:pPr>
              <w:bidi w:val="0"/>
              <w:rPr>
                <w:rFonts w:hint="eastAsia" w:eastAsia="宋体"/>
                <w:lang w:eastAsia="zh-CN"/>
              </w:rPr>
            </w:pPr>
            <w:r>
              <w:rPr>
                <w:rFonts w:hint="eastAsia" w:eastAsia="宋体"/>
                <w:lang w:val="en-US" w:eastAsia="zh-CN"/>
              </w:rPr>
              <w:t>10、</w:t>
            </w:r>
            <w:r>
              <w:t>▲</w:t>
            </w:r>
            <w:r>
              <w:rPr>
                <w:rFonts w:hint="eastAsia"/>
              </w:rPr>
              <w:t>支持名单库容量</w:t>
            </w:r>
            <w:r>
              <w:t>100万张图片，支持将名单库分为128个库分别管理，每个库设置不同报警阈值或关联相机，一个人脸检测结果，系统存储的人像特征数据大小不大于1K字节</w:t>
            </w:r>
            <w:r>
              <w:rPr>
                <w:rFonts w:hint="eastAsia" w:eastAsia="宋体"/>
                <w:lang w:eastAsia="zh-CN"/>
              </w:rPr>
              <w:t>。</w:t>
            </w:r>
          </w:p>
          <w:p w14:paraId="02BCBD76">
            <w:pPr>
              <w:bidi w:val="0"/>
            </w:pPr>
            <w:r>
              <w:rPr>
                <w:rFonts w:hint="eastAsia" w:eastAsia="宋体"/>
                <w:lang w:val="en-US" w:eastAsia="zh-CN"/>
              </w:rPr>
              <w:t>11、</w:t>
            </w:r>
            <w:r>
              <w:t>硬件规格：</w:t>
            </w:r>
          </w:p>
          <w:p w14:paraId="72B37B7A">
            <w:pPr>
              <w:bidi w:val="0"/>
              <w:rPr>
                <w:rFonts w:hint="eastAsia" w:eastAsia="宋体"/>
                <w:lang w:eastAsia="zh-CN"/>
              </w:rPr>
            </w:pPr>
            <w:r>
              <w:t>处理器：</w:t>
            </w:r>
            <w:r>
              <w:rPr>
                <w:rFonts w:hint="eastAsia"/>
              </w:rPr>
              <w:t>≥</w:t>
            </w:r>
            <w:r>
              <w:t>1颗8核CPU，最大2.50GHz GPU：</w:t>
            </w:r>
            <w:r>
              <w:rPr>
                <w:rFonts w:hint="eastAsia"/>
              </w:rPr>
              <w:t>≥</w:t>
            </w:r>
            <w:r>
              <w:t>1颗AI芯片</w:t>
            </w:r>
            <w:r>
              <w:rPr>
                <w:rFonts w:hint="eastAsia" w:eastAsia="宋体"/>
                <w:lang w:eastAsia="zh-CN"/>
              </w:rPr>
              <w:t>；</w:t>
            </w:r>
          </w:p>
          <w:p w14:paraId="4A303EC8">
            <w:pPr>
              <w:bidi w:val="0"/>
              <w:rPr>
                <w:rFonts w:hint="eastAsia" w:eastAsia="宋体"/>
                <w:lang w:eastAsia="zh-CN"/>
              </w:rPr>
            </w:pPr>
            <w:r>
              <w:t>系统内存：</w:t>
            </w:r>
            <w:r>
              <w:rPr>
                <w:rFonts w:hint="eastAsia"/>
              </w:rPr>
              <w:t>≥</w:t>
            </w:r>
            <w:r>
              <w:t>2×8GB DDR4内存</w:t>
            </w:r>
            <w:r>
              <w:rPr>
                <w:rFonts w:hint="eastAsia" w:eastAsia="宋体"/>
                <w:lang w:eastAsia="zh-CN"/>
              </w:rPr>
              <w:t>；</w:t>
            </w:r>
          </w:p>
          <w:p w14:paraId="6F817A1E">
            <w:pPr>
              <w:bidi w:val="0"/>
              <w:rPr>
                <w:rFonts w:hint="eastAsia" w:eastAsia="宋体"/>
                <w:lang w:eastAsia="zh-CN"/>
              </w:rPr>
            </w:pPr>
            <w:r>
              <w:t>硬盘：</w:t>
            </w:r>
            <w:r>
              <w:rPr>
                <w:rFonts w:hint="eastAsia"/>
              </w:rPr>
              <w:t>≥</w:t>
            </w:r>
            <w:r>
              <w:t>1× 256GB SSD，</w:t>
            </w:r>
            <w:r>
              <w:rPr>
                <w:rFonts w:hint="eastAsia"/>
              </w:rPr>
              <w:t>≥</w:t>
            </w:r>
            <w:r>
              <w:t>1× 4TB SATA</w:t>
            </w:r>
            <w:r>
              <w:rPr>
                <w:rFonts w:hint="eastAsia" w:eastAsia="宋体"/>
                <w:lang w:eastAsia="zh-CN"/>
              </w:rPr>
              <w:t>；</w:t>
            </w:r>
          </w:p>
          <w:p w14:paraId="4306C855">
            <w:pPr>
              <w:bidi w:val="0"/>
              <w:rPr>
                <w:rFonts w:hint="eastAsia" w:eastAsia="宋体"/>
                <w:lang w:eastAsia="zh-CN"/>
              </w:rPr>
            </w:pPr>
            <w:r>
              <w:t>网络接口：</w:t>
            </w:r>
            <w:r>
              <w:rPr>
                <w:rFonts w:hint="eastAsia"/>
              </w:rPr>
              <w:t>≥</w:t>
            </w:r>
            <w:r>
              <w:t>2×RJ45千兆网络接口</w:t>
            </w:r>
            <w:r>
              <w:rPr>
                <w:rFonts w:hint="eastAsia" w:eastAsia="宋体"/>
                <w:lang w:eastAsia="zh-CN"/>
              </w:rPr>
              <w:t>；</w:t>
            </w:r>
          </w:p>
          <w:p w14:paraId="0705848D">
            <w:pPr>
              <w:bidi w:val="0"/>
              <w:rPr>
                <w:rFonts w:hint="eastAsia" w:eastAsia="宋体"/>
                <w:lang w:eastAsia="zh-CN"/>
              </w:rPr>
            </w:pPr>
            <w:r>
              <w:t>其它接口：</w:t>
            </w:r>
            <w:r>
              <w:rPr>
                <w:rFonts w:hint="eastAsia"/>
              </w:rPr>
              <w:t>≥</w:t>
            </w:r>
            <w:r>
              <w:t>6×USB接口，</w:t>
            </w:r>
            <w:r>
              <w:rPr>
                <w:rFonts w:hint="eastAsia"/>
              </w:rPr>
              <w:t>≥</w:t>
            </w:r>
            <w:r>
              <w:t>1×VGA接口，</w:t>
            </w:r>
            <w:r>
              <w:rPr>
                <w:rFonts w:hint="eastAsia"/>
              </w:rPr>
              <w:t>≥</w:t>
            </w:r>
            <w:r>
              <w:t>1×RS232串口</w:t>
            </w:r>
            <w:r>
              <w:rPr>
                <w:rFonts w:hint="eastAsia" w:eastAsia="宋体"/>
                <w:lang w:eastAsia="zh-CN"/>
              </w:rPr>
              <w:t>；</w:t>
            </w:r>
          </w:p>
          <w:p w14:paraId="1CAA78BF">
            <w:pPr>
              <w:bidi w:val="0"/>
              <w:rPr>
                <w:rFonts w:hint="eastAsia" w:eastAsia="宋体"/>
                <w:spacing w:val="-4"/>
                <w:lang w:eastAsia="zh-CN"/>
              </w:rPr>
            </w:pPr>
            <w:r>
              <w:t>整机电源：</w:t>
            </w:r>
            <w:r>
              <w:rPr>
                <w:rFonts w:hint="eastAsia"/>
              </w:rPr>
              <w:t>≥</w:t>
            </w:r>
            <w:r>
              <w:t>250W固定电源</w:t>
            </w:r>
            <w:r>
              <w:rPr>
                <w:rFonts w:hint="eastAsia" w:eastAsia="宋体"/>
                <w:lang w:eastAsia="zh-CN"/>
              </w:rPr>
              <w:t>。</w:t>
            </w:r>
          </w:p>
        </w:tc>
        <w:tc>
          <w:tcPr>
            <w:tcW w:w="308" w:type="pct"/>
            <w:vAlign w:val="center"/>
          </w:tcPr>
          <w:p w14:paraId="3432E54D">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w:t>
            </w:r>
          </w:p>
        </w:tc>
        <w:tc>
          <w:tcPr>
            <w:tcW w:w="300" w:type="pct"/>
            <w:vAlign w:val="center"/>
          </w:tcPr>
          <w:p w14:paraId="7991D5C7">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台</w:t>
            </w:r>
          </w:p>
        </w:tc>
      </w:tr>
      <w:tr w14:paraId="0572B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3E6CBA05">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5</w:t>
            </w:r>
          </w:p>
        </w:tc>
        <w:tc>
          <w:tcPr>
            <w:tcW w:w="1114" w:type="pct"/>
            <w:vAlign w:val="center"/>
          </w:tcPr>
          <w:p w14:paraId="543B020B">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存储卡256G 高速卡</w:t>
            </w:r>
          </w:p>
        </w:tc>
        <w:tc>
          <w:tcPr>
            <w:tcW w:w="2976" w:type="pct"/>
            <w:vAlign w:val="top"/>
          </w:tcPr>
          <w:p w14:paraId="1C559511">
            <w:pPr>
              <w:bidi w:val="0"/>
              <w:rPr>
                <w:rFonts w:hint="eastAsia"/>
              </w:rPr>
            </w:pPr>
            <w:r>
              <w:t>存储卡256G，Class10高速卡</w:t>
            </w:r>
          </w:p>
        </w:tc>
        <w:tc>
          <w:tcPr>
            <w:tcW w:w="308" w:type="pct"/>
            <w:vAlign w:val="center"/>
          </w:tcPr>
          <w:p w14:paraId="37B5F985">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22</w:t>
            </w:r>
          </w:p>
        </w:tc>
        <w:tc>
          <w:tcPr>
            <w:tcW w:w="300" w:type="pct"/>
            <w:vAlign w:val="center"/>
          </w:tcPr>
          <w:p w14:paraId="14D6CF21">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张</w:t>
            </w:r>
          </w:p>
        </w:tc>
      </w:tr>
      <w:tr w14:paraId="1336A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21363C03">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6</w:t>
            </w:r>
          </w:p>
        </w:tc>
        <w:tc>
          <w:tcPr>
            <w:tcW w:w="1114" w:type="pct"/>
            <w:vAlign w:val="center"/>
          </w:tcPr>
          <w:p w14:paraId="189B9CEA">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监控杆件</w:t>
            </w:r>
          </w:p>
        </w:tc>
        <w:tc>
          <w:tcPr>
            <w:tcW w:w="2976" w:type="pct"/>
            <w:vAlign w:val="top"/>
          </w:tcPr>
          <w:p w14:paraId="3991B42A">
            <w:pPr>
              <w:bidi w:val="0"/>
            </w:pPr>
            <w:r>
              <w:t>1、材质为Q235材质，杆表面热镀锌处理后表面聚脂粉体涂装。</w:t>
            </w:r>
          </w:p>
          <w:p w14:paraId="12092212">
            <w:pPr>
              <w:bidi w:val="0"/>
            </w:pPr>
            <w:r>
              <w:t>2、主杆为八角杆，</w:t>
            </w:r>
          </w:p>
          <w:p w14:paraId="01F22A0E">
            <w:pPr>
              <w:bidi w:val="0"/>
              <w:rPr>
                <w:rFonts w:hint="eastAsia" w:eastAsia="宋体"/>
                <w:lang w:eastAsia="zh-CN"/>
              </w:rPr>
            </w:pPr>
            <w:r>
              <w:t>主杆6米:下口径175MM*上口径120MM*厚3MM,横杆3米:口径76MM*厚2.75MM,法兰400*16MM,地笼6-M18*高900MM。（地笼基坑实施：800*800*1200MM）</w:t>
            </w:r>
          </w:p>
        </w:tc>
        <w:tc>
          <w:tcPr>
            <w:tcW w:w="308" w:type="pct"/>
            <w:vAlign w:val="center"/>
          </w:tcPr>
          <w:p w14:paraId="6823D6DD">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6</w:t>
            </w:r>
          </w:p>
        </w:tc>
        <w:tc>
          <w:tcPr>
            <w:tcW w:w="300" w:type="pct"/>
            <w:vAlign w:val="center"/>
          </w:tcPr>
          <w:p w14:paraId="34F0CB41">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套</w:t>
            </w:r>
          </w:p>
        </w:tc>
      </w:tr>
      <w:tr w14:paraId="3A522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29C1F63E">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7</w:t>
            </w:r>
          </w:p>
        </w:tc>
        <w:tc>
          <w:tcPr>
            <w:tcW w:w="1114" w:type="pct"/>
            <w:vAlign w:val="center"/>
          </w:tcPr>
          <w:p w14:paraId="1E4C2767">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基坑开挖</w:t>
            </w:r>
          </w:p>
        </w:tc>
        <w:tc>
          <w:tcPr>
            <w:tcW w:w="2976" w:type="pct"/>
            <w:vAlign w:val="top"/>
          </w:tcPr>
          <w:p w14:paraId="296E4D6E">
            <w:pPr>
              <w:bidi w:val="0"/>
              <w:rPr>
                <w:rFonts w:hint="eastAsia" w:eastAsia="宋体"/>
                <w:lang w:eastAsia="zh-CN"/>
              </w:rPr>
            </w:pPr>
            <w:r>
              <w:t>地笼基坑实施：800*800*1200MM，小型机械配合人工开挖及土方清运</w:t>
            </w:r>
            <w:r>
              <w:rPr>
                <w:rFonts w:hint="eastAsia" w:eastAsia="宋体"/>
                <w:lang w:eastAsia="zh-CN"/>
              </w:rPr>
              <w:t>。</w:t>
            </w:r>
          </w:p>
        </w:tc>
        <w:tc>
          <w:tcPr>
            <w:tcW w:w="308" w:type="pct"/>
            <w:vAlign w:val="center"/>
          </w:tcPr>
          <w:p w14:paraId="2F70467A">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6</w:t>
            </w:r>
          </w:p>
        </w:tc>
        <w:tc>
          <w:tcPr>
            <w:tcW w:w="300" w:type="pct"/>
            <w:vAlign w:val="center"/>
          </w:tcPr>
          <w:p w14:paraId="4B8AAB1E">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套</w:t>
            </w:r>
          </w:p>
        </w:tc>
      </w:tr>
      <w:tr w14:paraId="16891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7C14D649">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8</w:t>
            </w:r>
          </w:p>
        </w:tc>
        <w:tc>
          <w:tcPr>
            <w:tcW w:w="1114" w:type="pct"/>
            <w:vAlign w:val="center"/>
          </w:tcPr>
          <w:p w14:paraId="70C7BD68">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避雷地线制作安装</w:t>
            </w:r>
          </w:p>
        </w:tc>
        <w:tc>
          <w:tcPr>
            <w:tcW w:w="2976" w:type="pct"/>
            <w:vAlign w:val="top"/>
          </w:tcPr>
          <w:p w14:paraId="40590D21">
            <w:pPr>
              <w:bidi w:val="0"/>
            </w:pPr>
            <w:r>
              <w:t>含：引接的PVC管、接地线安装，设备接地连接，打桩焊接、地阻测试、恢复。打桩角铁不</w:t>
            </w:r>
          </w:p>
          <w:p w14:paraId="089204E7">
            <w:pPr>
              <w:bidi w:val="0"/>
              <w:rPr>
                <w:rFonts w:hint="eastAsia" w:eastAsia="宋体"/>
                <w:lang w:eastAsia="zh-CN"/>
              </w:rPr>
            </w:pPr>
            <w:r>
              <w:t>少于4条。40mm*40mm*1500mm角铁</w:t>
            </w:r>
            <w:r>
              <w:rPr>
                <w:rFonts w:hint="eastAsia" w:eastAsia="宋体"/>
                <w:lang w:eastAsia="zh-CN"/>
              </w:rPr>
              <w:t>。</w:t>
            </w:r>
          </w:p>
        </w:tc>
        <w:tc>
          <w:tcPr>
            <w:tcW w:w="308" w:type="pct"/>
            <w:vAlign w:val="center"/>
          </w:tcPr>
          <w:p w14:paraId="40C5A322">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6</w:t>
            </w:r>
          </w:p>
        </w:tc>
        <w:tc>
          <w:tcPr>
            <w:tcW w:w="300" w:type="pct"/>
            <w:vAlign w:val="center"/>
          </w:tcPr>
          <w:p w14:paraId="30FF603E">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套</w:t>
            </w:r>
          </w:p>
        </w:tc>
      </w:tr>
      <w:tr w14:paraId="7EEAF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74D43A54">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9</w:t>
            </w:r>
          </w:p>
        </w:tc>
        <w:tc>
          <w:tcPr>
            <w:tcW w:w="1114" w:type="pct"/>
            <w:vAlign w:val="center"/>
          </w:tcPr>
          <w:p w14:paraId="10932391">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地笼预埋</w:t>
            </w:r>
          </w:p>
        </w:tc>
        <w:tc>
          <w:tcPr>
            <w:tcW w:w="2976" w:type="pct"/>
            <w:vAlign w:val="top"/>
          </w:tcPr>
          <w:p w14:paraId="3A91C8C6">
            <w:pPr>
              <w:bidi w:val="0"/>
              <w:rPr>
                <w:rFonts w:hint="eastAsia" w:eastAsia="宋体"/>
                <w:lang w:eastAsia="zh-CN"/>
              </w:rPr>
            </w:pPr>
            <w:r>
              <w:t>地笼6-M18*高900MM预埋及地笼基坑浇筑养护硬化，自制混凝土</w:t>
            </w:r>
            <w:r>
              <w:rPr>
                <w:rFonts w:hint="eastAsia" w:eastAsia="宋体"/>
                <w:lang w:eastAsia="zh-CN"/>
              </w:rPr>
              <w:t>。</w:t>
            </w:r>
          </w:p>
        </w:tc>
        <w:tc>
          <w:tcPr>
            <w:tcW w:w="308" w:type="pct"/>
            <w:vAlign w:val="center"/>
          </w:tcPr>
          <w:p w14:paraId="52024DFB">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6</w:t>
            </w:r>
          </w:p>
        </w:tc>
        <w:tc>
          <w:tcPr>
            <w:tcW w:w="300" w:type="pct"/>
            <w:vAlign w:val="center"/>
          </w:tcPr>
          <w:p w14:paraId="1B3B180D">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套</w:t>
            </w:r>
          </w:p>
        </w:tc>
      </w:tr>
      <w:tr w14:paraId="09F08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172B1A50">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10</w:t>
            </w:r>
          </w:p>
        </w:tc>
        <w:tc>
          <w:tcPr>
            <w:tcW w:w="1114" w:type="pct"/>
            <w:vAlign w:val="center"/>
          </w:tcPr>
          <w:p w14:paraId="66BE71BB">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杆件运输</w:t>
            </w:r>
          </w:p>
        </w:tc>
        <w:tc>
          <w:tcPr>
            <w:tcW w:w="2976" w:type="pct"/>
            <w:vAlign w:val="top"/>
          </w:tcPr>
          <w:p w14:paraId="323DD667">
            <w:pPr>
              <w:bidi w:val="0"/>
              <w:rPr>
                <w:rFonts w:hint="eastAsia" w:eastAsia="宋体"/>
                <w:lang w:eastAsia="zh-CN"/>
              </w:rPr>
            </w:pPr>
            <w:r>
              <w:t>立杆二次运输及搬运等，从最近行车道路搬运至安装地点</w:t>
            </w:r>
            <w:r>
              <w:rPr>
                <w:rFonts w:hint="eastAsia" w:eastAsia="宋体"/>
                <w:lang w:eastAsia="zh-CN"/>
              </w:rPr>
              <w:t>。</w:t>
            </w:r>
          </w:p>
        </w:tc>
        <w:tc>
          <w:tcPr>
            <w:tcW w:w="308" w:type="pct"/>
            <w:vAlign w:val="center"/>
          </w:tcPr>
          <w:p w14:paraId="294B79C2">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6</w:t>
            </w:r>
          </w:p>
        </w:tc>
        <w:tc>
          <w:tcPr>
            <w:tcW w:w="300" w:type="pct"/>
            <w:vAlign w:val="center"/>
          </w:tcPr>
          <w:p w14:paraId="4CE8F842">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套</w:t>
            </w:r>
          </w:p>
        </w:tc>
      </w:tr>
      <w:tr w14:paraId="5F82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39E25B81">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11</w:t>
            </w:r>
          </w:p>
        </w:tc>
        <w:tc>
          <w:tcPr>
            <w:tcW w:w="1114" w:type="pct"/>
            <w:vAlign w:val="center"/>
          </w:tcPr>
          <w:p w14:paraId="0616646F">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杆件安装</w:t>
            </w:r>
          </w:p>
        </w:tc>
        <w:tc>
          <w:tcPr>
            <w:tcW w:w="2976" w:type="pct"/>
            <w:vAlign w:val="top"/>
          </w:tcPr>
          <w:p w14:paraId="5003A420">
            <w:pPr>
              <w:bidi w:val="0"/>
              <w:rPr>
                <w:rFonts w:hint="eastAsia" w:eastAsia="宋体"/>
                <w:lang w:eastAsia="zh-CN"/>
              </w:rPr>
            </w:pPr>
            <w:r>
              <w:t>吊车安装1个工时，螺栓固定，预制线路杆件内部敷设，设备箱安装及接地</w:t>
            </w:r>
            <w:r>
              <w:rPr>
                <w:rFonts w:hint="eastAsia" w:eastAsia="宋体"/>
                <w:lang w:eastAsia="zh-CN"/>
              </w:rPr>
              <w:t>。</w:t>
            </w:r>
          </w:p>
        </w:tc>
        <w:tc>
          <w:tcPr>
            <w:tcW w:w="308" w:type="pct"/>
            <w:vAlign w:val="center"/>
          </w:tcPr>
          <w:p w14:paraId="71A6F5EC">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6</w:t>
            </w:r>
          </w:p>
        </w:tc>
        <w:tc>
          <w:tcPr>
            <w:tcW w:w="300" w:type="pct"/>
            <w:vAlign w:val="center"/>
          </w:tcPr>
          <w:p w14:paraId="50AFCFD0">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套</w:t>
            </w:r>
          </w:p>
        </w:tc>
      </w:tr>
      <w:tr w14:paraId="2CE5D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7991211D">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12</w:t>
            </w:r>
          </w:p>
        </w:tc>
        <w:tc>
          <w:tcPr>
            <w:tcW w:w="1114" w:type="pct"/>
            <w:vAlign w:val="center"/>
          </w:tcPr>
          <w:p w14:paraId="46DF38F6">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配电箱</w:t>
            </w:r>
          </w:p>
        </w:tc>
        <w:tc>
          <w:tcPr>
            <w:tcW w:w="2976" w:type="pct"/>
            <w:vAlign w:val="top"/>
          </w:tcPr>
          <w:p w14:paraId="310EFD69">
            <w:pPr>
              <w:bidi w:val="0"/>
            </w:pPr>
            <w:r>
              <w:t>1、包括但不限于弱电综合箱、空开、电源排插等辅材;</w:t>
            </w:r>
          </w:p>
          <w:p w14:paraId="6F12404A">
            <w:pPr>
              <w:bidi w:val="0"/>
              <w:rPr>
                <w:rFonts w:hint="eastAsia"/>
              </w:rPr>
            </w:pPr>
            <w:r>
              <w:t>2、尺寸450*580*250*1.0mm（热镀锌/三角暗锁+防水明锁,180度铰链及精密防水钥匙系统/接地汇流排/2层280*140活动阁板/接线端子标示卡/高弹性PU密封。</w:t>
            </w:r>
          </w:p>
        </w:tc>
        <w:tc>
          <w:tcPr>
            <w:tcW w:w="308" w:type="pct"/>
            <w:vAlign w:val="center"/>
          </w:tcPr>
          <w:p w14:paraId="6461AC9D">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11</w:t>
            </w:r>
          </w:p>
        </w:tc>
        <w:tc>
          <w:tcPr>
            <w:tcW w:w="300" w:type="pct"/>
            <w:vAlign w:val="center"/>
          </w:tcPr>
          <w:p w14:paraId="3AEEABE8">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套</w:t>
            </w:r>
          </w:p>
        </w:tc>
      </w:tr>
      <w:tr w14:paraId="0FA16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169A3BC8">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13</w:t>
            </w:r>
          </w:p>
        </w:tc>
        <w:tc>
          <w:tcPr>
            <w:tcW w:w="1114" w:type="pct"/>
            <w:vAlign w:val="center"/>
          </w:tcPr>
          <w:p w14:paraId="2EAFFF7F">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二合一避雷器</w:t>
            </w:r>
          </w:p>
        </w:tc>
        <w:tc>
          <w:tcPr>
            <w:tcW w:w="2976" w:type="pct"/>
            <w:vAlign w:val="top"/>
          </w:tcPr>
          <w:p w14:paraId="3C07F5E8">
            <w:pPr>
              <w:bidi w:val="0"/>
              <w:rPr>
                <w:rFonts w:hint="eastAsia" w:eastAsia="宋体"/>
                <w:lang w:eastAsia="zh-CN"/>
              </w:rPr>
            </w:pPr>
            <w:r>
              <w:rPr>
                <w:rFonts w:hint="eastAsia" w:eastAsia="宋体"/>
                <w:lang w:val="en-US" w:eastAsia="zh-CN"/>
              </w:rPr>
              <w:t>1、</w:t>
            </w:r>
            <w:r>
              <w:t>二合一监控综合防雷器/电源220V+100兆网络信</w:t>
            </w:r>
            <w:r>
              <w:rPr>
                <w:rFonts w:hint="eastAsia" w:eastAsia="宋体"/>
                <w:lang w:eastAsia="zh-CN"/>
              </w:rPr>
              <w:t>。</w:t>
            </w:r>
          </w:p>
          <w:p w14:paraId="3779F505">
            <w:pPr>
              <w:bidi w:val="0"/>
            </w:pPr>
            <w:r>
              <w:rPr>
                <w:rFonts w:hint="eastAsia" w:eastAsia="宋体"/>
                <w:lang w:val="en-US" w:eastAsia="zh-CN"/>
              </w:rPr>
              <w:t>2、</w:t>
            </w:r>
            <w:r>
              <w:t>产品</w:t>
            </w:r>
            <w:r>
              <w:rPr>
                <w:rFonts w:hint="eastAsia" w:eastAsia="宋体"/>
                <w:lang w:val="en-US" w:eastAsia="zh-CN"/>
              </w:rPr>
              <w:t>要求</w:t>
            </w:r>
            <w:r>
              <w:t>特点：</w:t>
            </w:r>
          </w:p>
          <w:p w14:paraId="01BFD2B6">
            <w:pPr>
              <w:bidi w:val="0"/>
            </w:pPr>
            <w:r>
              <w:t>①具有电源防雷劣化指示，独有设计专利。</w:t>
            </w:r>
          </w:p>
          <w:p w14:paraId="7958E1A8">
            <w:pPr>
              <w:bidi w:val="0"/>
            </w:pPr>
            <w:r>
              <w:t>②接线端子内置，安全性更高。</w:t>
            </w:r>
          </w:p>
          <w:p w14:paraId="2A62ED65">
            <w:pPr>
              <w:bidi w:val="0"/>
            </w:pPr>
            <w:r>
              <w:t>③标准模数化、导轨式设计，安装更换简便。</w:t>
            </w:r>
          </w:p>
          <w:p w14:paraId="39BF521D">
            <w:pPr>
              <w:bidi w:val="0"/>
            </w:pPr>
            <w:r>
              <w:t>④内置最先进的温控断路及多重保护技术，保护能力强，可靠性高。</w:t>
            </w:r>
          </w:p>
          <w:p w14:paraId="4E685BC0">
            <w:pPr>
              <w:bidi w:val="0"/>
            </w:pPr>
            <w:r>
              <w:t>⑤内部各功能模块采用特殊结构，相互干扰小，稳定性更高，信号传输性能优越。</w:t>
            </w:r>
          </w:p>
          <w:p w14:paraId="74662573">
            <w:pPr>
              <w:bidi w:val="0"/>
            </w:pPr>
            <w:r>
              <w:t>⑥全塑V0级增强阻燃PC外壳，不导电，绝缘强度更高，特别是在潮湿天气，也能确保安全。</w:t>
            </w:r>
          </w:p>
          <w:p w14:paraId="49D28AA4">
            <w:pPr>
              <w:bidi w:val="0"/>
            </w:pPr>
            <w:r>
              <w:rPr>
                <w:rFonts w:hint="eastAsia" w:eastAsia="宋体"/>
                <w:lang w:val="en-US" w:eastAsia="zh-CN"/>
              </w:rPr>
              <w:t>3、</w:t>
            </w:r>
            <w:r>
              <w:t>技术参数：</w:t>
            </w:r>
          </w:p>
          <w:p w14:paraId="0FB95B64">
            <w:pPr>
              <w:bidi w:val="0"/>
            </w:pPr>
            <w:r>
              <w:t>电源部分（230VAC）：</w:t>
            </w:r>
          </w:p>
          <w:p w14:paraId="1FFD87B7">
            <w:pPr>
              <w:bidi w:val="0"/>
            </w:pPr>
            <w:r>
              <w:t>Ø额定工作电压(Un)：230VAC</w:t>
            </w:r>
          </w:p>
          <w:p w14:paraId="3C853C3B">
            <w:pPr>
              <w:bidi w:val="0"/>
            </w:pPr>
            <w:r>
              <w:t>Ø最大持续工作电压(Uc)：320VAC Ø标称放电电流In(8/20μs)：5kA</w:t>
            </w:r>
          </w:p>
          <w:p w14:paraId="043CA68D">
            <w:pPr>
              <w:bidi w:val="0"/>
            </w:pPr>
            <w:r>
              <w:t>Ø最大通流容量Imax(8/20μs)：10kA Ø电压保护水平(Up)：＜1.4KV</w:t>
            </w:r>
          </w:p>
          <w:p w14:paraId="3258FBEB">
            <w:pPr>
              <w:bidi w:val="0"/>
            </w:pPr>
            <w:r>
              <w:t>Ø响应时间Ta：≤25ns信号部分（RJ45）：</w:t>
            </w:r>
          </w:p>
          <w:p w14:paraId="10DDCE7C">
            <w:pPr>
              <w:bidi w:val="0"/>
            </w:pPr>
            <w:r>
              <w:t>Ø额定工作电压(Un)：5V</w:t>
            </w:r>
          </w:p>
          <w:p w14:paraId="1F44ED40">
            <w:pPr>
              <w:bidi w:val="0"/>
            </w:pPr>
            <w:r>
              <w:t>Ø最大持续工作电压(Uc)：8V</w:t>
            </w:r>
          </w:p>
          <w:p w14:paraId="65C9E940">
            <w:pPr>
              <w:bidi w:val="0"/>
            </w:pPr>
            <w:r>
              <w:t>Ø标称放电电流In (8/20μs)：2.5KA Ø最大通流容量Imax(8/20μs)：5KA Ø电压保护水平Up(线对线)：≤45V</w:t>
            </w:r>
          </w:p>
          <w:p w14:paraId="1B5F2E80">
            <w:pPr>
              <w:bidi w:val="0"/>
            </w:pPr>
            <w:r>
              <w:t>Ø电压保护水平Up(线对地)：≤500V Ø传输速率Vs（bit/s）：100M</w:t>
            </w:r>
          </w:p>
          <w:p w14:paraId="4DF8E971">
            <w:pPr>
              <w:bidi w:val="0"/>
              <w:rPr>
                <w:rFonts w:hint="eastAsia"/>
              </w:rPr>
            </w:pPr>
            <w:r>
              <w:t>Ø插入损耗Ae (dB)：≤0.5 d</w:t>
            </w:r>
          </w:p>
        </w:tc>
        <w:tc>
          <w:tcPr>
            <w:tcW w:w="308" w:type="pct"/>
            <w:vAlign w:val="center"/>
          </w:tcPr>
          <w:p w14:paraId="06731AA3">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11</w:t>
            </w:r>
          </w:p>
        </w:tc>
        <w:tc>
          <w:tcPr>
            <w:tcW w:w="300" w:type="pct"/>
            <w:vAlign w:val="center"/>
          </w:tcPr>
          <w:p w14:paraId="673AF6C1">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套</w:t>
            </w:r>
          </w:p>
        </w:tc>
      </w:tr>
      <w:tr w14:paraId="33D6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692B6899">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14</w:t>
            </w:r>
          </w:p>
        </w:tc>
        <w:tc>
          <w:tcPr>
            <w:tcW w:w="1114" w:type="pct"/>
            <w:vAlign w:val="center"/>
          </w:tcPr>
          <w:p w14:paraId="0F026556">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网络交换机</w:t>
            </w:r>
          </w:p>
        </w:tc>
        <w:tc>
          <w:tcPr>
            <w:tcW w:w="2976" w:type="pct"/>
            <w:shd w:val="clear" w:color="auto" w:fill="auto"/>
            <w:vAlign w:val="top"/>
          </w:tcPr>
          <w:p w14:paraId="36259B9D">
            <w:pPr>
              <w:bidi w:val="0"/>
              <w:rPr>
                <w:rFonts w:hint="eastAsia" w:eastAsia="宋体"/>
                <w:lang w:eastAsia="zh-CN"/>
              </w:rPr>
            </w:pPr>
            <w:r>
              <w:t>1、交换容量：336Gbps；包转发率：24Mpps</w:t>
            </w:r>
            <w:r>
              <w:rPr>
                <w:rFonts w:hint="eastAsia" w:eastAsia="宋体"/>
                <w:lang w:eastAsia="zh-CN"/>
              </w:rPr>
              <w:t>；</w:t>
            </w:r>
          </w:p>
          <w:p w14:paraId="6B5AB345">
            <w:pPr>
              <w:bidi w:val="0"/>
              <w:rPr>
                <w:rFonts w:hint="eastAsia" w:eastAsia="宋体"/>
                <w:lang w:eastAsia="zh-CN"/>
              </w:rPr>
            </w:pPr>
            <w:r>
              <w:t>2、接口类型：8千兆电+2千兆光</w:t>
            </w:r>
            <w:r>
              <w:rPr>
                <w:rFonts w:hint="eastAsia" w:eastAsia="宋体"/>
                <w:lang w:eastAsia="zh-CN"/>
              </w:rPr>
              <w:t>；</w:t>
            </w:r>
          </w:p>
          <w:p w14:paraId="48E11C54">
            <w:pPr>
              <w:bidi w:val="0"/>
            </w:pPr>
            <w:r>
              <w:t>3、MAC地址表4K； 线速转发；</w:t>
            </w:r>
          </w:p>
          <w:p w14:paraId="51D5A1ED">
            <w:pPr>
              <w:bidi w:val="0"/>
            </w:pPr>
            <w:r>
              <w:t>4、RJ45支持端口自动翻转（Auto MDI/MDIX）；</w:t>
            </w:r>
          </w:p>
          <w:p w14:paraId="4B1E1D0A">
            <w:pPr>
              <w:bidi w:val="0"/>
            </w:pPr>
            <w:r>
              <w:t>5、无风扇，全铝合金高能顶板导热槽；</w:t>
            </w:r>
          </w:p>
          <w:p w14:paraId="609CA228">
            <w:pPr>
              <w:bidi w:val="0"/>
            </w:pPr>
            <w:r>
              <w:t>6、面板指示灯监视工作状态及帮助故障分析；</w:t>
            </w:r>
          </w:p>
          <w:p w14:paraId="32AA38D3">
            <w:pPr>
              <w:bidi w:val="0"/>
              <w:rPr>
                <w:rFonts w:hint="eastAsia" w:eastAsia="宋体"/>
                <w:lang w:eastAsia="zh-CN"/>
              </w:rPr>
            </w:pPr>
            <w:r>
              <w:t>7、静电标准：接触±6KV，空气±8KV</w:t>
            </w:r>
            <w:r>
              <w:rPr>
                <w:rFonts w:hint="eastAsia" w:eastAsia="宋体"/>
                <w:lang w:eastAsia="zh-CN"/>
              </w:rPr>
              <w:t>；</w:t>
            </w:r>
          </w:p>
          <w:p w14:paraId="34964F0C">
            <w:pPr>
              <w:bidi w:val="0"/>
              <w:rPr>
                <w:rFonts w:hint="eastAsia" w:eastAsia="宋体"/>
                <w:lang w:val="en-US" w:eastAsia="zh-CN"/>
              </w:rPr>
            </w:pPr>
            <w:r>
              <w:t>8、工作温度:（-40℃- 75℃）；工作湿度：10% ~ 90% 无凝结</w:t>
            </w:r>
            <w:r>
              <w:rPr>
                <w:rFonts w:hint="eastAsia" w:eastAsia="宋体"/>
                <w:lang w:eastAsia="zh-CN"/>
              </w:rPr>
              <w:t>。</w:t>
            </w:r>
          </w:p>
        </w:tc>
        <w:tc>
          <w:tcPr>
            <w:tcW w:w="308" w:type="pct"/>
            <w:vAlign w:val="center"/>
          </w:tcPr>
          <w:p w14:paraId="79CE8F95">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11</w:t>
            </w:r>
          </w:p>
        </w:tc>
        <w:tc>
          <w:tcPr>
            <w:tcW w:w="300" w:type="pct"/>
            <w:vAlign w:val="center"/>
          </w:tcPr>
          <w:p w14:paraId="23547F96">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套</w:t>
            </w:r>
          </w:p>
        </w:tc>
      </w:tr>
      <w:tr w14:paraId="1D8D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13C6AB23">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15</w:t>
            </w:r>
          </w:p>
        </w:tc>
        <w:tc>
          <w:tcPr>
            <w:tcW w:w="1114" w:type="pct"/>
            <w:vAlign w:val="center"/>
          </w:tcPr>
          <w:p w14:paraId="4E44744C">
            <w:pPr>
              <w:widowControl/>
              <w:spacing w:line="240" w:lineRule="auto"/>
              <w:ind w:firstLine="0" w:firstLineChars="0"/>
              <w:jc w:val="left"/>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综合管理应用平台</w:t>
            </w:r>
          </w:p>
        </w:tc>
        <w:tc>
          <w:tcPr>
            <w:tcW w:w="2976" w:type="pct"/>
            <w:shd w:val="clear" w:color="auto" w:fill="auto"/>
            <w:vAlign w:val="top"/>
          </w:tcPr>
          <w:p w14:paraId="6B79DB3E">
            <w:pPr>
              <w:bidi w:val="0"/>
              <w:rPr>
                <w:rFonts w:hint="eastAsia" w:eastAsia="宋体"/>
                <w:lang w:eastAsia="zh-CN"/>
              </w:rPr>
            </w:pPr>
            <w:r>
              <w:t>基于人脸识别技术的重点人员识别、陌生人识别、高频人员识别、以脸搜脸等功能</w:t>
            </w:r>
            <w:r>
              <w:rPr>
                <w:rFonts w:hint="eastAsia" w:eastAsia="宋体"/>
                <w:lang w:eastAsia="zh-CN"/>
              </w:rPr>
              <w:t>。</w:t>
            </w:r>
          </w:p>
          <w:p w14:paraId="411D8639">
            <w:pPr>
              <w:bidi w:val="0"/>
              <w:rPr>
                <w:rFonts w:hint="eastAsia" w:eastAsia="宋体"/>
                <w:lang w:eastAsia="zh-CN"/>
              </w:rPr>
            </w:pPr>
            <w:r>
              <w:t>1、支持卡口设备管理、卡口业务配置，支持车辆测速、黑名单布控、白名单管理</w:t>
            </w:r>
            <w:r>
              <w:rPr>
                <w:rFonts w:hint="eastAsia" w:eastAsia="宋体"/>
                <w:lang w:eastAsia="zh-CN"/>
              </w:rPr>
              <w:t>；</w:t>
            </w:r>
          </w:p>
          <w:p w14:paraId="1FFDFAAF">
            <w:pPr>
              <w:bidi w:val="0"/>
              <w:rPr>
                <w:rFonts w:hint="eastAsia" w:eastAsia="宋体"/>
                <w:lang w:eastAsia="zh-CN"/>
              </w:rPr>
            </w:pPr>
            <w:r>
              <w:t>2、支持过车记录查看，支持过车报警记录的查询，支持过车记录统计分析。基于人脸识别技术的重点人员识别、陌生人识别、高频人员识别、以脸搜脸等功能</w:t>
            </w:r>
            <w:r>
              <w:rPr>
                <w:rFonts w:hint="eastAsia" w:eastAsia="宋体"/>
                <w:lang w:eastAsia="zh-CN"/>
              </w:rPr>
              <w:t>；</w:t>
            </w:r>
          </w:p>
          <w:p w14:paraId="6CFA2CD0">
            <w:pPr>
              <w:bidi w:val="0"/>
            </w:pPr>
            <w:r>
              <w:t>3、支持用户权限管理；支持用户密码有效时间段进行设置管理，支持用户IP绑定，指定IP</w:t>
            </w:r>
          </w:p>
          <w:p w14:paraId="1B75103E">
            <w:pPr>
              <w:bidi w:val="0"/>
            </w:pPr>
            <w:r>
              <w:t>地址用户才能登录平台；支持管理≥1000000个人员，每个人员可涉及人脸、指纹、卡；</w:t>
            </w:r>
          </w:p>
          <w:p w14:paraId="7647C52E">
            <w:pPr>
              <w:bidi w:val="0"/>
            </w:pPr>
            <w:r>
              <w:t>4、支持通过资源包方式扩展区域、人员、组织、车辆字段属性；支持BS、CS客户端以及IOS、Android移动端应用；</w:t>
            </w:r>
          </w:p>
          <w:p w14:paraId="160E1195">
            <w:pPr>
              <w:bidi w:val="0"/>
            </w:pPr>
            <w:r>
              <w:t>5、支持用户权限根据组织、资源点进行权限配置；支持用户账号启用、禁用；</w:t>
            </w:r>
          </w:p>
          <w:p w14:paraId="65C768E6">
            <w:pPr>
              <w:bidi w:val="0"/>
            </w:pPr>
            <w:r>
              <w:t>6、支持配置不同角色权限，包括菜单权限、组织权限、区域权限、资源权限、功能控制权限；</w:t>
            </w:r>
          </w:p>
          <w:p w14:paraId="04E9ABE1">
            <w:pPr>
              <w:bidi w:val="0"/>
            </w:pPr>
            <w:r>
              <w:t>7、运行管理中心提供统一的认证、授权管理机制，支持HTTPS以及密码安全加密访问认证；支持验证码、连续登录尝试次数、用户IP地址限制等多种验证方式。支持登录密码强度提醒，用户密码强度设置；</w:t>
            </w:r>
          </w:p>
          <w:p w14:paraId="540287CF">
            <w:pPr>
              <w:bidi w:val="0"/>
            </w:pPr>
            <w:r>
              <w:t>8、支持多网域访问；支持AD域；支持数据库的管理，支持数据库的备份和恢复；支持风格自定义，可自定义视图风格；支持双机热备；支持平台所有的用户密码、设备密码非明文显示和传输；</w:t>
            </w:r>
          </w:p>
          <w:p w14:paraId="26129EE5">
            <w:pPr>
              <w:bidi w:val="0"/>
            </w:pPr>
            <w:r>
              <w:t>9、支持业务应用组件化，各组件独立运行、维护，支持独立安装或卸载；支持身份认证和信息防篡改校验，供内部程序对授权信息的访问；支持部署组件（服务）到服务器集群，并进行集群管理；支持NTP服务校时功能，支持对设备和平台服务统一校时；</w:t>
            </w:r>
          </w:p>
          <w:p w14:paraId="102C2A3C">
            <w:pPr>
              <w:bidi w:val="0"/>
              <w:rPr>
                <w:rFonts w:hint="eastAsia" w:eastAsia="宋体"/>
                <w:lang w:eastAsia="zh-CN"/>
              </w:rPr>
            </w:pPr>
            <w:r>
              <w:t>10、支持系统分布式、负载均衡等技术，支持多级架构进行系统平台规模扩展；平台支持通过初始管理员Admin的密码重置工具和服务器IP修改工具修改密码和IP地址</w:t>
            </w:r>
            <w:r>
              <w:rPr>
                <w:rFonts w:hint="eastAsia" w:eastAsia="宋体"/>
                <w:lang w:eastAsia="zh-CN"/>
              </w:rPr>
              <w:t>；</w:t>
            </w:r>
          </w:p>
          <w:p w14:paraId="33234C0E">
            <w:pPr>
              <w:bidi w:val="0"/>
            </w:pPr>
            <w:r>
              <w:t>11、系统支持国标协议上下级平台级联，支持流媒体集群配置；支持监控点的批量迁移；支持BS客户端、CS客户端、移动客户端（Android、iOS）视频预览，支持多浏览器实时预览；支持对当前预览的窗格和监控点画面进行视图保存，用于后续预览该视图；</w:t>
            </w:r>
          </w:p>
          <w:p w14:paraId="19584D87">
            <w:pPr>
              <w:bidi w:val="0"/>
            </w:pPr>
            <w:r>
              <w:t xml:space="preserve">12、客户端支持在1/2/3/4/6/8/9/10/13/ 14/16/17/24/25画面分隔模式下进行监控点轮巡预览，轮巡时间可设置，支持全屏显示；客户端预览画面支持亮度、对比度、色调、饱和度参数调节；预览画面支持监控点信息、语音对讲、开关声音、云台与镜头控制、抓图、多图抓拍等；支持控制云台的用户信息叠加到视频画面上，支持按用户的等级对云台进行锁定； </w:t>
            </w:r>
          </w:p>
          <w:p w14:paraId="1D220751">
            <w:pPr>
              <w:bidi w:val="0"/>
            </w:pPr>
            <w:r>
              <w:t>13、支持按时间、监控点、录像存储方式检索录像；客户端回放支持1/4/9/16画面分隔模式及全屏显示；支持单帧回放、播放速度控制（1/16、1/8、1/4、1/2、1、2、4、8、16倍速）、同步回放、异步回放；录像回放支持拖动进度条或指定时间点来进行录像定位；支持分段回放，以分段缩略图展示录像片段；</w:t>
            </w:r>
          </w:p>
          <w:p w14:paraId="5597E672">
            <w:pPr>
              <w:bidi w:val="0"/>
            </w:pPr>
            <w:r>
              <w:t>14、支持按点位将视频录像批量锁定；支持客户端录像回放时一键上墙；支持录像计划配置</w:t>
            </w:r>
          </w:p>
          <w:p w14:paraId="51E6BFE6">
            <w:pPr>
              <w:bidi w:val="0"/>
            </w:pPr>
            <w:r>
              <w:t>，可设置预录时长；图片查询支持批量下载，支持配置批量下载图片数量上限。</w:t>
            </w:r>
          </w:p>
          <w:p w14:paraId="3567EF6E">
            <w:pPr>
              <w:bidi w:val="0"/>
              <w:rPr>
                <w:rFonts w:hint="eastAsia" w:eastAsia="宋体"/>
                <w:lang w:eastAsia="zh-CN"/>
              </w:rPr>
            </w:pPr>
            <w:r>
              <w:t>15、支持设置平台级联协议为GB/T 28181- 2016；支持上下级域注册管理能力，实现平台数据级联；支持级联视频点位实时预览、录像回放、录像下载、语音对讲</w:t>
            </w:r>
            <w:r>
              <w:rPr>
                <w:rFonts w:hint="eastAsia" w:eastAsia="宋体"/>
                <w:lang w:eastAsia="zh-CN"/>
              </w:rPr>
              <w:t>；</w:t>
            </w:r>
          </w:p>
          <w:p w14:paraId="71E2CA73">
            <w:pPr>
              <w:bidi w:val="0"/>
            </w:pPr>
            <w:r>
              <w:t>16、支持卡口普通过车信息、超速信息、黑名单信息查询；支持卡口点位过车流量和违章事</w:t>
            </w:r>
          </w:p>
          <w:p w14:paraId="121B2DA6">
            <w:pPr>
              <w:bidi w:val="0"/>
              <w:rPr>
                <w:rFonts w:hint="eastAsia" w:eastAsia="宋体"/>
                <w:lang w:eastAsia="zh-CN"/>
              </w:rPr>
            </w:pPr>
            <w:r>
              <w:t>件的统计；支持卡口抓拍点视频预览及回放；支持展示事件的车头车尾抓拍信息；支持批量导入车辆名单</w:t>
            </w:r>
            <w:r>
              <w:rPr>
                <w:rFonts w:hint="eastAsia" w:eastAsia="宋体"/>
                <w:lang w:eastAsia="zh-CN"/>
              </w:rPr>
              <w:t>；</w:t>
            </w:r>
          </w:p>
          <w:p w14:paraId="48D36EFB">
            <w:pPr>
              <w:bidi w:val="0"/>
            </w:pPr>
            <w:r>
              <w:t>17、支持人脸照片批量导入；支持对人脸进行分组管理；支持配置识别计划；支持对陌生人识别，人脸不在名单内时，系统自动报警；</w:t>
            </w:r>
          </w:p>
          <w:p w14:paraId="1A693AED">
            <w:pPr>
              <w:bidi w:val="0"/>
            </w:pPr>
            <w:r>
              <w:t>18、支持人体结构化数据的展示和查询；查询条件包括上衣颜色、下衣颜色、性别、戴眼镜</w:t>
            </w:r>
          </w:p>
          <w:p w14:paraId="068D44AD">
            <w:pPr>
              <w:bidi w:val="0"/>
            </w:pPr>
            <w:r>
              <w:t>、上衣类型、下衣类型、戴口罩、戴帽子、背包、拎东西、骑车等；</w:t>
            </w:r>
          </w:p>
          <w:p w14:paraId="530838A4">
            <w:pPr>
              <w:bidi w:val="0"/>
            </w:pPr>
            <w:r>
              <w:t>19、支持车辆结构化数据的展示和查询；查询条件包括车牌号、车身颜色、车辆品牌、车辆类型、车牌颜色等；</w:t>
            </w:r>
          </w:p>
          <w:p w14:paraId="708B6D12">
            <w:pPr>
              <w:bidi w:val="0"/>
              <w:rPr>
                <w:rFonts w:hint="eastAsia" w:eastAsia="宋体"/>
                <w:lang w:eastAsia="zh-CN"/>
              </w:rPr>
            </w:pPr>
            <w:r>
              <w:t>20、支持将抓拍记录中的人脸加入人脸分组实现一键布防，加入人脸分组时支持检测分组中是否已有相似人脸及相似度，如有相似人脸则进行提示并可选择是否加入</w:t>
            </w:r>
            <w:r>
              <w:rPr>
                <w:rFonts w:hint="eastAsia" w:eastAsia="宋体"/>
                <w:lang w:eastAsia="zh-CN"/>
              </w:rPr>
              <w:t>；</w:t>
            </w:r>
          </w:p>
          <w:p w14:paraId="580CDF7D">
            <w:pPr>
              <w:bidi w:val="0"/>
            </w:pPr>
            <w:r>
              <w:t>21、森林防火应用支持设备巡航条带的添加、删除、修改，支持通过指定设备的水平俯仰角范围设置巡航条带，支持巡航方案的添加、删除、修改，可对巡航方案设置开启/关闭状态，可通过定义设备巡航速度、等待时间、关联巡航条带完成巡航方案的配置；</w:t>
            </w:r>
          </w:p>
          <w:p w14:paraId="134C6ECE">
            <w:pPr>
              <w:bidi w:val="0"/>
            </w:pPr>
            <w:r>
              <w:t>22、森林防火应用支持巡航方案的添加、删除、修改，可对巡航方案设置开启/关闭状态，可通过定义设备巡航速度、等待时间、关联巡航条带来完成巡航方案的配置；</w:t>
            </w:r>
          </w:p>
          <w:p w14:paraId="789BAB85">
            <w:pPr>
              <w:bidi w:val="0"/>
              <w:rPr>
                <w:rFonts w:hint="eastAsia" w:eastAsia="宋体"/>
                <w:lang w:eastAsia="zh-CN"/>
              </w:rPr>
            </w:pPr>
            <w:r>
              <w:t>23、▲支持在地图上展示火情信息弹框。包括报警类型、报警图片、预警描述、发现时间、经纬度、报警来源。支持查看水平角、俯仰角、瞭望塔等详细信息</w:t>
            </w:r>
            <w:r>
              <w:rPr>
                <w:rFonts w:hint="eastAsia" w:eastAsia="宋体"/>
                <w:lang w:eastAsia="zh-CN"/>
              </w:rPr>
              <w:t>；</w:t>
            </w:r>
          </w:p>
          <w:p w14:paraId="2D98C32B">
            <w:pPr>
              <w:bidi w:val="0"/>
            </w:pPr>
            <w:r>
              <w:t>24、▲</w:t>
            </w:r>
            <w:r>
              <w:rPr>
                <w:rFonts w:hint="eastAsia"/>
              </w:rPr>
              <w:t>具有</w:t>
            </w:r>
            <w:r>
              <w:t>展示所有已归档的历史火情信息，支持按火情名称、所属区域、报警类型、火情等级、时间范围查询历史火情信息，并可查看关联图片、关联监控点的实时画面和录像回放；</w:t>
            </w:r>
          </w:p>
          <w:p w14:paraId="1101750A">
            <w:pPr>
              <w:bidi w:val="0"/>
              <w:rPr>
                <w:rFonts w:hint="eastAsia" w:eastAsia="宋体"/>
                <w:lang w:eastAsia="zh-CN"/>
              </w:rPr>
            </w:pPr>
            <w:r>
              <w:t>25、支持推送火情至手机APP；支持web端对APP退回的火情进行审核，审核结果包括审核退回及重新推送</w:t>
            </w:r>
            <w:r>
              <w:rPr>
                <w:rFonts w:hint="eastAsia" w:eastAsia="宋体"/>
                <w:lang w:eastAsia="zh-CN"/>
              </w:rPr>
              <w:t>；</w:t>
            </w:r>
          </w:p>
          <w:p w14:paraId="7D2797A4">
            <w:pPr>
              <w:bidi w:val="0"/>
              <w:rPr>
                <w:rFonts w:hint="eastAsia" w:eastAsia="宋体"/>
                <w:lang w:eastAsia="zh-CN"/>
              </w:rPr>
            </w:pPr>
            <w:r>
              <w:t>26、支持与原平台网络模块融合，具备IPsec VPN、静态路由和NAT转换功能，可以实现 PPPOE动态拨号功能</w:t>
            </w:r>
            <w:r>
              <w:rPr>
                <w:rFonts w:hint="eastAsia" w:eastAsia="宋体"/>
                <w:lang w:eastAsia="zh-CN"/>
              </w:rPr>
              <w:t>；</w:t>
            </w:r>
          </w:p>
          <w:p w14:paraId="1A128CE2">
            <w:pPr>
              <w:bidi w:val="0"/>
            </w:pPr>
            <w:r>
              <w:t>27、★投标人须保证所投的“综合管理应用平台”能够对接原有监控平台（软件品牌：海康威视、型号：Infovision NREE-iFG，设备接入支持兼容SDK、国标、公网穿透、Onvif、 PSIA等协议；支持基于国标（GB/T 28181）协议的平台级联）实现视频资源共享、解码显示</w:t>
            </w:r>
          </w:p>
          <w:p w14:paraId="6E514898">
            <w:pPr>
              <w:bidi w:val="0"/>
              <w:rPr>
                <w:rFonts w:hint="eastAsia" w:eastAsia="宋体"/>
                <w:lang w:eastAsia="zh-CN"/>
              </w:rPr>
            </w:pPr>
            <w:r>
              <w:t>、地图展示、录像回放、云台控制等功能；同时为保证保护区人员环境安全，实现人员综合管控，最大限度发挥高清抓拍单元系统的人员黑名单布控预警功能，投标人须保证所投“综合管理应用平台”能与原有平台实现对接，可关联视频预览、下载、地图展示、云台控制，实现模拟轨迹、黑名单报警联动实时视频等功能，快速锁定嫌疑人目标位置，满足应急指挥要求，验收时如不能满足以上对接要求的，则视为虚假应标</w:t>
            </w:r>
            <w:r>
              <w:rPr>
                <w:rFonts w:hint="eastAsia" w:eastAsia="宋体"/>
                <w:lang w:eastAsia="zh-CN"/>
              </w:rPr>
              <w:t>；</w:t>
            </w:r>
          </w:p>
          <w:p w14:paraId="43E87F1F">
            <w:pPr>
              <w:bidi w:val="0"/>
            </w:pPr>
            <w:r>
              <w:t>28、兼容原有平台功能，采用一体化设计，</w:t>
            </w:r>
            <w:r>
              <w:rPr>
                <w:rFonts w:hint="eastAsia"/>
              </w:rPr>
              <w:t>支持扩展融合通信模块，可对联系人发送文字消息、语音消息、语音通话、视频通话、发起群聊、发起对讲，支持事件上报和通讯录查看</w:t>
            </w:r>
          </w:p>
          <w:p w14:paraId="312F8E67">
            <w:pPr>
              <w:bidi w:val="0"/>
              <w:rPr>
                <w:rFonts w:hint="eastAsia"/>
                <w:lang w:val="en-US" w:eastAsia="zh-CN"/>
              </w:rPr>
            </w:pPr>
            <w:r>
              <w:t>。</w:t>
            </w:r>
          </w:p>
        </w:tc>
        <w:tc>
          <w:tcPr>
            <w:tcW w:w="308" w:type="pct"/>
            <w:vAlign w:val="center"/>
          </w:tcPr>
          <w:p w14:paraId="7012D1B8">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w:t>
            </w:r>
          </w:p>
        </w:tc>
        <w:tc>
          <w:tcPr>
            <w:tcW w:w="300" w:type="pct"/>
            <w:vAlign w:val="center"/>
          </w:tcPr>
          <w:p w14:paraId="6386CF2C">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套</w:t>
            </w:r>
          </w:p>
        </w:tc>
      </w:tr>
      <w:tr w14:paraId="29D8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198FB03F">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16</w:t>
            </w:r>
          </w:p>
        </w:tc>
        <w:tc>
          <w:tcPr>
            <w:tcW w:w="1114" w:type="pct"/>
            <w:vAlign w:val="center"/>
          </w:tcPr>
          <w:p w14:paraId="088F1BCC">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前端设备安装</w:t>
            </w:r>
          </w:p>
        </w:tc>
        <w:tc>
          <w:tcPr>
            <w:tcW w:w="2976" w:type="pct"/>
            <w:vAlign w:val="center"/>
          </w:tcPr>
          <w:p w14:paraId="1F85B77E">
            <w:pPr>
              <w:widowControl/>
              <w:spacing w:line="240" w:lineRule="auto"/>
              <w:ind w:firstLine="0" w:firstLineChars="0"/>
              <w:jc w:val="left"/>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将设备在立杆上横臂牢固安装，电源线路、信号线路接入设备并调试及并网调试</w:t>
            </w:r>
            <w:r>
              <w:rPr>
                <w:rFonts w:hint="eastAsia" w:ascii="宋体" w:hAnsi="宋体" w:eastAsia="宋体" w:cs="宋体"/>
                <w:color w:val="auto"/>
                <w:kern w:val="0"/>
                <w:sz w:val="21"/>
                <w:szCs w:val="21"/>
                <w:lang w:eastAsia="zh-CN"/>
              </w:rPr>
              <w:t>。</w:t>
            </w:r>
          </w:p>
        </w:tc>
        <w:tc>
          <w:tcPr>
            <w:tcW w:w="308" w:type="pct"/>
            <w:vAlign w:val="center"/>
          </w:tcPr>
          <w:p w14:paraId="46F6F589">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11</w:t>
            </w:r>
          </w:p>
        </w:tc>
        <w:tc>
          <w:tcPr>
            <w:tcW w:w="300" w:type="pct"/>
            <w:vAlign w:val="center"/>
          </w:tcPr>
          <w:p w14:paraId="44BACB17">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套</w:t>
            </w:r>
          </w:p>
        </w:tc>
      </w:tr>
      <w:tr w14:paraId="5612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3A959D69">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(二)</w:t>
            </w:r>
          </w:p>
        </w:tc>
        <w:tc>
          <w:tcPr>
            <w:tcW w:w="4700" w:type="pct"/>
            <w:gridSpan w:val="4"/>
            <w:vAlign w:val="center"/>
          </w:tcPr>
          <w:p w14:paraId="1B5E967F">
            <w:pPr>
              <w:widowControl/>
              <w:spacing w:line="240" w:lineRule="auto"/>
              <w:ind w:firstLine="0" w:firstLineChars="0"/>
              <w:jc w:val="left"/>
              <w:rPr>
                <w:rFonts w:hint="eastAsia" w:ascii="宋体" w:hAnsi="宋体" w:cs="宋体"/>
                <w:b/>
                <w:bCs/>
                <w:color w:val="auto"/>
                <w:kern w:val="0"/>
                <w:sz w:val="21"/>
                <w:szCs w:val="21"/>
              </w:rPr>
            </w:pPr>
            <w:r>
              <w:rPr>
                <w:rFonts w:hint="eastAsia" w:ascii="宋体" w:hAnsi="宋体" w:cs="宋体"/>
                <w:b/>
                <w:bCs/>
                <w:color w:val="auto"/>
                <w:kern w:val="0"/>
                <w:sz w:val="21"/>
                <w:szCs w:val="21"/>
              </w:rPr>
              <w:t>防灾减灾前端设备</w:t>
            </w:r>
          </w:p>
        </w:tc>
      </w:tr>
      <w:tr w14:paraId="001E9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37CE6658">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w:t>
            </w:r>
          </w:p>
        </w:tc>
        <w:tc>
          <w:tcPr>
            <w:tcW w:w="1114" w:type="pct"/>
            <w:vAlign w:val="center"/>
          </w:tcPr>
          <w:p w14:paraId="376D106C">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多光谱重载云台</w:t>
            </w:r>
          </w:p>
        </w:tc>
        <w:tc>
          <w:tcPr>
            <w:tcW w:w="2976" w:type="pct"/>
            <w:vAlign w:val="center"/>
          </w:tcPr>
          <w:p w14:paraId="2C653538">
            <w:pPr>
              <w:bidi w:val="0"/>
              <w:rPr>
                <w:rFonts w:hint="eastAsia" w:eastAsia="宋体"/>
                <w:lang w:eastAsia="zh-CN"/>
              </w:rPr>
            </w:pPr>
            <w:r>
              <w:t>双光谱重载云台摄像机</w:t>
            </w:r>
            <w:r>
              <w:rPr>
                <w:rFonts w:hint="eastAsia" w:eastAsia="宋体"/>
                <w:lang w:eastAsia="zh-CN"/>
              </w:rPr>
              <w:t>。</w:t>
            </w:r>
          </w:p>
          <w:p w14:paraId="09006553">
            <w:pPr>
              <w:bidi w:val="0"/>
            </w:pPr>
            <w:r>
              <w:rPr>
                <w:rFonts w:hint="eastAsia" w:eastAsia="宋体"/>
                <w:lang w:val="en-US" w:eastAsia="zh-CN"/>
              </w:rPr>
              <w:t>1、</w:t>
            </w:r>
            <w:r>
              <w:t>【功能特性】</w:t>
            </w:r>
          </w:p>
          <w:p w14:paraId="20503D3A">
            <w:pPr>
              <w:bidi w:val="0"/>
              <w:rPr>
                <w:rFonts w:hint="eastAsia" w:eastAsia="宋体"/>
                <w:lang w:eastAsia="zh-CN"/>
              </w:rPr>
            </w:pPr>
            <w:r>
              <w:t>支持热成像和可见光联动，对未授权目标智能跟随单主控单IP系统，便于各通道联动和整体协调控制可见光、热成像均支持自动聚焦</w:t>
            </w:r>
            <w:r>
              <w:rPr>
                <w:rFonts w:hint="eastAsia" w:eastAsia="宋体"/>
                <w:lang w:eastAsia="zh-CN"/>
              </w:rPr>
              <w:t>；</w:t>
            </w:r>
          </w:p>
          <w:p w14:paraId="57623D9F">
            <w:pPr>
              <w:bidi w:val="0"/>
              <w:rPr>
                <w:rFonts w:hint="eastAsia" w:eastAsia="宋体"/>
                <w:lang w:eastAsia="zh-CN"/>
              </w:rPr>
            </w:pPr>
            <w:r>
              <w:t>支持系统双备份功能，确保数据断电不丢失</w:t>
            </w:r>
            <w:r>
              <w:rPr>
                <w:rFonts w:hint="eastAsia" w:eastAsia="宋体"/>
                <w:lang w:eastAsia="zh-CN"/>
              </w:rPr>
              <w:t>；</w:t>
            </w:r>
          </w:p>
          <w:p w14:paraId="053BCA3D">
            <w:pPr>
              <w:bidi w:val="0"/>
              <w:rPr>
                <w:rFonts w:hint="eastAsia" w:eastAsia="宋体"/>
                <w:lang w:eastAsia="zh-CN"/>
              </w:rPr>
            </w:pPr>
            <w:r>
              <w:t>支持断电状态记忆功能，上电后自动回到断电前的云台和镜头状态</w:t>
            </w:r>
            <w:r>
              <w:rPr>
                <w:rFonts w:hint="eastAsia" w:eastAsia="宋体"/>
                <w:lang w:eastAsia="zh-CN"/>
              </w:rPr>
              <w:t>；</w:t>
            </w:r>
          </w:p>
          <w:p w14:paraId="32648A9B">
            <w:pPr>
              <w:bidi w:val="0"/>
              <w:rPr>
                <w:rFonts w:hint="eastAsia" w:eastAsia="宋体"/>
                <w:lang w:eastAsia="zh-CN"/>
              </w:rPr>
            </w:pPr>
            <w:r>
              <w:t>▲</w:t>
            </w:r>
            <w:r>
              <w:rPr>
                <w:rFonts w:hint="eastAsia"/>
              </w:rPr>
              <w:t>具备故障自诊断系统，可自动识别系统故障（包括视频图像异常、系统异常重启、云台异常、镜头运行状态异常、网络异常、智能分析异常、算法状态异常、电机状态异常等）并可通过OSD进行显示及后台输出</w:t>
            </w:r>
            <w:r>
              <w:rPr>
                <w:rFonts w:hint="eastAsia" w:eastAsia="宋体"/>
                <w:lang w:eastAsia="zh-CN"/>
              </w:rPr>
              <w:t>；</w:t>
            </w:r>
          </w:p>
          <w:p w14:paraId="5A8226DA">
            <w:pPr>
              <w:bidi w:val="0"/>
              <w:rPr>
                <w:rFonts w:hint="eastAsia" w:eastAsia="宋体"/>
                <w:lang w:eastAsia="zh-CN"/>
              </w:rPr>
            </w:pPr>
            <w:r>
              <w:t>支持精密电机驱动，反应灵敏，运转平稳，精度偏差少于0.01度，在任何速度下图像无抖动支持3D定位功能，通过客户端/IE可实现点击放大</w:t>
            </w:r>
            <w:r>
              <w:rPr>
                <w:rFonts w:hint="eastAsia" w:eastAsia="宋体"/>
                <w:lang w:eastAsia="zh-CN"/>
              </w:rPr>
              <w:t>；</w:t>
            </w:r>
          </w:p>
          <w:p w14:paraId="7A80E372">
            <w:pPr>
              <w:bidi w:val="0"/>
              <w:rPr>
                <w:rFonts w:hint="eastAsia" w:eastAsia="宋体"/>
                <w:lang w:eastAsia="zh-CN"/>
              </w:rPr>
            </w:pPr>
            <w:r>
              <w:t>支持智能雨刷，光学透雾功能</w:t>
            </w:r>
            <w:r>
              <w:rPr>
                <w:rFonts w:hint="eastAsia" w:eastAsia="宋体"/>
                <w:lang w:eastAsia="zh-CN"/>
              </w:rPr>
              <w:t>；</w:t>
            </w:r>
          </w:p>
          <w:p w14:paraId="48BF92F3">
            <w:pPr>
              <w:bidi w:val="0"/>
              <w:rPr>
                <w:rFonts w:hint="eastAsia" w:eastAsia="宋体"/>
                <w:lang w:eastAsia="zh-CN"/>
              </w:rPr>
            </w:pPr>
            <w:r>
              <w:t>支持热成像探测器防灼伤智能躲避</w:t>
            </w:r>
            <w:r>
              <w:rPr>
                <w:rFonts w:hint="eastAsia" w:eastAsia="宋体"/>
                <w:lang w:eastAsia="zh-CN"/>
              </w:rPr>
              <w:t>；</w:t>
            </w:r>
          </w:p>
          <w:p w14:paraId="0F8B8DB9">
            <w:pPr>
              <w:bidi w:val="0"/>
              <w:rPr>
                <w:rFonts w:hint="eastAsia" w:eastAsia="宋体"/>
                <w:lang w:eastAsia="zh-CN"/>
              </w:rPr>
            </w:pPr>
            <w:r>
              <w:t>▲</w:t>
            </w:r>
            <w:r>
              <w:rPr>
                <w:rFonts w:hint="eastAsia"/>
              </w:rPr>
              <w:t>支持目标热源细节凸显，并可对指定热源细节进行增强显示</w:t>
            </w:r>
            <w:r>
              <w:rPr>
                <w:rFonts w:hint="eastAsia" w:eastAsia="宋体"/>
                <w:lang w:eastAsia="zh-CN"/>
              </w:rPr>
              <w:t>；</w:t>
            </w:r>
          </w:p>
          <w:p w14:paraId="334D7860">
            <w:pPr>
              <w:bidi w:val="0"/>
              <w:rPr>
                <w:rFonts w:hint="eastAsia" w:eastAsia="宋体"/>
                <w:lang w:eastAsia="zh-CN"/>
              </w:rPr>
            </w:pPr>
            <w:r>
              <w:t>支持欠压和过压报警</w:t>
            </w:r>
            <w:r>
              <w:rPr>
                <w:rFonts w:hint="eastAsia" w:eastAsia="宋体"/>
                <w:lang w:eastAsia="zh-CN"/>
              </w:rPr>
              <w:t>；</w:t>
            </w:r>
          </w:p>
          <w:p w14:paraId="49A81A1D">
            <w:pPr>
              <w:bidi w:val="0"/>
              <w:rPr>
                <w:rFonts w:hint="eastAsia" w:eastAsia="宋体"/>
                <w:lang w:eastAsia="zh-CN"/>
              </w:rPr>
            </w:pPr>
            <w:r>
              <w:t>高灵敏度探测器，支持对比度调节</w:t>
            </w:r>
            <w:r>
              <w:rPr>
                <w:rFonts w:hint="eastAsia" w:eastAsia="宋体"/>
                <w:lang w:eastAsia="zh-CN"/>
              </w:rPr>
              <w:t>；</w:t>
            </w:r>
          </w:p>
          <w:p w14:paraId="37112EEB">
            <w:pPr>
              <w:bidi w:val="0"/>
              <w:rPr>
                <w:rFonts w:hint="eastAsia" w:eastAsia="宋体"/>
                <w:lang w:eastAsia="zh-CN"/>
              </w:rPr>
            </w:pPr>
            <w:r>
              <w:t>支持3D降噪功能，</w:t>
            </w:r>
            <w:r>
              <w:rPr>
                <w:rFonts w:hint="eastAsia"/>
              </w:rPr>
              <w:t>≥</w:t>
            </w:r>
            <w:r>
              <w:t>15种伪彩色可调节，图像细节增强功能支持镜像、数字变倍和本地视频输出</w:t>
            </w:r>
            <w:r>
              <w:rPr>
                <w:rFonts w:hint="eastAsia" w:eastAsia="宋体"/>
                <w:lang w:eastAsia="zh-CN"/>
              </w:rPr>
              <w:t>；</w:t>
            </w:r>
          </w:p>
          <w:p w14:paraId="13254629">
            <w:pPr>
              <w:bidi w:val="0"/>
              <w:rPr>
                <w:rFonts w:hint="eastAsia" w:eastAsia="宋体"/>
                <w:lang w:eastAsia="zh-CN"/>
              </w:rPr>
            </w:pPr>
            <w:r>
              <w:t>支持镜头除冰，电子罗盘功能</w:t>
            </w:r>
            <w:r>
              <w:rPr>
                <w:rFonts w:hint="eastAsia" w:eastAsia="宋体"/>
                <w:lang w:eastAsia="zh-CN"/>
              </w:rPr>
              <w:t>；</w:t>
            </w:r>
          </w:p>
          <w:p w14:paraId="47F143B6">
            <w:pPr>
              <w:bidi w:val="0"/>
              <w:rPr>
                <w:rFonts w:hint="eastAsia" w:eastAsia="宋体"/>
                <w:lang w:eastAsia="zh-CN"/>
              </w:rPr>
            </w:pPr>
            <w:r>
              <w:t>▲</w:t>
            </w:r>
            <w:r>
              <w:rPr>
                <w:rFonts w:hint="eastAsia"/>
              </w:rPr>
              <w:t>可外接空间感知模块，并可显示经纬度、海拔高度、方位角坐标等信息</w:t>
            </w:r>
            <w:r>
              <w:rPr>
                <w:rFonts w:hint="eastAsia" w:eastAsia="宋体"/>
                <w:lang w:eastAsia="zh-CN"/>
              </w:rPr>
              <w:t>。</w:t>
            </w:r>
          </w:p>
          <w:p w14:paraId="523E126D">
            <w:pPr>
              <w:bidi w:val="0"/>
            </w:pPr>
            <w:r>
              <w:rPr>
                <w:rFonts w:hint="eastAsia" w:eastAsia="宋体"/>
                <w:lang w:val="en-US" w:eastAsia="zh-CN"/>
              </w:rPr>
              <w:t>2、</w:t>
            </w:r>
            <w:r>
              <w:t>【应用场景】</w:t>
            </w:r>
          </w:p>
          <w:p w14:paraId="7E8C63E7">
            <w:pPr>
              <w:bidi w:val="0"/>
              <w:rPr>
                <w:rFonts w:hint="eastAsia" w:eastAsia="宋体"/>
                <w:lang w:eastAsia="zh-CN"/>
              </w:rPr>
            </w:pPr>
            <w:r>
              <w:t>适用于森林防火、秸秆禁烧、乡村/城市制高点、水利防挖沙、渔政禁捕、国土资源保护、废气检测等应用场景</w:t>
            </w:r>
            <w:r>
              <w:rPr>
                <w:rFonts w:hint="eastAsia" w:eastAsia="宋体"/>
                <w:lang w:eastAsia="zh-CN"/>
              </w:rPr>
              <w:t>；</w:t>
            </w:r>
          </w:p>
          <w:p w14:paraId="5FD35C1D">
            <w:pPr>
              <w:bidi w:val="0"/>
              <w:rPr>
                <w:rFonts w:hint="eastAsia" w:eastAsia="宋体"/>
                <w:lang w:eastAsia="zh-CN"/>
              </w:rPr>
            </w:pPr>
            <w:r>
              <w:t>热成像像元尺寸：</w:t>
            </w:r>
            <w:r>
              <w:rPr>
                <w:rFonts w:hint="eastAsia"/>
              </w:rPr>
              <w:t>≥</w:t>
            </w:r>
            <w:r>
              <w:t>17 μm热成像焦距：</w:t>
            </w:r>
            <w:r>
              <w:rPr>
                <w:rFonts w:hint="eastAsia"/>
              </w:rPr>
              <w:t>≥</w:t>
            </w:r>
            <w:r>
              <w:t>100 mm</w:t>
            </w:r>
            <w:r>
              <w:rPr>
                <w:rFonts w:hint="eastAsia" w:eastAsia="宋体"/>
                <w:lang w:eastAsia="zh-CN"/>
              </w:rPr>
              <w:t>；</w:t>
            </w:r>
          </w:p>
          <w:p w14:paraId="67FE870E">
            <w:pPr>
              <w:bidi w:val="0"/>
              <w:rPr>
                <w:rFonts w:hint="eastAsia" w:eastAsia="宋体"/>
                <w:lang w:eastAsia="zh-CN"/>
              </w:rPr>
            </w:pPr>
            <w:r>
              <w:t>热成像分辨率：</w:t>
            </w:r>
            <w:r>
              <w:rPr>
                <w:rFonts w:hint="eastAsia"/>
              </w:rPr>
              <w:t>≥</w:t>
            </w:r>
            <w:r>
              <w:t>640 × 512 热成像视场角：</w:t>
            </w:r>
            <w:r>
              <w:rPr>
                <w:rFonts w:hint="eastAsia"/>
              </w:rPr>
              <w:t>≥</w:t>
            </w:r>
            <w:r>
              <w:t>6.2°(H)5°(V)</w:t>
            </w:r>
            <w:r>
              <w:rPr>
                <w:rFonts w:hint="eastAsia" w:eastAsia="宋体"/>
                <w:lang w:eastAsia="zh-CN"/>
              </w:rPr>
              <w:t>；</w:t>
            </w:r>
          </w:p>
          <w:p w14:paraId="0CDD554D">
            <w:pPr>
              <w:bidi w:val="0"/>
              <w:rPr>
                <w:rFonts w:hint="eastAsia" w:eastAsia="宋体"/>
                <w:lang w:eastAsia="zh-CN"/>
              </w:rPr>
            </w:pPr>
            <w:r>
              <w:t>人员最远报警距离（以1.8米*0.5米为准）：</w:t>
            </w:r>
            <w:r>
              <w:rPr>
                <w:rFonts w:hint="eastAsia"/>
              </w:rPr>
              <w:t>≥</w:t>
            </w:r>
            <w:r>
              <w:t>0.7km车辆最远报警距离（以4米*1.4米为准）：</w:t>
            </w:r>
            <w:r>
              <w:rPr>
                <w:rFonts w:hint="eastAsia"/>
              </w:rPr>
              <w:t>≥</w:t>
            </w:r>
            <w:r>
              <w:t>2.1km 船只最远报警距离（以10米*5米为准）：</w:t>
            </w:r>
            <w:r>
              <w:rPr>
                <w:rFonts w:hint="eastAsia"/>
              </w:rPr>
              <w:t>≥</w:t>
            </w:r>
            <w:r>
              <w:t>3.0km</w:t>
            </w:r>
            <w:r>
              <w:rPr>
                <w:rFonts w:hint="eastAsia" w:eastAsia="宋体"/>
                <w:lang w:eastAsia="zh-CN"/>
              </w:rPr>
              <w:t>；</w:t>
            </w:r>
          </w:p>
          <w:p w14:paraId="62359815">
            <w:pPr>
              <w:bidi w:val="0"/>
            </w:pPr>
            <w:r>
              <w:t>火点最远报警距离（以2米*2米为准）：</w:t>
            </w:r>
            <w:r>
              <w:rPr>
                <w:rFonts w:hint="eastAsia"/>
              </w:rPr>
              <w:t>≥</w:t>
            </w:r>
            <w:r>
              <w:t>5.9km可见光焦距：</w:t>
            </w:r>
            <w:r>
              <w:rPr>
                <w:rFonts w:hint="eastAsia"/>
              </w:rPr>
              <w:t>≥</w:t>
            </w:r>
            <w:r>
              <w:t>6 -336mm，光学变倍</w:t>
            </w:r>
            <w:r>
              <w:rPr>
                <w:rFonts w:hint="eastAsia"/>
              </w:rPr>
              <w:t>≥</w:t>
            </w:r>
            <w:r>
              <w:t>56倍</w:t>
            </w:r>
          </w:p>
          <w:p w14:paraId="5C3983C6">
            <w:pPr>
              <w:bidi w:val="0"/>
              <w:rPr>
                <w:rFonts w:hint="eastAsia" w:eastAsia="宋体"/>
                <w:lang w:eastAsia="zh-CN"/>
              </w:rPr>
            </w:pPr>
            <w:r>
              <w:t>可见光视场角：</w:t>
            </w:r>
            <w:r>
              <w:rPr>
                <w:rFonts w:hint="eastAsia"/>
              </w:rPr>
              <w:t>≥48.26°(H)28.43°(V) ~ 0.92°(H)0.56°(V)</w:t>
            </w:r>
            <w:r>
              <w:rPr>
                <w:rFonts w:hint="eastAsia" w:eastAsia="宋体"/>
                <w:lang w:eastAsia="zh-CN"/>
              </w:rPr>
              <w:t>；</w:t>
            </w:r>
          </w:p>
          <w:p w14:paraId="593AFC9C">
            <w:pPr>
              <w:bidi w:val="0"/>
              <w:rPr>
                <w:rFonts w:hint="eastAsia" w:eastAsia="宋体"/>
                <w:lang w:eastAsia="zh-CN"/>
              </w:rPr>
            </w:pPr>
            <w:r>
              <w:t>可见光透雾：支持光学透雾和算法透雾可见光防抖功能：支持陀螺仪防抖</w:t>
            </w:r>
            <w:r>
              <w:rPr>
                <w:rFonts w:hint="eastAsia" w:eastAsia="宋体"/>
                <w:lang w:eastAsia="zh-CN"/>
              </w:rPr>
              <w:t>；</w:t>
            </w:r>
          </w:p>
          <w:p w14:paraId="1BD976E0">
            <w:pPr>
              <w:bidi w:val="0"/>
              <w:rPr>
                <w:rFonts w:hint="eastAsia" w:eastAsia="宋体"/>
                <w:lang w:eastAsia="zh-CN"/>
              </w:rPr>
            </w:pPr>
            <w:r>
              <w:t>烟雾最远报警距离（以5米*5米为准）：</w:t>
            </w:r>
            <w:r>
              <w:rPr>
                <w:rFonts w:hint="eastAsia"/>
              </w:rPr>
              <w:t>≥</w:t>
            </w:r>
            <w:r>
              <w:t>6.0 km</w:t>
            </w:r>
            <w:r>
              <w:rPr>
                <w:rFonts w:hint="eastAsia" w:eastAsia="宋体"/>
                <w:lang w:eastAsia="zh-CN"/>
              </w:rPr>
              <w:t>；</w:t>
            </w:r>
          </w:p>
          <w:p w14:paraId="7EC28390">
            <w:pPr>
              <w:bidi w:val="0"/>
              <w:rPr>
                <w:rFonts w:hint="eastAsia" w:eastAsia="宋体"/>
                <w:lang w:eastAsia="zh-CN"/>
              </w:rPr>
            </w:pPr>
            <w:r>
              <w:t>可见光分辨率：</w:t>
            </w:r>
            <w:r>
              <w:rPr>
                <w:rFonts w:hint="eastAsia"/>
              </w:rPr>
              <w:t>≥</w:t>
            </w:r>
            <w:r>
              <w:t xml:space="preserve">2688 × 1520, </w:t>
            </w:r>
            <w:r>
              <w:rPr>
                <w:rFonts w:hint="eastAsia"/>
              </w:rPr>
              <w:t>≥</w:t>
            </w:r>
            <w:r>
              <w:t>400万实时高清水平范围：</w:t>
            </w:r>
            <w:r>
              <w:rPr>
                <w:rFonts w:hint="eastAsia"/>
              </w:rPr>
              <w:t>≥</w:t>
            </w:r>
            <w:r>
              <w:t>360°连续旋转</w:t>
            </w:r>
            <w:r>
              <w:rPr>
                <w:rFonts w:hint="eastAsia" w:eastAsia="宋体"/>
                <w:lang w:eastAsia="zh-CN"/>
              </w:rPr>
              <w:t>；</w:t>
            </w:r>
          </w:p>
          <w:p w14:paraId="0D8F6830">
            <w:pPr>
              <w:bidi w:val="0"/>
              <w:rPr>
                <w:rFonts w:hint="eastAsia" w:eastAsia="宋体"/>
                <w:lang w:eastAsia="zh-CN"/>
              </w:rPr>
            </w:pPr>
            <w:r>
              <w:t>垂直范围：</w:t>
            </w:r>
            <w:r>
              <w:rPr>
                <w:rFonts w:hint="eastAsia"/>
              </w:rPr>
              <w:t>≥+40°~-90°</w:t>
            </w:r>
            <w:r>
              <w:rPr>
                <w:rFonts w:hint="eastAsia" w:eastAsia="宋体"/>
                <w:lang w:eastAsia="zh-CN"/>
              </w:rPr>
              <w:t>；</w:t>
            </w:r>
          </w:p>
          <w:p w14:paraId="56422E19">
            <w:pPr>
              <w:bidi w:val="0"/>
              <w:rPr>
                <w:rFonts w:hint="eastAsia" w:eastAsia="宋体"/>
                <w:lang w:eastAsia="zh-CN"/>
              </w:rPr>
            </w:pPr>
            <w:r>
              <w:t>电源输入：电源盒支持宽压输入</w:t>
            </w:r>
            <w:r>
              <w:rPr>
                <w:rFonts w:hint="eastAsia"/>
              </w:rPr>
              <w:t>≥</w:t>
            </w:r>
            <w:r>
              <w:t>AC200V~AC240V, 50/60 Hz； 功率：整机运动功耗≤130 W；整机最大峰值功耗≤240 W工作温度和湿度：</w:t>
            </w:r>
            <w:r>
              <w:rPr>
                <w:rFonts w:hint="eastAsia"/>
              </w:rPr>
              <w:t>≥</w:t>
            </w:r>
            <w:r>
              <w:t>-40°C～70°C，＜90% RH</w:t>
            </w:r>
            <w:r>
              <w:rPr>
                <w:rFonts w:hint="eastAsia" w:eastAsia="宋体"/>
                <w:lang w:eastAsia="zh-CN"/>
              </w:rPr>
              <w:t>；</w:t>
            </w:r>
          </w:p>
          <w:p w14:paraId="589E631A">
            <w:pPr>
              <w:bidi w:val="0"/>
              <w:rPr>
                <w:rFonts w:hint="eastAsia" w:eastAsia="宋体"/>
                <w:lang w:eastAsia="zh-CN"/>
              </w:rPr>
            </w:pPr>
            <w:r>
              <w:t>防护等级：</w:t>
            </w:r>
            <w:r>
              <w:rPr>
                <w:rFonts w:hint="eastAsia"/>
              </w:rPr>
              <w:t>≥</w:t>
            </w:r>
            <w:r>
              <w:t>IP67，电磁兼容符合GB/T17626.5 四级标准</w:t>
            </w:r>
            <w:r>
              <w:rPr>
                <w:rFonts w:hint="eastAsia" w:eastAsia="宋体"/>
                <w:lang w:eastAsia="zh-CN"/>
              </w:rPr>
              <w:t>；</w:t>
            </w:r>
          </w:p>
          <w:p w14:paraId="5EF7E501">
            <w:pPr>
              <w:bidi w:val="0"/>
            </w:pPr>
            <w:r>
              <w:t>具有方位角一键标定功能，可同步零方位角；</w:t>
            </w:r>
          </w:p>
          <w:p w14:paraId="04E709B7">
            <w:pPr>
              <w:bidi w:val="0"/>
            </w:pPr>
            <w:r>
              <w:rPr>
                <w:rFonts w:hint="eastAsia"/>
              </w:rPr>
              <w:t>具有火情属性标签过滤设置选项，包括森林场景、民房场景、工厂场景和农田场景等</w:t>
            </w:r>
            <w:r>
              <w:t>；</w:t>
            </w:r>
          </w:p>
          <w:p w14:paraId="115B3F7E">
            <w:pPr>
              <w:bidi w:val="0"/>
            </w:pPr>
            <w:r>
              <w:t>支持火情报警时输出火情属性标签，标签内容包含：火情大小、火情区域、风险等级；支持自适应或手动调整补光画面占比；可见光镜头变倍时，激光补光角度会联动变化；支持太阳能供电，当太阳能供电时，可实时检测电池电量；</w:t>
            </w:r>
          </w:p>
          <w:p w14:paraId="2705BAB0">
            <w:pPr>
              <w:bidi w:val="0"/>
            </w:pPr>
            <w:r>
              <w:t>支持热成像通道、可见光通道、云台组件的单独休眠和整机休眠功能，实现不同的休眠模式</w:t>
            </w:r>
          </w:p>
          <w:p w14:paraId="1F3AE62D">
            <w:pPr>
              <w:bidi w:val="0"/>
            </w:pPr>
            <w:r>
              <w:t>；</w:t>
            </w:r>
          </w:p>
          <w:p w14:paraId="3CA3A692">
            <w:pPr>
              <w:bidi w:val="0"/>
              <w:rPr>
                <w:rFonts w:hint="eastAsia" w:eastAsia="宋体"/>
                <w:lang w:eastAsia="zh-CN"/>
              </w:rPr>
            </w:pPr>
            <w:r>
              <w:t>可对镜头前盖玻璃加热，去除镜头玻璃上的冰状和雾状附着物</w:t>
            </w:r>
            <w:r>
              <w:rPr>
                <w:rFonts w:hint="eastAsia" w:eastAsia="宋体"/>
                <w:lang w:eastAsia="zh-CN"/>
              </w:rPr>
              <w:t>。</w:t>
            </w:r>
          </w:p>
          <w:p w14:paraId="1F331C09">
            <w:pPr>
              <w:bidi w:val="0"/>
              <w:rPr>
                <w:rFonts w:hint="eastAsia"/>
              </w:rPr>
            </w:pPr>
            <w:r>
              <w:rPr>
                <w:rFonts w:hint="eastAsia" w:eastAsia="宋体"/>
                <w:lang w:val="en-US" w:eastAsia="zh-CN"/>
              </w:rPr>
              <w:t>3、</w:t>
            </w:r>
            <w:r>
              <w:t>★为保障售后服务质量和产品质量，供货时提供原厂商售后服务承诺函原件、原厂商供货证明函原件并加盖原厂家公章。</w:t>
            </w:r>
          </w:p>
        </w:tc>
        <w:tc>
          <w:tcPr>
            <w:tcW w:w="308" w:type="pct"/>
            <w:noWrap/>
            <w:vAlign w:val="center"/>
          </w:tcPr>
          <w:p w14:paraId="44420AD8">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2</w:t>
            </w:r>
          </w:p>
        </w:tc>
        <w:tc>
          <w:tcPr>
            <w:tcW w:w="300" w:type="pct"/>
            <w:noWrap/>
            <w:vAlign w:val="center"/>
          </w:tcPr>
          <w:p w14:paraId="4B0D7FBD">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套</w:t>
            </w:r>
          </w:p>
        </w:tc>
      </w:tr>
      <w:tr w14:paraId="6A832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59382D53">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2</w:t>
            </w:r>
          </w:p>
        </w:tc>
        <w:tc>
          <w:tcPr>
            <w:tcW w:w="1114" w:type="pct"/>
            <w:vAlign w:val="center"/>
          </w:tcPr>
          <w:p w14:paraId="2EC5C2C7">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警戒球机</w:t>
            </w:r>
          </w:p>
        </w:tc>
        <w:tc>
          <w:tcPr>
            <w:tcW w:w="2976" w:type="pct"/>
            <w:vAlign w:val="center"/>
          </w:tcPr>
          <w:p w14:paraId="0735B792">
            <w:pPr>
              <w:bidi w:val="0"/>
              <w:rPr>
                <w:rFonts w:hint="eastAsia" w:eastAsia="宋体"/>
                <w:lang w:eastAsia="zh-CN"/>
              </w:rPr>
            </w:pPr>
            <w:r>
              <w:rPr>
                <w:rFonts w:hint="eastAsia" w:eastAsia="宋体"/>
                <w:lang w:val="en-US" w:eastAsia="zh-CN"/>
              </w:rPr>
              <w:t>1、</w:t>
            </w:r>
            <w:r>
              <w:t>全景</w:t>
            </w:r>
            <w:r>
              <w:rPr>
                <w:rFonts w:hint="eastAsia"/>
              </w:rPr>
              <w:t>≥</w:t>
            </w:r>
            <w:r>
              <w:t>400万全彩细节</w:t>
            </w:r>
            <w:r>
              <w:rPr>
                <w:rFonts w:hint="eastAsia"/>
              </w:rPr>
              <w:t>≥</w:t>
            </w:r>
            <w:r>
              <w:t>400万全彩震慑</w:t>
            </w:r>
            <w:r>
              <w:rPr>
                <w:rFonts w:hint="eastAsia"/>
              </w:rPr>
              <w:t>≥</w:t>
            </w:r>
            <w:r>
              <w:t>23倍枪球网络高清智能球机</w:t>
            </w:r>
            <w:r>
              <w:rPr>
                <w:rFonts w:hint="eastAsia" w:eastAsia="宋体"/>
                <w:lang w:eastAsia="zh-CN"/>
              </w:rPr>
              <w:t>。</w:t>
            </w:r>
          </w:p>
          <w:p w14:paraId="42245DCB">
            <w:pPr>
              <w:bidi w:val="0"/>
              <w:rPr>
                <w:rFonts w:hint="eastAsia" w:eastAsia="宋体"/>
                <w:lang w:eastAsia="zh-CN"/>
              </w:rPr>
            </w:pPr>
            <w:r>
              <w:rPr>
                <w:rFonts w:hint="eastAsia" w:eastAsia="宋体"/>
                <w:lang w:val="en-US" w:eastAsia="zh-CN"/>
              </w:rPr>
              <w:t>2、</w:t>
            </w:r>
            <w:r>
              <w:t>支持深度学习算法，提供精准的人车分类侦测、报警、联动跟踪</w:t>
            </w:r>
            <w:r>
              <w:rPr>
                <w:rFonts w:hint="eastAsia" w:eastAsia="宋体"/>
                <w:lang w:eastAsia="zh-CN"/>
              </w:rPr>
              <w:t>。</w:t>
            </w:r>
          </w:p>
          <w:p w14:paraId="76914D51">
            <w:pPr>
              <w:bidi w:val="0"/>
              <w:rPr>
                <w:rFonts w:hint="eastAsia" w:eastAsia="宋体"/>
                <w:lang w:eastAsia="zh-CN"/>
              </w:rPr>
            </w:pPr>
            <w:r>
              <w:rPr>
                <w:rFonts w:hint="eastAsia" w:eastAsia="宋体"/>
                <w:lang w:val="en-US" w:eastAsia="zh-CN"/>
              </w:rPr>
              <w:t>3、</w:t>
            </w:r>
            <w:r>
              <w:t>支持强光提醒，报警联动束状光源，可实现</w:t>
            </w:r>
            <w:r>
              <w:rPr>
                <w:rFonts w:hint="eastAsia"/>
              </w:rPr>
              <w:t>≥</w:t>
            </w:r>
            <w:r>
              <w:t>150 m常亮光束指示</w:t>
            </w:r>
            <w:r>
              <w:rPr>
                <w:rFonts w:hint="eastAsia" w:eastAsia="宋体"/>
                <w:lang w:eastAsia="zh-CN"/>
              </w:rPr>
              <w:t>。</w:t>
            </w:r>
          </w:p>
          <w:p w14:paraId="2F4A2AF3">
            <w:pPr>
              <w:bidi w:val="0"/>
            </w:pPr>
            <w:r>
              <w:rPr>
                <w:rFonts w:hint="eastAsia" w:eastAsia="宋体"/>
                <w:lang w:val="en-US" w:eastAsia="zh-CN"/>
              </w:rPr>
              <w:t>4、</w:t>
            </w:r>
            <w:r>
              <w:t>支持强声提醒，内置可随球机转动的两喇叭，可实现警戒音</w:t>
            </w:r>
            <w:r>
              <w:rPr>
                <w:rFonts w:hint="eastAsia"/>
              </w:rPr>
              <w:t>≥</w:t>
            </w:r>
            <w:r>
              <w:t>100 m 60 dB，声音内容支持多项固定音频选择，支持文字输入生成语音播报，支持固定.MP3等格式录音导入，支持远程实时喊话。</w:t>
            </w:r>
          </w:p>
          <w:p w14:paraId="474D0ACA">
            <w:pPr>
              <w:bidi w:val="0"/>
            </w:pPr>
            <w:r>
              <w:rPr>
                <w:rFonts w:hint="eastAsia" w:eastAsia="宋体"/>
                <w:lang w:val="en-US" w:eastAsia="zh-CN"/>
              </w:rPr>
              <w:t>5、</w:t>
            </w:r>
            <w:r>
              <w:t>▲</w:t>
            </w:r>
            <w:r>
              <w:rPr>
                <w:rFonts w:hint="eastAsia"/>
              </w:rPr>
              <w:t>具备循环跟踪功能，当全景视频图像中有多个目标触发报警事件后，细节视频图像可联动对多个目标循环跟踪，内置≥</w:t>
            </w:r>
            <w:r>
              <w:t>2个扬声器，并可随细节视频图像以及补光灯、白光报警灯360°同步旋转，白光报警时，光束呈现束状型，全景图像中可明确指示报警方向，可对≥100m以外人员进行报警提示，在夜晚无光照环境下，正向人员能明显感觉到报警灯闪烁</w:t>
            </w:r>
          </w:p>
          <w:p w14:paraId="31B2F68B">
            <w:pPr>
              <w:bidi w:val="0"/>
              <w:rPr>
                <w:rFonts w:hint="eastAsia" w:eastAsia="宋体"/>
                <w:lang w:eastAsia="zh-CN"/>
              </w:rPr>
            </w:pPr>
            <w:r>
              <w:t>支持双路区域入侵侦测、越界侦测、进入区域侦测和离开区域侦测等智能侦测并联动跟踪</w:t>
            </w:r>
            <w:r>
              <w:rPr>
                <w:rFonts w:hint="eastAsia" w:eastAsia="宋体"/>
                <w:lang w:eastAsia="zh-CN"/>
              </w:rPr>
              <w:t>。</w:t>
            </w:r>
          </w:p>
          <w:p w14:paraId="006704B0">
            <w:pPr>
              <w:bidi w:val="0"/>
              <w:rPr>
                <w:rFonts w:hint="eastAsia" w:eastAsia="宋体"/>
                <w:lang w:eastAsia="zh-CN"/>
              </w:rPr>
            </w:pPr>
            <w:r>
              <w:rPr>
                <w:rFonts w:hint="eastAsia" w:eastAsia="宋体"/>
                <w:lang w:val="en-US" w:eastAsia="zh-CN"/>
              </w:rPr>
              <w:t>6、</w:t>
            </w:r>
            <w:r>
              <w:t>▲</w:t>
            </w:r>
            <w:r>
              <w:rPr>
                <w:rFonts w:hint="eastAsia"/>
              </w:rPr>
              <w:t>支持图片合成功能，报警事件触发后，可联动全景视频图像与细节视频图像进行抓图，并将≥</w:t>
            </w:r>
            <w:r>
              <w:t>2张报警图片合成，具备智能分析抗干扰功能，当篮球、小狗、树叶等非人或车辆目标经过检测区域时不会触发报警</w:t>
            </w:r>
            <w:r>
              <w:rPr>
                <w:rFonts w:hint="eastAsia" w:eastAsia="宋体"/>
                <w:lang w:eastAsia="zh-CN"/>
              </w:rPr>
              <w:t>。</w:t>
            </w:r>
          </w:p>
          <w:p w14:paraId="1B841C86">
            <w:pPr>
              <w:bidi w:val="0"/>
              <w:rPr>
                <w:rFonts w:hint="eastAsia" w:eastAsia="宋体"/>
                <w:lang w:eastAsia="zh-CN"/>
              </w:rPr>
            </w:pPr>
            <w:r>
              <w:rPr>
                <w:rFonts w:hint="eastAsia" w:eastAsia="宋体"/>
                <w:lang w:val="en-US" w:eastAsia="zh-CN"/>
              </w:rPr>
              <w:t>7、</w:t>
            </w:r>
            <w:r>
              <w:t>▲</w:t>
            </w:r>
            <w:r>
              <w:rPr>
                <w:rFonts w:hint="eastAsia"/>
              </w:rPr>
              <w:t>具备快捷配置功能，支持在预览画面开启或关闭快捷配置页面，支持对曝光参数、</w:t>
            </w:r>
            <w:r>
              <w:t>OSD、智能资源分配模式等参数进行设置，并可一键恢复为默认设置，支持将白平衡参数锁定为当前设定值，锁定后白平衡参数值不应改变</w:t>
            </w:r>
            <w:r>
              <w:rPr>
                <w:rFonts w:hint="eastAsia" w:eastAsia="宋体"/>
                <w:lang w:eastAsia="zh-CN"/>
              </w:rPr>
              <w:t>。</w:t>
            </w:r>
          </w:p>
          <w:p w14:paraId="29AB57F6">
            <w:pPr>
              <w:bidi w:val="0"/>
              <w:rPr>
                <w:rFonts w:hint="eastAsia" w:eastAsia="宋体"/>
                <w:lang w:eastAsia="zh-CN"/>
              </w:rPr>
            </w:pPr>
            <w:r>
              <w:rPr>
                <w:rFonts w:hint="eastAsia" w:eastAsia="宋体"/>
                <w:lang w:val="en-US" w:eastAsia="zh-CN"/>
              </w:rPr>
              <w:t>8、</w:t>
            </w:r>
            <w:r>
              <w:t>支持同时检测</w:t>
            </w:r>
            <w:r>
              <w:rPr>
                <w:rFonts w:hint="eastAsia"/>
              </w:rPr>
              <w:t>≥</w:t>
            </w:r>
            <w:r>
              <w:t>5张人脸，支持对运动人脸进行检测、跟踪、抓拍、评分、筛选，输出最优的人脸抓图</w:t>
            </w:r>
            <w:r>
              <w:rPr>
                <w:rFonts w:hint="eastAsia" w:eastAsia="宋体"/>
                <w:lang w:eastAsia="zh-CN"/>
              </w:rPr>
              <w:t>。</w:t>
            </w:r>
          </w:p>
          <w:p w14:paraId="0A33E5BC">
            <w:pPr>
              <w:bidi w:val="0"/>
              <w:rPr>
                <w:rFonts w:hint="eastAsia" w:eastAsia="宋体"/>
                <w:lang w:eastAsia="zh-CN"/>
              </w:rPr>
            </w:pPr>
            <w:r>
              <w:rPr>
                <w:rFonts w:hint="eastAsia" w:eastAsia="宋体"/>
                <w:lang w:val="en-US" w:eastAsia="zh-CN"/>
              </w:rPr>
              <w:t>9、</w:t>
            </w:r>
            <w:r>
              <w:t>支持</w:t>
            </w:r>
            <w:r>
              <w:rPr>
                <w:rFonts w:hint="eastAsia"/>
              </w:rPr>
              <w:t>≥2</w:t>
            </w:r>
            <w:r>
              <w:t>进</w:t>
            </w:r>
            <w:r>
              <w:rPr>
                <w:rFonts w:hint="eastAsia"/>
              </w:rPr>
              <w:t>1</w:t>
            </w:r>
            <w:r>
              <w:t>出报警、</w:t>
            </w:r>
            <w:r>
              <w:rPr>
                <w:rFonts w:hint="eastAsia"/>
              </w:rPr>
              <w:t>≥1</w:t>
            </w:r>
            <w:r>
              <w:t>进</w:t>
            </w:r>
            <w:r>
              <w:rPr>
                <w:rFonts w:hint="eastAsia"/>
              </w:rPr>
              <w:t>1</w:t>
            </w:r>
            <w:r>
              <w:t>出音频、最大支持</w:t>
            </w:r>
            <w:r>
              <w:rPr>
                <w:rFonts w:hint="eastAsia"/>
              </w:rPr>
              <w:t>≥</w:t>
            </w:r>
            <w:r>
              <w:t>256 GB microSD卡存储</w:t>
            </w:r>
            <w:r>
              <w:rPr>
                <w:rFonts w:hint="eastAsia" w:eastAsia="宋体"/>
                <w:lang w:eastAsia="zh-CN"/>
              </w:rPr>
              <w:t>。</w:t>
            </w:r>
          </w:p>
          <w:p w14:paraId="31A6240B">
            <w:pPr>
              <w:bidi w:val="0"/>
            </w:pPr>
            <w:r>
              <w:rPr>
                <w:rFonts w:hint="eastAsia" w:eastAsia="宋体"/>
                <w:lang w:val="en-US" w:eastAsia="zh-CN"/>
              </w:rPr>
              <w:t>10、</w:t>
            </w:r>
            <w:r>
              <w:t>传感器类型：【全景】1/1.8＂ progressive scan CMOS,【细节】1/2.8" progressive</w:t>
            </w:r>
          </w:p>
          <w:p w14:paraId="3DE41E57">
            <w:pPr>
              <w:bidi w:val="0"/>
              <w:rPr>
                <w:rFonts w:hint="eastAsia" w:eastAsia="宋体"/>
                <w:lang w:eastAsia="zh-CN"/>
              </w:rPr>
            </w:pPr>
            <w:r>
              <w:t>scan CMOS</w:t>
            </w:r>
            <w:r>
              <w:rPr>
                <w:rFonts w:hint="eastAsia" w:eastAsia="宋体"/>
                <w:lang w:eastAsia="zh-CN"/>
              </w:rPr>
              <w:t>。</w:t>
            </w:r>
          </w:p>
          <w:p w14:paraId="23D5C935">
            <w:pPr>
              <w:bidi w:val="0"/>
              <w:rPr>
                <w:rFonts w:hint="eastAsia" w:eastAsia="宋体"/>
                <w:lang w:eastAsia="zh-CN"/>
              </w:rPr>
            </w:pPr>
            <w:r>
              <w:rPr>
                <w:rFonts w:hint="eastAsia" w:eastAsia="宋体"/>
                <w:lang w:val="en-US" w:eastAsia="zh-CN"/>
              </w:rPr>
              <w:t>11、</w:t>
            </w:r>
            <w:r>
              <w:t>最低照度：【全景】彩色：</w:t>
            </w:r>
            <w:r>
              <w:rPr>
                <w:rFonts w:hint="eastAsia"/>
              </w:rPr>
              <w:t>≤</w:t>
            </w:r>
            <w:r>
              <w:t>0.0005 Lux @（F1.0，AGC ON ），0 Lux with Light；【细节】彩色：</w:t>
            </w:r>
            <w:r>
              <w:rPr>
                <w:rFonts w:hint="eastAsia"/>
              </w:rPr>
              <w:t>≤</w:t>
            </w:r>
            <w:r>
              <w:t>0.005 Lux @（F1.5，AGC ON），黑白：0.001 Lux @（F1.5，AGC ON），0 Lux with IR</w:t>
            </w:r>
            <w:r>
              <w:rPr>
                <w:rFonts w:hint="eastAsia" w:eastAsia="宋体"/>
                <w:lang w:eastAsia="zh-CN"/>
              </w:rPr>
              <w:t>。</w:t>
            </w:r>
          </w:p>
          <w:p w14:paraId="1CBB72F0">
            <w:pPr>
              <w:bidi w:val="0"/>
              <w:rPr>
                <w:rFonts w:hint="eastAsia" w:eastAsia="宋体"/>
                <w:lang w:eastAsia="zh-CN"/>
              </w:rPr>
            </w:pPr>
            <w:r>
              <w:rPr>
                <w:rFonts w:hint="eastAsia" w:eastAsia="宋体"/>
                <w:lang w:val="en-US" w:eastAsia="zh-CN"/>
              </w:rPr>
              <w:t>12、</w:t>
            </w:r>
            <w:r>
              <w:t>宽动态：</w:t>
            </w:r>
            <w:r>
              <w:rPr>
                <w:rFonts w:hint="eastAsia"/>
              </w:rPr>
              <w:t>≥</w:t>
            </w:r>
            <w:r>
              <w:t>120dB超宽动态</w:t>
            </w:r>
            <w:r>
              <w:rPr>
                <w:rFonts w:hint="eastAsia" w:eastAsia="宋体"/>
                <w:lang w:eastAsia="zh-CN"/>
              </w:rPr>
              <w:t>。</w:t>
            </w:r>
          </w:p>
          <w:p w14:paraId="6B593607">
            <w:pPr>
              <w:bidi w:val="0"/>
              <w:rPr>
                <w:rFonts w:hint="eastAsia" w:eastAsia="宋体"/>
                <w:lang w:eastAsia="zh-CN"/>
              </w:rPr>
            </w:pPr>
            <w:r>
              <w:rPr>
                <w:rFonts w:hint="eastAsia" w:eastAsia="宋体"/>
                <w:lang w:val="en-US" w:eastAsia="zh-CN"/>
              </w:rPr>
              <w:t>13、</w:t>
            </w:r>
            <w:r>
              <w:t>焦距：【全景】</w:t>
            </w:r>
            <w:r>
              <w:rPr>
                <w:rFonts w:hint="eastAsia"/>
              </w:rPr>
              <w:t>≥</w:t>
            </w:r>
            <w:r>
              <w:t>4 mm；【细节】</w:t>
            </w:r>
            <w:r>
              <w:rPr>
                <w:rFonts w:hint="eastAsia"/>
              </w:rPr>
              <w:t>≥</w:t>
            </w:r>
            <w:r>
              <w:t>5.9 mm~135.7 mm，</w:t>
            </w:r>
            <w:r>
              <w:rPr>
                <w:rFonts w:hint="eastAsia"/>
              </w:rPr>
              <w:t>≥</w:t>
            </w:r>
            <w:r>
              <w:t>23倍光学变倍</w:t>
            </w:r>
            <w:r>
              <w:rPr>
                <w:rFonts w:hint="eastAsia" w:eastAsia="宋体"/>
                <w:lang w:eastAsia="zh-CN"/>
              </w:rPr>
              <w:t>；</w:t>
            </w:r>
            <w:r>
              <w:t>视场角：【全景】水平视场角：</w:t>
            </w:r>
            <w:r>
              <w:rPr>
                <w:rFonts w:hint="eastAsia"/>
              </w:rPr>
              <w:t>≥</w:t>
            </w:r>
            <w:r>
              <w:t>88.7°，垂直视场角：44.7°【细节】</w:t>
            </w:r>
            <w:r>
              <w:rPr>
                <w:rFonts w:hint="eastAsia"/>
              </w:rPr>
              <w:t>≥</w:t>
            </w:r>
            <w:r>
              <w:t>60.2°~3.4°（广角~望远）</w:t>
            </w:r>
            <w:r>
              <w:rPr>
                <w:rFonts w:hint="eastAsia" w:eastAsia="宋体"/>
                <w:lang w:eastAsia="zh-CN"/>
              </w:rPr>
              <w:t>；</w:t>
            </w:r>
          </w:p>
          <w:p w14:paraId="5AA54779">
            <w:pPr>
              <w:bidi w:val="0"/>
              <w:rPr>
                <w:rFonts w:hint="eastAsia" w:eastAsia="宋体"/>
                <w:lang w:eastAsia="zh-CN"/>
              </w:rPr>
            </w:pPr>
            <w:r>
              <w:rPr>
                <w:rFonts w:hint="eastAsia" w:eastAsia="宋体"/>
                <w:lang w:val="en-US" w:eastAsia="zh-CN"/>
              </w:rPr>
              <w:t>14、</w:t>
            </w:r>
            <w:r>
              <w:t>白光照射距离：【细节】</w:t>
            </w:r>
            <w:r>
              <w:rPr>
                <w:rFonts w:hint="eastAsia"/>
              </w:rPr>
              <w:t>≥</w:t>
            </w:r>
            <w:r>
              <w:t>30 m；【全景】</w:t>
            </w:r>
            <w:r>
              <w:rPr>
                <w:rFonts w:hint="eastAsia"/>
              </w:rPr>
              <w:t>≥</w:t>
            </w:r>
            <w:r>
              <w:t>30 m</w:t>
            </w:r>
            <w:r>
              <w:rPr>
                <w:rFonts w:hint="eastAsia" w:eastAsia="宋体"/>
                <w:lang w:eastAsia="zh-CN"/>
              </w:rPr>
              <w:t>；</w:t>
            </w:r>
            <w:r>
              <w:t>红外照射距离：【细节】</w:t>
            </w:r>
            <w:r>
              <w:rPr>
                <w:rFonts w:hint="eastAsia"/>
              </w:rPr>
              <w:t>≥</w:t>
            </w:r>
            <w:r>
              <w:t>150 m</w:t>
            </w:r>
            <w:r>
              <w:rPr>
                <w:rFonts w:hint="eastAsia" w:eastAsia="宋体"/>
                <w:lang w:eastAsia="zh-CN"/>
              </w:rPr>
              <w:t>；</w:t>
            </w:r>
          </w:p>
          <w:p w14:paraId="47F6E191">
            <w:pPr>
              <w:bidi w:val="0"/>
              <w:rPr>
                <w:rFonts w:hint="eastAsia" w:eastAsia="宋体"/>
                <w:lang w:eastAsia="zh-CN"/>
              </w:rPr>
            </w:pPr>
            <w:r>
              <w:rPr>
                <w:rFonts w:hint="eastAsia" w:eastAsia="宋体"/>
                <w:lang w:val="en-US" w:eastAsia="zh-CN"/>
              </w:rPr>
              <w:t>15、</w:t>
            </w:r>
            <w:r>
              <w:t>报警灯：白光</w:t>
            </w:r>
            <w:r>
              <w:rPr>
                <w:rFonts w:hint="eastAsia"/>
              </w:rPr>
              <w:t>≥</w:t>
            </w:r>
            <w:r>
              <w:t>150 m</w:t>
            </w:r>
            <w:r>
              <w:rPr>
                <w:rFonts w:hint="eastAsia" w:eastAsia="宋体"/>
                <w:lang w:eastAsia="zh-CN"/>
              </w:rPr>
              <w:t>；</w:t>
            </w:r>
            <w:r>
              <w:t>水平范围：360°</w:t>
            </w:r>
            <w:r>
              <w:rPr>
                <w:rFonts w:hint="eastAsia" w:eastAsia="宋体"/>
                <w:lang w:eastAsia="zh-CN"/>
              </w:rPr>
              <w:t>；</w:t>
            </w:r>
            <w:r>
              <w:t>垂直范围：</w:t>
            </w:r>
            <w:r>
              <w:rPr>
                <w:rFonts w:hint="eastAsia"/>
              </w:rPr>
              <w:t>≥</w:t>
            </w:r>
            <w:r>
              <w:t>-15°-90°(自动翻转)</w:t>
            </w:r>
            <w:r>
              <w:rPr>
                <w:rFonts w:hint="eastAsia" w:eastAsia="宋体"/>
                <w:lang w:eastAsia="zh-CN"/>
              </w:rPr>
              <w:t>；</w:t>
            </w:r>
          </w:p>
          <w:p w14:paraId="097C163A">
            <w:pPr>
              <w:bidi w:val="0"/>
              <w:rPr>
                <w:rFonts w:hint="eastAsia" w:eastAsia="宋体"/>
                <w:lang w:eastAsia="zh-CN"/>
              </w:rPr>
            </w:pPr>
            <w:r>
              <w:t>水平速度：水平键控速度：</w:t>
            </w:r>
            <w:r>
              <w:rPr>
                <w:rFonts w:hint="eastAsia"/>
              </w:rPr>
              <w:t>≥</w:t>
            </w:r>
            <w:r>
              <w:t>0.1°-160°/s,速度可设;水平预置点速度：</w:t>
            </w:r>
            <w:r>
              <w:rPr>
                <w:rFonts w:hint="eastAsia"/>
              </w:rPr>
              <w:t>≥</w:t>
            </w:r>
            <w:r>
              <w:t>240°/s</w:t>
            </w:r>
            <w:r>
              <w:rPr>
                <w:rFonts w:hint="eastAsia" w:eastAsia="宋体"/>
                <w:lang w:eastAsia="zh-CN"/>
              </w:rPr>
              <w:t>；</w:t>
            </w:r>
          </w:p>
          <w:p w14:paraId="40B9743A">
            <w:pPr>
              <w:bidi w:val="0"/>
              <w:rPr>
                <w:rFonts w:hint="eastAsia" w:eastAsia="宋体"/>
                <w:lang w:eastAsia="zh-CN"/>
              </w:rPr>
            </w:pPr>
            <w:r>
              <w:t>垂直速度：垂直键控速度：</w:t>
            </w:r>
            <w:r>
              <w:rPr>
                <w:rFonts w:hint="eastAsia"/>
              </w:rPr>
              <w:t>≥</w:t>
            </w:r>
            <w:r>
              <w:t>0.1°-120°/s,速度可设;垂直预置点速度：</w:t>
            </w:r>
            <w:r>
              <w:rPr>
                <w:rFonts w:hint="eastAsia"/>
              </w:rPr>
              <w:t>≥</w:t>
            </w:r>
            <w:r>
              <w:t>200°/s</w:t>
            </w:r>
            <w:r>
              <w:rPr>
                <w:rFonts w:hint="eastAsia" w:eastAsia="宋体"/>
                <w:lang w:eastAsia="zh-CN"/>
              </w:rPr>
              <w:t>；</w:t>
            </w:r>
          </w:p>
          <w:p w14:paraId="5633CBB0">
            <w:pPr>
              <w:bidi w:val="0"/>
            </w:pPr>
            <w:r>
              <w:t>主码流帧率分辨率：</w:t>
            </w:r>
          </w:p>
          <w:p w14:paraId="26B9F807">
            <w:pPr>
              <w:bidi w:val="0"/>
            </w:pPr>
            <w:r>
              <w:t>【全景】</w:t>
            </w:r>
          </w:p>
          <w:p w14:paraId="01AFBA77">
            <w:pPr>
              <w:bidi w:val="0"/>
            </w:pPr>
            <w:r>
              <w:t>50 Hz：</w:t>
            </w:r>
            <w:r>
              <w:rPr>
                <w:rFonts w:hint="eastAsia"/>
              </w:rPr>
              <w:t>≥</w:t>
            </w:r>
            <w:r>
              <w:t>25 fps（2560 × 1440，1920 × 1080，1280 × 960，1280 × 720）</w:t>
            </w:r>
          </w:p>
          <w:p w14:paraId="15A0C5DD">
            <w:pPr>
              <w:bidi w:val="0"/>
            </w:pPr>
            <w:r>
              <w:t>60 Hz：</w:t>
            </w:r>
            <w:r>
              <w:rPr>
                <w:rFonts w:hint="eastAsia"/>
              </w:rPr>
              <w:t>≥</w:t>
            </w:r>
            <w:r>
              <w:t>30 fps（2560 × 1440，1920 × 1080，1280 × 960，1280 × 720）</w:t>
            </w:r>
          </w:p>
          <w:p w14:paraId="6BC67ACD">
            <w:pPr>
              <w:bidi w:val="0"/>
            </w:pPr>
            <w:r>
              <w:t>【细节】</w:t>
            </w:r>
          </w:p>
          <w:p w14:paraId="03AA9A48">
            <w:pPr>
              <w:bidi w:val="0"/>
            </w:pPr>
            <w:r>
              <w:t>50 Hz：</w:t>
            </w:r>
            <w:r>
              <w:rPr>
                <w:rFonts w:hint="eastAsia"/>
              </w:rPr>
              <w:t>≥</w:t>
            </w:r>
            <w:r>
              <w:t>25 fps（2560 × 1440，1920 × 1080，1280 × 960，1280 × 720）</w:t>
            </w:r>
          </w:p>
          <w:p w14:paraId="6ADBC208">
            <w:pPr>
              <w:bidi w:val="0"/>
              <w:rPr>
                <w:rFonts w:hint="eastAsia" w:eastAsia="宋体"/>
                <w:lang w:eastAsia="zh-CN"/>
              </w:rPr>
            </w:pPr>
            <w:r>
              <w:t>60 Hz：</w:t>
            </w:r>
            <w:r>
              <w:rPr>
                <w:rFonts w:hint="eastAsia"/>
              </w:rPr>
              <w:t>≥</w:t>
            </w:r>
            <w:r>
              <w:t>30 fps（2560 × 1440，1920 × 1080，1280 × 960，1280 × 720）视频压缩标准：H.265,H.264,MJPEG</w:t>
            </w:r>
            <w:r>
              <w:rPr>
                <w:rFonts w:hint="eastAsia" w:eastAsia="宋体"/>
                <w:lang w:eastAsia="zh-CN"/>
              </w:rPr>
              <w:t>；</w:t>
            </w:r>
          </w:p>
          <w:p w14:paraId="03F2DE78">
            <w:pPr>
              <w:bidi w:val="0"/>
              <w:rPr>
                <w:rFonts w:hint="eastAsia" w:eastAsia="宋体"/>
                <w:lang w:eastAsia="zh-CN"/>
              </w:rPr>
            </w:pPr>
            <w:r>
              <w:rPr>
                <w:rFonts w:hint="eastAsia" w:eastAsia="宋体"/>
                <w:lang w:val="en-US" w:eastAsia="zh-CN"/>
              </w:rPr>
              <w:t>16、</w:t>
            </w:r>
            <w:r>
              <w:t>网络接口：RJ45网口;自适应10M/100M网络数据</w:t>
            </w:r>
            <w:r>
              <w:rPr>
                <w:rFonts w:hint="eastAsia" w:eastAsia="宋体"/>
                <w:lang w:eastAsia="zh-CN"/>
              </w:rPr>
              <w:t>；</w:t>
            </w:r>
          </w:p>
          <w:p w14:paraId="565F9479">
            <w:pPr>
              <w:bidi w:val="0"/>
              <w:rPr>
                <w:rFonts w:hint="eastAsia" w:eastAsia="宋体"/>
                <w:lang w:eastAsia="zh-CN"/>
              </w:rPr>
            </w:pPr>
            <w:r>
              <w:rPr>
                <w:rFonts w:hint="eastAsia" w:eastAsia="宋体"/>
                <w:lang w:val="en-US" w:eastAsia="zh-CN"/>
              </w:rPr>
              <w:t>17、</w:t>
            </w:r>
            <w:r>
              <w:t>SD卡扩展：内置Micro SD卡插槽，支持Micro SD/Micro SDHC/Micro SDXC卡（最大支持 256GB）</w:t>
            </w:r>
            <w:r>
              <w:rPr>
                <w:rFonts w:hint="eastAsia" w:eastAsia="宋体"/>
                <w:lang w:eastAsia="zh-CN"/>
              </w:rPr>
              <w:t>；</w:t>
            </w:r>
          </w:p>
          <w:p w14:paraId="4F863B05">
            <w:pPr>
              <w:bidi w:val="0"/>
              <w:rPr>
                <w:rFonts w:hint="eastAsia" w:eastAsia="宋体"/>
                <w:lang w:eastAsia="zh-CN"/>
              </w:rPr>
            </w:pPr>
            <w:r>
              <w:rPr>
                <w:rFonts w:hint="eastAsia" w:eastAsia="宋体"/>
                <w:lang w:val="en-US" w:eastAsia="zh-CN"/>
              </w:rPr>
              <w:t>18、</w:t>
            </w:r>
            <w:r>
              <w:t>报警输入：</w:t>
            </w:r>
            <w:r>
              <w:rPr>
                <w:rFonts w:hint="eastAsia"/>
              </w:rPr>
              <w:t>≥</w:t>
            </w:r>
            <w:r>
              <w:t>2路报警输入</w:t>
            </w:r>
            <w:r>
              <w:rPr>
                <w:rFonts w:hint="eastAsia" w:eastAsia="宋体"/>
                <w:lang w:eastAsia="zh-CN"/>
              </w:rPr>
              <w:t>；</w:t>
            </w:r>
            <w:r>
              <w:t>报警输出：1路报警输出</w:t>
            </w:r>
            <w:r>
              <w:rPr>
                <w:rFonts w:hint="eastAsia" w:eastAsia="宋体"/>
                <w:lang w:eastAsia="zh-CN"/>
              </w:rPr>
              <w:t>；</w:t>
            </w:r>
          </w:p>
          <w:p w14:paraId="6B2DB5A1">
            <w:pPr>
              <w:bidi w:val="0"/>
              <w:rPr>
                <w:rFonts w:hint="eastAsia" w:eastAsia="宋体"/>
                <w:lang w:eastAsia="zh-CN"/>
              </w:rPr>
            </w:pPr>
            <w:r>
              <w:rPr>
                <w:rFonts w:hint="eastAsia" w:eastAsia="宋体"/>
                <w:lang w:val="en-US" w:eastAsia="zh-CN"/>
              </w:rPr>
              <w:t>19、</w:t>
            </w:r>
            <w:r>
              <w:t>音频输入：</w:t>
            </w:r>
            <w:r>
              <w:rPr>
                <w:rFonts w:hint="eastAsia"/>
              </w:rPr>
              <w:t>≥</w:t>
            </w:r>
            <w:r>
              <w:t>1路音频输入，输入阻抗：</w:t>
            </w:r>
            <w:r>
              <w:rPr>
                <w:rFonts w:hint="eastAsia"/>
              </w:rPr>
              <w:t>≥</w:t>
            </w:r>
            <w:r>
              <w:t>1 kΩ±10%</w:t>
            </w:r>
            <w:r>
              <w:rPr>
                <w:rFonts w:hint="eastAsia" w:eastAsia="宋体"/>
                <w:lang w:eastAsia="zh-CN"/>
              </w:rPr>
              <w:t>；</w:t>
            </w:r>
            <w:r>
              <w:t>音频输出：</w:t>
            </w:r>
            <w:r>
              <w:rPr>
                <w:rFonts w:hint="eastAsia"/>
              </w:rPr>
              <w:t>≥</w:t>
            </w:r>
            <w:r>
              <w:t>1路音频输出，线性电平，阻抗:</w:t>
            </w:r>
            <w:r>
              <w:rPr>
                <w:rFonts w:hint="eastAsia"/>
              </w:rPr>
              <w:t xml:space="preserve"> ≥</w:t>
            </w:r>
            <w:r>
              <w:t>600Ω</w:t>
            </w:r>
            <w:r>
              <w:rPr>
                <w:rFonts w:hint="eastAsia" w:eastAsia="宋体"/>
                <w:lang w:eastAsia="zh-CN"/>
              </w:rPr>
              <w:t>；</w:t>
            </w:r>
          </w:p>
          <w:p w14:paraId="78FD92E8">
            <w:pPr>
              <w:bidi w:val="0"/>
            </w:pPr>
            <w:r>
              <w:rPr>
                <w:rFonts w:hint="eastAsia" w:eastAsia="宋体"/>
                <w:lang w:val="en-US" w:eastAsia="zh-CN"/>
              </w:rPr>
              <w:t>20、</w:t>
            </w:r>
            <w:r>
              <w:t>▲</w:t>
            </w:r>
            <w:r>
              <w:rPr>
                <w:rFonts w:hint="eastAsia"/>
              </w:rPr>
              <w:t>支持定位联动功能，自动标定全景视频图像与细节视频图像，通过客户端软件或</w:t>
            </w:r>
            <w:r>
              <w:t>IE</w:t>
            </w:r>
            <w:r>
              <w:rPr>
                <w:rFonts w:hint="eastAsia"/>
              </w:rPr>
              <w:t>浏览器在全景视频图像中点击或框选任意区域后，在细节视频图像旋转角度范围允许的条件下，可将该区域处于细节视频图像中央，标定点数量</w:t>
            </w:r>
            <w:r>
              <w:t>≥5</w:t>
            </w:r>
            <w:r>
              <w:rPr>
                <w:rFonts w:hint="eastAsia"/>
              </w:rPr>
              <w:t>个，且标定用时</w:t>
            </w:r>
            <w:r>
              <w:t>≤1s</w:t>
            </w:r>
            <w:r>
              <w:rPr>
                <w:rFonts w:hint="eastAsia"/>
              </w:rPr>
              <w:t>。</w:t>
            </w:r>
          </w:p>
          <w:p w14:paraId="3CF8587D">
            <w:pPr>
              <w:bidi w:val="0"/>
              <w:rPr>
                <w:rFonts w:hint="eastAsia" w:eastAsia="宋体"/>
                <w:lang w:eastAsia="zh-CN"/>
              </w:rPr>
            </w:pPr>
            <w:r>
              <w:rPr>
                <w:rFonts w:hint="eastAsia" w:eastAsia="宋体"/>
                <w:lang w:val="en-US" w:eastAsia="zh-CN"/>
              </w:rPr>
              <w:t>21、</w:t>
            </w:r>
            <w:r>
              <w:t>工作温湿度：</w:t>
            </w:r>
            <w:r>
              <w:rPr>
                <w:rFonts w:hint="eastAsia"/>
              </w:rPr>
              <w:t>≥</w:t>
            </w:r>
            <w:r>
              <w:t>-30℃-65℃；湿度小于90%</w:t>
            </w:r>
            <w:r>
              <w:rPr>
                <w:rFonts w:hint="eastAsia" w:eastAsia="宋体"/>
                <w:lang w:eastAsia="zh-CN"/>
              </w:rPr>
              <w:t>；</w:t>
            </w:r>
          </w:p>
          <w:p w14:paraId="700DBDDF">
            <w:pPr>
              <w:bidi w:val="0"/>
              <w:rPr>
                <w:rFonts w:hint="eastAsia" w:eastAsia="宋体"/>
                <w:lang w:eastAsia="zh-CN"/>
              </w:rPr>
            </w:pPr>
            <w:r>
              <w:rPr>
                <w:rFonts w:hint="eastAsia" w:eastAsia="宋体"/>
                <w:lang w:val="en-US" w:eastAsia="zh-CN"/>
              </w:rPr>
              <w:t>22、</w:t>
            </w:r>
            <w:r>
              <w:t>除雾：加热玻璃除雾</w:t>
            </w:r>
            <w:r>
              <w:rPr>
                <w:rFonts w:hint="eastAsia" w:eastAsia="宋体"/>
                <w:lang w:eastAsia="zh-CN"/>
              </w:rPr>
              <w:t>；</w:t>
            </w:r>
          </w:p>
          <w:p w14:paraId="779C02EC">
            <w:pPr>
              <w:bidi w:val="0"/>
              <w:rPr>
                <w:rFonts w:hint="eastAsia" w:eastAsia="宋体"/>
                <w:lang w:eastAsia="zh-CN"/>
              </w:rPr>
            </w:pPr>
            <w:r>
              <w:rPr>
                <w:rFonts w:hint="eastAsia" w:eastAsia="宋体"/>
                <w:lang w:val="en-US" w:eastAsia="zh-CN"/>
              </w:rPr>
              <w:t>23、</w:t>
            </w:r>
            <w:r>
              <w:t>防护：</w:t>
            </w:r>
            <w:r>
              <w:rPr>
                <w:rFonts w:hint="eastAsia"/>
              </w:rPr>
              <w:t>≥</w:t>
            </w:r>
            <w:r>
              <w:t>IP66;抗干扰能力强，适用于严酷的电磁环境，符合GB/T17626.2/3/4/5/6四级标准</w:t>
            </w:r>
            <w:r>
              <w:rPr>
                <w:rFonts w:hint="eastAsia" w:eastAsia="宋体"/>
                <w:lang w:eastAsia="zh-CN"/>
              </w:rPr>
              <w:t>。</w:t>
            </w:r>
          </w:p>
        </w:tc>
        <w:tc>
          <w:tcPr>
            <w:tcW w:w="308" w:type="pct"/>
            <w:noWrap/>
            <w:vAlign w:val="center"/>
          </w:tcPr>
          <w:p w14:paraId="67403E56">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2</w:t>
            </w:r>
          </w:p>
        </w:tc>
        <w:tc>
          <w:tcPr>
            <w:tcW w:w="300" w:type="pct"/>
            <w:noWrap/>
            <w:vAlign w:val="center"/>
          </w:tcPr>
          <w:p w14:paraId="77D6C690">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套</w:t>
            </w:r>
          </w:p>
        </w:tc>
      </w:tr>
      <w:tr w14:paraId="37405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21B02FFF">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3</w:t>
            </w:r>
          </w:p>
        </w:tc>
        <w:tc>
          <w:tcPr>
            <w:tcW w:w="1114" w:type="pct"/>
            <w:vAlign w:val="center"/>
          </w:tcPr>
          <w:p w14:paraId="764D0EEB">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定制监控塔</w:t>
            </w:r>
          </w:p>
        </w:tc>
        <w:tc>
          <w:tcPr>
            <w:tcW w:w="2976" w:type="pct"/>
            <w:vAlign w:val="center"/>
          </w:tcPr>
          <w:p w14:paraId="214A8B95">
            <w:pPr>
              <w:bidi w:val="0"/>
            </w:pPr>
            <w:r>
              <w:rPr>
                <w:rFonts w:hint="eastAsia" w:eastAsia="宋体"/>
                <w:lang w:val="en-US" w:eastAsia="zh-CN"/>
              </w:rPr>
              <w:t>一、</w:t>
            </w:r>
            <w:r>
              <w:t>设计依据：</w:t>
            </w:r>
          </w:p>
          <w:p w14:paraId="044B4232">
            <w:pPr>
              <w:bidi w:val="0"/>
              <w:rPr>
                <w:rFonts w:hint="eastAsia" w:eastAsia="宋体"/>
                <w:lang w:eastAsia="zh-CN"/>
              </w:rPr>
            </w:pPr>
            <w:r>
              <w:t>1、钢结构设计标准(GB50017-2017)</w:t>
            </w:r>
            <w:r>
              <w:rPr>
                <w:rFonts w:hint="eastAsia" w:eastAsia="宋体"/>
                <w:lang w:eastAsia="zh-CN"/>
              </w:rPr>
              <w:t>；</w:t>
            </w:r>
          </w:p>
          <w:p w14:paraId="44A4EF6D">
            <w:pPr>
              <w:bidi w:val="0"/>
              <w:rPr>
                <w:rFonts w:hint="eastAsia" w:eastAsia="宋体"/>
                <w:lang w:eastAsia="zh-CN"/>
              </w:rPr>
            </w:pPr>
            <w:r>
              <w:t>2、高耸结构设计标准(GB50135-2019)</w:t>
            </w:r>
            <w:r>
              <w:rPr>
                <w:rFonts w:hint="eastAsia" w:eastAsia="宋体"/>
                <w:lang w:eastAsia="zh-CN"/>
              </w:rPr>
              <w:t>；</w:t>
            </w:r>
          </w:p>
          <w:p w14:paraId="4836F5C1">
            <w:pPr>
              <w:bidi w:val="0"/>
              <w:rPr>
                <w:rFonts w:hint="eastAsia" w:eastAsia="宋体"/>
                <w:lang w:eastAsia="zh-CN"/>
              </w:rPr>
            </w:pPr>
            <w:r>
              <w:t>3、建筑结构荷载规范(GB50009-2012）</w:t>
            </w:r>
            <w:r>
              <w:rPr>
                <w:rFonts w:hint="eastAsia" w:eastAsia="宋体"/>
                <w:lang w:eastAsia="zh-CN"/>
              </w:rPr>
              <w:t>；</w:t>
            </w:r>
          </w:p>
          <w:p w14:paraId="3A20F720">
            <w:pPr>
              <w:bidi w:val="0"/>
              <w:rPr>
                <w:rFonts w:hint="eastAsia" w:eastAsia="宋体"/>
                <w:lang w:eastAsia="zh-CN"/>
              </w:rPr>
            </w:pPr>
            <w:r>
              <w:t>4、移动通信工程钢塔枪结构设计规范(YD /T5131-2019)</w:t>
            </w:r>
            <w:r>
              <w:rPr>
                <w:rFonts w:hint="eastAsia" w:eastAsia="宋体"/>
                <w:lang w:eastAsia="zh-CN"/>
              </w:rPr>
              <w:t>；</w:t>
            </w:r>
          </w:p>
          <w:p w14:paraId="7D8B129E">
            <w:pPr>
              <w:bidi w:val="0"/>
            </w:pPr>
            <w:r>
              <w:t>5、建筑抗震设计规范(GB 50011-2010)(2016年版）。</w:t>
            </w:r>
          </w:p>
          <w:p w14:paraId="77400D2D">
            <w:pPr>
              <w:bidi w:val="0"/>
            </w:pPr>
            <w:r>
              <w:rPr>
                <w:rFonts w:hint="eastAsia" w:eastAsia="宋体"/>
                <w:lang w:val="en-US" w:eastAsia="zh-CN"/>
              </w:rPr>
              <w:t>二、</w:t>
            </w:r>
            <w:r>
              <w:t>技术要求：</w:t>
            </w:r>
          </w:p>
          <w:p w14:paraId="596CB572">
            <w:pPr>
              <w:bidi w:val="0"/>
            </w:pPr>
            <w:r>
              <w:t>1、塔体主体高度20米，根开3.441米,设置3层平台,每层平台外设6付天线支架，每层平台挂装天线总面积&lt;4.8m。</w:t>
            </w:r>
          </w:p>
          <w:p w14:paraId="3742EFB8">
            <w:pPr>
              <w:bidi w:val="0"/>
            </w:pPr>
            <w:r>
              <w:t>2、结构的设计基准期为50年,设计使用年限为50年,结构安全等级为二级。结构抗震设防类别为丙类。</w:t>
            </w:r>
          </w:p>
          <w:p w14:paraId="2437D45B">
            <w:pPr>
              <w:bidi w:val="0"/>
            </w:pPr>
            <w:r>
              <w:t>3、抗风压：根据《建筑结构荷载规范》GB 5009-2012“附表E.5全国各城市的雪压、风压和基本气温” 查出拟建铁塔地区重现期50年（R=50）的基本风压（kN/m2），取0.35。</w:t>
            </w:r>
          </w:p>
          <w:p w14:paraId="6680D854">
            <w:pPr>
              <w:bidi w:val="0"/>
            </w:pPr>
            <w:r>
              <w:t>4、抗震设防烈度:小于8度及8度且场地类型为1类场地的地区。</w:t>
            </w:r>
          </w:p>
          <w:p w14:paraId="2630AE69">
            <w:pPr>
              <w:bidi w:val="0"/>
            </w:pPr>
            <w:r>
              <w:t>5、钢管均采用Q355B直缝电焊(埋弧焊或高频电阻焊)管钢,其质量标准应符合《直缝电焊钢管》GB/T13793-2008之规定:采购困难时可采用同规格同强度无缝钢管，不得采用高频点焊钢管或螺旋卷制钢管:法兰及加劲板采用Q355。</w:t>
            </w:r>
          </w:p>
          <w:p w14:paraId="7E9D72C4">
            <w:pPr>
              <w:bidi w:val="0"/>
            </w:pPr>
            <w:r>
              <w:t>6、钢材的屈服强度实测值与抗拉强度实测值的比值不应大于0.85:钢材应有明显的屈服台阶</w:t>
            </w:r>
          </w:p>
          <w:p w14:paraId="3EAFC4F4">
            <w:pPr>
              <w:bidi w:val="0"/>
            </w:pPr>
            <w:r>
              <w:t>,且伸长率不应小于20%:钢材应有良好的焊接性和合格的冲击韧性。 7、Q235钢与Q235钢焊接采用E43型焊条</w:t>
            </w:r>
          </w:p>
          <w:p w14:paraId="2113FA60">
            <w:pPr>
              <w:bidi w:val="0"/>
            </w:pPr>
            <w:r>
              <w:t>8、垂直度：塔体安装过程中应随时校正垂直度，相邻两层的垂直偏差不得大于h/750（h为塔体单节高度）。</w:t>
            </w:r>
          </w:p>
          <w:p w14:paraId="3A5A5C19">
            <w:pPr>
              <w:bidi w:val="0"/>
            </w:pPr>
            <w:r>
              <w:t>9、适宜温度：-10°C至+45°C。</w:t>
            </w:r>
          </w:p>
          <w:p w14:paraId="07CA17DC">
            <w:pPr>
              <w:bidi w:val="0"/>
            </w:pPr>
            <w:r>
              <w:t>10、防腐处理：热镀锌</w:t>
            </w:r>
          </w:p>
          <w:p w14:paraId="6DEF7ADD">
            <w:pPr>
              <w:bidi w:val="0"/>
            </w:pPr>
            <w:r>
              <w:t>11、具备防雷接地系统，设备安装在避雷针45度保护范围内，接地电阻小于10欧姆。</w:t>
            </w:r>
          </w:p>
          <w:p w14:paraId="79779333">
            <w:pPr>
              <w:bidi w:val="0"/>
            </w:pPr>
            <w:r>
              <w:t>含：</w:t>
            </w:r>
            <w:r>
              <w:rPr>
                <w:rFonts w:hint="eastAsia" w:eastAsia="宋体"/>
                <w:lang w:eastAsia="zh-CN"/>
              </w:rPr>
              <w:t>（</w:t>
            </w:r>
            <w:r>
              <w:rPr>
                <w:rFonts w:hint="eastAsia" w:eastAsia="宋体"/>
                <w:lang w:val="en-US" w:eastAsia="zh-CN"/>
              </w:rPr>
              <w:t>1</w:t>
            </w:r>
            <w:r>
              <w:rPr>
                <w:rFonts w:hint="eastAsia" w:eastAsia="宋体"/>
                <w:lang w:eastAsia="zh-CN"/>
              </w:rPr>
              <w:t>）</w:t>
            </w:r>
            <w:r>
              <w:t>杆塔基础</w:t>
            </w:r>
          </w:p>
          <w:p w14:paraId="664CD09B">
            <w:pPr>
              <w:bidi w:val="0"/>
            </w:pPr>
            <w:r>
              <w:t>包含钢筋结构、预埋件、接地体、开挖、C30 商混浇筑、网线、跳线等，基础体积约12方，重量约28吨。</w:t>
            </w:r>
          </w:p>
          <w:p w14:paraId="5FA8D6E1">
            <w:pPr>
              <w:bidi w:val="0"/>
            </w:pPr>
            <w:r>
              <w:rPr>
                <w:rFonts w:hint="eastAsia" w:eastAsia="宋体"/>
                <w:lang w:eastAsia="zh-CN"/>
              </w:rPr>
              <w:t>（</w:t>
            </w:r>
            <w:r>
              <w:rPr>
                <w:rFonts w:hint="eastAsia" w:eastAsia="宋体"/>
                <w:lang w:val="en-US" w:eastAsia="zh-CN"/>
              </w:rPr>
              <w:t>2</w:t>
            </w:r>
            <w:r>
              <w:rPr>
                <w:rFonts w:hint="eastAsia" w:eastAsia="宋体"/>
                <w:lang w:eastAsia="zh-CN"/>
              </w:rPr>
              <w:t>）</w:t>
            </w:r>
            <w:r>
              <w:t>安全防护围栏</w:t>
            </w:r>
          </w:p>
          <w:p w14:paraId="5EB6CC12">
            <w:pPr>
              <w:bidi w:val="0"/>
              <w:rPr>
                <w:rFonts w:hint="eastAsia" w:eastAsia="宋体"/>
                <w:lang w:eastAsia="zh-CN"/>
              </w:rPr>
            </w:pPr>
            <w:r>
              <w:t>尺寸 2000mmX6000mmX3mmX4 带出入门</w:t>
            </w:r>
            <w:r>
              <w:rPr>
                <w:rFonts w:hint="eastAsia" w:eastAsia="宋体"/>
                <w:lang w:eastAsia="zh-CN"/>
              </w:rPr>
              <w:t>。</w:t>
            </w:r>
          </w:p>
          <w:p w14:paraId="118E1EF1">
            <w:pPr>
              <w:bidi w:val="0"/>
            </w:pPr>
            <w:r>
              <w:rPr>
                <w:rFonts w:hint="eastAsia" w:eastAsia="宋体"/>
                <w:lang w:eastAsia="zh-CN"/>
              </w:rPr>
              <w:t>（</w:t>
            </w:r>
            <w:r>
              <w:rPr>
                <w:rFonts w:hint="eastAsia" w:eastAsia="宋体"/>
                <w:lang w:val="en-US" w:eastAsia="zh-CN"/>
              </w:rPr>
              <w:t>3</w:t>
            </w:r>
            <w:r>
              <w:rPr>
                <w:rFonts w:hint="eastAsia" w:eastAsia="宋体"/>
                <w:lang w:eastAsia="zh-CN"/>
              </w:rPr>
              <w:t>）</w:t>
            </w:r>
            <w:r>
              <w:t>监控塔体施工安装</w:t>
            </w:r>
          </w:p>
          <w:p w14:paraId="6F889907">
            <w:pPr>
              <w:bidi w:val="0"/>
              <w:rPr>
                <w:rFonts w:hint="eastAsia" w:eastAsia="宋体"/>
                <w:lang w:eastAsia="zh-CN"/>
              </w:rPr>
            </w:pPr>
            <w:r>
              <w:t>专业杆塔安装人员进行杆塔拼装组装，需要一组安装队伍3人，每个人一天只能一个来回，安装施工时长3天</w:t>
            </w:r>
            <w:r>
              <w:rPr>
                <w:rFonts w:hint="eastAsia" w:eastAsia="宋体"/>
                <w:lang w:eastAsia="zh-CN"/>
              </w:rPr>
              <w:t>。</w:t>
            </w:r>
          </w:p>
          <w:p w14:paraId="0C1D329C">
            <w:pPr>
              <w:bidi w:val="0"/>
            </w:pPr>
            <w:r>
              <w:rPr>
                <w:rFonts w:hint="eastAsia" w:eastAsia="宋体"/>
                <w:lang w:eastAsia="zh-CN"/>
              </w:rPr>
              <w:t>（</w:t>
            </w:r>
            <w:r>
              <w:rPr>
                <w:rFonts w:hint="eastAsia" w:eastAsia="宋体"/>
                <w:lang w:val="en-US" w:eastAsia="zh-CN"/>
              </w:rPr>
              <w:t>4</w:t>
            </w:r>
            <w:r>
              <w:rPr>
                <w:rFonts w:hint="eastAsia" w:eastAsia="宋体"/>
                <w:lang w:eastAsia="zh-CN"/>
              </w:rPr>
              <w:t>）</w:t>
            </w:r>
            <w:r>
              <w:t>杆塔基础施工安装</w:t>
            </w:r>
          </w:p>
          <w:p w14:paraId="06A67AD7">
            <w:pPr>
              <w:bidi w:val="0"/>
              <w:rPr>
                <w:rFonts w:hint="eastAsia" w:eastAsia="宋体"/>
                <w:lang w:eastAsia="zh-CN"/>
              </w:rPr>
            </w:pPr>
            <w:r>
              <w:t>高山上，大型开挖机械无法到达，需要进行人工基础开挖、植筋绑扎、水泥浇筑，预计需要一组队伍4人，因为点位分散，每个人一天只能一个来回，工作时长5天</w:t>
            </w:r>
            <w:r>
              <w:rPr>
                <w:rFonts w:hint="eastAsia" w:eastAsia="宋体"/>
                <w:lang w:eastAsia="zh-CN"/>
              </w:rPr>
              <w:t>；</w:t>
            </w:r>
          </w:p>
          <w:p w14:paraId="4816DEAB">
            <w:pPr>
              <w:bidi w:val="0"/>
            </w:pPr>
            <w:r>
              <w:rPr>
                <w:rFonts w:hint="eastAsia" w:eastAsia="宋体"/>
                <w:lang w:eastAsia="zh-CN"/>
              </w:rPr>
              <w:t>（</w:t>
            </w:r>
            <w:r>
              <w:rPr>
                <w:rFonts w:hint="eastAsia" w:eastAsia="宋体"/>
                <w:lang w:val="en-US" w:eastAsia="zh-CN"/>
              </w:rPr>
              <w:t>5</w:t>
            </w:r>
            <w:r>
              <w:rPr>
                <w:rFonts w:hint="eastAsia" w:eastAsia="宋体"/>
                <w:lang w:eastAsia="zh-CN"/>
              </w:rPr>
              <w:t>）</w:t>
            </w:r>
            <w:r>
              <w:t>材料二搬搬运费用</w:t>
            </w:r>
          </w:p>
          <w:p w14:paraId="23E86E26">
            <w:pPr>
              <w:bidi w:val="0"/>
              <w:rPr>
                <w:rFonts w:hint="eastAsia" w:eastAsia="宋体"/>
                <w:lang w:val="en-US" w:eastAsia="zh-CN"/>
              </w:rPr>
            </w:pPr>
            <w:r>
              <w:t>施工地点位于高山，运输车辆无法通行，采用无人机运输方式，材料总重量约34吨，无人机单天运输重量约为6吨，运输天数为6天，运输费用2000元/天</w:t>
            </w:r>
            <w:r>
              <w:rPr>
                <w:rFonts w:hint="eastAsia" w:eastAsia="宋体"/>
                <w:lang w:val="en-US" w:eastAsia="zh-CN"/>
              </w:rPr>
              <w:t>.</w:t>
            </w:r>
          </w:p>
        </w:tc>
        <w:tc>
          <w:tcPr>
            <w:tcW w:w="308" w:type="pct"/>
            <w:noWrap/>
            <w:vAlign w:val="center"/>
          </w:tcPr>
          <w:p w14:paraId="3A42189A">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2</w:t>
            </w:r>
          </w:p>
        </w:tc>
        <w:tc>
          <w:tcPr>
            <w:tcW w:w="300" w:type="pct"/>
            <w:noWrap/>
            <w:vAlign w:val="center"/>
          </w:tcPr>
          <w:p w14:paraId="659E3C94">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套</w:t>
            </w:r>
          </w:p>
        </w:tc>
      </w:tr>
      <w:tr w14:paraId="297A3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5958843D">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4</w:t>
            </w:r>
          </w:p>
        </w:tc>
        <w:tc>
          <w:tcPr>
            <w:tcW w:w="1114" w:type="pct"/>
            <w:vAlign w:val="center"/>
          </w:tcPr>
          <w:p w14:paraId="4C34DCFD">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配电箱</w:t>
            </w:r>
          </w:p>
        </w:tc>
        <w:tc>
          <w:tcPr>
            <w:tcW w:w="2976" w:type="pct"/>
            <w:vAlign w:val="center"/>
          </w:tcPr>
          <w:p w14:paraId="7828C955">
            <w:pPr>
              <w:bidi w:val="0"/>
              <w:rPr>
                <w:rFonts w:hint="eastAsia"/>
              </w:rPr>
            </w:pPr>
            <w:r>
              <w:rPr>
                <w:rFonts w:hint="eastAsia"/>
              </w:rPr>
              <w:t>1、包括但不限于弱电综合箱、空开、电源排插等辅材;</w:t>
            </w:r>
            <w:r>
              <w:rPr>
                <w:rFonts w:hint="eastAsia"/>
              </w:rPr>
              <w:br w:type="textWrapping"/>
            </w:r>
            <w:r>
              <w:rPr>
                <w:rFonts w:hint="eastAsia"/>
              </w:rPr>
              <w:t>2、尺寸450*580*250*1.0mm（热镀锌/三角暗锁+防水明锁,180度铰链及精密防水钥匙系统/接地汇流排/2层280*140活动阁板/接线端子标示卡/高弹性PU密封。</w:t>
            </w:r>
          </w:p>
        </w:tc>
        <w:tc>
          <w:tcPr>
            <w:tcW w:w="308" w:type="pct"/>
            <w:noWrap/>
            <w:vAlign w:val="center"/>
          </w:tcPr>
          <w:p w14:paraId="0A50B4C5">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2</w:t>
            </w:r>
          </w:p>
        </w:tc>
        <w:tc>
          <w:tcPr>
            <w:tcW w:w="300" w:type="pct"/>
            <w:noWrap/>
            <w:vAlign w:val="center"/>
          </w:tcPr>
          <w:p w14:paraId="60CD2871">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套</w:t>
            </w:r>
          </w:p>
        </w:tc>
      </w:tr>
      <w:tr w14:paraId="7A5E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4AE43E49">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5</w:t>
            </w:r>
          </w:p>
        </w:tc>
        <w:tc>
          <w:tcPr>
            <w:tcW w:w="1114" w:type="pct"/>
            <w:vAlign w:val="center"/>
          </w:tcPr>
          <w:p w14:paraId="4608E2C8">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二合一避雷器</w:t>
            </w:r>
          </w:p>
        </w:tc>
        <w:tc>
          <w:tcPr>
            <w:tcW w:w="2976" w:type="pct"/>
            <w:vAlign w:val="center"/>
          </w:tcPr>
          <w:p w14:paraId="024B2A31">
            <w:pPr>
              <w:bidi w:val="0"/>
              <w:rPr>
                <w:rFonts w:hint="eastAsia" w:eastAsia="宋体"/>
                <w:lang w:eastAsia="zh-CN"/>
              </w:rPr>
            </w:pPr>
            <w:r>
              <w:rPr>
                <w:rFonts w:hint="eastAsia"/>
              </w:rPr>
              <w:t>二合一监控综合防雷器/电源220V+100兆网络信</w:t>
            </w:r>
            <w:r>
              <w:rPr>
                <w:rFonts w:hint="eastAsia" w:eastAsia="宋体"/>
                <w:lang w:eastAsia="zh-CN"/>
              </w:rPr>
              <w:t>。</w:t>
            </w:r>
          </w:p>
          <w:p w14:paraId="307973B2">
            <w:pPr>
              <w:bidi w:val="0"/>
              <w:rPr>
                <w:rFonts w:hint="eastAsia"/>
              </w:rPr>
            </w:pPr>
            <w:r>
              <w:rPr>
                <w:rFonts w:hint="eastAsia" w:eastAsia="宋体"/>
                <w:lang w:val="en-US" w:eastAsia="zh-CN"/>
              </w:rPr>
              <w:t>1、</w:t>
            </w:r>
            <w:r>
              <w:rPr>
                <w:rFonts w:hint="eastAsia"/>
              </w:rPr>
              <w:t>产品特点：</w:t>
            </w:r>
            <w:r>
              <w:rPr>
                <w:rFonts w:hint="eastAsia"/>
              </w:rPr>
              <w:br w:type="textWrapping"/>
            </w:r>
            <w:r>
              <w:rPr>
                <w:rFonts w:hint="eastAsia"/>
              </w:rPr>
              <w:t>①具有电源防雷劣化指示，独有设计专利。</w:t>
            </w:r>
            <w:r>
              <w:rPr>
                <w:rFonts w:hint="eastAsia"/>
              </w:rPr>
              <w:br w:type="textWrapping"/>
            </w:r>
            <w:r>
              <w:rPr>
                <w:rFonts w:hint="eastAsia"/>
              </w:rPr>
              <w:t>②接线端子内置，安全性更高。</w:t>
            </w:r>
            <w:r>
              <w:rPr>
                <w:rFonts w:hint="eastAsia"/>
              </w:rPr>
              <w:br w:type="textWrapping"/>
            </w:r>
            <w:r>
              <w:rPr>
                <w:rFonts w:hint="eastAsia"/>
              </w:rPr>
              <w:t>③标准模数化、导轨式设计，安装更换简便。</w:t>
            </w:r>
            <w:r>
              <w:rPr>
                <w:rFonts w:hint="eastAsia"/>
              </w:rPr>
              <w:br w:type="textWrapping"/>
            </w:r>
            <w:r>
              <w:rPr>
                <w:rFonts w:hint="eastAsia"/>
              </w:rPr>
              <w:t>④内置最先进的温控断路及多重保护技术，保护能力强，可靠性高。</w:t>
            </w:r>
            <w:r>
              <w:rPr>
                <w:rFonts w:hint="eastAsia"/>
              </w:rPr>
              <w:br w:type="textWrapping"/>
            </w:r>
            <w:r>
              <w:rPr>
                <w:rFonts w:hint="eastAsia"/>
              </w:rPr>
              <w:t>⑤内部各功能模块采用特殊结构，相互干扰小，稳定性更高，信号传输性能优越。</w:t>
            </w:r>
            <w:r>
              <w:rPr>
                <w:rFonts w:hint="eastAsia"/>
              </w:rPr>
              <w:br w:type="textWrapping"/>
            </w:r>
            <w:r>
              <w:rPr>
                <w:rFonts w:hint="eastAsia"/>
              </w:rPr>
              <w:t>⑥全塑V0级增强阻燃PC外壳，不导电，绝缘强度更高，特别是在潮湿天气，也能确保安全。</w:t>
            </w:r>
            <w:r>
              <w:rPr>
                <w:rFonts w:hint="eastAsia"/>
              </w:rPr>
              <w:br w:type="textWrapping"/>
            </w:r>
            <w:r>
              <w:rPr>
                <w:rFonts w:hint="eastAsia" w:eastAsia="宋体"/>
                <w:lang w:val="en-US" w:eastAsia="zh-CN"/>
              </w:rPr>
              <w:t>2、</w:t>
            </w:r>
            <w:r>
              <w:rPr>
                <w:rFonts w:hint="eastAsia"/>
              </w:rPr>
              <w:t>技术参数：</w:t>
            </w:r>
            <w:r>
              <w:rPr>
                <w:rFonts w:hint="eastAsia"/>
              </w:rPr>
              <w:br w:type="textWrapping"/>
            </w:r>
            <w:r>
              <w:rPr>
                <w:rFonts w:hint="eastAsia"/>
              </w:rPr>
              <w:t>电源部分（230VAC）：</w:t>
            </w:r>
            <w:r>
              <w:rPr>
                <w:rFonts w:hint="eastAsia"/>
              </w:rPr>
              <w:br w:type="textWrapping"/>
            </w:r>
            <w:r>
              <w:rPr>
                <w:rFonts w:hint="eastAsia"/>
              </w:rPr>
              <w:t>Ø额定工作电压(Un)：230VAC</w:t>
            </w:r>
            <w:r>
              <w:rPr>
                <w:rFonts w:hint="eastAsia"/>
              </w:rPr>
              <w:br w:type="textWrapping"/>
            </w:r>
            <w:r>
              <w:rPr>
                <w:rFonts w:hint="eastAsia"/>
              </w:rPr>
              <w:t>Ø最大持续工作电压(Uc)：320VAC</w:t>
            </w:r>
            <w:r>
              <w:rPr>
                <w:rFonts w:hint="eastAsia"/>
              </w:rPr>
              <w:br w:type="textWrapping"/>
            </w:r>
            <w:r>
              <w:rPr>
                <w:rFonts w:hint="eastAsia"/>
              </w:rPr>
              <w:t xml:space="preserve">Ø标称放电电流In(8/20μs)：5kA </w:t>
            </w:r>
            <w:r>
              <w:rPr>
                <w:rFonts w:hint="eastAsia"/>
              </w:rPr>
              <w:br w:type="textWrapping"/>
            </w:r>
            <w:r>
              <w:rPr>
                <w:rFonts w:hint="eastAsia"/>
              </w:rPr>
              <w:t xml:space="preserve">Ø最大通流容量Imax(8/20μs)：10kA </w:t>
            </w:r>
            <w:r>
              <w:rPr>
                <w:rFonts w:hint="eastAsia"/>
              </w:rPr>
              <w:br w:type="textWrapping"/>
            </w:r>
            <w:r>
              <w:rPr>
                <w:rFonts w:hint="eastAsia"/>
              </w:rPr>
              <w:t>Ø电压保护水平(Up)：＜1.4KV</w:t>
            </w:r>
            <w:r>
              <w:rPr>
                <w:rFonts w:hint="eastAsia"/>
              </w:rPr>
              <w:br w:type="textWrapping"/>
            </w:r>
            <w:r>
              <w:rPr>
                <w:rFonts w:hint="eastAsia"/>
              </w:rPr>
              <w:t>Ø响应时间Ta：≤25ns</w:t>
            </w:r>
            <w:r>
              <w:rPr>
                <w:rFonts w:hint="eastAsia"/>
              </w:rPr>
              <w:br w:type="textWrapping"/>
            </w:r>
            <w:r>
              <w:rPr>
                <w:rFonts w:hint="eastAsia"/>
              </w:rPr>
              <w:t>信号部分（RJ45）：</w:t>
            </w:r>
            <w:r>
              <w:rPr>
                <w:rFonts w:hint="eastAsia"/>
              </w:rPr>
              <w:br w:type="textWrapping"/>
            </w:r>
            <w:r>
              <w:rPr>
                <w:rFonts w:hint="eastAsia"/>
              </w:rPr>
              <w:t>Ø额定工作电压(Un)：5V</w:t>
            </w:r>
            <w:r>
              <w:rPr>
                <w:rFonts w:hint="eastAsia"/>
              </w:rPr>
              <w:br w:type="textWrapping"/>
            </w:r>
            <w:r>
              <w:rPr>
                <w:rFonts w:hint="eastAsia"/>
              </w:rPr>
              <w:t>Ø最大持续工作电压(Uc)：8V</w:t>
            </w:r>
            <w:r>
              <w:rPr>
                <w:rFonts w:hint="eastAsia"/>
              </w:rPr>
              <w:br w:type="textWrapping"/>
            </w:r>
            <w:r>
              <w:rPr>
                <w:rFonts w:hint="eastAsia"/>
              </w:rPr>
              <w:t>Ø标称放电电流In (8/20μs)：2.5KA</w:t>
            </w:r>
            <w:r>
              <w:rPr>
                <w:rFonts w:hint="eastAsia"/>
              </w:rPr>
              <w:br w:type="textWrapping"/>
            </w:r>
            <w:r>
              <w:rPr>
                <w:rFonts w:hint="eastAsia"/>
              </w:rPr>
              <w:t>Ø最大通流容量Imax(8/20μs)：5KA</w:t>
            </w:r>
            <w:r>
              <w:rPr>
                <w:rFonts w:hint="eastAsia"/>
              </w:rPr>
              <w:br w:type="textWrapping"/>
            </w:r>
            <w:r>
              <w:rPr>
                <w:rFonts w:hint="eastAsia"/>
              </w:rPr>
              <w:t>Ø电压保护水平Up(线对线)：≤45V</w:t>
            </w:r>
            <w:r>
              <w:rPr>
                <w:rFonts w:hint="eastAsia"/>
              </w:rPr>
              <w:br w:type="textWrapping"/>
            </w:r>
            <w:r>
              <w:rPr>
                <w:rFonts w:hint="eastAsia"/>
              </w:rPr>
              <w:t>Ø电压保护水平Up(线对地)：≤500V</w:t>
            </w:r>
            <w:r>
              <w:rPr>
                <w:rFonts w:hint="eastAsia"/>
              </w:rPr>
              <w:br w:type="textWrapping"/>
            </w:r>
            <w:r>
              <w:rPr>
                <w:rFonts w:hint="eastAsia"/>
              </w:rPr>
              <w:t>Ø传输速率Vs（bit/s）：100M</w:t>
            </w:r>
            <w:r>
              <w:rPr>
                <w:rFonts w:hint="eastAsia"/>
              </w:rPr>
              <w:br w:type="textWrapping"/>
            </w:r>
            <w:r>
              <w:rPr>
                <w:rFonts w:hint="eastAsia"/>
              </w:rPr>
              <w:t>Ø插入损耗Ae (dB)：≤0.5 d</w:t>
            </w:r>
          </w:p>
        </w:tc>
        <w:tc>
          <w:tcPr>
            <w:tcW w:w="308" w:type="pct"/>
            <w:noWrap/>
            <w:vAlign w:val="center"/>
          </w:tcPr>
          <w:p w14:paraId="4063F58A">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2</w:t>
            </w:r>
          </w:p>
        </w:tc>
        <w:tc>
          <w:tcPr>
            <w:tcW w:w="300" w:type="pct"/>
            <w:noWrap/>
            <w:vAlign w:val="center"/>
          </w:tcPr>
          <w:p w14:paraId="0186F612">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套</w:t>
            </w:r>
          </w:p>
        </w:tc>
      </w:tr>
      <w:tr w14:paraId="4477A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7A2A075A">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6</w:t>
            </w:r>
          </w:p>
        </w:tc>
        <w:tc>
          <w:tcPr>
            <w:tcW w:w="1114" w:type="pct"/>
            <w:vAlign w:val="center"/>
          </w:tcPr>
          <w:p w14:paraId="027EFF1C">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网络交换机</w:t>
            </w:r>
          </w:p>
        </w:tc>
        <w:tc>
          <w:tcPr>
            <w:tcW w:w="2976" w:type="pct"/>
            <w:vAlign w:val="center"/>
          </w:tcPr>
          <w:p w14:paraId="16DAE7DD">
            <w:pPr>
              <w:bidi w:val="0"/>
              <w:rPr>
                <w:rFonts w:hint="eastAsia" w:eastAsia="宋体"/>
                <w:lang w:eastAsia="zh-CN"/>
              </w:rPr>
            </w:pPr>
            <w:r>
              <w:t>1、交换容量：336Gbps；包转发率：24Mpps</w:t>
            </w:r>
            <w:r>
              <w:rPr>
                <w:rFonts w:hint="eastAsia" w:eastAsia="宋体"/>
                <w:lang w:eastAsia="zh-CN"/>
              </w:rPr>
              <w:t>；</w:t>
            </w:r>
          </w:p>
          <w:p w14:paraId="5E9647CE">
            <w:pPr>
              <w:bidi w:val="0"/>
              <w:rPr>
                <w:rFonts w:hint="eastAsia" w:eastAsia="宋体"/>
                <w:lang w:eastAsia="zh-CN"/>
              </w:rPr>
            </w:pPr>
            <w:r>
              <w:t>2、接口类型：8千兆电+2千兆光</w:t>
            </w:r>
            <w:r>
              <w:rPr>
                <w:rFonts w:hint="eastAsia" w:eastAsia="宋体"/>
                <w:lang w:eastAsia="zh-CN"/>
              </w:rPr>
              <w:t>；</w:t>
            </w:r>
          </w:p>
          <w:p w14:paraId="3A9D7224">
            <w:pPr>
              <w:bidi w:val="0"/>
            </w:pPr>
            <w:r>
              <w:t>3、MAC地址表4K； 线速转发；</w:t>
            </w:r>
          </w:p>
          <w:p w14:paraId="413CD611">
            <w:pPr>
              <w:bidi w:val="0"/>
            </w:pPr>
            <w:r>
              <w:t>4、RJ45支持端口自动翻转（Auto MDI/MDIX）；</w:t>
            </w:r>
          </w:p>
          <w:p w14:paraId="736C6448">
            <w:pPr>
              <w:bidi w:val="0"/>
            </w:pPr>
            <w:r>
              <w:t>5、无风扇，全铝合金高能顶板导热槽；</w:t>
            </w:r>
          </w:p>
          <w:p w14:paraId="7B7408D9">
            <w:pPr>
              <w:bidi w:val="0"/>
            </w:pPr>
            <w:r>
              <w:t>6、面板指示灯监视工作状态及帮助故障分析；</w:t>
            </w:r>
          </w:p>
          <w:p w14:paraId="6A31AF81">
            <w:pPr>
              <w:bidi w:val="0"/>
              <w:rPr>
                <w:rFonts w:hint="eastAsia" w:eastAsia="宋体"/>
                <w:lang w:eastAsia="zh-CN"/>
              </w:rPr>
            </w:pPr>
            <w:r>
              <w:t>7、静电标准：接触±6KV，空气±8KV</w:t>
            </w:r>
            <w:r>
              <w:rPr>
                <w:rFonts w:hint="eastAsia" w:eastAsia="宋体"/>
                <w:lang w:eastAsia="zh-CN"/>
              </w:rPr>
              <w:t>；</w:t>
            </w:r>
          </w:p>
          <w:p w14:paraId="08192CD5">
            <w:pPr>
              <w:bidi w:val="0"/>
              <w:rPr>
                <w:rFonts w:hint="eastAsia" w:eastAsia="宋体"/>
                <w:lang w:eastAsia="zh-CN"/>
              </w:rPr>
            </w:pPr>
            <w:r>
              <w:t>8、工作温度:（-40℃- 75℃）；工作湿度：10% ~ 90% 无凝结</w:t>
            </w:r>
            <w:r>
              <w:rPr>
                <w:rFonts w:hint="eastAsia" w:eastAsia="宋体"/>
                <w:lang w:eastAsia="zh-CN"/>
              </w:rPr>
              <w:t>；</w:t>
            </w:r>
          </w:p>
          <w:p w14:paraId="7C866A2C">
            <w:pPr>
              <w:bidi w:val="0"/>
            </w:pPr>
            <w:r>
              <w:rPr>
                <w:rFonts w:hint="eastAsia"/>
                <w:lang w:val="en-US" w:eastAsia="zh-CN"/>
              </w:rPr>
              <w:t>9、</w:t>
            </w:r>
            <w:r>
              <w:t xml:space="preserve">支持纵向管理虚拟化，支持64个子节点，子节点支持单机和堆叠设备； </w:t>
            </w:r>
          </w:p>
          <w:p w14:paraId="1B1D3A8C">
            <w:pPr>
              <w:bidi w:val="0"/>
            </w:pPr>
            <w:r>
              <w:rPr>
                <w:rFonts w:hint="eastAsia"/>
                <w:lang w:val="en-US" w:eastAsia="zh-CN"/>
              </w:rPr>
              <w:t>10、</w:t>
            </w:r>
            <w:r>
              <w:t>支持并实配VXLAN功能，支持VXLAN L2、L3转发，支持VXLAN集中式、分布式网关，支持 BGP-EVPN VXLAN功能；</w:t>
            </w:r>
          </w:p>
          <w:p w14:paraId="23CC5724">
            <w:pPr>
              <w:bidi w:val="0"/>
              <w:rPr>
                <w:rFonts w:hint="eastAsia"/>
              </w:rPr>
            </w:pPr>
            <w:r>
              <w:rPr>
                <w:rFonts w:hint="eastAsia"/>
                <w:lang w:val="en-US" w:eastAsia="zh-CN"/>
              </w:rPr>
              <w:t>11、</w:t>
            </w:r>
            <w:r>
              <w:t>支持M-LAG功能，支持MLAG的跨设备链路聚合；</w:t>
            </w:r>
          </w:p>
          <w:p w14:paraId="6FD8CB15">
            <w:pPr>
              <w:bidi w:val="0"/>
            </w:pPr>
            <w:r>
              <w:rPr>
                <w:rFonts w:hint="eastAsia"/>
                <w:lang w:val="en-US" w:eastAsia="zh-CN"/>
              </w:rPr>
              <w:t>12、</w:t>
            </w:r>
            <w:r>
              <w:t xml:space="preserve">支持并实配OSPFv2、OSPFv3、RIPv2、RIPng、ISISv4、ISISv6、BGP、BGP4+协议的国密（ SM3）安全认证功能、生成树协议国密（SM4）安全认证功能、SSH协议国密（SM3）安全认证功能、配置文件、设备日志、操作记录国密（SM4）加密功能； </w:t>
            </w:r>
          </w:p>
          <w:p w14:paraId="601767BD">
            <w:pPr>
              <w:bidi w:val="0"/>
              <w:rPr>
                <w:rFonts w:hint="eastAsia"/>
              </w:rPr>
            </w:pPr>
            <w:r>
              <w:rPr>
                <w:rFonts w:hint="eastAsia"/>
                <w:lang w:val="en-US" w:eastAsia="zh-CN"/>
              </w:rPr>
              <w:t>13、</w:t>
            </w:r>
            <w:r>
              <w:t>支持SNMP v1/v2/v3、RMON、TR069、ZTP、Netconf、Telemetry、BSM、IPFIX、ISSU、 SYSLOG、软件热补丁。</w:t>
            </w:r>
          </w:p>
        </w:tc>
        <w:tc>
          <w:tcPr>
            <w:tcW w:w="308" w:type="pct"/>
            <w:noWrap/>
            <w:vAlign w:val="center"/>
          </w:tcPr>
          <w:p w14:paraId="779D0B6E">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2</w:t>
            </w:r>
          </w:p>
        </w:tc>
        <w:tc>
          <w:tcPr>
            <w:tcW w:w="300" w:type="pct"/>
            <w:noWrap/>
            <w:vAlign w:val="center"/>
          </w:tcPr>
          <w:p w14:paraId="46251D36">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套</w:t>
            </w:r>
          </w:p>
        </w:tc>
      </w:tr>
      <w:tr w14:paraId="3CE5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17B8DC35">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7</w:t>
            </w:r>
          </w:p>
        </w:tc>
        <w:tc>
          <w:tcPr>
            <w:tcW w:w="1114" w:type="pct"/>
            <w:noWrap/>
            <w:vAlign w:val="center"/>
          </w:tcPr>
          <w:p w14:paraId="3ED6CDAC">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设备上山搬运费</w:t>
            </w:r>
          </w:p>
        </w:tc>
        <w:tc>
          <w:tcPr>
            <w:tcW w:w="2976" w:type="pct"/>
            <w:vAlign w:val="center"/>
          </w:tcPr>
          <w:p w14:paraId="5B258F12">
            <w:pPr>
              <w:widowControl/>
              <w:spacing w:line="240" w:lineRule="auto"/>
              <w:ind w:firstLine="0" w:firstLineChars="0"/>
              <w:jc w:val="left"/>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二次搬运，多光谱重载云台（约100kg）、设备箱（约25kg）、线缆材料（约400kg）等上山搬运，总重量525kg，从最近行车道路搬运至山顶安装地点，且建设位置于车辆无法通行、高度落差大的高山，总搬运距离约1600米；高精密设备无法使用运输无人机进行，搬迁难度大，只能依靠马匹进行单趟搬运，搬运时长1天</w:t>
            </w:r>
            <w:r>
              <w:rPr>
                <w:rFonts w:hint="eastAsia" w:ascii="宋体" w:hAnsi="宋体" w:eastAsia="宋体" w:cs="宋体"/>
                <w:color w:val="auto"/>
                <w:kern w:val="0"/>
                <w:sz w:val="21"/>
                <w:szCs w:val="21"/>
                <w:lang w:eastAsia="zh-CN"/>
              </w:rPr>
              <w:t>。</w:t>
            </w:r>
          </w:p>
        </w:tc>
        <w:tc>
          <w:tcPr>
            <w:tcW w:w="308" w:type="pct"/>
            <w:noWrap/>
            <w:vAlign w:val="center"/>
          </w:tcPr>
          <w:p w14:paraId="3EFA5C06">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2</w:t>
            </w:r>
          </w:p>
        </w:tc>
        <w:tc>
          <w:tcPr>
            <w:tcW w:w="300" w:type="pct"/>
            <w:noWrap/>
            <w:vAlign w:val="center"/>
          </w:tcPr>
          <w:p w14:paraId="220FDBE2">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项</w:t>
            </w:r>
          </w:p>
        </w:tc>
      </w:tr>
      <w:tr w14:paraId="066A6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4086E1F2">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8</w:t>
            </w:r>
          </w:p>
        </w:tc>
        <w:tc>
          <w:tcPr>
            <w:tcW w:w="1114" w:type="pct"/>
            <w:noWrap/>
            <w:vAlign w:val="center"/>
          </w:tcPr>
          <w:p w14:paraId="51F3BB56">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人员登高设备安装费</w:t>
            </w:r>
          </w:p>
        </w:tc>
        <w:tc>
          <w:tcPr>
            <w:tcW w:w="2976" w:type="pct"/>
            <w:vAlign w:val="center"/>
          </w:tcPr>
          <w:p w14:paraId="36E9F8B5">
            <w:pPr>
              <w:widowControl/>
              <w:spacing w:line="240" w:lineRule="auto"/>
              <w:ind w:firstLine="0" w:firstLineChars="0"/>
              <w:jc w:val="left"/>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本次设备需上塔顶操作，需请一组专业塔工，设备安装，电、网线路连接，前端调试，预计1天</w:t>
            </w:r>
            <w:r>
              <w:rPr>
                <w:rFonts w:hint="eastAsia" w:ascii="宋体" w:hAnsi="宋体" w:eastAsia="宋体" w:cs="宋体"/>
                <w:color w:val="auto"/>
                <w:kern w:val="0"/>
                <w:sz w:val="21"/>
                <w:szCs w:val="21"/>
                <w:lang w:eastAsia="zh-CN"/>
              </w:rPr>
              <w:t>。</w:t>
            </w:r>
          </w:p>
        </w:tc>
        <w:tc>
          <w:tcPr>
            <w:tcW w:w="308" w:type="pct"/>
            <w:noWrap/>
            <w:vAlign w:val="center"/>
          </w:tcPr>
          <w:p w14:paraId="1E2AB8BB">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2</w:t>
            </w:r>
          </w:p>
        </w:tc>
        <w:tc>
          <w:tcPr>
            <w:tcW w:w="300" w:type="pct"/>
            <w:noWrap/>
            <w:vAlign w:val="center"/>
          </w:tcPr>
          <w:p w14:paraId="4142F8C7">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项</w:t>
            </w:r>
          </w:p>
        </w:tc>
      </w:tr>
      <w:tr w14:paraId="72DCC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1FD6C0DF">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9</w:t>
            </w:r>
          </w:p>
        </w:tc>
        <w:tc>
          <w:tcPr>
            <w:tcW w:w="1114" w:type="pct"/>
            <w:noWrap/>
            <w:vAlign w:val="center"/>
          </w:tcPr>
          <w:p w14:paraId="5305B821">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终端设备接入服务费</w:t>
            </w:r>
          </w:p>
        </w:tc>
        <w:tc>
          <w:tcPr>
            <w:tcW w:w="2976" w:type="pct"/>
            <w:vAlign w:val="center"/>
          </w:tcPr>
          <w:p w14:paraId="15B0FB3B">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须远程后台调平，并连入监控平台。</w:t>
            </w:r>
          </w:p>
        </w:tc>
        <w:tc>
          <w:tcPr>
            <w:tcW w:w="308" w:type="pct"/>
            <w:noWrap/>
            <w:vAlign w:val="center"/>
          </w:tcPr>
          <w:p w14:paraId="08C3B4C7">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2</w:t>
            </w:r>
          </w:p>
        </w:tc>
        <w:tc>
          <w:tcPr>
            <w:tcW w:w="300" w:type="pct"/>
            <w:noWrap/>
            <w:vAlign w:val="center"/>
          </w:tcPr>
          <w:p w14:paraId="5DA2025D">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项</w:t>
            </w:r>
          </w:p>
        </w:tc>
      </w:tr>
      <w:tr w14:paraId="2F05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56586CBC">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（三）</w:t>
            </w:r>
          </w:p>
        </w:tc>
        <w:tc>
          <w:tcPr>
            <w:tcW w:w="4700" w:type="pct"/>
            <w:gridSpan w:val="4"/>
            <w:vAlign w:val="center"/>
          </w:tcPr>
          <w:p w14:paraId="4471B4DB">
            <w:pPr>
              <w:widowControl/>
              <w:spacing w:line="240" w:lineRule="auto"/>
              <w:ind w:firstLine="0" w:firstLineChars="0"/>
              <w:jc w:val="left"/>
              <w:rPr>
                <w:rFonts w:hint="eastAsia" w:ascii="宋体" w:hAnsi="宋体" w:cs="宋体"/>
                <w:b/>
                <w:bCs/>
                <w:color w:val="auto"/>
                <w:kern w:val="0"/>
                <w:sz w:val="21"/>
                <w:szCs w:val="21"/>
              </w:rPr>
            </w:pPr>
            <w:r>
              <w:rPr>
                <w:rFonts w:hint="eastAsia" w:ascii="宋体" w:hAnsi="宋体" w:cs="宋体"/>
                <w:b/>
                <w:bCs/>
                <w:color w:val="auto"/>
                <w:kern w:val="0"/>
                <w:sz w:val="21"/>
                <w:szCs w:val="21"/>
              </w:rPr>
              <w:t>通信网络配置设施</w:t>
            </w:r>
          </w:p>
        </w:tc>
      </w:tr>
      <w:tr w14:paraId="52CC7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7AC5ED79">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w:t>
            </w:r>
          </w:p>
        </w:tc>
        <w:tc>
          <w:tcPr>
            <w:tcW w:w="4700" w:type="pct"/>
            <w:gridSpan w:val="4"/>
            <w:vAlign w:val="center"/>
          </w:tcPr>
          <w:p w14:paraId="662F09FE">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市电供电配套设施</w:t>
            </w:r>
          </w:p>
        </w:tc>
      </w:tr>
      <w:tr w14:paraId="7A13C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335F542B">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1.1</w:t>
            </w:r>
          </w:p>
        </w:tc>
        <w:tc>
          <w:tcPr>
            <w:tcW w:w="1114" w:type="pct"/>
            <w:vAlign w:val="center"/>
          </w:tcPr>
          <w:p w14:paraId="585B937F">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市电初开</w:t>
            </w:r>
          </w:p>
        </w:tc>
        <w:tc>
          <w:tcPr>
            <w:tcW w:w="2976" w:type="pct"/>
            <w:vAlign w:val="center"/>
          </w:tcPr>
          <w:p w14:paraId="738FBC92">
            <w:pPr>
              <w:widowControl/>
              <w:spacing w:line="240" w:lineRule="auto"/>
              <w:ind w:firstLine="0" w:firstLineChars="0"/>
              <w:jc w:val="left"/>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市电接入开户初装、电费，电表配件等</w:t>
            </w:r>
            <w:r>
              <w:rPr>
                <w:rFonts w:hint="eastAsia" w:ascii="宋体" w:hAnsi="宋体" w:eastAsia="宋体" w:cs="宋体"/>
                <w:color w:val="auto"/>
                <w:kern w:val="0"/>
                <w:sz w:val="21"/>
                <w:szCs w:val="21"/>
                <w:lang w:eastAsia="zh-CN"/>
              </w:rPr>
              <w:t>。</w:t>
            </w:r>
          </w:p>
        </w:tc>
        <w:tc>
          <w:tcPr>
            <w:tcW w:w="308" w:type="pct"/>
            <w:vAlign w:val="center"/>
          </w:tcPr>
          <w:p w14:paraId="152DD0D2">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7</w:t>
            </w:r>
          </w:p>
        </w:tc>
        <w:tc>
          <w:tcPr>
            <w:tcW w:w="300" w:type="pct"/>
            <w:vAlign w:val="center"/>
          </w:tcPr>
          <w:p w14:paraId="18C71984">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套</w:t>
            </w:r>
          </w:p>
        </w:tc>
      </w:tr>
      <w:tr w14:paraId="6EDA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4B36BC2D">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1.2</w:t>
            </w:r>
          </w:p>
        </w:tc>
        <w:tc>
          <w:tcPr>
            <w:tcW w:w="1114" w:type="pct"/>
            <w:vAlign w:val="center"/>
          </w:tcPr>
          <w:p w14:paraId="52EE7CED">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电缆及敷设</w:t>
            </w:r>
          </w:p>
        </w:tc>
        <w:tc>
          <w:tcPr>
            <w:tcW w:w="2976" w:type="pct"/>
            <w:vAlign w:val="center"/>
          </w:tcPr>
          <w:p w14:paraId="2B452F44">
            <w:pPr>
              <w:widowControl/>
              <w:spacing w:line="240" w:lineRule="auto"/>
              <w:ind w:firstLine="0" w:firstLineChars="0"/>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1、</w:t>
            </w:r>
            <w:r>
              <w:rPr>
                <w:rFonts w:hint="eastAsia" w:ascii="宋体" w:hAnsi="宋体" w:cs="宋体"/>
                <w:color w:val="auto"/>
                <w:kern w:val="0"/>
                <w:sz w:val="21"/>
                <w:szCs w:val="21"/>
              </w:rPr>
              <w:t>新建市电线路：包工包料，主要采用架空方式敷设；新建架空市电线路含电力杆洞及拉线洞土石方的开挖及回填、立杆（电力杆间距要求不大于 70 米）、拉线制作、吊线布放、电力电缆敷设、材料的采购、运输、配送（含二次搬运）、接火以及为达到技术规范要求而必须实施的其他停送电、安装等工作，新建地埋市电线路含土石方挖填（电缆沟开挖深度不低于 400mm）、套管敷设、电力电缆敷设、材料的采购、运输、配送（含二次搬运）、绿化带（含其他绿化植被）和人行砖开挖及恢复、接火以及为达到技术规范要求而必须实施的其他停送电、安装等工作，地埋电缆路由须增加标桩，约 50 米放置一个，转角需增设；特殊路段无法架空情况可进行特殊处理；含铠装铜缆电缆 2*4mm²及各种辅材，含设计费、材料费、安装费、接火费、措施费等，按照相关技术标准规范施工。</w:t>
            </w:r>
            <w:r>
              <w:rPr>
                <w:rFonts w:hint="eastAsia" w:ascii="宋体" w:hAnsi="宋体" w:cs="宋体"/>
                <w:color w:val="auto"/>
                <w:kern w:val="0"/>
                <w:sz w:val="21"/>
                <w:szCs w:val="21"/>
              </w:rPr>
              <w:br w:type="textWrapping"/>
            </w:r>
            <w:r>
              <w:rPr>
                <w:rFonts w:hint="eastAsia" w:ascii="宋体" w:hAnsi="宋体" w:cs="宋体"/>
                <w:color w:val="auto"/>
                <w:kern w:val="0"/>
                <w:sz w:val="21"/>
                <w:szCs w:val="21"/>
              </w:rPr>
              <w:t>2</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铠装铜缆电缆 2*4mm²的具体规格：</w:t>
            </w:r>
            <w:r>
              <w:rPr>
                <w:rFonts w:hint="eastAsia" w:ascii="宋体" w:hAnsi="宋体" w:cs="宋体"/>
                <w:color w:val="auto"/>
                <w:kern w:val="0"/>
                <w:sz w:val="21"/>
                <w:szCs w:val="21"/>
              </w:rPr>
              <w:br w:type="textWrapping"/>
            </w:r>
            <w:r>
              <w:rPr>
                <w:rFonts w:hint="eastAsia" w:ascii="宋体" w:hAnsi="宋体" w:cs="宋体"/>
                <w:color w:val="auto"/>
                <w:kern w:val="0"/>
                <w:sz w:val="21"/>
                <w:szCs w:val="21"/>
              </w:rPr>
              <w:t>型号：YJV22-0.6/1kV 2×4</w:t>
            </w:r>
            <w:r>
              <w:rPr>
                <w:rFonts w:hint="eastAsia" w:ascii="宋体" w:hAnsi="宋体" w:cs="宋体"/>
                <w:color w:val="auto"/>
                <w:kern w:val="0"/>
                <w:sz w:val="21"/>
                <w:szCs w:val="21"/>
              </w:rPr>
              <w:br w:type="textWrapping"/>
            </w:r>
            <w:r>
              <w:rPr>
                <w:rFonts w:hint="eastAsia" w:ascii="宋体" w:hAnsi="宋体" w:cs="宋体"/>
                <w:color w:val="auto"/>
                <w:kern w:val="0"/>
                <w:sz w:val="21"/>
                <w:szCs w:val="21"/>
              </w:rPr>
              <w:t>（1）导体：</w:t>
            </w:r>
            <w:r>
              <w:rPr>
                <w:rFonts w:hint="eastAsia" w:ascii="宋体" w:hAnsi="宋体" w:cs="宋体"/>
                <w:color w:val="auto"/>
                <w:kern w:val="0"/>
                <w:sz w:val="21"/>
                <w:szCs w:val="21"/>
              </w:rPr>
              <w:br w:type="textWrapping"/>
            </w:r>
            <w:r>
              <w:rPr>
                <w:rFonts w:hint="eastAsia" w:ascii="宋体" w:hAnsi="宋体" w:cs="宋体"/>
                <w:color w:val="auto"/>
                <w:kern w:val="0"/>
                <w:sz w:val="21"/>
                <w:szCs w:val="21"/>
              </w:rPr>
              <w:t>材料：铜</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br w:type="textWrapping"/>
            </w:r>
            <w:r>
              <w:rPr>
                <w:rFonts w:hint="eastAsia" w:ascii="宋体" w:hAnsi="宋体" w:cs="宋体"/>
                <w:color w:val="auto"/>
                <w:kern w:val="0"/>
                <w:sz w:val="21"/>
                <w:szCs w:val="21"/>
              </w:rPr>
              <w:t>截面积：2芯，每芯4mm²</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br w:type="textWrapping"/>
            </w:r>
            <w:r>
              <w:rPr>
                <w:rFonts w:hint="eastAsia" w:ascii="宋体" w:hAnsi="宋体" w:cs="宋体"/>
                <w:color w:val="auto"/>
                <w:kern w:val="0"/>
                <w:sz w:val="21"/>
                <w:szCs w:val="21"/>
              </w:rPr>
              <w:t>（2）绝缘层：</w:t>
            </w:r>
            <w:r>
              <w:rPr>
                <w:rFonts w:hint="eastAsia" w:ascii="宋体" w:hAnsi="宋体" w:cs="宋体"/>
                <w:color w:val="auto"/>
                <w:kern w:val="0"/>
                <w:sz w:val="21"/>
                <w:szCs w:val="21"/>
              </w:rPr>
              <w:br w:type="textWrapping"/>
            </w:r>
            <w:r>
              <w:rPr>
                <w:rFonts w:hint="eastAsia" w:ascii="宋体" w:hAnsi="宋体" w:cs="宋体"/>
                <w:color w:val="auto"/>
                <w:kern w:val="0"/>
                <w:sz w:val="21"/>
                <w:szCs w:val="21"/>
              </w:rPr>
              <w:t>材料：通常为PVC（聚氯乙烯）或XLPE（交联聚乙烯）</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br w:type="textWrapping"/>
            </w:r>
            <w:r>
              <w:rPr>
                <w:rFonts w:hint="eastAsia" w:ascii="宋体" w:hAnsi="宋体" w:cs="宋体"/>
                <w:color w:val="auto"/>
                <w:kern w:val="0"/>
                <w:sz w:val="21"/>
                <w:szCs w:val="21"/>
              </w:rPr>
              <w:t>厚度：根据标准，具体数值需参考相关规范</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br w:type="textWrapping"/>
            </w:r>
            <w:r>
              <w:rPr>
                <w:rFonts w:hint="eastAsia" w:ascii="宋体" w:hAnsi="宋体" w:cs="宋体"/>
                <w:color w:val="auto"/>
                <w:kern w:val="0"/>
                <w:sz w:val="21"/>
                <w:szCs w:val="21"/>
              </w:rPr>
              <w:t>（3）铠装层：</w:t>
            </w:r>
            <w:r>
              <w:rPr>
                <w:rFonts w:hint="eastAsia" w:ascii="宋体" w:hAnsi="宋体" w:cs="宋体"/>
                <w:color w:val="auto"/>
                <w:kern w:val="0"/>
                <w:sz w:val="21"/>
                <w:szCs w:val="21"/>
              </w:rPr>
              <w:br w:type="textWrapping"/>
            </w:r>
            <w:r>
              <w:rPr>
                <w:rFonts w:hint="eastAsia" w:ascii="宋体" w:hAnsi="宋体" w:cs="宋体"/>
                <w:color w:val="auto"/>
                <w:kern w:val="0"/>
                <w:sz w:val="21"/>
                <w:szCs w:val="21"/>
              </w:rPr>
              <w:t>材料：钢带或钢丝</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br w:type="textWrapping"/>
            </w:r>
            <w:r>
              <w:rPr>
                <w:rFonts w:hint="eastAsia" w:ascii="宋体" w:hAnsi="宋体" w:cs="宋体"/>
                <w:color w:val="auto"/>
                <w:kern w:val="0"/>
                <w:sz w:val="21"/>
                <w:szCs w:val="21"/>
              </w:rPr>
              <w:t>类型：通常为双层钢带铠装或钢丝铠装</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br w:type="textWrapping"/>
            </w:r>
            <w:r>
              <w:rPr>
                <w:rFonts w:hint="eastAsia" w:ascii="宋体" w:hAnsi="宋体" w:cs="宋体"/>
                <w:color w:val="auto"/>
                <w:kern w:val="0"/>
                <w:sz w:val="21"/>
                <w:szCs w:val="21"/>
              </w:rPr>
              <w:t>（4）外护套：</w:t>
            </w:r>
            <w:r>
              <w:rPr>
                <w:rFonts w:hint="eastAsia" w:ascii="宋体" w:hAnsi="宋体" w:cs="宋体"/>
                <w:color w:val="auto"/>
                <w:kern w:val="0"/>
                <w:sz w:val="21"/>
                <w:szCs w:val="21"/>
              </w:rPr>
              <w:br w:type="textWrapping"/>
            </w:r>
            <w:r>
              <w:rPr>
                <w:rFonts w:hint="eastAsia" w:ascii="宋体" w:hAnsi="宋体" w:cs="宋体"/>
                <w:color w:val="auto"/>
                <w:kern w:val="0"/>
                <w:sz w:val="21"/>
                <w:szCs w:val="21"/>
              </w:rPr>
              <w:t>材料：PVC或PE（聚乙烯）</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br w:type="textWrapping"/>
            </w:r>
            <w:r>
              <w:rPr>
                <w:rFonts w:hint="eastAsia" w:ascii="宋体" w:hAnsi="宋体" w:cs="宋体"/>
                <w:color w:val="auto"/>
                <w:kern w:val="0"/>
                <w:sz w:val="21"/>
                <w:szCs w:val="21"/>
              </w:rPr>
              <w:t>厚度：根据标准，具体数值需参考相关规范</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br w:type="textWrapping"/>
            </w:r>
            <w:r>
              <w:rPr>
                <w:rFonts w:hint="eastAsia" w:ascii="宋体" w:hAnsi="宋体" w:cs="宋体"/>
                <w:color w:val="auto"/>
                <w:kern w:val="0"/>
                <w:sz w:val="21"/>
                <w:szCs w:val="21"/>
              </w:rPr>
              <w:t>（5）电压等级：通常为0.6/1kV</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br w:type="textWrapping"/>
            </w:r>
            <w:r>
              <w:rPr>
                <w:rFonts w:hint="eastAsia" w:ascii="宋体" w:hAnsi="宋体" w:cs="宋体"/>
                <w:color w:val="auto"/>
                <w:kern w:val="0"/>
                <w:sz w:val="21"/>
                <w:szCs w:val="21"/>
              </w:rPr>
              <w:t>（6）外径：10-15mm左右</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br w:type="textWrapping"/>
            </w:r>
            <w:r>
              <w:rPr>
                <w:rFonts w:hint="eastAsia" w:ascii="宋体" w:hAnsi="宋体" w:cs="宋体"/>
                <w:color w:val="auto"/>
                <w:kern w:val="0"/>
                <w:sz w:val="21"/>
                <w:szCs w:val="21"/>
              </w:rPr>
              <w:t>（7）重量：每千米重量约为200-300kg</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br w:type="textWrapping"/>
            </w:r>
            <w:r>
              <w:rPr>
                <w:rFonts w:hint="eastAsia" w:ascii="宋体" w:hAnsi="宋体" w:cs="宋体"/>
                <w:color w:val="auto"/>
                <w:kern w:val="0"/>
                <w:sz w:val="21"/>
                <w:szCs w:val="21"/>
              </w:rPr>
              <w:t>（8）标准：符合IEC、GB、BS等国际或国家标准</w:t>
            </w:r>
            <w:r>
              <w:rPr>
                <w:rFonts w:hint="eastAsia" w:ascii="宋体" w:hAnsi="宋体" w:eastAsia="宋体" w:cs="宋体"/>
                <w:color w:val="auto"/>
                <w:kern w:val="0"/>
                <w:sz w:val="21"/>
                <w:szCs w:val="21"/>
                <w:lang w:eastAsia="zh-CN"/>
              </w:rPr>
              <w:t>。</w:t>
            </w:r>
          </w:p>
        </w:tc>
        <w:tc>
          <w:tcPr>
            <w:tcW w:w="308" w:type="pct"/>
            <w:noWrap/>
            <w:vAlign w:val="center"/>
          </w:tcPr>
          <w:p w14:paraId="6BD4548B">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5710</w:t>
            </w:r>
          </w:p>
        </w:tc>
        <w:tc>
          <w:tcPr>
            <w:tcW w:w="300" w:type="pct"/>
            <w:noWrap/>
            <w:vAlign w:val="center"/>
          </w:tcPr>
          <w:p w14:paraId="4A513690">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米</w:t>
            </w:r>
          </w:p>
        </w:tc>
      </w:tr>
      <w:tr w14:paraId="4E504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01920D4E">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1.3</w:t>
            </w:r>
          </w:p>
        </w:tc>
        <w:tc>
          <w:tcPr>
            <w:tcW w:w="1114" w:type="pct"/>
            <w:vAlign w:val="center"/>
          </w:tcPr>
          <w:p w14:paraId="3BA62268">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电缆线路水泥杆</w:t>
            </w:r>
          </w:p>
        </w:tc>
        <w:tc>
          <w:tcPr>
            <w:tcW w:w="2976" w:type="pct"/>
            <w:vAlign w:val="center"/>
          </w:tcPr>
          <w:p w14:paraId="1BA59D5A">
            <w:pPr>
              <w:widowControl/>
              <w:spacing w:line="240" w:lineRule="auto"/>
              <w:ind w:firstLine="0" w:firstLineChars="0"/>
              <w:jc w:val="left"/>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包含水泥杆材料，材料上山运输费</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br w:type="textWrapping"/>
            </w:r>
            <w:r>
              <w:rPr>
                <w:rFonts w:hint="eastAsia" w:ascii="宋体" w:hAnsi="宋体" w:cs="宋体"/>
                <w:color w:val="auto"/>
                <w:kern w:val="0"/>
                <w:sz w:val="21"/>
                <w:szCs w:val="21"/>
              </w:rPr>
              <w:t>1</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直杆的高度应不小于6米，其顶部不应离地面低于2米，基础埋深应不小于1.5米。</w:t>
            </w:r>
            <w:r>
              <w:rPr>
                <w:rFonts w:hint="eastAsia" w:ascii="宋体" w:hAnsi="宋体" w:cs="宋体"/>
                <w:color w:val="auto"/>
                <w:kern w:val="0"/>
                <w:sz w:val="21"/>
                <w:szCs w:val="21"/>
              </w:rPr>
              <w:br w:type="textWrapping"/>
            </w:r>
            <w:r>
              <w:rPr>
                <w:rFonts w:hint="eastAsia" w:ascii="宋体" w:hAnsi="宋体" w:cs="宋体"/>
                <w:color w:val="auto"/>
                <w:kern w:val="0"/>
                <w:sz w:val="21"/>
                <w:szCs w:val="21"/>
              </w:rPr>
              <w:t>2</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折线杆的高度应为折线段中参与传输的直段长度之和加上弧线部分预留的长度。</w:t>
            </w:r>
            <w:r>
              <w:rPr>
                <w:rFonts w:hint="eastAsia" w:ascii="宋体" w:hAnsi="宋体" w:cs="宋体"/>
                <w:color w:val="auto"/>
                <w:kern w:val="0"/>
                <w:sz w:val="21"/>
                <w:szCs w:val="21"/>
              </w:rPr>
              <w:br w:type="textWrapping"/>
            </w:r>
            <w:r>
              <w:rPr>
                <w:rFonts w:hint="eastAsia" w:ascii="宋体" w:hAnsi="宋体" w:cs="宋体"/>
                <w:color w:val="auto"/>
                <w:kern w:val="0"/>
                <w:sz w:val="21"/>
                <w:szCs w:val="21"/>
              </w:rPr>
              <w:t>3</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附挂弧垂线、拉线和附属设施的杆子，不在上述限制范围之内。</w:t>
            </w:r>
            <w:r>
              <w:rPr>
                <w:rFonts w:hint="eastAsia" w:ascii="宋体" w:hAnsi="宋体" w:cs="宋体"/>
                <w:color w:val="auto"/>
                <w:kern w:val="0"/>
                <w:sz w:val="21"/>
                <w:szCs w:val="21"/>
              </w:rPr>
              <w:br w:type="textWrapping"/>
            </w:r>
            <w:r>
              <w:rPr>
                <w:rFonts w:hint="eastAsia" w:ascii="宋体" w:hAnsi="宋体" w:eastAsia="宋体" w:cs="宋体"/>
                <w:color w:val="auto"/>
                <w:kern w:val="0"/>
                <w:sz w:val="21"/>
                <w:szCs w:val="21"/>
                <w:lang w:val="en-US" w:eastAsia="zh-CN"/>
              </w:rPr>
              <w:t>4、</w:t>
            </w:r>
            <w:r>
              <w:rPr>
                <w:rFonts w:hint="eastAsia" w:ascii="宋体" w:hAnsi="宋体" w:cs="宋体"/>
                <w:color w:val="auto"/>
                <w:kern w:val="0"/>
                <w:sz w:val="21"/>
                <w:szCs w:val="21"/>
              </w:rPr>
              <w:t>通讯杆顶端应设有止滑钩、滑车、防鸟刺等防风设施</w:t>
            </w:r>
            <w:r>
              <w:rPr>
                <w:rFonts w:hint="eastAsia" w:ascii="宋体" w:hAnsi="宋体" w:eastAsia="宋体" w:cs="宋体"/>
                <w:color w:val="auto"/>
                <w:kern w:val="0"/>
                <w:sz w:val="21"/>
                <w:szCs w:val="21"/>
                <w:lang w:eastAsia="zh-CN"/>
              </w:rPr>
              <w:t>。</w:t>
            </w:r>
          </w:p>
        </w:tc>
        <w:tc>
          <w:tcPr>
            <w:tcW w:w="308" w:type="pct"/>
            <w:noWrap/>
            <w:vAlign w:val="center"/>
          </w:tcPr>
          <w:p w14:paraId="1599FB42">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120</w:t>
            </w:r>
          </w:p>
        </w:tc>
        <w:tc>
          <w:tcPr>
            <w:tcW w:w="300" w:type="pct"/>
            <w:noWrap/>
            <w:vAlign w:val="center"/>
          </w:tcPr>
          <w:p w14:paraId="55B72A0E">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根</w:t>
            </w:r>
          </w:p>
        </w:tc>
      </w:tr>
      <w:tr w14:paraId="70484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7B9295EC">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1.4</w:t>
            </w:r>
          </w:p>
        </w:tc>
        <w:tc>
          <w:tcPr>
            <w:tcW w:w="1114" w:type="pct"/>
            <w:vAlign w:val="center"/>
          </w:tcPr>
          <w:p w14:paraId="42A07855">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水泥杆施工费</w:t>
            </w:r>
          </w:p>
        </w:tc>
        <w:tc>
          <w:tcPr>
            <w:tcW w:w="2976" w:type="pct"/>
            <w:vAlign w:val="center"/>
          </w:tcPr>
          <w:p w14:paraId="40402330">
            <w:pPr>
              <w:widowControl/>
              <w:spacing w:line="240" w:lineRule="auto"/>
              <w:ind w:firstLine="0" w:firstLineChars="0"/>
              <w:jc w:val="left"/>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包含石山水泥杆件立杆、汽车式起重机费用、基础开挖及回填人工费、基础施工辅材材料等</w:t>
            </w:r>
            <w:r>
              <w:rPr>
                <w:rFonts w:hint="eastAsia" w:ascii="宋体" w:hAnsi="宋体" w:eastAsia="宋体" w:cs="宋体"/>
                <w:color w:val="auto"/>
                <w:kern w:val="0"/>
                <w:sz w:val="21"/>
                <w:szCs w:val="21"/>
                <w:lang w:eastAsia="zh-CN"/>
              </w:rPr>
              <w:t>。</w:t>
            </w:r>
          </w:p>
        </w:tc>
        <w:tc>
          <w:tcPr>
            <w:tcW w:w="308" w:type="pct"/>
            <w:noWrap/>
            <w:vAlign w:val="center"/>
          </w:tcPr>
          <w:p w14:paraId="02A9E193">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120</w:t>
            </w:r>
          </w:p>
        </w:tc>
        <w:tc>
          <w:tcPr>
            <w:tcW w:w="300" w:type="pct"/>
            <w:noWrap/>
            <w:vAlign w:val="center"/>
          </w:tcPr>
          <w:p w14:paraId="4D6068FA">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根</w:t>
            </w:r>
          </w:p>
        </w:tc>
      </w:tr>
      <w:tr w14:paraId="4F2E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1009B0BB">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1.5</w:t>
            </w:r>
          </w:p>
        </w:tc>
        <w:tc>
          <w:tcPr>
            <w:tcW w:w="1114" w:type="pct"/>
            <w:vAlign w:val="center"/>
          </w:tcPr>
          <w:p w14:paraId="7D2E5821">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市电供电单元</w:t>
            </w:r>
          </w:p>
        </w:tc>
        <w:tc>
          <w:tcPr>
            <w:tcW w:w="2976" w:type="pct"/>
            <w:vAlign w:val="center"/>
          </w:tcPr>
          <w:p w14:paraId="003BAF75">
            <w:pPr>
              <w:widowControl/>
              <w:spacing w:line="240" w:lineRule="auto"/>
              <w:ind w:firstLine="0" w:firstLineChars="0"/>
              <w:jc w:val="left"/>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1</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输入电压 90~305Vac</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br w:type="textWrapping"/>
            </w:r>
            <w:r>
              <w:rPr>
                <w:rFonts w:hint="eastAsia" w:ascii="宋体" w:hAnsi="宋体" w:cs="宋体"/>
                <w:color w:val="auto"/>
                <w:kern w:val="0"/>
                <w:sz w:val="21"/>
                <w:szCs w:val="21"/>
              </w:rPr>
              <w:t>2</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输出电压：DC48V</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br w:type="textWrapping"/>
            </w:r>
            <w:r>
              <w:rPr>
                <w:rFonts w:hint="eastAsia" w:ascii="宋体" w:hAnsi="宋体" w:cs="宋体"/>
                <w:color w:val="auto"/>
                <w:kern w:val="0"/>
                <w:sz w:val="21"/>
                <w:szCs w:val="21"/>
              </w:rPr>
              <w:t>3</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输出功率 320W</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br w:type="textWrapping"/>
            </w:r>
            <w:r>
              <w:rPr>
                <w:rFonts w:hint="eastAsia" w:ascii="宋体" w:hAnsi="宋体" w:cs="宋体"/>
                <w:color w:val="auto"/>
                <w:kern w:val="0"/>
                <w:sz w:val="21"/>
                <w:szCs w:val="21"/>
              </w:rPr>
              <w:t>4</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效率 95%</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br w:type="textWrapping"/>
            </w:r>
            <w:r>
              <w:rPr>
                <w:rFonts w:hint="eastAsia" w:ascii="宋体" w:hAnsi="宋体" w:cs="宋体"/>
                <w:color w:val="auto"/>
                <w:kern w:val="0"/>
                <w:sz w:val="21"/>
                <w:szCs w:val="21"/>
              </w:rPr>
              <w:t>5</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工作温度：-40℃～+90℃</w:t>
            </w:r>
            <w:r>
              <w:rPr>
                <w:rFonts w:hint="eastAsia" w:ascii="宋体" w:hAnsi="宋体" w:eastAsia="宋体" w:cs="宋体"/>
                <w:color w:val="auto"/>
                <w:kern w:val="0"/>
                <w:sz w:val="21"/>
                <w:szCs w:val="21"/>
                <w:lang w:eastAsia="zh-CN"/>
              </w:rPr>
              <w:t>。</w:t>
            </w:r>
          </w:p>
        </w:tc>
        <w:tc>
          <w:tcPr>
            <w:tcW w:w="308" w:type="pct"/>
            <w:noWrap/>
            <w:vAlign w:val="center"/>
          </w:tcPr>
          <w:p w14:paraId="39265209">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7</w:t>
            </w:r>
          </w:p>
        </w:tc>
        <w:tc>
          <w:tcPr>
            <w:tcW w:w="300" w:type="pct"/>
            <w:noWrap/>
            <w:vAlign w:val="center"/>
          </w:tcPr>
          <w:p w14:paraId="2C650BA1">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套</w:t>
            </w:r>
          </w:p>
        </w:tc>
      </w:tr>
      <w:tr w14:paraId="10DD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1F7BCDEA">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1.6</w:t>
            </w:r>
          </w:p>
        </w:tc>
        <w:tc>
          <w:tcPr>
            <w:tcW w:w="1114" w:type="pct"/>
            <w:vAlign w:val="center"/>
          </w:tcPr>
          <w:p w14:paraId="18ECCBA6">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市电电源防雷器</w:t>
            </w:r>
          </w:p>
        </w:tc>
        <w:tc>
          <w:tcPr>
            <w:tcW w:w="2976" w:type="pct"/>
            <w:vAlign w:val="center"/>
          </w:tcPr>
          <w:p w14:paraId="1BE2C5C4">
            <w:pPr>
              <w:widowControl/>
              <w:spacing w:line="240" w:lineRule="auto"/>
              <w:ind w:firstLine="0" w:firstLineChars="0"/>
              <w:jc w:val="left"/>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1</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使用电源：AC220v</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br w:type="textWrapping"/>
            </w:r>
            <w:r>
              <w:rPr>
                <w:rFonts w:hint="eastAsia" w:ascii="宋体" w:hAnsi="宋体" w:cs="宋体"/>
                <w:color w:val="auto"/>
                <w:kern w:val="0"/>
                <w:sz w:val="21"/>
                <w:szCs w:val="21"/>
              </w:rPr>
              <w:t>2</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最大连续直流工作电压：385v</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br w:type="textWrapping"/>
            </w:r>
            <w:r>
              <w:rPr>
                <w:rFonts w:hint="eastAsia" w:ascii="宋体" w:hAnsi="宋体" w:cs="宋体"/>
                <w:color w:val="auto"/>
                <w:kern w:val="0"/>
                <w:sz w:val="21"/>
                <w:szCs w:val="21"/>
              </w:rPr>
              <w:t>3</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标称放电电流 20KA</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br w:type="textWrapping"/>
            </w:r>
            <w:r>
              <w:rPr>
                <w:rFonts w:hint="eastAsia" w:ascii="宋体" w:hAnsi="宋体" w:cs="宋体"/>
                <w:color w:val="auto"/>
                <w:kern w:val="0"/>
                <w:sz w:val="21"/>
                <w:szCs w:val="21"/>
              </w:rPr>
              <w:t>4</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最大放电电流：40KA</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br w:type="textWrapping"/>
            </w:r>
            <w:r>
              <w:rPr>
                <w:rFonts w:hint="eastAsia" w:ascii="宋体" w:hAnsi="宋体" w:cs="宋体"/>
                <w:color w:val="auto"/>
                <w:kern w:val="0"/>
                <w:sz w:val="21"/>
                <w:szCs w:val="21"/>
              </w:rPr>
              <w:t>5</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响应时间：＜25ns</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br w:type="textWrapping"/>
            </w:r>
            <w:r>
              <w:rPr>
                <w:rFonts w:hint="eastAsia" w:ascii="宋体" w:hAnsi="宋体" w:cs="宋体"/>
                <w:color w:val="auto"/>
                <w:kern w:val="0"/>
                <w:sz w:val="21"/>
                <w:szCs w:val="21"/>
              </w:rPr>
              <w:t>6</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电压保护水平：1.5Kv</w:t>
            </w:r>
            <w:r>
              <w:rPr>
                <w:rFonts w:hint="eastAsia" w:ascii="宋体" w:hAnsi="宋体" w:eastAsia="宋体" w:cs="宋体"/>
                <w:color w:val="auto"/>
                <w:kern w:val="0"/>
                <w:sz w:val="21"/>
                <w:szCs w:val="21"/>
                <w:lang w:eastAsia="zh-CN"/>
              </w:rPr>
              <w:t>。</w:t>
            </w:r>
          </w:p>
        </w:tc>
        <w:tc>
          <w:tcPr>
            <w:tcW w:w="308" w:type="pct"/>
            <w:noWrap/>
            <w:vAlign w:val="center"/>
          </w:tcPr>
          <w:p w14:paraId="058A45CB">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7</w:t>
            </w:r>
          </w:p>
        </w:tc>
        <w:tc>
          <w:tcPr>
            <w:tcW w:w="300" w:type="pct"/>
            <w:noWrap/>
            <w:vAlign w:val="center"/>
          </w:tcPr>
          <w:p w14:paraId="58E9DB60">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台</w:t>
            </w:r>
          </w:p>
        </w:tc>
      </w:tr>
      <w:tr w14:paraId="5C843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3DF69A8F">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1.7</w:t>
            </w:r>
          </w:p>
        </w:tc>
        <w:tc>
          <w:tcPr>
            <w:tcW w:w="1114" w:type="pct"/>
            <w:vAlign w:val="center"/>
          </w:tcPr>
          <w:p w14:paraId="4FBDE146">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电源监控设备</w:t>
            </w:r>
          </w:p>
        </w:tc>
        <w:tc>
          <w:tcPr>
            <w:tcW w:w="2976" w:type="pct"/>
            <w:vAlign w:val="center"/>
          </w:tcPr>
          <w:p w14:paraId="34A6E9D1">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1</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4G/5G+有线双路回传，承载与控制分离，业务离线也可监控</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br w:type="textWrapping"/>
            </w:r>
            <w:r>
              <w:rPr>
                <w:rFonts w:hint="eastAsia" w:ascii="宋体" w:hAnsi="宋体" w:cs="宋体"/>
                <w:color w:val="auto"/>
                <w:kern w:val="0"/>
                <w:sz w:val="21"/>
                <w:szCs w:val="21"/>
              </w:rPr>
              <w:t>2</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电源1入多出，具备DC- 48/AC220V+PoE供电能力，可对每个分路监测</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br w:type="textWrapping"/>
            </w:r>
            <w:r>
              <w:rPr>
                <w:rFonts w:hint="eastAsia" w:ascii="宋体" w:hAnsi="宋体" w:cs="宋体"/>
                <w:color w:val="auto"/>
                <w:kern w:val="0"/>
                <w:sz w:val="21"/>
                <w:szCs w:val="21"/>
              </w:rPr>
              <w:t>3</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具故障诊断和主动上报能力，实时监测上下联网络及电源状态，统一接口</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br w:type="textWrapping"/>
            </w:r>
            <w:r>
              <w:rPr>
                <w:rFonts w:hint="eastAsia" w:ascii="宋体" w:hAnsi="宋体" w:cs="宋体"/>
                <w:color w:val="auto"/>
                <w:kern w:val="0"/>
                <w:sz w:val="21"/>
                <w:szCs w:val="21"/>
              </w:rPr>
              <w:t>4</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含三年流量费用，20G/月，资费15元/月，总费用540元。</w:t>
            </w:r>
          </w:p>
        </w:tc>
        <w:tc>
          <w:tcPr>
            <w:tcW w:w="308" w:type="pct"/>
            <w:noWrap/>
            <w:vAlign w:val="center"/>
          </w:tcPr>
          <w:p w14:paraId="0DAA9A83">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39</w:t>
            </w:r>
          </w:p>
        </w:tc>
        <w:tc>
          <w:tcPr>
            <w:tcW w:w="300" w:type="pct"/>
            <w:noWrap/>
            <w:vAlign w:val="center"/>
          </w:tcPr>
          <w:p w14:paraId="1AFF01C8">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套</w:t>
            </w:r>
          </w:p>
        </w:tc>
      </w:tr>
      <w:tr w14:paraId="4DAB5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0967D1B3">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2</w:t>
            </w:r>
          </w:p>
        </w:tc>
        <w:tc>
          <w:tcPr>
            <w:tcW w:w="4700" w:type="pct"/>
            <w:gridSpan w:val="4"/>
            <w:vAlign w:val="center"/>
          </w:tcPr>
          <w:p w14:paraId="0D1B7B0E">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太阳能供电系统</w:t>
            </w:r>
          </w:p>
        </w:tc>
      </w:tr>
      <w:tr w14:paraId="057B8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7AF8DA4C">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2.1</w:t>
            </w:r>
          </w:p>
        </w:tc>
        <w:tc>
          <w:tcPr>
            <w:tcW w:w="1114" w:type="pct"/>
            <w:vAlign w:val="center"/>
          </w:tcPr>
          <w:p w14:paraId="5EEA3E48">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太阳能电池组件</w:t>
            </w:r>
          </w:p>
        </w:tc>
        <w:tc>
          <w:tcPr>
            <w:tcW w:w="2976" w:type="pct"/>
            <w:vAlign w:val="center"/>
          </w:tcPr>
          <w:p w14:paraId="0B3DE0A0">
            <w:pPr>
              <w:widowControl/>
              <w:spacing w:line="240" w:lineRule="auto"/>
              <w:ind w:firstLine="0" w:firstLineChars="0"/>
              <w:jc w:val="left"/>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摄像机、传输设备、控制设备总功率约为300W，每日耗电量 为300*24=7200Wh/天，按西南平均峰值日照小时数4.5小时，发电、系统功率损耗30%计算，太阳能板功率功率为（7200/4.5）*1.3=2080W，需要7块300W太阳能板方能满足供电需求，冗余配备8块太能板</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br w:type="textWrapping"/>
            </w:r>
            <w:r>
              <w:rPr>
                <w:rFonts w:hint="eastAsia" w:ascii="宋体" w:hAnsi="宋体" w:cs="宋体"/>
                <w:color w:val="auto"/>
                <w:kern w:val="0"/>
                <w:sz w:val="21"/>
                <w:szCs w:val="21"/>
              </w:rPr>
              <w:t>1</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最大功率：≥300wp</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br w:type="textWrapping"/>
            </w:r>
            <w:r>
              <w:rPr>
                <w:rFonts w:hint="eastAsia" w:ascii="宋体" w:hAnsi="宋体" w:cs="宋体"/>
                <w:color w:val="auto"/>
                <w:kern w:val="0"/>
                <w:sz w:val="21"/>
                <w:szCs w:val="21"/>
              </w:rPr>
              <w:t>2</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最大工作电压：≥37V</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br w:type="textWrapping"/>
            </w:r>
            <w:r>
              <w:rPr>
                <w:rFonts w:hint="eastAsia" w:ascii="宋体" w:hAnsi="宋体" w:cs="宋体"/>
                <w:color w:val="auto"/>
                <w:kern w:val="0"/>
                <w:sz w:val="21"/>
                <w:szCs w:val="21"/>
              </w:rPr>
              <w:t>3</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最大工作电流：≥8A</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br w:type="textWrapping"/>
            </w:r>
            <w:r>
              <w:rPr>
                <w:rFonts w:hint="eastAsia" w:ascii="宋体" w:hAnsi="宋体" w:cs="宋体"/>
                <w:color w:val="auto"/>
                <w:kern w:val="0"/>
                <w:sz w:val="21"/>
                <w:szCs w:val="21"/>
              </w:rPr>
              <w:t>4</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开路电压:≥45V</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br w:type="textWrapping"/>
            </w:r>
            <w:r>
              <w:rPr>
                <w:rFonts w:hint="eastAsia" w:ascii="宋体" w:hAnsi="宋体" w:cs="宋体"/>
                <w:color w:val="auto"/>
                <w:kern w:val="0"/>
                <w:sz w:val="21"/>
                <w:szCs w:val="21"/>
              </w:rPr>
              <w:t>5</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短路电流:≥9A</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br w:type="textWrapping"/>
            </w:r>
            <w:r>
              <w:rPr>
                <w:rFonts w:hint="eastAsia" w:ascii="宋体" w:hAnsi="宋体" w:cs="宋体"/>
                <w:color w:val="auto"/>
                <w:kern w:val="0"/>
                <w:sz w:val="21"/>
                <w:szCs w:val="21"/>
              </w:rPr>
              <w:t>6</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工作温度范围：-40℃～+85℃</w:t>
            </w:r>
            <w:r>
              <w:rPr>
                <w:rFonts w:hint="eastAsia" w:ascii="宋体" w:hAnsi="宋体" w:eastAsia="宋体" w:cs="宋体"/>
                <w:color w:val="auto"/>
                <w:kern w:val="0"/>
                <w:sz w:val="21"/>
                <w:szCs w:val="21"/>
                <w:lang w:eastAsia="zh-CN"/>
              </w:rPr>
              <w:t>。</w:t>
            </w:r>
          </w:p>
        </w:tc>
        <w:tc>
          <w:tcPr>
            <w:tcW w:w="308" w:type="pct"/>
            <w:noWrap/>
            <w:vAlign w:val="center"/>
          </w:tcPr>
          <w:p w14:paraId="79E7A1DC">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w:t>
            </w:r>
          </w:p>
        </w:tc>
        <w:tc>
          <w:tcPr>
            <w:tcW w:w="300" w:type="pct"/>
            <w:noWrap/>
            <w:vAlign w:val="center"/>
          </w:tcPr>
          <w:p w14:paraId="61CF25BA">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个</w:t>
            </w:r>
          </w:p>
        </w:tc>
      </w:tr>
      <w:tr w14:paraId="4951C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79768A99">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2.2</w:t>
            </w:r>
          </w:p>
        </w:tc>
        <w:tc>
          <w:tcPr>
            <w:tcW w:w="1114" w:type="pct"/>
            <w:vAlign w:val="center"/>
          </w:tcPr>
          <w:p w14:paraId="6198867E">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太阳能控制器</w:t>
            </w:r>
          </w:p>
        </w:tc>
        <w:tc>
          <w:tcPr>
            <w:tcW w:w="2976" w:type="pct"/>
            <w:vAlign w:val="center"/>
          </w:tcPr>
          <w:p w14:paraId="73BBDCD4">
            <w:pPr>
              <w:widowControl/>
              <w:spacing w:line="240" w:lineRule="auto"/>
              <w:ind w:firstLine="0" w:firstLineChars="0"/>
              <w:jc w:val="left"/>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配置最大功率点跟踪（MPPT），实现远程监控、 保护和上下电控制管理；控制器宜具有独立稳压控制能力，蓄电池失效时，能单独驱动负载工作。</w:t>
            </w:r>
            <w:r>
              <w:rPr>
                <w:rFonts w:hint="eastAsia" w:ascii="宋体" w:hAnsi="宋体" w:cs="宋体"/>
                <w:color w:val="auto"/>
                <w:kern w:val="0"/>
                <w:sz w:val="21"/>
                <w:szCs w:val="21"/>
              </w:rPr>
              <w:br w:type="textWrapping"/>
            </w:r>
            <w:r>
              <w:rPr>
                <w:rFonts w:hint="eastAsia" w:ascii="宋体" w:hAnsi="宋体" w:cs="宋体"/>
                <w:color w:val="auto"/>
                <w:kern w:val="0"/>
                <w:sz w:val="21"/>
                <w:szCs w:val="21"/>
              </w:rPr>
              <w:t>1</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电池设置：</w:t>
            </w:r>
            <w:r>
              <w:rPr>
                <w:rFonts w:hint="eastAsia" w:ascii="宋体" w:hAnsi="宋体" w:cs="宋体"/>
                <w:color w:val="auto"/>
                <w:kern w:val="0"/>
                <w:sz w:val="21"/>
                <w:szCs w:val="21"/>
              </w:rPr>
              <w:br w:type="textWrapping"/>
            </w:r>
            <w:r>
              <w:rPr>
                <w:rFonts w:hint="eastAsia" w:ascii="宋体" w:hAnsi="宋体" w:cs="宋体"/>
                <w:color w:val="auto"/>
                <w:kern w:val="0"/>
                <w:sz w:val="21"/>
                <w:szCs w:val="21"/>
              </w:rPr>
              <w:t>均充电压：54.0 V/浮充电压：54.0 V/均充系数：-4.0m V/浮充系数:-3.0m V/软件一次下电压:47.0</w:t>
            </w:r>
            <w:r>
              <w:rPr>
                <w:rFonts w:hint="eastAsia" w:ascii="宋体" w:hAnsi="宋体" w:cs="宋体"/>
                <w:color w:val="auto"/>
                <w:kern w:val="0"/>
                <w:sz w:val="21"/>
                <w:szCs w:val="21"/>
              </w:rPr>
              <w:br w:type="textWrapping"/>
            </w:r>
            <w:r>
              <w:rPr>
                <w:rFonts w:hint="eastAsia" w:ascii="宋体" w:hAnsi="宋体" w:cs="宋体"/>
                <w:color w:val="auto"/>
                <w:kern w:val="0"/>
                <w:sz w:val="21"/>
                <w:szCs w:val="21"/>
              </w:rPr>
              <w:t>V（可设置）/软件一次恢复电压:52.0 V（可设置）/软件二次下电压:43.0 V（可设置）/软件二</w:t>
            </w:r>
            <w:r>
              <w:rPr>
                <w:rFonts w:hint="eastAsia" w:ascii="宋体" w:hAnsi="宋体" w:cs="宋体"/>
                <w:color w:val="auto"/>
                <w:kern w:val="0"/>
                <w:sz w:val="21"/>
                <w:szCs w:val="21"/>
              </w:rPr>
              <w:br w:type="textWrapping"/>
            </w:r>
            <w:r>
              <w:rPr>
                <w:rFonts w:hint="eastAsia" w:ascii="宋体" w:hAnsi="宋体" w:cs="宋体"/>
                <w:color w:val="auto"/>
                <w:kern w:val="0"/>
                <w:sz w:val="21"/>
                <w:szCs w:val="21"/>
              </w:rPr>
              <w:t>次恢复电压:50.0 V（可设置） /硬件一次下电压:45.5 V/硬件一次恢复电压:48.5 V/硬件二次下</w:t>
            </w:r>
            <w:r>
              <w:rPr>
                <w:rFonts w:hint="eastAsia" w:ascii="宋体" w:hAnsi="宋体" w:cs="宋体"/>
                <w:color w:val="auto"/>
                <w:kern w:val="0"/>
                <w:sz w:val="21"/>
                <w:szCs w:val="21"/>
              </w:rPr>
              <w:br w:type="textWrapping"/>
            </w:r>
            <w:r>
              <w:rPr>
                <w:rFonts w:hint="eastAsia" w:ascii="宋体" w:hAnsi="宋体" w:cs="宋体"/>
                <w:color w:val="auto"/>
                <w:kern w:val="0"/>
                <w:sz w:val="21"/>
                <w:szCs w:val="21"/>
              </w:rPr>
              <w:t>电压:42.5 V/硬件二次恢复电压:49.5 V/过压下电过压:58.0 V/过压恢复电过压:56.0 V/均转浮</w:t>
            </w:r>
            <w:r>
              <w:rPr>
                <w:rFonts w:hint="eastAsia" w:ascii="宋体" w:hAnsi="宋体" w:cs="宋体"/>
                <w:color w:val="auto"/>
                <w:kern w:val="0"/>
                <w:sz w:val="21"/>
                <w:szCs w:val="21"/>
              </w:rPr>
              <w:br w:type="textWrapping"/>
            </w:r>
            <w:r>
              <w:rPr>
                <w:rFonts w:hint="eastAsia" w:ascii="宋体" w:hAnsi="宋体" w:cs="宋体"/>
                <w:color w:val="auto"/>
                <w:kern w:val="0"/>
                <w:sz w:val="21"/>
                <w:szCs w:val="21"/>
              </w:rPr>
              <w:t>充电压:55.2 V/浮转均充电压:51.0V</w:t>
            </w:r>
            <w:r>
              <w:rPr>
                <w:rFonts w:hint="eastAsia" w:ascii="宋体" w:hAnsi="宋体" w:cs="宋体"/>
                <w:color w:val="auto"/>
                <w:kern w:val="0"/>
                <w:sz w:val="21"/>
                <w:szCs w:val="21"/>
              </w:rPr>
              <w:br w:type="textWrapping"/>
            </w:r>
            <w:r>
              <w:rPr>
                <w:rFonts w:hint="eastAsia" w:ascii="宋体" w:hAnsi="宋体" w:cs="宋体"/>
                <w:color w:val="auto"/>
                <w:kern w:val="0"/>
                <w:sz w:val="21"/>
                <w:szCs w:val="21"/>
              </w:rPr>
              <w:t>2</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通讯设置：</w:t>
            </w:r>
            <w:r>
              <w:rPr>
                <w:rFonts w:hint="eastAsia" w:ascii="宋体" w:hAnsi="宋体" w:cs="宋体"/>
                <w:color w:val="auto"/>
                <w:kern w:val="0"/>
                <w:sz w:val="21"/>
                <w:szCs w:val="21"/>
              </w:rPr>
              <w:br w:type="textWrapping"/>
            </w:r>
            <w:r>
              <w:rPr>
                <w:rFonts w:hint="eastAsia" w:ascii="宋体" w:hAnsi="宋体" w:cs="宋体"/>
                <w:color w:val="auto"/>
                <w:kern w:val="0"/>
                <w:sz w:val="21"/>
                <w:szCs w:val="21"/>
              </w:rPr>
              <w:t>定时开关机：支持/波特率：115200/通讯协议：支持/语言选择：中文</w:t>
            </w:r>
            <w:r>
              <w:rPr>
                <w:rFonts w:hint="eastAsia" w:ascii="宋体" w:hAnsi="宋体" w:cs="宋体"/>
                <w:color w:val="auto"/>
                <w:kern w:val="0"/>
                <w:sz w:val="21"/>
                <w:szCs w:val="21"/>
              </w:rPr>
              <w:br w:type="textWrapping"/>
            </w:r>
            <w:r>
              <w:rPr>
                <w:rFonts w:hint="eastAsia" w:ascii="宋体" w:hAnsi="宋体" w:cs="宋体"/>
                <w:color w:val="auto"/>
                <w:kern w:val="0"/>
                <w:sz w:val="21"/>
                <w:szCs w:val="21"/>
              </w:rPr>
              <w:t>3</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输入特性</w:t>
            </w:r>
            <w:r>
              <w:rPr>
                <w:rFonts w:hint="eastAsia" w:ascii="宋体" w:hAnsi="宋体" w:cs="宋体"/>
                <w:color w:val="auto"/>
                <w:kern w:val="0"/>
                <w:sz w:val="21"/>
                <w:szCs w:val="21"/>
              </w:rPr>
              <w:br w:type="textWrapping"/>
            </w:r>
            <w:r>
              <w:rPr>
                <w:rFonts w:hint="eastAsia" w:ascii="宋体" w:hAnsi="宋体" w:cs="宋体"/>
                <w:color w:val="auto"/>
                <w:kern w:val="0"/>
                <w:sz w:val="21"/>
                <w:szCs w:val="21"/>
              </w:rPr>
              <w:t>输入电压范围：DC(57.5V—150V）/额定输入电压：DC72V/标称输入电压：DC(57.5—108V）/最大</w:t>
            </w:r>
            <w:r>
              <w:rPr>
                <w:rFonts w:hint="eastAsia" w:ascii="宋体" w:hAnsi="宋体" w:cs="宋体"/>
                <w:color w:val="auto"/>
                <w:kern w:val="0"/>
                <w:sz w:val="21"/>
                <w:szCs w:val="21"/>
              </w:rPr>
              <w:br w:type="textWrapping"/>
            </w:r>
            <w:r>
              <w:rPr>
                <w:rFonts w:hint="eastAsia" w:ascii="宋体" w:hAnsi="宋体" w:cs="宋体"/>
                <w:color w:val="auto"/>
                <w:kern w:val="0"/>
                <w:sz w:val="21"/>
                <w:szCs w:val="21"/>
              </w:rPr>
              <w:t>输入电压：DC160V/最大输入电流：100A</w:t>
            </w:r>
            <w:r>
              <w:rPr>
                <w:rFonts w:hint="eastAsia" w:ascii="宋体" w:hAnsi="宋体" w:cs="宋体"/>
                <w:color w:val="auto"/>
                <w:kern w:val="0"/>
                <w:sz w:val="21"/>
                <w:szCs w:val="21"/>
              </w:rPr>
              <w:br w:type="textWrapping"/>
            </w:r>
            <w:r>
              <w:rPr>
                <w:rFonts w:hint="eastAsia" w:ascii="宋体" w:hAnsi="宋体" w:cs="宋体"/>
                <w:color w:val="auto"/>
                <w:kern w:val="0"/>
                <w:sz w:val="21"/>
                <w:szCs w:val="21"/>
              </w:rPr>
              <w:t>4、输出特性</w:t>
            </w:r>
            <w:r>
              <w:rPr>
                <w:rFonts w:hint="eastAsia" w:ascii="宋体" w:hAnsi="宋体" w:cs="宋体"/>
                <w:color w:val="auto"/>
                <w:kern w:val="0"/>
                <w:sz w:val="21"/>
                <w:szCs w:val="21"/>
              </w:rPr>
              <w:br w:type="textWrapping"/>
            </w:r>
            <w:r>
              <w:rPr>
                <w:rFonts w:hint="eastAsia" w:ascii="宋体" w:hAnsi="宋体" w:cs="宋体"/>
                <w:color w:val="auto"/>
                <w:kern w:val="0"/>
                <w:sz w:val="21"/>
                <w:szCs w:val="21"/>
              </w:rPr>
              <w:t>额定功率：5800W（DC57.5V—108V）/输出电压整定值：54.5V/输出电压可调范围：43-60V/源效</w:t>
            </w:r>
            <w:r>
              <w:rPr>
                <w:rFonts w:hint="eastAsia" w:ascii="宋体" w:hAnsi="宋体" w:cs="宋体"/>
                <w:color w:val="auto"/>
                <w:kern w:val="0"/>
                <w:sz w:val="21"/>
                <w:szCs w:val="21"/>
              </w:rPr>
              <w:br w:type="textWrapping"/>
            </w:r>
            <w:r>
              <w:rPr>
                <w:rFonts w:hint="eastAsia" w:ascii="宋体" w:hAnsi="宋体" w:cs="宋体"/>
                <w:color w:val="auto"/>
                <w:kern w:val="0"/>
                <w:sz w:val="21"/>
                <w:szCs w:val="21"/>
              </w:rPr>
              <w:t>应：±0.2%/负载效应：±0.3%/稳压精度：±0.5%/额定电流：100A</w:t>
            </w:r>
            <w:r>
              <w:rPr>
                <w:rFonts w:hint="eastAsia" w:ascii="宋体" w:hAnsi="宋体" w:cs="宋体"/>
                <w:color w:val="auto"/>
                <w:kern w:val="0"/>
                <w:sz w:val="21"/>
                <w:szCs w:val="21"/>
              </w:rPr>
              <w:br w:type="textWrapping"/>
            </w:r>
            <w:r>
              <w:rPr>
                <w:rFonts w:hint="eastAsia" w:ascii="宋体" w:hAnsi="宋体" w:cs="宋体"/>
                <w:color w:val="auto"/>
                <w:kern w:val="0"/>
                <w:sz w:val="21"/>
                <w:szCs w:val="21"/>
              </w:rPr>
              <w:t>/峰值电流：105A/均流不平衡度：≤±5%（5%至 100%负载测试）/转换效率：≥93%（5%至 100%负</w:t>
            </w:r>
            <w:r>
              <w:rPr>
                <w:rFonts w:hint="eastAsia" w:ascii="宋体" w:hAnsi="宋体" w:cs="宋体"/>
                <w:color w:val="auto"/>
                <w:kern w:val="0"/>
                <w:sz w:val="21"/>
                <w:szCs w:val="21"/>
              </w:rPr>
              <w:br w:type="textWrapping"/>
            </w:r>
            <w:r>
              <w:rPr>
                <w:rFonts w:hint="eastAsia" w:ascii="宋体" w:hAnsi="宋体" w:cs="宋体"/>
                <w:color w:val="auto"/>
                <w:kern w:val="0"/>
                <w:sz w:val="21"/>
                <w:szCs w:val="21"/>
              </w:rPr>
              <w:t>载测试）/杂音电压：≤20mV/蓄电池充电电流：Max 100A/允许最大负载电流：30A（一次下电 30A，</w:t>
            </w:r>
            <w:r>
              <w:rPr>
                <w:rFonts w:hint="eastAsia" w:ascii="宋体" w:hAnsi="宋体" w:cs="宋体"/>
                <w:color w:val="auto"/>
                <w:kern w:val="0"/>
                <w:sz w:val="21"/>
                <w:szCs w:val="21"/>
              </w:rPr>
              <w:br w:type="textWrapping"/>
            </w:r>
            <w:r>
              <w:rPr>
                <w:rFonts w:hint="eastAsia" w:ascii="宋体" w:hAnsi="宋体" w:cs="宋体"/>
                <w:color w:val="auto"/>
                <w:kern w:val="0"/>
                <w:sz w:val="21"/>
                <w:szCs w:val="21"/>
              </w:rPr>
              <w:t>二次下电 30A）/空开数量：一次下电 2 个（16A，32A），二次下电 2 个（16A，32A）</w:t>
            </w:r>
            <w:r>
              <w:rPr>
                <w:rFonts w:hint="eastAsia" w:ascii="宋体" w:hAnsi="宋体" w:cs="宋体"/>
                <w:color w:val="auto"/>
                <w:kern w:val="0"/>
                <w:sz w:val="21"/>
                <w:szCs w:val="21"/>
              </w:rPr>
              <w:br w:type="textWrapping"/>
            </w:r>
            <w:r>
              <w:rPr>
                <w:rFonts w:hint="eastAsia" w:ascii="宋体" w:hAnsi="宋体" w:cs="宋体"/>
                <w:color w:val="auto"/>
                <w:kern w:val="0"/>
                <w:sz w:val="21"/>
                <w:szCs w:val="21"/>
              </w:rPr>
              <w:t>5、保护功能</w:t>
            </w:r>
            <w:r>
              <w:rPr>
                <w:rFonts w:hint="eastAsia" w:ascii="宋体" w:hAnsi="宋体" w:cs="宋体"/>
                <w:color w:val="auto"/>
                <w:kern w:val="0"/>
                <w:sz w:val="21"/>
                <w:szCs w:val="21"/>
              </w:rPr>
              <w:br w:type="textWrapping"/>
            </w:r>
            <w:r>
              <w:rPr>
                <w:rFonts w:hint="eastAsia" w:ascii="宋体" w:hAnsi="宋体" w:cs="宋体"/>
                <w:color w:val="auto"/>
                <w:kern w:val="0"/>
                <w:sz w:val="21"/>
                <w:szCs w:val="21"/>
              </w:rPr>
              <w:t>模块故障报警：声、光报警/输出限流保护：额定电流的 105%-110%（限流输出）/输出短路保护：</w:t>
            </w:r>
            <w:r>
              <w:rPr>
                <w:rFonts w:hint="eastAsia" w:ascii="宋体" w:hAnsi="宋体" w:cs="宋体"/>
                <w:color w:val="auto"/>
                <w:kern w:val="0"/>
                <w:sz w:val="21"/>
                <w:szCs w:val="21"/>
              </w:rPr>
              <w:br w:type="textWrapping"/>
            </w:r>
            <w:r>
              <w:rPr>
                <w:rFonts w:hint="eastAsia" w:ascii="宋体" w:hAnsi="宋体" w:cs="宋体"/>
                <w:color w:val="auto"/>
                <w:kern w:val="0"/>
                <w:sz w:val="21"/>
                <w:szCs w:val="21"/>
              </w:rPr>
              <w:t>保护后需要重启模块/输出过压保护：≥60V 输出关断（输出电压小于 56V 后恢复正常）/输入过压</w:t>
            </w:r>
            <w:r>
              <w:rPr>
                <w:rFonts w:hint="eastAsia" w:ascii="宋体" w:hAnsi="宋体" w:cs="宋体"/>
                <w:color w:val="auto"/>
                <w:kern w:val="0"/>
                <w:sz w:val="21"/>
                <w:szCs w:val="21"/>
              </w:rPr>
              <w:br w:type="textWrapping"/>
            </w:r>
            <w:r>
              <w:rPr>
                <w:rFonts w:hint="eastAsia" w:ascii="宋体" w:hAnsi="宋体" w:cs="宋体"/>
                <w:color w:val="auto"/>
                <w:kern w:val="0"/>
                <w:sz w:val="21"/>
                <w:szCs w:val="21"/>
              </w:rPr>
              <w:t>保护：≥150V 输出关断（模块重启恢复）/输入欠压保护：≤43V 输出关断（电压正常后可自动恢复）/过温保护：60℃—70℃减容工作，温度降低到 55℃后正常工作；大于 70℃后控制器关机，温度降低到 55℃后正常工作</w:t>
            </w:r>
            <w:r>
              <w:rPr>
                <w:rFonts w:hint="eastAsia" w:ascii="宋体" w:hAnsi="宋体" w:eastAsia="宋体" w:cs="宋体"/>
                <w:color w:val="auto"/>
                <w:kern w:val="0"/>
                <w:sz w:val="21"/>
                <w:szCs w:val="21"/>
                <w:lang w:eastAsia="zh-CN"/>
              </w:rPr>
              <w:t>。</w:t>
            </w:r>
          </w:p>
        </w:tc>
        <w:tc>
          <w:tcPr>
            <w:tcW w:w="308" w:type="pct"/>
            <w:noWrap/>
            <w:vAlign w:val="center"/>
          </w:tcPr>
          <w:p w14:paraId="19A4515D">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w:t>
            </w:r>
          </w:p>
        </w:tc>
        <w:tc>
          <w:tcPr>
            <w:tcW w:w="300" w:type="pct"/>
            <w:noWrap/>
            <w:vAlign w:val="center"/>
          </w:tcPr>
          <w:p w14:paraId="2F76F948">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套</w:t>
            </w:r>
          </w:p>
        </w:tc>
      </w:tr>
      <w:tr w14:paraId="32A7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02E48610">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2.3</w:t>
            </w:r>
          </w:p>
        </w:tc>
        <w:tc>
          <w:tcPr>
            <w:tcW w:w="1114" w:type="pct"/>
            <w:vAlign w:val="center"/>
          </w:tcPr>
          <w:p w14:paraId="6A7476B2">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蓄电池</w:t>
            </w:r>
          </w:p>
        </w:tc>
        <w:tc>
          <w:tcPr>
            <w:tcW w:w="2976" w:type="pct"/>
            <w:vAlign w:val="center"/>
          </w:tcPr>
          <w:p w14:paraId="2B0C659D">
            <w:pPr>
              <w:widowControl/>
              <w:spacing w:line="240" w:lineRule="auto"/>
              <w:ind w:firstLine="0" w:firstLineChars="0"/>
              <w:jc w:val="left"/>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蓄电池组需满足连续阴雨天条件下不低于5天的持续工作能力，放电深度取80%计算，需要（7200W*5）/(48V*0.8)=935A,本项目8块12V200AH蓄电池组</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br w:type="textWrapping"/>
            </w:r>
            <w:r>
              <w:rPr>
                <w:rFonts w:hint="eastAsia" w:ascii="宋体" w:hAnsi="宋体" w:cs="宋体"/>
                <w:color w:val="auto"/>
                <w:kern w:val="0"/>
                <w:sz w:val="21"/>
                <w:szCs w:val="21"/>
              </w:rPr>
              <w:t>1</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电压：12V</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br w:type="textWrapping"/>
            </w:r>
            <w:r>
              <w:rPr>
                <w:rFonts w:hint="eastAsia" w:ascii="宋体" w:hAnsi="宋体" w:cs="宋体"/>
                <w:color w:val="auto"/>
                <w:kern w:val="0"/>
                <w:sz w:val="21"/>
                <w:szCs w:val="21"/>
              </w:rPr>
              <w:t>2</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容量（C20@25℃）：200AH</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br w:type="textWrapping"/>
            </w:r>
            <w:r>
              <w:rPr>
                <w:rFonts w:hint="eastAsia" w:ascii="宋体" w:hAnsi="宋体" w:cs="宋体"/>
                <w:color w:val="auto"/>
                <w:kern w:val="0"/>
                <w:sz w:val="21"/>
                <w:szCs w:val="21"/>
              </w:rPr>
              <w:t>3</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尺寸：522*240*219*240（含端子）</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br w:type="textWrapping"/>
            </w:r>
            <w:r>
              <w:rPr>
                <w:rFonts w:hint="eastAsia" w:ascii="宋体" w:hAnsi="宋体" w:cs="宋体"/>
                <w:color w:val="auto"/>
                <w:kern w:val="0"/>
                <w:sz w:val="21"/>
                <w:szCs w:val="21"/>
              </w:rPr>
              <w:t>4</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重量：55.5kg</w:t>
            </w:r>
            <w:r>
              <w:rPr>
                <w:rFonts w:hint="eastAsia" w:ascii="宋体" w:hAnsi="宋体" w:eastAsia="宋体" w:cs="宋体"/>
                <w:color w:val="auto"/>
                <w:kern w:val="0"/>
                <w:sz w:val="21"/>
                <w:szCs w:val="21"/>
                <w:lang w:eastAsia="zh-CN"/>
              </w:rPr>
              <w:t>。</w:t>
            </w:r>
          </w:p>
        </w:tc>
        <w:tc>
          <w:tcPr>
            <w:tcW w:w="308" w:type="pct"/>
            <w:noWrap/>
            <w:vAlign w:val="center"/>
          </w:tcPr>
          <w:p w14:paraId="11BD26FC">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8</w:t>
            </w:r>
          </w:p>
        </w:tc>
        <w:tc>
          <w:tcPr>
            <w:tcW w:w="300" w:type="pct"/>
            <w:noWrap/>
            <w:vAlign w:val="center"/>
          </w:tcPr>
          <w:p w14:paraId="47380259">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个</w:t>
            </w:r>
          </w:p>
        </w:tc>
      </w:tr>
      <w:tr w14:paraId="5F34C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3C7F1640">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2.4</w:t>
            </w:r>
          </w:p>
        </w:tc>
        <w:tc>
          <w:tcPr>
            <w:tcW w:w="1114" w:type="pct"/>
            <w:vAlign w:val="center"/>
          </w:tcPr>
          <w:p w14:paraId="771308B7">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 xml:space="preserve">逆变器 </w:t>
            </w:r>
          </w:p>
        </w:tc>
        <w:tc>
          <w:tcPr>
            <w:tcW w:w="2976" w:type="pct"/>
            <w:vAlign w:val="center"/>
          </w:tcPr>
          <w:p w14:paraId="700803F0">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将48直流电转换为230/220V的交流电的纯正弦波逆变器，该产品基于全数字智能化设计，采用了SPWM、电压电流双闭环控制和完全隔离型逆变等技术，输入端采用防浪涌设计，不仅增强了的逆变器的抗冲击能力，而且提高了逆变器的整体性能。</w:t>
            </w:r>
          </w:p>
        </w:tc>
        <w:tc>
          <w:tcPr>
            <w:tcW w:w="308" w:type="pct"/>
            <w:noWrap/>
            <w:vAlign w:val="center"/>
          </w:tcPr>
          <w:p w14:paraId="05FC2047">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w:t>
            </w:r>
          </w:p>
        </w:tc>
        <w:tc>
          <w:tcPr>
            <w:tcW w:w="300" w:type="pct"/>
            <w:noWrap/>
            <w:vAlign w:val="center"/>
          </w:tcPr>
          <w:p w14:paraId="6781C582">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个</w:t>
            </w:r>
          </w:p>
        </w:tc>
      </w:tr>
      <w:tr w14:paraId="48A48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62E9BC44">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2.5</w:t>
            </w:r>
          </w:p>
        </w:tc>
        <w:tc>
          <w:tcPr>
            <w:tcW w:w="1114" w:type="pct"/>
            <w:vAlign w:val="center"/>
          </w:tcPr>
          <w:p w14:paraId="1570F785">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室外电池柜</w:t>
            </w:r>
          </w:p>
        </w:tc>
        <w:tc>
          <w:tcPr>
            <w:tcW w:w="2976" w:type="pct"/>
            <w:vAlign w:val="center"/>
          </w:tcPr>
          <w:p w14:paraId="0217A5CA">
            <w:pPr>
              <w:widowControl/>
              <w:spacing w:line="240" w:lineRule="auto"/>
              <w:ind w:firstLine="0" w:firstLineChars="0"/>
              <w:jc w:val="left"/>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1</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可配置 8 块，上下两层，每层 4 块电池</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br w:type="textWrapping"/>
            </w:r>
            <w:r>
              <w:rPr>
                <w:rFonts w:hint="eastAsia" w:ascii="宋体" w:hAnsi="宋体" w:cs="宋体"/>
                <w:color w:val="auto"/>
                <w:kern w:val="0"/>
                <w:sz w:val="21"/>
                <w:szCs w:val="21"/>
              </w:rPr>
              <w:t>2</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尺寸：1150*600*850 mm，可定制，可拆卸组装</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br w:type="textWrapping"/>
            </w:r>
            <w:r>
              <w:rPr>
                <w:rFonts w:hint="eastAsia" w:ascii="宋体" w:hAnsi="宋体" w:cs="宋体"/>
                <w:color w:val="auto"/>
                <w:kern w:val="0"/>
                <w:sz w:val="21"/>
                <w:szCs w:val="21"/>
              </w:rPr>
              <w:t>3</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材质：钢板</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br w:type="textWrapping"/>
            </w:r>
            <w:r>
              <w:rPr>
                <w:rFonts w:hint="eastAsia" w:ascii="宋体" w:hAnsi="宋体" w:cs="宋体"/>
                <w:color w:val="auto"/>
                <w:kern w:val="0"/>
                <w:sz w:val="21"/>
                <w:szCs w:val="21"/>
              </w:rPr>
              <w:t>4</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板材厚度：1.5mm</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br w:type="textWrapping"/>
            </w:r>
            <w:r>
              <w:rPr>
                <w:rFonts w:hint="eastAsia" w:ascii="宋体" w:hAnsi="宋体" w:cs="宋体"/>
                <w:color w:val="auto"/>
                <w:kern w:val="0"/>
                <w:sz w:val="21"/>
                <w:szCs w:val="21"/>
              </w:rPr>
              <w:t>5</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防腐蚀</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br w:type="textWrapping"/>
            </w:r>
            <w:r>
              <w:rPr>
                <w:rFonts w:hint="eastAsia" w:ascii="宋体" w:hAnsi="宋体" w:cs="宋体"/>
                <w:color w:val="auto"/>
                <w:kern w:val="0"/>
                <w:sz w:val="21"/>
                <w:szCs w:val="21"/>
              </w:rPr>
              <w:t>6</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需考虑电池承重的问题，每块电池 55.5kg</w:t>
            </w:r>
            <w:r>
              <w:rPr>
                <w:rFonts w:hint="eastAsia" w:ascii="宋体" w:hAnsi="宋体" w:eastAsia="宋体" w:cs="宋体"/>
                <w:color w:val="auto"/>
                <w:kern w:val="0"/>
                <w:sz w:val="21"/>
                <w:szCs w:val="21"/>
                <w:lang w:eastAsia="zh-CN"/>
              </w:rPr>
              <w:t>。</w:t>
            </w:r>
          </w:p>
        </w:tc>
        <w:tc>
          <w:tcPr>
            <w:tcW w:w="308" w:type="pct"/>
            <w:noWrap/>
            <w:vAlign w:val="center"/>
          </w:tcPr>
          <w:p w14:paraId="22B98E79">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w:t>
            </w:r>
          </w:p>
        </w:tc>
        <w:tc>
          <w:tcPr>
            <w:tcW w:w="300" w:type="pct"/>
            <w:noWrap/>
            <w:vAlign w:val="center"/>
          </w:tcPr>
          <w:p w14:paraId="301E7489">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套</w:t>
            </w:r>
          </w:p>
        </w:tc>
      </w:tr>
      <w:tr w14:paraId="2A65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11CB2C15">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2.6</w:t>
            </w:r>
          </w:p>
        </w:tc>
        <w:tc>
          <w:tcPr>
            <w:tcW w:w="1114" w:type="pct"/>
            <w:vAlign w:val="center"/>
          </w:tcPr>
          <w:p w14:paraId="1F04DC7F">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室外工程箱</w:t>
            </w:r>
          </w:p>
        </w:tc>
        <w:tc>
          <w:tcPr>
            <w:tcW w:w="2976" w:type="pct"/>
            <w:vAlign w:val="center"/>
          </w:tcPr>
          <w:p w14:paraId="33CD6431">
            <w:pPr>
              <w:widowControl/>
              <w:spacing w:line="240" w:lineRule="auto"/>
              <w:ind w:firstLine="0" w:firstLineChars="0"/>
              <w:jc w:val="left"/>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1</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优于 500*400*250</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br w:type="textWrapping"/>
            </w:r>
            <w:r>
              <w:rPr>
                <w:rFonts w:hint="eastAsia" w:ascii="宋体" w:hAnsi="宋体" w:cs="宋体"/>
                <w:color w:val="auto"/>
                <w:kern w:val="0"/>
                <w:sz w:val="21"/>
                <w:szCs w:val="21"/>
              </w:rPr>
              <w:t>2</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防护等级 IP55</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br w:type="textWrapping"/>
            </w:r>
            <w:r>
              <w:rPr>
                <w:rFonts w:hint="eastAsia" w:ascii="宋体" w:hAnsi="宋体" w:cs="宋体"/>
                <w:color w:val="auto"/>
                <w:kern w:val="0"/>
                <w:sz w:val="21"/>
                <w:szCs w:val="21"/>
              </w:rPr>
              <w:t>3</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板材厚度 1.5mm</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br w:type="textWrapping"/>
            </w:r>
            <w:r>
              <w:rPr>
                <w:rFonts w:hint="eastAsia" w:ascii="宋体" w:hAnsi="宋体" w:cs="宋体"/>
                <w:color w:val="auto"/>
                <w:kern w:val="0"/>
                <w:sz w:val="21"/>
                <w:szCs w:val="21"/>
              </w:rPr>
              <w:t>4</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防腐蚀</w:t>
            </w:r>
            <w:r>
              <w:rPr>
                <w:rFonts w:hint="eastAsia" w:ascii="宋体" w:hAnsi="宋体" w:eastAsia="宋体" w:cs="宋体"/>
                <w:color w:val="auto"/>
                <w:kern w:val="0"/>
                <w:sz w:val="21"/>
                <w:szCs w:val="21"/>
                <w:lang w:eastAsia="zh-CN"/>
              </w:rPr>
              <w:t>。</w:t>
            </w:r>
          </w:p>
        </w:tc>
        <w:tc>
          <w:tcPr>
            <w:tcW w:w="308" w:type="pct"/>
            <w:noWrap/>
            <w:vAlign w:val="center"/>
          </w:tcPr>
          <w:p w14:paraId="5A643A9E">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w:t>
            </w:r>
          </w:p>
        </w:tc>
        <w:tc>
          <w:tcPr>
            <w:tcW w:w="300" w:type="pct"/>
            <w:noWrap/>
            <w:vAlign w:val="center"/>
          </w:tcPr>
          <w:p w14:paraId="4914EA29">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个</w:t>
            </w:r>
          </w:p>
        </w:tc>
      </w:tr>
      <w:tr w14:paraId="428B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35352EAE">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2.7</w:t>
            </w:r>
          </w:p>
        </w:tc>
        <w:tc>
          <w:tcPr>
            <w:tcW w:w="1114" w:type="pct"/>
            <w:vAlign w:val="center"/>
          </w:tcPr>
          <w:p w14:paraId="6F8A3C58">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太阳能电源防雷器</w:t>
            </w:r>
          </w:p>
        </w:tc>
        <w:tc>
          <w:tcPr>
            <w:tcW w:w="2976" w:type="pct"/>
            <w:vAlign w:val="center"/>
          </w:tcPr>
          <w:p w14:paraId="6C460B1E">
            <w:pPr>
              <w:widowControl/>
              <w:spacing w:line="240" w:lineRule="auto"/>
              <w:ind w:firstLine="0" w:firstLineChars="0"/>
              <w:jc w:val="left"/>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1</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使用电源：DC48v</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br w:type="textWrapping"/>
            </w:r>
            <w:r>
              <w:rPr>
                <w:rFonts w:hint="eastAsia" w:ascii="宋体" w:hAnsi="宋体" w:cs="宋体"/>
                <w:color w:val="auto"/>
                <w:kern w:val="0"/>
                <w:sz w:val="21"/>
                <w:szCs w:val="21"/>
              </w:rPr>
              <w:t>2</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最大连续直流工作电压：85v</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br w:type="textWrapping"/>
            </w:r>
            <w:r>
              <w:rPr>
                <w:rFonts w:hint="eastAsia" w:ascii="宋体" w:hAnsi="宋体" w:cs="宋体"/>
                <w:color w:val="auto"/>
                <w:kern w:val="0"/>
                <w:sz w:val="21"/>
                <w:szCs w:val="21"/>
              </w:rPr>
              <w:t>3</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标称放电电流 10KA</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br w:type="textWrapping"/>
            </w:r>
            <w:r>
              <w:rPr>
                <w:rFonts w:hint="eastAsia" w:ascii="宋体" w:hAnsi="宋体" w:cs="宋体"/>
                <w:color w:val="auto"/>
                <w:kern w:val="0"/>
                <w:sz w:val="21"/>
                <w:szCs w:val="21"/>
              </w:rPr>
              <w:t>4</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最大放电电流：20KA</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br w:type="textWrapping"/>
            </w:r>
            <w:r>
              <w:rPr>
                <w:rFonts w:hint="eastAsia" w:ascii="宋体" w:hAnsi="宋体" w:cs="宋体"/>
                <w:color w:val="auto"/>
                <w:kern w:val="0"/>
                <w:sz w:val="21"/>
                <w:szCs w:val="21"/>
              </w:rPr>
              <w:t>5</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响应时间：＜25ns</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br w:type="textWrapping"/>
            </w:r>
            <w:r>
              <w:rPr>
                <w:rFonts w:hint="eastAsia" w:ascii="宋体" w:hAnsi="宋体" w:cs="宋体"/>
                <w:color w:val="auto"/>
                <w:kern w:val="0"/>
                <w:sz w:val="21"/>
                <w:szCs w:val="21"/>
              </w:rPr>
              <w:t>6</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电压保护水平：165v</w:t>
            </w:r>
            <w:r>
              <w:rPr>
                <w:rFonts w:hint="eastAsia" w:ascii="宋体" w:hAnsi="宋体" w:eastAsia="宋体" w:cs="宋体"/>
                <w:color w:val="auto"/>
                <w:kern w:val="0"/>
                <w:sz w:val="21"/>
                <w:szCs w:val="21"/>
                <w:lang w:eastAsia="zh-CN"/>
              </w:rPr>
              <w:t>。</w:t>
            </w:r>
          </w:p>
        </w:tc>
        <w:tc>
          <w:tcPr>
            <w:tcW w:w="308" w:type="pct"/>
            <w:noWrap/>
            <w:vAlign w:val="center"/>
          </w:tcPr>
          <w:p w14:paraId="1C544E9B">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w:t>
            </w:r>
          </w:p>
        </w:tc>
        <w:tc>
          <w:tcPr>
            <w:tcW w:w="300" w:type="pct"/>
            <w:noWrap/>
            <w:vAlign w:val="center"/>
          </w:tcPr>
          <w:p w14:paraId="13806866">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台</w:t>
            </w:r>
          </w:p>
        </w:tc>
      </w:tr>
      <w:tr w14:paraId="5C5FC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39238600">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2.8</w:t>
            </w:r>
          </w:p>
        </w:tc>
        <w:tc>
          <w:tcPr>
            <w:tcW w:w="1114" w:type="pct"/>
            <w:vAlign w:val="center"/>
          </w:tcPr>
          <w:p w14:paraId="56B07E9B">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太阳能支架</w:t>
            </w:r>
          </w:p>
        </w:tc>
        <w:tc>
          <w:tcPr>
            <w:tcW w:w="2976" w:type="pct"/>
            <w:vAlign w:val="center"/>
          </w:tcPr>
          <w:p w14:paraId="3A9738ED">
            <w:pPr>
              <w:widowControl/>
              <w:spacing w:line="240" w:lineRule="auto"/>
              <w:ind w:firstLine="0" w:firstLineChars="0"/>
              <w:jc w:val="left"/>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1</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根据太阳能光伏板支架定制；</w:t>
            </w:r>
            <w:r>
              <w:rPr>
                <w:rFonts w:hint="eastAsia" w:ascii="宋体" w:hAnsi="宋体" w:cs="宋体"/>
                <w:color w:val="auto"/>
                <w:kern w:val="0"/>
                <w:sz w:val="21"/>
                <w:szCs w:val="21"/>
              </w:rPr>
              <w:br w:type="textWrapping"/>
            </w:r>
            <w:r>
              <w:rPr>
                <w:rFonts w:hint="eastAsia" w:ascii="宋体" w:hAnsi="宋体" w:cs="宋体"/>
                <w:color w:val="auto"/>
                <w:kern w:val="0"/>
                <w:sz w:val="21"/>
                <w:szCs w:val="21"/>
              </w:rPr>
              <w:t>2</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最低边距离地面：≥50cm；</w:t>
            </w:r>
            <w:r>
              <w:rPr>
                <w:rFonts w:hint="eastAsia" w:ascii="宋体" w:hAnsi="宋体" w:cs="宋体"/>
                <w:color w:val="auto"/>
                <w:kern w:val="0"/>
                <w:sz w:val="21"/>
                <w:szCs w:val="21"/>
              </w:rPr>
              <w:br w:type="textWrapping"/>
            </w:r>
            <w:r>
              <w:rPr>
                <w:rFonts w:hint="eastAsia" w:ascii="宋体" w:hAnsi="宋体" w:cs="宋体"/>
                <w:color w:val="auto"/>
                <w:kern w:val="0"/>
                <w:sz w:val="21"/>
                <w:szCs w:val="21"/>
              </w:rPr>
              <w:t>3</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角度：45°±5°（根据日照角度选择）；</w:t>
            </w:r>
            <w:r>
              <w:rPr>
                <w:rFonts w:hint="eastAsia" w:ascii="宋体" w:hAnsi="宋体" w:cs="宋体"/>
                <w:color w:val="auto"/>
                <w:kern w:val="0"/>
                <w:sz w:val="21"/>
                <w:szCs w:val="21"/>
              </w:rPr>
              <w:br w:type="textWrapping"/>
            </w:r>
            <w:r>
              <w:rPr>
                <w:rFonts w:hint="eastAsia" w:ascii="宋体" w:hAnsi="宋体" w:cs="宋体"/>
                <w:color w:val="auto"/>
                <w:kern w:val="0"/>
                <w:sz w:val="21"/>
                <w:szCs w:val="21"/>
              </w:rPr>
              <w:t>4</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电池板支架、防腐镀锌</w:t>
            </w:r>
            <w:r>
              <w:rPr>
                <w:rFonts w:hint="eastAsia" w:ascii="宋体" w:hAnsi="宋体" w:eastAsia="宋体" w:cs="宋体"/>
                <w:color w:val="auto"/>
                <w:kern w:val="0"/>
                <w:sz w:val="21"/>
                <w:szCs w:val="21"/>
                <w:lang w:eastAsia="zh-CN"/>
              </w:rPr>
              <w:t>。</w:t>
            </w:r>
          </w:p>
        </w:tc>
        <w:tc>
          <w:tcPr>
            <w:tcW w:w="308" w:type="pct"/>
            <w:noWrap/>
            <w:vAlign w:val="center"/>
          </w:tcPr>
          <w:p w14:paraId="32FF1619">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w:t>
            </w:r>
          </w:p>
        </w:tc>
        <w:tc>
          <w:tcPr>
            <w:tcW w:w="300" w:type="pct"/>
            <w:noWrap/>
            <w:vAlign w:val="center"/>
          </w:tcPr>
          <w:p w14:paraId="516FA85E">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个</w:t>
            </w:r>
          </w:p>
        </w:tc>
      </w:tr>
      <w:tr w14:paraId="1939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2FA4846D">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2.9</w:t>
            </w:r>
          </w:p>
        </w:tc>
        <w:tc>
          <w:tcPr>
            <w:tcW w:w="1114" w:type="pct"/>
            <w:vAlign w:val="center"/>
          </w:tcPr>
          <w:p w14:paraId="79B0D11C">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施工安装及调试</w:t>
            </w:r>
          </w:p>
        </w:tc>
        <w:tc>
          <w:tcPr>
            <w:tcW w:w="2976" w:type="pct"/>
            <w:vAlign w:val="center"/>
          </w:tcPr>
          <w:p w14:paraId="7CC8F2DC">
            <w:pPr>
              <w:widowControl/>
              <w:spacing w:line="240" w:lineRule="auto"/>
              <w:ind w:firstLine="0" w:firstLineChars="0"/>
              <w:jc w:val="left"/>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包含太阳能板基础开挖浇筑，设备安装调试，线缆辅材等</w:t>
            </w:r>
            <w:r>
              <w:rPr>
                <w:rFonts w:hint="eastAsia" w:ascii="宋体" w:hAnsi="宋体" w:eastAsia="宋体" w:cs="宋体"/>
                <w:color w:val="auto"/>
                <w:kern w:val="0"/>
                <w:sz w:val="21"/>
                <w:szCs w:val="21"/>
                <w:lang w:eastAsia="zh-CN"/>
              </w:rPr>
              <w:t>。</w:t>
            </w:r>
          </w:p>
        </w:tc>
        <w:tc>
          <w:tcPr>
            <w:tcW w:w="308" w:type="pct"/>
            <w:noWrap/>
            <w:vAlign w:val="center"/>
          </w:tcPr>
          <w:p w14:paraId="562E1745">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w:t>
            </w:r>
          </w:p>
        </w:tc>
        <w:tc>
          <w:tcPr>
            <w:tcW w:w="300" w:type="pct"/>
            <w:noWrap/>
            <w:vAlign w:val="center"/>
          </w:tcPr>
          <w:p w14:paraId="43E6217E">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项</w:t>
            </w:r>
          </w:p>
        </w:tc>
      </w:tr>
      <w:tr w14:paraId="6DECA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1510D8E0">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2.10</w:t>
            </w:r>
          </w:p>
        </w:tc>
        <w:tc>
          <w:tcPr>
            <w:tcW w:w="1114" w:type="pct"/>
            <w:noWrap/>
            <w:vAlign w:val="center"/>
          </w:tcPr>
          <w:p w14:paraId="4A1E26E8">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设备二次搬运</w:t>
            </w:r>
          </w:p>
        </w:tc>
        <w:tc>
          <w:tcPr>
            <w:tcW w:w="2976" w:type="pct"/>
            <w:vAlign w:val="center"/>
          </w:tcPr>
          <w:p w14:paraId="3EED7E6C">
            <w:pPr>
              <w:widowControl/>
              <w:spacing w:line="240" w:lineRule="auto"/>
              <w:ind w:firstLine="0" w:firstLineChars="0"/>
              <w:jc w:val="left"/>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太阳能供电系统包含8块太阳能板（单块重量25KG）和8块蓄电池（蓄电池单块重量55.5KG）及蓄电池柜（1150*600*850 mm，重量70KG）、室外工程箱等；整体数量多、体积大、总重量820KG，且建设位置于车辆无法通行、高度落差大的高山，总搬运距离约1300米；高精密设备无法使用运输无人机进行，搬迁难度大，只能依靠马匹进行单趟搬运，预计马匹单趟运输两块太阳能板或两块蓄电池、蓄电池柜搬运一次，总搬运次数为9次，搬运时长3天</w:t>
            </w:r>
            <w:r>
              <w:rPr>
                <w:rFonts w:hint="eastAsia" w:ascii="宋体" w:hAnsi="宋体" w:eastAsia="宋体" w:cs="宋体"/>
                <w:color w:val="auto"/>
                <w:kern w:val="0"/>
                <w:sz w:val="21"/>
                <w:szCs w:val="21"/>
                <w:lang w:eastAsia="zh-CN"/>
              </w:rPr>
              <w:t>。</w:t>
            </w:r>
          </w:p>
        </w:tc>
        <w:tc>
          <w:tcPr>
            <w:tcW w:w="308" w:type="pct"/>
            <w:noWrap/>
            <w:vAlign w:val="center"/>
          </w:tcPr>
          <w:p w14:paraId="516FCBDF">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w:t>
            </w:r>
          </w:p>
        </w:tc>
        <w:tc>
          <w:tcPr>
            <w:tcW w:w="300" w:type="pct"/>
            <w:noWrap/>
            <w:vAlign w:val="center"/>
          </w:tcPr>
          <w:p w14:paraId="4BABF17D">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个</w:t>
            </w:r>
          </w:p>
        </w:tc>
      </w:tr>
      <w:tr w14:paraId="3A0B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067E5E71">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3</w:t>
            </w:r>
          </w:p>
        </w:tc>
        <w:tc>
          <w:tcPr>
            <w:tcW w:w="4700" w:type="pct"/>
            <w:gridSpan w:val="4"/>
            <w:vAlign w:val="center"/>
          </w:tcPr>
          <w:p w14:paraId="628F76E7">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传输网络配套设施</w:t>
            </w:r>
          </w:p>
        </w:tc>
      </w:tr>
      <w:tr w14:paraId="5946E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036FB2A9">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3.1</w:t>
            </w:r>
          </w:p>
        </w:tc>
        <w:tc>
          <w:tcPr>
            <w:tcW w:w="1114" w:type="pct"/>
            <w:vAlign w:val="center"/>
          </w:tcPr>
          <w:p w14:paraId="537CB4C0">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光缆</w:t>
            </w:r>
          </w:p>
        </w:tc>
        <w:tc>
          <w:tcPr>
            <w:tcW w:w="2976" w:type="pct"/>
            <w:vAlign w:val="center"/>
          </w:tcPr>
          <w:p w14:paraId="3054ACD2">
            <w:pPr>
              <w:widowControl/>
              <w:spacing w:line="240" w:lineRule="auto"/>
              <w:ind w:firstLine="0" w:firstLineChars="0"/>
              <w:jc w:val="left"/>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室外铠装单模12芯，衰减＠20℃（DB/Km）：＠1310≤0.36，＠1550≤0.22；光纤规格：B1.3（9/125μm）</w:t>
            </w:r>
            <w:r>
              <w:rPr>
                <w:rFonts w:hint="eastAsia" w:ascii="宋体" w:hAnsi="宋体" w:eastAsia="宋体" w:cs="宋体"/>
                <w:color w:val="auto"/>
                <w:kern w:val="0"/>
                <w:sz w:val="21"/>
                <w:szCs w:val="21"/>
                <w:lang w:eastAsia="zh-CN"/>
              </w:rPr>
              <w:t>。</w:t>
            </w:r>
          </w:p>
        </w:tc>
        <w:tc>
          <w:tcPr>
            <w:tcW w:w="308" w:type="pct"/>
            <w:noWrap/>
            <w:vAlign w:val="center"/>
          </w:tcPr>
          <w:p w14:paraId="7AFC0395">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14650</w:t>
            </w:r>
          </w:p>
        </w:tc>
        <w:tc>
          <w:tcPr>
            <w:tcW w:w="300" w:type="pct"/>
            <w:noWrap/>
            <w:vAlign w:val="center"/>
          </w:tcPr>
          <w:p w14:paraId="6D5E7266">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米</w:t>
            </w:r>
          </w:p>
        </w:tc>
      </w:tr>
      <w:tr w14:paraId="6F90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7BFECE37">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3.2</w:t>
            </w:r>
          </w:p>
        </w:tc>
        <w:tc>
          <w:tcPr>
            <w:tcW w:w="1114" w:type="pct"/>
            <w:vAlign w:val="center"/>
          </w:tcPr>
          <w:p w14:paraId="71F0110C">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山区光缆铺设</w:t>
            </w:r>
          </w:p>
        </w:tc>
        <w:tc>
          <w:tcPr>
            <w:tcW w:w="2976" w:type="pct"/>
            <w:vAlign w:val="center"/>
          </w:tcPr>
          <w:p w14:paraId="74913015">
            <w:pPr>
              <w:widowControl/>
              <w:spacing w:line="240" w:lineRule="auto"/>
              <w:ind w:firstLine="0" w:firstLineChars="0"/>
              <w:jc w:val="left"/>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含上杆安装及拖线、光(电)缆工程施工测量、GPS定位、单盘检验、光缆接续、山上运费、机械费用等，工艺符合光通信光缆线路工程施工规范</w:t>
            </w:r>
            <w:r>
              <w:rPr>
                <w:rFonts w:hint="eastAsia" w:ascii="宋体" w:hAnsi="宋体" w:eastAsia="宋体" w:cs="宋体"/>
                <w:color w:val="auto"/>
                <w:kern w:val="0"/>
                <w:sz w:val="21"/>
                <w:szCs w:val="21"/>
                <w:lang w:eastAsia="zh-CN"/>
              </w:rPr>
              <w:t>。</w:t>
            </w:r>
          </w:p>
        </w:tc>
        <w:tc>
          <w:tcPr>
            <w:tcW w:w="308" w:type="pct"/>
            <w:noWrap/>
            <w:vAlign w:val="center"/>
          </w:tcPr>
          <w:p w14:paraId="234C89CD">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14650</w:t>
            </w:r>
          </w:p>
        </w:tc>
        <w:tc>
          <w:tcPr>
            <w:tcW w:w="300" w:type="pct"/>
            <w:noWrap/>
            <w:vAlign w:val="center"/>
          </w:tcPr>
          <w:p w14:paraId="11648222">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米</w:t>
            </w:r>
          </w:p>
        </w:tc>
      </w:tr>
      <w:tr w14:paraId="3D28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3FED5033">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3.3</w:t>
            </w:r>
          </w:p>
        </w:tc>
        <w:tc>
          <w:tcPr>
            <w:tcW w:w="1114" w:type="pct"/>
            <w:vAlign w:val="center"/>
          </w:tcPr>
          <w:p w14:paraId="1099CDFA">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7/2.2镀锌钢绞线-吊线</w:t>
            </w:r>
          </w:p>
        </w:tc>
        <w:tc>
          <w:tcPr>
            <w:tcW w:w="2976" w:type="pct"/>
            <w:vAlign w:val="center"/>
          </w:tcPr>
          <w:p w14:paraId="48E52BC1">
            <w:pPr>
              <w:widowControl/>
              <w:spacing w:line="240" w:lineRule="auto"/>
              <w:ind w:firstLine="0" w:firstLineChars="0"/>
              <w:jc w:val="left"/>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通讯钢绞线7/2.2热镀锌钢线，含上杆安装及拖线，工艺符合光通信光缆线路工程施工规范</w:t>
            </w:r>
            <w:r>
              <w:rPr>
                <w:rFonts w:hint="eastAsia" w:ascii="宋体" w:hAnsi="宋体" w:eastAsia="宋体" w:cs="宋体"/>
                <w:color w:val="auto"/>
                <w:kern w:val="0"/>
                <w:sz w:val="21"/>
                <w:szCs w:val="21"/>
                <w:lang w:eastAsia="zh-CN"/>
              </w:rPr>
              <w:t>。</w:t>
            </w:r>
          </w:p>
        </w:tc>
        <w:tc>
          <w:tcPr>
            <w:tcW w:w="308" w:type="pct"/>
            <w:noWrap/>
            <w:vAlign w:val="center"/>
          </w:tcPr>
          <w:p w14:paraId="79887122">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4000</w:t>
            </w:r>
          </w:p>
        </w:tc>
        <w:tc>
          <w:tcPr>
            <w:tcW w:w="300" w:type="pct"/>
            <w:noWrap/>
            <w:vAlign w:val="center"/>
          </w:tcPr>
          <w:p w14:paraId="5C3FF2C7">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千克</w:t>
            </w:r>
          </w:p>
        </w:tc>
      </w:tr>
      <w:tr w14:paraId="3272E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2427F3F6">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3.4</w:t>
            </w:r>
          </w:p>
        </w:tc>
        <w:tc>
          <w:tcPr>
            <w:tcW w:w="1114" w:type="pct"/>
            <w:vAlign w:val="center"/>
          </w:tcPr>
          <w:p w14:paraId="448F59E9">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7/2.6钢绞线-拉线</w:t>
            </w:r>
          </w:p>
        </w:tc>
        <w:tc>
          <w:tcPr>
            <w:tcW w:w="2976" w:type="pct"/>
            <w:vAlign w:val="center"/>
          </w:tcPr>
          <w:p w14:paraId="7D74CA13">
            <w:pPr>
              <w:widowControl/>
              <w:spacing w:line="240" w:lineRule="auto"/>
              <w:ind w:firstLine="0" w:firstLineChars="0"/>
              <w:jc w:val="left"/>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国标热镀锌钢绞线GJ-1*7-2.6，含上杆安装及拖线，工艺符合光通信光缆线路工程施工规范</w:t>
            </w:r>
            <w:r>
              <w:rPr>
                <w:rFonts w:hint="eastAsia" w:ascii="宋体" w:hAnsi="宋体" w:eastAsia="宋体" w:cs="宋体"/>
                <w:color w:val="auto"/>
                <w:kern w:val="0"/>
                <w:sz w:val="21"/>
                <w:szCs w:val="21"/>
                <w:lang w:eastAsia="zh-CN"/>
              </w:rPr>
              <w:t>。</w:t>
            </w:r>
          </w:p>
        </w:tc>
        <w:tc>
          <w:tcPr>
            <w:tcW w:w="308" w:type="pct"/>
            <w:noWrap/>
            <w:vAlign w:val="center"/>
          </w:tcPr>
          <w:p w14:paraId="4EE44E14">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500</w:t>
            </w:r>
          </w:p>
        </w:tc>
        <w:tc>
          <w:tcPr>
            <w:tcW w:w="300" w:type="pct"/>
            <w:noWrap/>
            <w:vAlign w:val="center"/>
          </w:tcPr>
          <w:p w14:paraId="39F58BDD">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千克</w:t>
            </w:r>
          </w:p>
        </w:tc>
      </w:tr>
      <w:tr w14:paraId="0334C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65533945">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3.5</w:t>
            </w:r>
          </w:p>
        </w:tc>
        <w:tc>
          <w:tcPr>
            <w:tcW w:w="1114" w:type="pct"/>
            <w:vAlign w:val="center"/>
          </w:tcPr>
          <w:p w14:paraId="0F4012E3">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吊线安装</w:t>
            </w:r>
          </w:p>
        </w:tc>
        <w:tc>
          <w:tcPr>
            <w:tcW w:w="2976" w:type="pct"/>
            <w:vAlign w:val="center"/>
          </w:tcPr>
          <w:p w14:paraId="79C560A8">
            <w:pPr>
              <w:widowControl/>
              <w:spacing w:line="240" w:lineRule="auto"/>
              <w:ind w:firstLine="0" w:firstLineChars="0"/>
              <w:jc w:val="left"/>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7/2.2镀锌钢绞线-吊线上杆安装，含保护装置（架空警示管）、水泥杆夹板法装等</w:t>
            </w:r>
            <w:r>
              <w:rPr>
                <w:rFonts w:hint="eastAsia" w:ascii="宋体" w:hAnsi="宋体" w:eastAsia="宋体" w:cs="宋体"/>
                <w:color w:val="auto"/>
                <w:kern w:val="0"/>
                <w:sz w:val="21"/>
                <w:szCs w:val="21"/>
                <w:lang w:eastAsia="zh-CN"/>
              </w:rPr>
              <w:t>。</w:t>
            </w:r>
          </w:p>
        </w:tc>
        <w:tc>
          <w:tcPr>
            <w:tcW w:w="308" w:type="pct"/>
            <w:noWrap/>
            <w:vAlign w:val="center"/>
          </w:tcPr>
          <w:p w14:paraId="02C03B93">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14650</w:t>
            </w:r>
          </w:p>
        </w:tc>
        <w:tc>
          <w:tcPr>
            <w:tcW w:w="300" w:type="pct"/>
            <w:noWrap/>
            <w:vAlign w:val="center"/>
          </w:tcPr>
          <w:p w14:paraId="0D1316D9">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米</w:t>
            </w:r>
          </w:p>
        </w:tc>
      </w:tr>
      <w:tr w14:paraId="3E1A0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67999C83">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3.6</w:t>
            </w:r>
          </w:p>
        </w:tc>
        <w:tc>
          <w:tcPr>
            <w:tcW w:w="1114" w:type="pct"/>
            <w:vAlign w:val="center"/>
          </w:tcPr>
          <w:p w14:paraId="33D9089E">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传输线路水泥杆</w:t>
            </w:r>
          </w:p>
        </w:tc>
        <w:tc>
          <w:tcPr>
            <w:tcW w:w="2976" w:type="pct"/>
            <w:vAlign w:val="center"/>
          </w:tcPr>
          <w:p w14:paraId="288D4499">
            <w:pPr>
              <w:widowControl/>
              <w:spacing w:line="240" w:lineRule="auto"/>
              <w:ind w:firstLine="0" w:firstLineChars="0"/>
              <w:jc w:val="left"/>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包含水泥杆材料，材料上山运输费</w:t>
            </w:r>
            <w:r>
              <w:rPr>
                <w:rFonts w:hint="eastAsia" w:ascii="宋体" w:hAnsi="宋体" w:cs="宋体"/>
                <w:color w:val="auto"/>
                <w:kern w:val="0"/>
                <w:sz w:val="21"/>
                <w:szCs w:val="21"/>
              </w:rPr>
              <w:br w:type="textWrapping"/>
            </w:r>
            <w:r>
              <w:rPr>
                <w:rFonts w:hint="eastAsia" w:ascii="宋体" w:hAnsi="宋体" w:cs="宋体"/>
                <w:color w:val="auto"/>
                <w:kern w:val="0"/>
                <w:sz w:val="21"/>
                <w:szCs w:val="21"/>
              </w:rPr>
              <w:t>1</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直杆的高度应不小于6米，其顶部不应离地面低于2米，基础埋深应不小于1.5米。</w:t>
            </w:r>
            <w:r>
              <w:rPr>
                <w:rFonts w:hint="eastAsia" w:ascii="宋体" w:hAnsi="宋体" w:cs="宋体"/>
                <w:color w:val="auto"/>
                <w:kern w:val="0"/>
                <w:sz w:val="21"/>
                <w:szCs w:val="21"/>
              </w:rPr>
              <w:br w:type="textWrapping"/>
            </w:r>
            <w:r>
              <w:rPr>
                <w:rFonts w:hint="eastAsia" w:ascii="宋体" w:hAnsi="宋体" w:cs="宋体"/>
                <w:color w:val="auto"/>
                <w:kern w:val="0"/>
                <w:sz w:val="21"/>
                <w:szCs w:val="21"/>
              </w:rPr>
              <w:t>2</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折线杆的高度应为折线段中参与传输的直段长度之和加上 弧线部分预留的长度。</w:t>
            </w:r>
            <w:r>
              <w:rPr>
                <w:rFonts w:hint="eastAsia" w:ascii="宋体" w:hAnsi="宋体" w:cs="宋体"/>
                <w:color w:val="auto"/>
                <w:kern w:val="0"/>
                <w:sz w:val="21"/>
                <w:szCs w:val="21"/>
              </w:rPr>
              <w:br w:type="textWrapping"/>
            </w:r>
            <w:r>
              <w:rPr>
                <w:rFonts w:hint="eastAsia" w:ascii="宋体" w:hAnsi="宋体" w:cs="宋体"/>
                <w:color w:val="auto"/>
                <w:kern w:val="0"/>
                <w:sz w:val="21"/>
                <w:szCs w:val="21"/>
              </w:rPr>
              <w:t>3</w:t>
            </w:r>
            <w:r>
              <w:rPr>
                <w:rFonts w:hint="eastAsia" w:ascii="宋体" w:hAnsi="宋体" w:eastAsia="宋体" w:cs="宋体"/>
                <w:color w:val="auto"/>
                <w:kern w:val="0"/>
                <w:sz w:val="21"/>
                <w:szCs w:val="21"/>
                <w:lang w:eastAsia="zh-CN"/>
              </w:rPr>
              <w:t>、</w:t>
            </w:r>
            <w:r>
              <w:rPr>
                <w:rFonts w:hint="eastAsia" w:ascii="宋体" w:hAnsi="宋体" w:cs="宋体"/>
                <w:color w:val="auto"/>
                <w:kern w:val="0"/>
                <w:sz w:val="21"/>
                <w:szCs w:val="21"/>
              </w:rPr>
              <w:t>附挂弧垂线、拉线和附属设施的杆子，不在上述限制范围之内。</w:t>
            </w:r>
            <w:r>
              <w:rPr>
                <w:rFonts w:hint="eastAsia" w:ascii="宋体" w:hAnsi="宋体" w:cs="宋体"/>
                <w:color w:val="auto"/>
                <w:kern w:val="0"/>
                <w:sz w:val="21"/>
                <w:szCs w:val="21"/>
              </w:rPr>
              <w:br w:type="textWrapping"/>
            </w:r>
            <w:r>
              <w:rPr>
                <w:rFonts w:hint="eastAsia" w:ascii="宋体" w:hAnsi="宋体" w:cs="宋体"/>
                <w:color w:val="auto"/>
                <w:kern w:val="0"/>
                <w:sz w:val="21"/>
                <w:szCs w:val="21"/>
              </w:rPr>
              <w:t>通讯杆顶端应设有止滑钩、滑车、防鸟刺等防风设施</w:t>
            </w:r>
            <w:r>
              <w:rPr>
                <w:rFonts w:hint="eastAsia" w:ascii="宋体" w:hAnsi="宋体" w:eastAsia="宋体" w:cs="宋体"/>
                <w:color w:val="auto"/>
                <w:kern w:val="0"/>
                <w:sz w:val="21"/>
                <w:szCs w:val="21"/>
                <w:lang w:eastAsia="zh-CN"/>
              </w:rPr>
              <w:t>。</w:t>
            </w:r>
          </w:p>
        </w:tc>
        <w:tc>
          <w:tcPr>
            <w:tcW w:w="308" w:type="pct"/>
            <w:noWrap/>
            <w:vAlign w:val="center"/>
          </w:tcPr>
          <w:p w14:paraId="1A45F888">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310</w:t>
            </w:r>
          </w:p>
        </w:tc>
        <w:tc>
          <w:tcPr>
            <w:tcW w:w="300" w:type="pct"/>
            <w:noWrap/>
            <w:vAlign w:val="center"/>
          </w:tcPr>
          <w:p w14:paraId="28A5352D">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根</w:t>
            </w:r>
          </w:p>
        </w:tc>
      </w:tr>
      <w:tr w14:paraId="3935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5ADDF518">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3.7</w:t>
            </w:r>
          </w:p>
        </w:tc>
        <w:tc>
          <w:tcPr>
            <w:tcW w:w="1114" w:type="pct"/>
            <w:vAlign w:val="center"/>
          </w:tcPr>
          <w:p w14:paraId="00E5E127">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水泥杆施工费</w:t>
            </w:r>
          </w:p>
        </w:tc>
        <w:tc>
          <w:tcPr>
            <w:tcW w:w="2976" w:type="pct"/>
            <w:vAlign w:val="center"/>
          </w:tcPr>
          <w:p w14:paraId="689886C2">
            <w:pPr>
              <w:widowControl/>
              <w:spacing w:line="240" w:lineRule="auto"/>
              <w:ind w:firstLine="0" w:firstLineChars="0"/>
              <w:jc w:val="left"/>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包含石山水泥杆件立杆、汽车式起重机费用、基础开挖及回填人工费、基础施工辅材材料等</w:t>
            </w:r>
            <w:r>
              <w:rPr>
                <w:rFonts w:hint="eastAsia" w:ascii="宋体" w:hAnsi="宋体" w:eastAsia="宋体" w:cs="宋体"/>
                <w:color w:val="auto"/>
                <w:kern w:val="0"/>
                <w:sz w:val="21"/>
                <w:szCs w:val="21"/>
                <w:lang w:eastAsia="zh-CN"/>
              </w:rPr>
              <w:t>。</w:t>
            </w:r>
          </w:p>
        </w:tc>
        <w:tc>
          <w:tcPr>
            <w:tcW w:w="308" w:type="pct"/>
            <w:noWrap/>
            <w:vAlign w:val="center"/>
          </w:tcPr>
          <w:p w14:paraId="70484117">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310</w:t>
            </w:r>
          </w:p>
        </w:tc>
        <w:tc>
          <w:tcPr>
            <w:tcW w:w="300" w:type="pct"/>
            <w:noWrap/>
            <w:vAlign w:val="center"/>
          </w:tcPr>
          <w:p w14:paraId="436EF53B">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根</w:t>
            </w:r>
          </w:p>
        </w:tc>
      </w:tr>
      <w:tr w14:paraId="07108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5B6366AA">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3.8</w:t>
            </w:r>
          </w:p>
        </w:tc>
        <w:tc>
          <w:tcPr>
            <w:tcW w:w="1114" w:type="pct"/>
            <w:vAlign w:val="center"/>
          </w:tcPr>
          <w:p w14:paraId="729D0FCC">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吊线抱箍</w:t>
            </w:r>
          </w:p>
        </w:tc>
        <w:tc>
          <w:tcPr>
            <w:tcW w:w="2976" w:type="pct"/>
            <w:vAlign w:val="center"/>
          </w:tcPr>
          <w:p w14:paraId="5ABEA9CA">
            <w:pPr>
              <w:widowControl/>
              <w:spacing w:line="240" w:lineRule="auto"/>
              <w:ind w:firstLine="0" w:firstLineChars="0"/>
              <w:jc w:val="left"/>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扁钢双吊线抱箍\铁制\164mm</w:t>
            </w:r>
            <w:r>
              <w:rPr>
                <w:rFonts w:hint="eastAsia" w:ascii="宋体" w:hAnsi="宋体" w:eastAsia="宋体" w:cs="宋体"/>
                <w:color w:val="auto"/>
                <w:kern w:val="0"/>
                <w:sz w:val="21"/>
                <w:szCs w:val="21"/>
                <w:lang w:eastAsia="zh-CN"/>
              </w:rPr>
              <w:t>。</w:t>
            </w:r>
          </w:p>
        </w:tc>
        <w:tc>
          <w:tcPr>
            <w:tcW w:w="308" w:type="pct"/>
            <w:noWrap/>
            <w:vAlign w:val="center"/>
          </w:tcPr>
          <w:p w14:paraId="75CA100D">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350</w:t>
            </w:r>
          </w:p>
        </w:tc>
        <w:tc>
          <w:tcPr>
            <w:tcW w:w="300" w:type="pct"/>
            <w:noWrap/>
            <w:vAlign w:val="center"/>
          </w:tcPr>
          <w:p w14:paraId="317783C8">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个</w:t>
            </w:r>
          </w:p>
        </w:tc>
      </w:tr>
      <w:tr w14:paraId="7FB8C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10EEAF60">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3.9</w:t>
            </w:r>
          </w:p>
        </w:tc>
        <w:tc>
          <w:tcPr>
            <w:tcW w:w="1114" w:type="pct"/>
            <w:vAlign w:val="center"/>
          </w:tcPr>
          <w:p w14:paraId="24810981">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拉线抱箍</w:t>
            </w:r>
          </w:p>
        </w:tc>
        <w:tc>
          <w:tcPr>
            <w:tcW w:w="2976" w:type="pct"/>
            <w:vAlign w:val="center"/>
          </w:tcPr>
          <w:p w14:paraId="0521DC85">
            <w:pPr>
              <w:widowControl/>
              <w:spacing w:line="240" w:lineRule="auto"/>
              <w:ind w:firstLine="0" w:firstLineChars="0"/>
              <w:jc w:val="left"/>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扁钢拉线抱箍\铁制\D164mm</w:t>
            </w:r>
            <w:r>
              <w:rPr>
                <w:rFonts w:hint="eastAsia" w:ascii="宋体" w:hAnsi="宋体" w:eastAsia="宋体" w:cs="宋体"/>
                <w:color w:val="auto"/>
                <w:kern w:val="0"/>
                <w:sz w:val="21"/>
                <w:szCs w:val="21"/>
                <w:lang w:eastAsia="zh-CN"/>
              </w:rPr>
              <w:t>。</w:t>
            </w:r>
          </w:p>
        </w:tc>
        <w:tc>
          <w:tcPr>
            <w:tcW w:w="308" w:type="pct"/>
            <w:noWrap/>
            <w:vAlign w:val="center"/>
          </w:tcPr>
          <w:p w14:paraId="47823613">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150</w:t>
            </w:r>
          </w:p>
        </w:tc>
        <w:tc>
          <w:tcPr>
            <w:tcW w:w="300" w:type="pct"/>
            <w:noWrap/>
            <w:vAlign w:val="center"/>
          </w:tcPr>
          <w:p w14:paraId="5CC247C6">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个</w:t>
            </w:r>
          </w:p>
        </w:tc>
      </w:tr>
      <w:tr w14:paraId="627B0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38BAE352">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3.10</w:t>
            </w:r>
          </w:p>
        </w:tc>
        <w:tc>
          <w:tcPr>
            <w:tcW w:w="1114" w:type="pct"/>
            <w:vAlign w:val="center"/>
          </w:tcPr>
          <w:p w14:paraId="728BB64C">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圆钢拉线地锚</w:t>
            </w:r>
          </w:p>
        </w:tc>
        <w:tc>
          <w:tcPr>
            <w:tcW w:w="2976" w:type="pct"/>
            <w:vAlign w:val="center"/>
          </w:tcPr>
          <w:p w14:paraId="39235609">
            <w:pPr>
              <w:widowControl/>
              <w:spacing w:line="240" w:lineRule="auto"/>
              <w:ind w:firstLine="0" w:firstLineChars="0"/>
              <w:jc w:val="left"/>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圆钢拉线地锚\铁制\16×2100mm</w:t>
            </w:r>
            <w:r>
              <w:rPr>
                <w:rFonts w:hint="eastAsia" w:ascii="宋体" w:hAnsi="宋体" w:eastAsia="宋体" w:cs="宋体"/>
                <w:color w:val="auto"/>
                <w:kern w:val="0"/>
                <w:sz w:val="21"/>
                <w:szCs w:val="21"/>
                <w:lang w:eastAsia="zh-CN"/>
              </w:rPr>
              <w:t>。</w:t>
            </w:r>
          </w:p>
        </w:tc>
        <w:tc>
          <w:tcPr>
            <w:tcW w:w="308" w:type="pct"/>
            <w:noWrap/>
            <w:vAlign w:val="center"/>
          </w:tcPr>
          <w:p w14:paraId="05F8537F">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90</w:t>
            </w:r>
          </w:p>
        </w:tc>
        <w:tc>
          <w:tcPr>
            <w:tcW w:w="300" w:type="pct"/>
            <w:noWrap/>
            <w:vAlign w:val="center"/>
          </w:tcPr>
          <w:p w14:paraId="0DBE4EC4">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个</w:t>
            </w:r>
          </w:p>
        </w:tc>
      </w:tr>
      <w:tr w14:paraId="7257B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555DEBDD">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3.11</w:t>
            </w:r>
          </w:p>
        </w:tc>
        <w:tc>
          <w:tcPr>
            <w:tcW w:w="1114" w:type="pct"/>
            <w:vAlign w:val="center"/>
          </w:tcPr>
          <w:p w14:paraId="1F2A2310">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三眼双槽夹板</w:t>
            </w:r>
          </w:p>
        </w:tc>
        <w:tc>
          <w:tcPr>
            <w:tcW w:w="2976" w:type="pct"/>
            <w:vAlign w:val="center"/>
          </w:tcPr>
          <w:p w14:paraId="6E437906">
            <w:pPr>
              <w:widowControl/>
              <w:spacing w:line="240" w:lineRule="auto"/>
              <w:ind w:firstLine="0" w:firstLineChars="0"/>
              <w:jc w:val="left"/>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三眼双槽夹板\铁制\152×50×10mm</w:t>
            </w:r>
            <w:r>
              <w:rPr>
                <w:rFonts w:hint="eastAsia" w:ascii="宋体" w:hAnsi="宋体" w:eastAsia="宋体" w:cs="宋体"/>
                <w:color w:val="auto"/>
                <w:kern w:val="0"/>
                <w:sz w:val="21"/>
                <w:szCs w:val="21"/>
                <w:lang w:eastAsia="zh-CN"/>
              </w:rPr>
              <w:t>。</w:t>
            </w:r>
          </w:p>
        </w:tc>
        <w:tc>
          <w:tcPr>
            <w:tcW w:w="308" w:type="pct"/>
            <w:noWrap/>
            <w:vAlign w:val="center"/>
          </w:tcPr>
          <w:p w14:paraId="64AC06BB">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300</w:t>
            </w:r>
          </w:p>
        </w:tc>
        <w:tc>
          <w:tcPr>
            <w:tcW w:w="300" w:type="pct"/>
            <w:noWrap/>
            <w:vAlign w:val="center"/>
          </w:tcPr>
          <w:p w14:paraId="74D1E076">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个</w:t>
            </w:r>
          </w:p>
        </w:tc>
      </w:tr>
      <w:tr w14:paraId="65F06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4A37E022">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3.12</w:t>
            </w:r>
          </w:p>
        </w:tc>
        <w:tc>
          <w:tcPr>
            <w:tcW w:w="1114" w:type="pct"/>
            <w:vAlign w:val="center"/>
          </w:tcPr>
          <w:p w14:paraId="3561DB33">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拉线隔电子</w:t>
            </w:r>
          </w:p>
        </w:tc>
        <w:tc>
          <w:tcPr>
            <w:tcW w:w="2976" w:type="pct"/>
            <w:vAlign w:val="center"/>
          </w:tcPr>
          <w:p w14:paraId="1E08FD39">
            <w:pPr>
              <w:widowControl/>
              <w:spacing w:line="240" w:lineRule="auto"/>
              <w:ind w:firstLine="0" w:firstLineChars="0"/>
              <w:jc w:val="left"/>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拉线隔电子\陶瓷\大号,L=72，D=53，b=30，R=8</w:t>
            </w:r>
            <w:r>
              <w:rPr>
                <w:rFonts w:hint="eastAsia" w:ascii="宋体" w:hAnsi="宋体" w:eastAsia="宋体" w:cs="宋体"/>
                <w:color w:val="auto"/>
                <w:kern w:val="0"/>
                <w:sz w:val="21"/>
                <w:szCs w:val="21"/>
                <w:lang w:eastAsia="zh-CN"/>
              </w:rPr>
              <w:t>。</w:t>
            </w:r>
          </w:p>
        </w:tc>
        <w:tc>
          <w:tcPr>
            <w:tcW w:w="308" w:type="pct"/>
            <w:noWrap/>
            <w:vAlign w:val="center"/>
          </w:tcPr>
          <w:p w14:paraId="266A44BB">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100</w:t>
            </w:r>
          </w:p>
        </w:tc>
        <w:tc>
          <w:tcPr>
            <w:tcW w:w="300" w:type="pct"/>
            <w:noWrap/>
            <w:vAlign w:val="center"/>
          </w:tcPr>
          <w:p w14:paraId="1A3005FB">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只</w:t>
            </w:r>
          </w:p>
        </w:tc>
      </w:tr>
      <w:tr w14:paraId="62AEF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2B89F10C">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3.13</w:t>
            </w:r>
          </w:p>
        </w:tc>
        <w:tc>
          <w:tcPr>
            <w:tcW w:w="1114" w:type="pct"/>
            <w:vAlign w:val="center"/>
          </w:tcPr>
          <w:p w14:paraId="18FDA4E0">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U型钢卡</w:t>
            </w:r>
          </w:p>
        </w:tc>
        <w:tc>
          <w:tcPr>
            <w:tcW w:w="2976" w:type="pct"/>
            <w:vAlign w:val="center"/>
          </w:tcPr>
          <w:p w14:paraId="07F157BF">
            <w:pPr>
              <w:widowControl/>
              <w:spacing w:line="240" w:lineRule="auto"/>
              <w:ind w:firstLine="0" w:firstLineChars="0"/>
              <w:jc w:val="left"/>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U型钢卡\铁制\8mm</w:t>
            </w:r>
            <w:r>
              <w:rPr>
                <w:rFonts w:hint="eastAsia" w:ascii="宋体" w:hAnsi="宋体" w:eastAsia="宋体" w:cs="宋体"/>
                <w:color w:val="auto"/>
                <w:kern w:val="0"/>
                <w:sz w:val="21"/>
                <w:szCs w:val="21"/>
                <w:lang w:eastAsia="zh-CN"/>
              </w:rPr>
              <w:t>。</w:t>
            </w:r>
          </w:p>
        </w:tc>
        <w:tc>
          <w:tcPr>
            <w:tcW w:w="308" w:type="pct"/>
            <w:noWrap/>
            <w:vAlign w:val="center"/>
          </w:tcPr>
          <w:p w14:paraId="51BFD25B">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97</w:t>
            </w:r>
          </w:p>
        </w:tc>
        <w:tc>
          <w:tcPr>
            <w:tcW w:w="300" w:type="pct"/>
            <w:noWrap/>
            <w:vAlign w:val="center"/>
          </w:tcPr>
          <w:p w14:paraId="430C6E90">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个</w:t>
            </w:r>
          </w:p>
        </w:tc>
      </w:tr>
      <w:tr w14:paraId="6A06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607582DF">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3.14</w:t>
            </w:r>
          </w:p>
        </w:tc>
        <w:tc>
          <w:tcPr>
            <w:tcW w:w="1114" w:type="pct"/>
            <w:vAlign w:val="center"/>
          </w:tcPr>
          <w:p w14:paraId="3B4E790E">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镀锌铁线\铁质\Φ3mm</w:t>
            </w:r>
          </w:p>
        </w:tc>
        <w:tc>
          <w:tcPr>
            <w:tcW w:w="2976" w:type="pct"/>
            <w:vAlign w:val="center"/>
          </w:tcPr>
          <w:p w14:paraId="732010A0">
            <w:pPr>
              <w:widowControl/>
              <w:spacing w:line="240" w:lineRule="auto"/>
              <w:ind w:firstLine="0" w:firstLineChars="0"/>
              <w:jc w:val="left"/>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镀锌铁线\铁质\Φ3mm</w:t>
            </w:r>
            <w:r>
              <w:rPr>
                <w:rFonts w:hint="eastAsia" w:ascii="宋体" w:hAnsi="宋体" w:eastAsia="宋体" w:cs="宋体"/>
                <w:color w:val="auto"/>
                <w:kern w:val="0"/>
                <w:sz w:val="21"/>
                <w:szCs w:val="21"/>
                <w:lang w:eastAsia="zh-CN"/>
              </w:rPr>
              <w:t>。</w:t>
            </w:r>
          </w:p>
        </w:tc>
        <w:tc>
          <w:tcPr>
            <w:tcW w:w="308" w:type="pct"/>
            <w:noWrap/>
            <w:vAlign w:val="center"/>
          </w:tcPr>
          <w:p w14:paraId="6726767E">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160</w:t>
            </w:r>
          </w:p>
        </w:tc>
        <w:tc>
          <w:tcPr>
            <w:tcW w:w="300" w:type="pct"/>
            <w:noWrap/>
            <w:vAlign w:val="center"/>
          </w:tcPr>
          <w:p w14:paraId="21E75167">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千克</w:t>
            </w:r>
          </w:p>
        </w:tc>
      </w:tr>
      <w:tr w14:paraId="130AC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6029059E">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3.15</w:t>
            </w:r>
          </w:p>
        </w:tc>
        <w:tc>
          <w:tcPr>
            <w:tcW w:w="1114" w:type="pct"/>
            <w:vAlign w:val="center"/>
          </w:tcPr>
          <w:p w14:paraId="74EA9E32">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镀锌铁线\铁质\Φ4mm</w:t>
            </w:r>
          </w:p>
        </w:tc>
        <w:tc>
          <w:tcPr>
            <w:tcW w:w="2976" w:type="pct"/>
            <w:vAlign w:val="center"/>
          </w:tcPr>
          <w:p w14:paraId="77C39AF0">
            <w:pPr>
              <w:widowControl/>
              <w:spacing w:line="240" w:lineRule="auto"/>
              <w:ind w:firstLine="0" w:firstLineChars="0"/>
              <w:jc w:val="left"/>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镀锌铁线\铁质\Φ4mm</w:t>
            </w:r>
            <w:r>
              <w:rPr>
                <w:rFonts w:hint="eastAsia" w:ascii="宋体" w:hAnsi="宋体" w:eastAsia="宋体" w:cs="宋体"/>
                <w:color w:val="auto"/>
                <w:kern w:val="0"/>
                <w:sz w:val="21"/>
                <w:szCs w:val="21"/>
                <w:lang w:eastAsia="zh-CN"/>
              </w:rPr>
              <w:t>。</w:t>
            </w:r>
          </w:p>
        </w:tc>
        <w:tc>
          <w:tcPr>
            <w:tcW w:w="308" w:type="pct"/>
            <w:noWrap/>
            <w:vAlign w:val="center"/>
          </w:tcPr>
          <w:p w14:paraId="1C209018">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100</w:t>
            </w:r>
          </w:p>
        </w:tc>
        <w:tc>
          <w:tcPr>
            <w:tcW w:w="300" w:type="pct"/>
            <w:noWrap/>
            <w:vAlign w:val="center"/>
          </w:tcPr>
          <w:p w14:paraId="42694D5F">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千克</w:t>
            </w:r>
          </w:p>
        </w:tc>
      </w:tr>
      <w:tr w14:paraId="4324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69806AEB">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3.16</w:t>
            </w:r>
          </w:p>
        </w:tc>
        <w:tc>
          <w:tcPr>
            <w:tcW w:w="1114" w:type="pct"/>
            <w:vAlign w:val="center"/>
          </w:tcPr>
          <w:p w14:paraId="2EDB4670">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光缆接续盒</w:t>
            </w:r>
          </w:p>
        </w:tc>
        <w:tc>
          <w:tcPr>
            <w:tcW w:w="2976" w:type="pct"/>
            <w:vAlign w:val="center"/>
          </w:tcPr>
          <w:p w14:paraId="2801A295">
            <w:pPr>
              <w:widowControl/>
              <w:spacing w:line="240" w:lineRule="auto"/>
              <w:ind w:firstLine="0" w:firstLineChars="0"/>
              <w:jc w:val="left"/>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12芯光缆接续盒D型光纤熔接盘防水</w:t>
            </w:r>
            <w:r>
              <w:rPr>
                <w:rFonts w:hint="eastAsia" w:ascii="宋体" w:hAnsi="宋体" w:eastAsia="宋体" w:cs="宋体"/>
                <w:color w:val="auto"/>
                <w:kern w:val="0"/>
                <w:sz w:val="21"/>
                <w:szCs w:val="21"/>
                <w:lang w:eastAsia="zh-CN"/>
              </w:rPr>
              <w:t>。</w:t>
            </w:r>
          </w:p>
        </w:tc>
        <w:tc>
          <w:tcPr>
            <w:tcW w:w="308" w:type="pct"/>
            <w:noWrap/>
            <w:vAlign w:val="center"/>
          </w:tcPr>
          <w:p w14:paraId="31C0B1B7">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8</w:t>
            </w:r>
          </w:p>
        </w:tc>
        <w:tc>
          <w:tcPr>
            <w:tcW w:w="300" w:type="pct"/>
            <w:noWrap/>
            <w:vAlign w:val="center"/>
          </w:tcPr>
          <w:p w14:paraId="1C862A9C">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个</w:t>
            </w:r>
          </w:p>
        </w:tc>
      </w:tr>
      <w:tr w14:paraId="045BA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55779DAE">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3.17</w:t>
            </w:r>
          </w:p>
        </w:tc>
        <w:tc>
          <w:tcPr>
            <w:tcW w:w="1114" w:type="pct"/>
            <w:vAlign w:val="center"/>
          </w:tcPr>
          <w:p w14:paraId="192FFFF7">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光缆成端</w:t>
            </w:r>
          </w:p>
        </w:tc>
        <w:tc>
          <w:tcPr>
            <w:tcW w:w="2976" w:type="pct"/>
            <w:vAlign w:val="center"/>
          </w:tcPr>
          <w:p w14:paraId="4D836C0D">
            <w:pPr>
              <w:widowControl/>
              <w:spacing w:line="240" w:lineRule="auto"/>
              <w:ind w:firstLine="0" w:firstLineChars="0"/>
              <w:jc w:val="left"/>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光纤熔接施工</w:t>
            </w:r>
            <w:r>
              <w:rPr>
                <w:rFonts w:hint="eastAsia" w:ascii="宋体" w:hAnsi="宋体" w:eastAsia="宋体" w:cs="宋体"/>
                <w:color w:val="auto"/>
                <w:kern w:val="0"/>
                <w:sz w:val="21"/>
                <w:szCs w:val="21"/>
                <w:lang w:eastAsia="zh-CN"/>
              </w:rPr>
              <w:t>。</w:t>
            </w:r>
          </w:p>
        </w:tc>
        <w:tc>
          <w:tcPr>
            <w:tcW w:w="308" w:type="pct"/>
            <w:noWrap/>
            <w:vAlign w:val="center"/>
          </w:tcPr>
          <w:p w14:paraId="53E8038D">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192</w:t>
            </w:r>
          </w:p>
        </w:tc>
        <w:tc>
          <w:tcPr>
            <w:tcW w:w="300" w:type="pct"/>
            <w:noWrap/>
            <w:vAlign w:val="center"/>
          </w:tcPr>
          <w:p w14:paraId="07510931">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芯</w:t>
            </w:r>
          </w:p>
        </w:tc>
      </w:tr>
      <w:tr w14:paraId="5824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9" w:type="pct"/>
            <w:vAlign w:val="center"/>
          </w:tcPr>
          <w:p w14:paraId="25B4BD46">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3.18</w:t>
            </w:r>
          </w:p>
        </w:tc>
        <w:tc>
          <w:tcPr>
            <w:tcW w:w="1114" w:type="pct"/>
            <w:vAlign w:val="center"/>
          </w:tcPr>
          <w:p w14:paraId="2A19EE55">
            <w:pPr>
              <w:widowControl/>
              <w:spacing w:line="240" w:lineRule="auto"/>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光缆测试</w:t>
            </w:r>
          </w:p>
        </w:tc>
        <w:tc>
          <w:tcPr>
            <w:tcW w:w="2976" w:type="pct"/>
            <w:vAlign w:val="center"/>
          </w:tcPr>
          <w:p w14:paraId="2C9F6B77">
            <w:pPr>
              <w:widowControl/>
              <w:spacing w:line="240" w:lineRule="auto"/>
              <w:ind w:firstLine="0" w:firstLineChars="0"/>
              <w:jc w:val="left"/>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rPr>
              <w:t>光缆整条链路测试</w:t>
            </w:r>
            <w:r>
              <w:rPr>
                <w:rFonts w:hint="eastAsia" w:ascii="宋体" w:hAnsi="宋体" w:eastAsia="宋体" w:cs="宋体"/>
                <w:color w:val="auto"/>
                <w:kern w:val="0"/>
                <w:sz w:val="21"/>
                <w:szCs w:val="21"/>
                <w:lang w:eastAsia="zh-CN"/>
              </w:rPr>
              <w:t>。</w:t>
            </w:r>
          </w:p>
        </w:tc>
        <w:tc>
          <w:tcPr>
            <w:tcW w:w="308" w:type="pct"/>
            <w:noWrap/>
            <w:vAlign w:val="center"/>
          </w:tcPr>
          <w:p w14:paraId="48B7FD3F">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8</w:t>
            </w:r>
          </w:p>
        </w:tc>
        <w:tc>
          <w:tcPr>
            <w:tcW w:w="300" w:type="pct"/>
            <w:noWrap/>
            <w:vAlign w:val="center"/>
          </w:tcPr>
          <w:p w14:paraId="6D5F9844">
            <w:pPr>
              <w:widowControl/>
              <w:spacing w:line="240" w:lineRule="auto"/>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段</w:t>
            </w:r>
          </w:p>
        </w:tc>
      </w:tr>
    </w:tbl>
    <w:p w14:paraId="67ACD6BB">
      <w:pPr>
        <w:spacing w:before="51" w:line="219" w:lineRule="auto"/>
        <w:rPr>
          <w:rFonts w:hint="eastAsia" w:ascii="Times New Roman" w:hAnsi="Times New Roman" w:eastAsia="黑体" w:cs="Times New Roman"/>
          <w:bCs/>
          <w:color w:val="auto"/>
          <w:kern w:val="2"/>
          <w:sz w:val="30"/>
          <w:szCs w:val="32"/>
          <w:lang w:val="en-US" w:eastAsia="zh-CN" w:bidi="ar-SA"/>
        </w:rPr>
      </w:pPr>
    </w:p>
    <w:p w14:paraId="4F534AE8">
      <w:pPr>
        <w:spacing w:before="51" w:line="219" w:lineRule="auto"/>
        <w:rPr>
          <w:rFonts w:hint="eastAsia" w:ascii="Times New Roman" w:hAnsi="Times New Roman" w:eastAsia="黑体" w:cs="Times New Roman"/>
          <w:bCs/>
          <w:color w:val="auto"/>
          <w:kern w:val="2"/>
          <w:sz w:val="30"/>
          <w:szCs w:val="32"/>
          <w:lang w:val="en-US" w:eastAsia="zh-CN" w:bidi="ar-SA"/>
        </w:rPr>
      </w:pPr>
    </w:p>
    <w:p w14:paraId="081A9441">
      <w:pPr>
        <w:spacing w:before="51" w:line="219" w:lineRule="auto"/>
        <w:rPr>
          <w:rFonts w:hint="eastAsia" w:ascii="Times New Roman" w:hAnsi="Times New Roman" w:eastAsia="黑体" w:cs="Times New Roman"/>
          <w:bCs/>
          <w:color w:val="auto"/>
          <w:kern w:val="2"/>
          <w:sz w:val="30"/>
          <w:szCs w:val="32"/>
          <w:lang w:val="en-US" w:eastAsia="zh-CN" w:bidi="ar-SA"/>
        </w:rPr>
      </w:pPr>
    </w:p>
    <w:p w14:paraId="51090894">
      <w:pPr>
        <w:spacing w:before="51" w:line="219" w:lineRule="auto"/>
        <w:rPr>
          <w:rFonts w:hint="eastAsia" w:ascii="Times New Roman" w:hAnsi="Times New Roman" w:eastAsia="黑体" w:cs="Times New Roman"/>
          <w:bCs/>
          <w:color w:val="auto"/>
          <w:kern w:val="2"/>
          <w:sz w:val="30"/>
          <w:szCs w:val="32"/>
          <w:lang w:val="en-US" w:eastAsia="zh-CN" w:bidi="ar-SA"/>
        </w:rPr>
      </w:pPr>
    </w:p>
    <w:p w14:paraId="26CBC3EB">
      <w:pPr>
        <w:spacing w:before="51" w:line="219" w:lineRule="auto"/>
        <w:rPr>
          <w:rFonts w:hint="eastAsia" w:ascii="Times New Roman" w:hAnsi="Times New Roman" w:eastAsia="黑体" w:cs="Times New Roman"/>
          <w:bCs/>
          <w:color w:val="auto"/>
          <w:kern w:val="2"/>
          <w:sz w:val="30"/>
          <w:szCs w:val="32"/>
          <w:lang w:val="en-US" w:eastAsia="zh-CN" w:bidi="ar-SA"/>
        </w:rPr>
      </w:pPr>
    </w:p>
    <w:p w14:paraId="33588573">
      <w:pPr>
        <w:spacing w:before="51" w:line="219" w:lineRule="auto"/>
        <w:rPr>
          <w:rFonts w:hint="eastAsia" w:ascii="Times New Roman" w:hAnsi="Times New Roman" w:eastAsia="黑体" w:cs="Times New Roman"/>
          <w:bCs/>
          <w:color w:val="auto"/>
          <w:kern w:val="2"/>
          <w:sz w:val="30"/>
          <w:szCs w:val="32"/>
          <w:lang w:val="en-US" w:eastAsia="zh-CN" w:bidi="ar-SA"/>
        </w:rPr>
      </w:pPr>
    </w:p>
    <w:p w14:paraId="18586EC2">
      <w:pPr>
        <w:spacing w:before="51" w:line="219" w:lineRule="auto"/>
        <w:rPr>
          <w:rFonts w:hint="eastAsia" w:ascii="Times New Roman" w:hAnsi="Times New Roman" w:eastAsia="黑体" w:cs="Times New Roman"/>
          <w:bCs/>
          <w:color w:val="auto"/>
          <w:kern w:val="2"/>
          <w:sz w:val="30"/>
          <w:szCs w:val="32"/>
          <w:lang w:val="en-US" w:eastAsia="zh-CN" w:bidi="ar-SA"/>
        </w:rPr>
      </w:pPr>
    </w:p>
    <w:p w14:paraId="163E4E7B">
      <w:pPr>
        <w:spacing w:before="51" w:line="219" w:lineRule="auto"/>
        <w:rPr>
          <w:rFonts w:hint="eastAsia" w:ascii="Times New Roman" w:hAnsi="Times New Roman" w:eastAsia="黑体" w:cs="Times New Roman"/>
          <w:bCs/>
          <w:color w:val="auto"/>
          <w:kern w:val="2"/>
          <w:sz w:val="30"/>
          <w:szCs w:val="32"/>
          <w:lang w:val="en-US" w:eastAsia="zh-CN" w:bidi="ar-SA"/>
        </w:rPr>
      </w:pPr>
    </w:p>
    <w:p w14:paraId="7B639A80">
      <w:pPr>
        <w:spacing w:before="51" w:line="219" w:lineRule="auto"/>
        <w:rPr>
          <w:rFonts w:hint="default" w:ascii="Times New Roman" w:hAnsi="Times New Roman" w:eastAsia="黑体" w:cs="Times New Roman"/>
          <w:b/>
          <w:bCs w:val="0"/>
          <w:color w:val="auto"/>
          <w:kern w:val="2"/>
          <w:sz w:val="30"/>
          <w:szCs w:val="30"/>
          <w:highlight w:val="none"/>
          <w:lang w:val="en-US" w:eastAsia="zh-CN" w:bidi="ar-SA"/>
        </w:rPr>
      </w:pPr>
      <w:r>
        <w:rPr>
          <w:rFonts w:hint="eastAsia" w:ascii="Times New Roman" w:hAnsi="Times New Roman" w:eastAsia="黑体" w:cs="Times New Roman"/>
          <w:b/>
          <w:bCs w:val="0"/>
          <w:color w:val="auto"/>
          <w:kern w:val="2"/>
          <w:sz w:val="30"/>
          <w:szCs w:val="30"/>
          <w:highlight w:val="none"/>
          <w:lang w:val="en-US" w:eastAsia="zh-CN" w:bidi="ar-SA"/>
        </w:rPr>
        <w:t>标段2：</w:t>
      </w:r>
    </w:p>
    <w:p w14:paraId="3D335C9B">
      <w:pPr>
        <w:pStyle w:val="3"/>
        <w:numPr>
          <w:ilvl w:val="1"/>
          <w:numId w:val="0"/>
        </w:numPr>
        <w:bidi w:val="0"/>
        <w:ind w:leftChars="0"/>
        <w:rPr>
          <w:rFonts w:hint="eastAsia" w:ascii="Arial" w:hAnsi="Arial" w:eastAsia="宋体"/>
          <w:color w:val="auto"/>
          <w:sz w:val="30"/>
          <w:szCs w:val="30"/>
          <w:highlight w:val="none"/>
          <w:lang w:val="en-US" w:eastAsia="zh-CN"/>
        </w:rPr>
      </w:pPr>
      <w:r>
        <w:rPr>
          <w:rFonts w:hint="eastAsia" w:ascii="Arial" w:hAnsi="Arial" w:eastAsia="宋体"/>
          <w:color w:val="auto"/>
          <w:sz w:val="30"/>
          <w:szCs w:val="30"/>
          <w:highlight w:val="none"/>
          <w:lang w:val="en-US" w:eastAsia="zh-CN"/>
        </w:rPr>
        <w:t>附件二：</w:t>
      </w:r>
      <w:bookmarkStart w:id="7" w:name="_Toc212741294"/>
      <w:r>
        <w:rPr>
          <w:rFonts w:hint="eastAsia" w:ascii="Arial" w:hAnsi="Arial" w:eastAsia="宋体"/>
          <w:color w:val="auto"/>
          <w:sz w:val="30"/>
          <w:szCs w:val="30"/>
          <w:highlight w:val="none"/>
          <w:lang w:val="en-US" w:eastAsia="zh-CN"/>
        </w:rPr>
        <w:t>智慧管理系统新增模块</w:t>
      </w:r>
      <w:bookmarkEnd w:id="7"/>
      <w:r>
        <w:rPr>
          <w:rFonts w:hint="eastAsia" w:ascii="Arial" w:hAnsi="Arial" w:eastAsia="宋体"/>
          <w:color w:val="auto"/>
          <w:sz w:val="30"/>
          <w:szCs w:val="30"/>
          <w:highlight w:val="none"/>
          <w:lang w:val="en-US" w:eastAsia="zh-CN"/>
        </w:rPr>
        <w:t>清单</w:t>
      </w:r>
    </w:p>
    <w:p w14:paraId="577B9B53">
      <w:pPr>
        <w:rPr>
          <w:rFonts w:hint="eastAsia" w:ascii="Arial" w:hAnsi="Arial" w:eastAsia="宋体"/>
          <w:color w:val="auto"/>
          <w:sz w:val="30"/>
          <w:szCs w:val="30"/>
          <w:highlight w:val="none"/>
          <w:lang w:val="en-US" w:eastAsia="zh-CN"/>
        </w:rPr>
      </w:pPr>
    </w:p>
    <w:tbl>
      <w:tblPr>
        <w:tblStyle w:val="17"/>
        <w:tblW w:w="0" w:type="auto"/>
        <w:tblInd w:w="0" w:type="dxa"/>
        <w:tblLayout w:type="fixed"/>
        <w:tblCellMar>
          <w:top w:w="0" w:type="dxa"/>
          <w:left w:w="108" w:type="dxa"/>
          <w:bottom w:w="0" w:type="dxa"/>
          <w:right w:w="108" w:type="dxa"/>
        </w:tblCellMar>
      </w:tblPr>
      <w:tblGrid>
        <w:gridCol w:w="2952"/>
        <w:gridCol w:w="10407"/>
      </w:tblGrid>
      <w:tr w14:paraId="4F940243">
        <w:tblPrEx>
          <w:tblCellMar>
            <w:top w:w="0" w:type="dxa"/>
            <w:left w:w="108" w:type="dxa"/>
            <w:bottom w:w="0" w:type="dxa"/>
            <w:right w:w="108" w:type="dxa"/>
          </w:tblCellMar>
        </w:tblPrEx>
        <w:trPr>
          <w:trHeight w:val="424" w:hRule="atLeast"/>
          <w:tblHeader/>
        </w:trPr>
        <w:tc>
          <w:tcPr>
            <w:tcW w:w="2952" w:type="dxa"/>
            <w:tcBorders>
              <w:top w:val="single" w:color="000000" w:sz="4" w:space="0"/>
              <w:left w:val="single" w:color="000000" w:sz="4" w:space="0"/>
              <w:bottom w:val="single" w:color="000000" w:sz="4" w:space="0"/>
              <w:right w:val="single" w:color="000000" w:sz="4" w:space="0"/>
            </w:tcBorders>
            <w:vAlign w:val="center"/>
          </w:tcPr>
          <w:p w14:paraId="03385149">
            <w:pPr>
              <w:widowControl/>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bidi="ar"/>
              </w:rPr>
              <w:t>序号</w:t>
            </w:r>
          </w:p>
        </w:tc>
        <w:tc>
          <w:tcPr>
            <w:tcW w:w="10407" w:type="dxa"/>
            <w:tcBorders>
              <w:top w:val="single" w:color="000000" w:sz="4" w:space="0"/>
              <w:left w:val="single" w:color="000000" w:sz="4" w:space="0"/>
              <w:bottom w:val="single" w:color="000000" w:sz="4" w:space="0"/>
              <w:right w:val="single" w:color="000000" w:sz="4" w:space="0"/>
            </w:tcBorders>
            <w:vAlign w:val="center"/>
          </w:tcPr>
          <w:p w14:paraId="33C9C837">
            <w:pPr>
              <w:widowControl/>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bidi="ar"/>
              </w:rPr>
              <w:t>工程或费用名称</w:t>
            </w:r>
          </w:p>
        </w:tc>
      </w:tr>
      <w:tr w14:paraId="69423F87">
        <w:tblPrEx>
          <w:tblCellMar>
            <w:top w:w="0" w:type="dxa"/>
            <w:left w:w="108" w:type="dxa"/>
            <w:bottom w:w="0" w:type="dxa"/>
            <w:right w:w="108" w:type="dxa"/>
          </w:tblCellMar>
        </w:tblPrEx>
        <w:trPr>
          <w:trHeight w:val="424" w:hRule="atLeast"/>
        </w:trPr>
        <w:tc>
          <w:tcPr>
            <w:tcW w:w="2952" w:type="dxa"/>
            <w:tcBorders>
              <w:top w:val="single" w:color="000000" w:sz="4" w:space="0"/>
              <w:left w:val="single" w:color="000000" w:sz="4" w:space="0"/>
              <w:bottom w:val="single" w:color="000000" w:sz="4" w:space="0"/>
              <w:right w:val="single" w:color="000000" w:sz="4" w:space="0"/>
            </w:tcBorders>
            <w:vAlign w:val="center"/>
          </w:tcPr>
          <w:p w14:paraId="4A328D0E">
            <w:pPr>
              <w:widowControl/>
              <w:ind w:firstLine="0" w:firstLineChars="0"/>
              <w:jc w:val="center"/>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1</w:t>
            </w:r>
          </w:p>
        </w:tc>
        <w:tc>
          <w:tcPr>
            <w:tcW w:w="10407" w:type="dxa"/>
            <w:tcBorders>
              <w:top w:val="single" w:color="000000" w:sz="4" w:space="0"/>
              <w:left w:val="single" w:color="000000" w:sz="4" w:space="0"/>
              <w:bottom w:val="single" w:color="000000" w:sz="4" w:space="0"/>
              <w:right w:val="single" w:color="000000" w:sz="4" w:space="0"/>
            </w:tcBorders>
            <w:vAlign w:val="center"/>
          </w:tcPr>
          <w:p w14:paraId="3A718D5F">
            <w:pPr>
              <w:widowControl/>
              <w:ind w:firstLine="0" w:firstLineChars="0"/>
              <w:jc w:val="center"/>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智慧管理系统新增模块</w:t>
            </w:r>
          </w:p>
        </w:tc>
      </w:tr>
      <w:tr w14:paraId="5CA6F11F">
        <w:tblPrEx>
          <w:tblCellMar>
            <w:top w:w="0" w:type="dxa"/>
            <w:left w:w="108" w:type="dxa"/>
            <w:bottom w:w="0" w:type="dxa"/>
            <w:right w:w="108" w:type="dxa"/>
          </w:tblCellMar>
        </w:tblPrEx>
        <w:trPr>
          <w:trHeight w:val="424" w:hRule="atLeast"/>
        </w:trPr>
        <w:tc>
          <w:tcPr>
            <w:tcW w:w="2952" w:type="dxa"/>
            <w:tcBorders>
              <w:top w:val="single" w:color="000000" w:sz="4" w:space="0"/>
              <w:left w:val="single" w:color="000000" w:sz="4" w:space="0"/>
              <w:bottom w:val="single" w:color="000000" w:sz="4" w:space="0"/>
              <w:right w:val="single" w:color="000000" w:sz="4" w:space="0"/>
            </w:tcBorders>
            <w:vAlign w:val="center"/>
          </w:tcPr>
          <w:p w14:paraId="5A6B9D28">
            <w:pPr>
              <w:widowControl/>
              <w:ind w:firstLine="0" w:firstLineChars="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1</w:t>
            </w:r>
            <w:r>
              <w:rPr>
                <w:rFonts w:hint="eastAsia" w:asciiTheme="minorEastAsia" w:hAnsiTheme="minorEastAsia" w:eastAsiaTheme="minorEastAsia" w:cstheme="minorEastAsia"/>
                <w:color w:val="auto"/>
                <w:kern w:val="0"/>
                <w:sz w:val="21"/>
                <w:szCs w:val="21"/>
                <w:lang w:bidi="ar"/>
              </w:rPr>
              <w:t>.1</w:t>
            </w:r>
          </w:p>
        </w:tc>
        <w:tc>
          <w:tcPr>
            <w:tcW w:w="10407" w:type="dxa"/>
            <w:tcBorders>
              <w:top w:val="single" w:color="000000" w:sz="4" w:space="0"/>
              <w:left w:val="single" w:color="000000" w:sz="4" w:space="0"/>
              <w:bottom w:val="single" w:color="000000" w:sz="4" w:space="0"/>
              <w:right w:val="single" w:color="000000" w:sz="4" w:space="0"/>
            </w:tcBorders>
            <w:vAlign w:val="center"/>
          </w:tcPr>
          <w:p w14:paraId="4104E05C">
            <w:pPr>
              <w:widowControl/>
              <w:ind w:firstLine="0" w:firstLineChars="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三维实景模型与场景空间展示系统</w:t>
            </w:r>
          </w:p>
        </w:tc>
      </w:tr>
      <w:tr w14:paraId="5FD93CDD">
        <w:tblPrEx>
          <w:tblCellMar>
            <w:top w:w="0" w:type="dxa"/>
            <w:left w:w="108" w:type="dxa"/>
            <w:bottom w:w="0" w:type="dxa"/>
            <w:right w:w="108" w:type="dxa"/>
          </w:tblCellMar>
        </w:tblPrEx>
        <w:trPr>
          <w:trHeight w:val="424" w:hRule="atLeast"/>
        </w:trPr>
        <w:tc>
          <w:tcPr>
            <w:tcW w:w="2952" w:type="dxa"/>
            <w:tcBorders>
              <w:top w:val="single" w:color="000000" w:sz="4" w:space="0"/>
              <w:left w:val="single" w:color="000000" w:sz="4" w:space="0"/>
              <w:bottom w:val="single" w:color="000000" w:sz="4" w:space="0"/>
              <w:right w:val="single" w:color="000000" w:sz="4" w:space="0"/>
            </w:tcBorders>
            <w:vAlign w:val="center"/>
          </w:tcPr>
          <w:p w14:paraId="0DFFA8C3">
            <w:pPr>
              <w:widowControl/>
              <w:ind w:firstLine="0" w:firstLineChars="0"/>
              <w:jc w:val="center"/>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val="en-US" w:eastAsia="zh-CN" w:bidi="ar"/>
              </w:rPr>
              <w:t>1</w:t>
            </w:r>
            <w:r>
              <w:rPr>
                <w:rFonts w:hint="eastAsia" w:asciiTheme="minorEastAsia" w:hAnsiTheme="minorEastAsia" w:eastAsiaTheme="minorEastAsia" w:cstheme="minorEastAsia"/>
                <w:color w:val="auto"/>
                <w:kern w:val="0"/>
                <w:sz w:val="21"/>
                <w:szCs w:val="21"/>
                <w:lang w:bidi="ar"/>
              </w:rPr>
              <w:t>.2</w:t>
            </w:r>
          </w:p>
        </w:tc>
        <w:tc>
          <w:tcPr>
            <w:tcW w:w="10407" w:type="dxa"/>
            <w:tcBorders>
              <w:top w:val="single" w:color="000000" w:sz="4" w:space="0"/>
              <w:left w:val="single" w:color="000000" w:sz="4" w:space="0"/>
              <w:bottom w:val="single" w:color="000000" w:sz="4" w:space="0"/>
              <w:right w:val="single" w:color="000000" w:sz="4" w:space="0"/>
            </w:tcBorders>
            <w:vAlign w:val="center"/>
          </w:tcPr>
          <w:p w14:paraId="68A41D19">
            <w:pPr>
              <w:widowControl/>
              <w:ind w:firstLine="0" w:firstLineChars="0"/>
              <w:jc w:val="center"/>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数据清洗以及监测感知系统分析</w:t>
            </w:r>
          </w:p>
        </w:tc>
      </w:tr>
      <w:tr w14:paraId="18A8DD17">
        <w:tblPrEx>
          <w:tblCellMar>
            <w:top w:w="0" w:type="dxa"/>
            <w:left w:w="108" w:type="dxa"/>
            <w:bottom w:w="0" w:type="dxa"/>
            <w:right w:w="108" w:type="dxa"/>
          </w:tblCellMar>
        </w:tblPrEx>
        <w:trPr>
          <w:trHeight w:val="401" w:hRule="atLeast"/>
        </w:trPr>
        <w:tc>
          <w:tcPr>
            <w:tcW w:w="2952" w:type="dxa"/>
            <w:tcBorders>
              <w:top w:val="single" w:color="000000" w:sz="4" w:space="0"/>
              <w:left w:val="single" w:color="000000" w:sz="4" w:space="0"/>
              <w:bottom w:val="single" w:color="000000" w:sz="4" w:space="0"/>
              <w:right w:val="single" w:color="000000" w:sz="4" w:space="0"/>
            </w:tcBorders>
            <w:vAlign w:val="center"/>
          </w:tcPr>
          <w:p w14:paraId="1E4F2DAD">
            <w:pPr>
              <w:widowControl/>
              <w:ind w:firstLine="0" w:firstLineChars="0"/>
              <w:jc w:val="center"/>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val="en-US" w:eastAsia="zh-CN" w:bidi="ar"/>
              </w:rPr>
              <w:t>1</w:t>
            </w:r>
            <w:r>
              <w:rPr>
                <w:rFonts w:hint="eastAsia" w:asciiTheme="minorEastAsia" w:hAnsiTheme="minorEastAsia" w:eastAsiaTheme="minorEastAsia" w:cstheme="minorEastAsia"/>
                <w:color w:val="auto"/>
                <w:kern w:val="0"/>
                <w:sz w:val="21"/>
                <w:szCs w:val="21"/>
                <w:lang w:bidi="ar"/>
              </w:rPr>
              <w:t>.3</w:t>
            </w:r>
          </w:p>
        </w:tc>
        <w:tc>
          <w:tcPr>
            <w:tcW w:w="10407" w:type="dxa"/>
            <w:tcBorders>
              <w:top w:val="single" w:color="000000" w:sz="4" w:space="0"/>
              <w:left w:val="single" w:color="000000" w:sz="4" w:space="0"/>
              <w:bottom w:val="single" w:color="000000" w:sz="4" w:space="0"/>
              <w:right w:val="single" w:color="000000" w:sz="4" w:space="0"/>
            </w:tcBorders>
            <w:vAlign w:val="center"/>
          </w:tcPr>
          <w:p w14:paraId="7EFD81DE">
            <w:pPr>
              <w:widowControl/>
              <w:ind w:firstLine="0" w:firstLineChars="0"/>
              <w:jc w:val="center"/>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三维模型可视化与应用及设备购置</w:t>
            </w:r>
          </w:p>
        </w:tc>
      </w:tr>
      <w:tr w14:paraId="2A8862DD">
        <w:tblPrEx>
          <w:tblCellMar>
            <w:top w:w="0" w:type="dxa"/>
            <w:left w:w="108" w:type="dxa"/>
            <w:bottom w:w="0" w:type="dxa"/>
            <w:right w:w="108" w:type="dxa"/>
          </w:tblCellMar>
        </w:tblPrEx>
        <w:trPr>
          <w:trHeight w:val="424" w:hRule="atLeast"/>
        </w:trPr>
        <w:tc>
          <w:tcPr>
            <w:tcW w:w="2952" w:type="dxa"/>
            <w:tcBorders>
              <w:top w:val="single" w:color="000000" w:sz="4" w:space="0"/>
              <w:left w:val="single" w:color="000000" w:sz="4" w:space="0"/>
              <w:bottom w:val="single" w:color="000000" w:sz="4" w:space="0"/>
              <w:right w:val="single" w:color="000000" w:sz="4" w:space="0"/>
            </w:tcBorders>
            <w:vAlign w:val="center"/>
          </w:tcPr>
          <w:p w14:paraId="6BD30D7A">
            <w:pPr>
              <w:widowControl/>
              <w:ind w:firstLine="0" w:firstLineChars="0"/>
              <w:jc w:val="center"/>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val="en-US" w:eastAsia="zh-CN" w:bidi="ar"/>
              </w:rPr>
              <w:t>1</w:t>
            </w:r>
            <w:r>
              <w:rPr>
                <w:rFonts w:hint="eastAsia" w:asciiTheme="minorEastAsia" w:hAnsiTheme="minorEastAsia" w:eastAsiaTheme="minorEastAsia" w:cstheme="minorEastAsia"/>
                <w:color w:val="auto"/>
                <w:kern w:val="0"/>
                <w:sz w:val="21"/>
                <w:szCs w:val="21"/>
                <w:lang w:bidi="ar"/>
              </w:rPr>
              <w:t>.3.1</w:t>
            </w:r>
          </w:p>
        </w:tc>
        <w:tc>
          <w:tcPr>
            <w:tcW w:w="10407" w:type="dxa"/>
            <w:tcBorders>
              <w:top w:val="single" w:color="000000" w:sz="4" w:space="0"/>
              <w:left w:val="single" w:color="000000" w:sz="4" w:space="0"/>
              <w:bottom w:val="single" w:color="000000" w:sz="4" w:space="0"/>
              <w:right w:val="single" w:color="000000" w:sz="4" w:space="0"/>
            </w:tcBorders>
            <w:vAlign w:val="center"/>
          </w:tcPr>
          <w:p w14:paraId="37E23443">
            <w:pPr>
              <w:widowControl/>
              <w:ind w:firstLine="0" w:firstLineChars="0"/>
              <w:jc w:val="center"/>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三维模型可视化与应用</w:t>
            </w:r>
          </w:p>
        </w:tc>
      </w:tr>
      <w:tr w14:paraId="3AC97975">
        <w:tblPrEx>
          <w:tblCellMar>
            <w:top w:w="0" w:type="dxa"/>
            <w:left w:w="108" w:type="dxa"/>
            <w:bottom w:w="0" w:type="dxa"/>
            <w:right w:w="108" w:type="dxa"/>
          </w:tblCellMar>
        </w:tblPrEx>
        <w:trPr>
          <w:trHeight w:val="424" w:hRule="atLeast"/>
        </w:trPr>
        <w:tc>
          <w:tcPr>
            <w:tcW w:w="2952" w:type="dxa"/>
            <w:tcBorders>
              <w:top w:val="single" w:color="000000" w:sz="4" w:space="0"/>
              <w:left w:val="single" w:color="000000" w:sz="4" w:space="0"/>
              <w:bottom w:val="single" w:color="000000" w:sz="4" w:space="0"/>
              <w:right w:val="single" w:color="000000" w:sz="4" w:space="0"/>
            </w:tcBorders>
            <w:vAlign w:val="center"/>
          </w:tcPr>
          <w:p w14:paraId="0D62CF54">
            <w:pPr>
              <w:widowControl/>
              <w:ind w:firstLine="0" w:firstLineChars="0"/>
              <w:jc w:val="center"/>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val="en-US" w:eastAsia="zh-CN" w:bidi="ar"/>
              </w:rPr>
              <w:t>1</w:t>
            </w:r>
            <w:r>
              <w:rPr>
                <w:rFonts w:hint="eastAsia" w:asciiTheme="minorEastAsia" w:hAnsiTheme="minorEastAsia" w:eastAsiaTheme="minorEastAsia" w:cstheme="minorEastAsia"/>
                <w:color w:val="auto"/>
                <w:kern w:val="0"/>
                <w:sz w:val="21"/>
                <w:szCs w:val="21"/>
                <w:lang w:bidi="ar"/>
              </w:rPr>
              <w:t>.3.2</w:t>
            </w:r>
          </w:p>
        </w:tc>
        <w:tc>
          <w:tcPr>
            <w:tcW w:w="10407" w:type="dxa"/>
            <w:tcBorders>
              <w:top w:val="single" w:color="000000" w:sz="4" w:space="0"/>
              <w:left w:val="single" w:color="000000" w:sz="4" w:space="0"/>
              <w:bottom w:val="single" w:color="000000" w:sz="4" w:space="0"/>
              <w:right w:val="single" w:color="000000" w:sz="4" w:space="0"/>
            </w:tcBorders>
            <w:vAlign w:val="center"/>
          </w:tcPr>
          <w:p w14:paraId="71F78E1F">
            <w:pPr>
              <w:widowControl/>
              <w:ind w:firstLine="0" w:firstLineChars="0"/>
              <w:jc w:val="center"/>
              <w:textAlignment w:val="center"/>
              <w:rPr>
                <w:rFonts w:hint="eastAsia" w:asciiTheme="minorEastAsia" w:hAnsiTheme="minorEastAsia" w:eastAsiaTheme="minorEastAsia" w:cstheme="minorEastAsia"/>
                <w:b/>
                <w:bCs/>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兰科植物空间场景精细化应用软件</w:t>
            </w:r>
          </w:p>
        </w:tc>
      </w:tr>
      <w:tr w14:paraId="30C79AD1">
        <w:tblPrEx>
          <w:tblCellMar>
            <w:top w:w="0" w:type="dxa"/>
            <w:left w:w="108" w:type="dxa"/>
            <w:bottom w:w="0" w:type="dxa"/>
            <w:right w:w="108" w:type="dxa"/>
          </w:tblCellMar>
        </w:tblPrEx>
        <w:trPr>
          <w:trHeight w:val="424" w:hRule="atLeast"/>
        </w:trPr>
        <w:tc>
          <w:tcPr>
            <w:tcW w:w="2952" w:type="dxa"/>
            <w:tcBorders>
              <w:top w:val="single" w:color="000000" w:sz="4" w:space="0"/>
              <w:left w:val="single" w:color="000000" w:sz="4" w:space="0"/>
              <w:bottom w:val="single" w:color="000000" w:sz="4" w:space="0"/>
              <w:right w:val="single" w:color="000000" w:sz="4" w:space="0"/>
            </w:tcBorders>
            <w:vAlign w:val="center"/>
          </w:tcPr>
          <w:p w14:paraId="5A73BAD8">
            <w:pPr>
              <w:widowControl/>
              <w:ind w:firstLine="0" w:firstLineChars="0"/>
              <w:jc w:val="center"/>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val="en-US" w:eastAsia="zh-CN" w:bidi="ar"/>
              </w:rPr>
              <w:t>1</w:t>
            </w:r>
            <w:r>
              <w:rPr>
                <w:rFonts w:hint="eastAsia" w:asciiTheme="minorEastAsia" w:hAnsiTheme="minorEastAsia" w:eastAsiaTheme="minorEastAsia" w:cstheme="minorEastAsia"/>
                <w:color w:val="auto"/>
                <w:kern w:val="0"/>
                <w:sz w:val="21"/>
                <w:szCs w:val="21"/>
                <w:lang w:bidi="ar"/>
              </w:rPr>
              <w:t>.3.3</w:t>
            </w:r>
          </w:p>
        </w:tc>
        <w:tc>
          <w:tcPr>
            <w:tcW w:w="10407" w:type="dxa"/>
            <w:tcBorders>
              <w:top w:val="single" w:color="000000" w:sz="4" w:space="0"/>
              <w:left w:val="single" w:color="000000" w:sz="4" w:space="0"/>
              <w:bottom w:val="single" w:color="000000" w:sz="4" w:space="0"/>
              <w:right w:val="single" w:color="000000" w:sz="4" w:space="0"/>
            </w:tcBorders>
            <w:vAlign w:val="center"/>
          </w:tcPr>
          <w:p w14:paraId="48C6E162">
            <w:pPr>
              <w:widowControl/>
              <w:ind w:firstLine="0" w:firstLineChars="0"/>
              <w:jc w:val="center"/>
              <w:textAlignment w:val="center"/>
              <w:rPr>
                <w:rFonts w:hint="eastAsia" w:asciiTheme="minorEastAsia" w:hAnsiTheme="minorEastAsia" w:eastAsiaTheme="minorEastAsia" w:cstheme="minorEastAsia"/>
                <w:b/>
                <w:bCs/>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三维模型可视化与应用配套硬件设备</w:t>
            </w:r>
          </w:p>
        </w:tc>
      </w:tr>
      <w:tr w14:paraId="2BF9C750">
        <w:tblPrEx>
          <w:tblCellMar>
            <w:top w:w="0" w:type="dxa"/>
            <w:left w:w="108" w:type="dxa"/>
            <w:bottom w:w="0" w:type="dxa"/>
            <w:right w:w="108" w:type="dxa"/>
          </w:tblCellMar>
        </w:tblPrEx>
        <w:trPr>
          <w:trHeight w:val="433" w:hRule="atLeast"/>
        </w:trPr>
        <w:tc>
          <w:tcPr>
            <w:tcW w:w="2952" w:type="dxa"/>
            <w:tcBorders>
              <w:top w:val="single" w:color="000000" w:sz="4" w:space="0"/>
              <w:left w:val="single" w:color="000000" w:sz="4" w:space="0"/>
              <w:bottom w:val="single" w:color="000000" w:sz="4" w:space="0"/>
              <w:right w:val="single" w:color="000000" w:sz="4" w:space="0"/>
            </w:tcBorders>
            <w:vAlign w:val="center"/>
          </w:tcPr>
          <w:p w14:paraId="07C1FE33">
            <w:pPr>
              <w:widowControl/>
              <w:ind w:firstLine="0" w:firstLineChars="0"/>
              <w:jc w:val="center"/>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val="en-US" w:eastAsia="zh-CN" w:bidi="ar"/>
              </w:rPr>
              <w:t>1</w:t>
            </w:r>
            <w:r>
              <w:rPr>
                <w:rFonts w:hint="eastAsia" w:asciiTheme="minorEastAsia" w:hAnsiTheme="minorEastAsia" w:eastAsiaTheme="minorEastAsia" w:cstheme="minorEastAsia"/>
                <w:color w:val="auto"/>
                <w:kern w:val="0"/>
                <w:sz w:val="21"/>
                <w:szCs w:val="21"/>
                <w:lang w:bidi="ar"/>
              </w:rPr>
              <w:t>.4</w:t>
            </w:r>
          </w:p>
        </w:tc>
        <w:tc>
          <w:tcPr>
            <w:tcW w:w="10407" w:type="dxa"/>
            <w:tcBorders>
              <w:top w:val="single" w:color="000000" w:sz="4" w:space="0"/>
              <w:left w:val="single" w:color="000000" w:sz="4" w:space="0"/>
              <w:bottom w:val="single" w:color="000000" w:sz="4" w:space="0"/>
              <w:right w:val="single" w:color="000000" w:sz="4" w:space="0"/>
            </w:tcBorders>
            <w:vAlign w:val="center"/>
          </w:tcPr>
          <w:p w14:paraId="68031070">
            <w:pPr>
              <w:widowControl/>
              <w:ind w:firstLine="0" w:firstLineChars="0"/>
              <w:jc w:val="center"/>
              <w:textAlignment w:val="center"/>
              <w:rPr>
                <w:rFonts w:hint="eastAsia" w:asciiTheme="minorEastAsia" w:hAnsiTheme="minorEastAsia" w:eastAsiaTheme="minorEastAsia" w:cstheme="minorEastAsia"/>
                <w:b/>
                <w:bCs/>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政务云配置</w:t>
            </w:r>
          </w:p>
        </w:tc>
      </w:tr>
    </w:tbl>
    <w:p w14:paraId="0CD080BB">
      <w:pPr>
        <w:bidi w:val="0"/>
        <w:rPr>
          <w:rFonts w:hint="eastAsia"/>
          <w:color w:val="auto"/>
        </w:rPr>
      </w:pPr>
    </w:p>
    <w:p w14:paraId="55D13726">
      <w:pPr>
        <w:pStyle w:val="5"/>
        <w:numPr>
          <w:ilvl w:val="-1"/>
          <w:numId w:val="0"/>
        </w:numPr>
        <w:spacing w:before="156" w:after="156"/>
        <w:rPr>
          <w:rFonts w:hint="eastAsia"/>
          <w:color w:val="auto"/>
        </w:rPr>
      </w:pPr>
      <w:r>
        <w:rPr>
          <w:rFonts w:hint="eastAsia"/>
          <w:color w:val="auto"/>
          <w:lang w:val="en-US" w:eastAsia="zh-CN"/>
        </w:rPr>
        <w:t>1.1</w:t>
      </w:r>
      <w:r>
        <w:rPr>
          <w:rFonts w:hint="eastAsia"/>
          <w:color w:val="auto"/>
        </w:rPr>
        <w:t>三维实景模型与场景空间展示系统软件开发</w:t>
      </w:r>
    </w:p>
    <w:tbl>
      <w:tblPr>
        <w:tblStyle w:val="17"/>
        <w:tblW w:w="14219" w:type="dxa"/>
        <w:tblInd w:w="0" w:type="dxa"/>
        <w:tblLayout w:type="fixed"/>
        <w:tblCellMar>
          <w:top w:w="0" w:type="dxa"/>
          <w:left w:w="108" w:type="dxa"/>
          <w:bottom w:w="0" w:type="dxa"/>
          <w:right w:w="108" w:type="dxa"/>
        </w:tblCellMar>
      </w:tblPr>
      <w:tblGrid>
        <w:gridCol w:w="1176"/>
        <w:gridCol w:w="2443"/>
        <w:gridCol w:w="10600"/>
      </w:tblGrid>
      <w:tr w14:paraId="3644AADB">
        <w:tblPrEx>
          <w:tblCellMar>
            <w:top w:w="0" w:type="dxa"/>
            <w:left w:w="108" w:type="dxa"/>
            <w:bottom w:w="0" w:type="dxa"/>
            <w:right w:w="108" w:type="dxa"/>
          </w:tblCellMar>
        </w:tblPrEx>
        <w:trPr>
          <w:trHeight w:val="269" w:hRule="atLeast"/>
          <w:tblHeader/>
        </w:trPr>
        <w:tc>
          <w:tcPr>
            <w:tcW w:w="1176" w:type="dxa"/>
            <w:tcBorders>
              <w:top w:val="single" w:color="000000" w:sz="4" w:space="0"/>
              <w:left w:val="single" w:color="000000" w:sz="4" w:space="0"/>
              <w:bottom w:val="single" w:color="000000" w:sz="4" w:space="0"/>
              <w:right w:val="single" w:color="000000" w:sz="4" w:space="0"/>
            </w:tcBorders>
            <w:vAlign w:val="center"/>
          </w:tcPr>
          <w:p w14:paraId="67302F26">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序号</w:t>
            </w:r>
          </w:p>
        </w:tc>
        <w:tc>
          <w:tcPr>
            <w:tcW w:w="2443" w:type="dxa"/>
            <w:tcBorders>
              <w:top w:val="single" w:color="000000" w:sz="4" w:space="0"/>
              <w:left w:val="single" w:color="000000" w:sz="4" w:space="0"/>
              <w:bottom w:val="single" w:color="000000" w:sz="4" w:space="0"/>
              <w:right w:val="single" w:color="000000" w:sz="4" w:space="0"/>
            </w:tcBorders>
            <w:vAlign w:val="center"/>
          </w:tcPr>
          <w:p w14:paraId="3E8D9FE1">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功能/模块名称</w:t>
            </w:r>
          </w:p>
        </w:tc>
        <w:tc>
          <w:tcPr>
            <w:tcW w:w="10600" w:type="dxa"/>
            <w:tcBorders>
              <w:top w:val="single" w:color="000000" w:sz="4" w:space="0"/>
              <w:left w:val="single" w:color="000000" w:sz="4" w:space="0"/>
              <w:bottom w:val="single" w:color="000000" w:sz="4" w:space="0"/>
              <w:right w:val="single" w:color="000000" w:sz="4" w:space="0"/>
            </w:tcBorders>
            <w:vAlign w:val="center"/>
          </w:tcPr>
          <w:p w14:paraId="5A3B5F71">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需求描述</w:t>
            </w:r>
          </w:p>
        </w:tc>
      </w:tr>
      <w:tr w14:paraId="587F93BD">
        <w:tblPrEx>
          <w:tblCellMar>
            <w:top w:w="0" w:type="dxa"/>
            <w:left w:w="108" w:type="dxa"/>
            <w:bottom w:w="0" w:type="dxa"/>
            <w:right w:w="108" w:type="dxa"/>
          </w:tblCellMar>
        </w:tblPrEx>
        <w:trPr>
          <w:trHeight w:val="530"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035B757E">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一</w:t>
            </w:r>
          </w:p>
        </w:tc>
        <w:tc>
          <w:tcPr>
            <w:tcW w:w="2443" w:type="dxa"/>
            <w:tcBorders>
              <w:top w:val="single" w:color="000000" w:sz="4" w:space="0"/>
              <w:left w:val="single" w:color="000000" w:sz="4" w:space="0"/>
              <w:bottom w:val="single" w:color="000000" w:sz="4" w:space="0"/>
              <w:right w:val="single" w:color="000000" w:sz="4" w:space="0"/>
            </w:tcBorders>
            <w:vAlign w:val="center"/>
          </w:tcPr>
          <w:p w14:paraId="66B725C2">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三维实景模型与场景空间展示系统</w:t>
            </w:r>
          </w:p>
        </w:tc>
        <w:tc>
          <w:tcPr>
            <w:tcW w:w="10600" w:type="dxa"/>
            <w:tcBorders>
              <w:top w:val="single" w:color="000000" w:sz="4" w:space="0"/>
              <w:left w:val="single" w:color="000000" w:sz="4" w:space="0"/>
              <w:bottom w:val="single" w:color="000000" w:sz="4" w:space="0"/>
              <w:right w:val="single" w:color="000000" w:sz="4" w:space="0"/>
            </w:tcBorders>
            <w:vAlign w:val="center"/>
          </w:tcPr>
          <w:p w14:paraId="1B306C27">
            <w:pPr>
              <w:spacing w:line="240" w:lineRule="auto"/>
              <w:ind w:firstLine="0" w:firstLineChars="0"/>
              <w:rPr>
                <w:rFonts w:hint="eastAsia" w:ascii="宋体" w:hAnsi="宋体" w:cs="宋体"/>
                <w:b/>
                <w:bCs/>
                <w:color w:val="auto"/>
                <w:sz w:val="20"/>
                <w:szCs w:val="20"/>
              </w:rPr>
            </w:pPr>
          </w:p>
        </w:tc>
      </w:tr>
      <w:tr w14:paraId="47781EE5">
        <w:tblPrEx>
          <w:tblCellMar>
            <w:top w:w="0" w:type="dxa"/>
            <w:left w:w="108" w:type="dxa"/>
            <w:bottom w:w="0" w:type="dxa"/>
            <w:right w:w="108" w:type="dxa"/>
          </w:tblCellMar>
        </w:tblPrEx>
        <w:trPr>
          <w:trHeight w:val="530"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315392D3">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（一）</w:t>
            </w:r>
          </w:p>
        </w:tc>
        <w:tc>
          <w:tcPr>
            <w:tcW w:w="2443" w:type="dxa"/>
            <w:tcBorders>
              <w:top w:val="single" w:color="000000" w:sz="4" w:space="0"/>
              <w:left w:val="single" w:color="000000" w:sz="4" w:space="0"/>
              <w:bottom w:val="single" w:color="000000" w:sz="4" w:space="0"/>
              <w:right w:val="single" w:color="000000" w:sz="4" w:space="0"/>
            </w:tcBorders>
            <w:vAlign w:val="center"/>
          </w:tcPr>
          <w:p w14:paraId="6E348855">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需求分析</w:t>
            </w:r>
          </w:p>
        </w:tc>
        <w:tc>
          <w:tcPr>
            <w:tcW w:w="10600" w:type="dxa"/>
            <w:tcBorders>
              <w:top w:val="single" w:color="000000" w:sz="4" w:space="0"/>
              <w:left w:val="single" w:color="000000" w:sz="4" w:space="0"/>
              <w:bottom w:val="single" w:color="000000" w:sz="4" w:space="0"/>
              <w:right w:val="single" w:color="000000" w:sz="4" w:space="0"/>
            </w:tcBorders>
            <w:vAlign w:val="center"/>
          </w:tcPr>
          <w:p w14:paraId="705F235B">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对项目总体的需求范围、建设思路和建设要求进行整体的描述，分析整理项目的功能需求，技术需求、性能需求、安全需求等方面。</w:t>
            </w:r>
          </w:p>
        </w:tc>
      </w:tr>
      <w:tr w14:paraId="67C072C4">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66460D35">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（二）</w:t>
            </w:r>
          </w:p>
        </w:tc>
        <w:tc>
          <w:tcPr>
            <w:tcW w:w="2443" w:type="dxa"/>
            <w:tcBorders>
              <w:top w:val="single" w:color="000000" w:sz="4" w:space="0"/>
              <w:left w:val="single" w:color="000000" w:sz="4" w:space="0"/>
              <w:bottom w:val="single" w:color="000000" w:sz="4" w:space="0"/>
              <w:right w:val="single" w:color="000000" w:sz="4" w:space="0"/>
            </w:tcBorders>
            <w:vAlign w:val="center"/>
          </w:tcPr>
          <w:p w14:paraId="2875982D">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系统设计</w:t>
            </w:r>
          </w:p>
        </w:tc>
        <w:tc>
          <w:tcPr>
            <w:tcW w:w="10600" w:type="dxa"/>
            <w:tcBorders>
              <w:top w:val="single" w:color="000000" w:sz="4" w:space="0"/>
              <w:left w:val="single" w:color="000000" w:sz="4" w:space="0"/>
              <w:bottom w:val="single" w:color="000000" w:sz="4" w:space="0"/>
              <w:right w:val="single" w:color="000000" w:sz="4" w:space="0"/>
            </w:tcBorders>
            <w:vAlign w:val="center"/>
          </w:tcPr>
          <w:p w14:paraId="425BBBBB">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根据需求分析，对功能模块详细设计、数据库详细设计</w:t>
            </w:r>
          </w:p>
        </w:tc>
      </w:tr>
      <w:tr w14:paraId="222275A9">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5CFFA956">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（三）</w:t>
            </w:r>
          </w:p>
        </w:tc>
        <w:tc>
          <w:tcPr>
            <w:tcW w:w="2443" w:type="dxa"/>
            <w:tcBorders>
              <w:top w:val="single" w:color="000000" w:sz="4" w:space="0"/>
              <w:left w:val="single" w:color="000000" w:sz="4" w:space="0"/>
              <w:bottom w:val="single" w:color="000000" w:sz="4" w:space="0"/>
              <w:right w:val="single" w:color="000000" w:sz="4" w:space="0"/>
            </w:tcBorders>
            <w:vAlign w:val="center"/>
          </w:tcPr>
          <w:p w14:paraId="571023CE">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软件开发（编码）</w:t>
            </w:r>
          </w:p>
        </w:tc>
        <w:tc>
          <w:tcPr>
            <w:tcW w:w="10600" w:type="dxa"/>
            <w:tcBorders>
              <w:top w:val="single" w:color="000000" w:sz="4" w:space="0"/>
              <w:left w:val="single" w:color="000000" w:sz="4" w:space="0"/>
              <w:bottom w:val="single" w:color="000000" w:sz="4" w:space="0"/>
              <w:right w:val="single" w:color="000000" w:sz="4" w:space="0"/>
            </w:tcBorders>
            <w:vAlign w:val="center"/>
          </w:tcPr>
          <w:p w14:paraId="213A6E54">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根据系统设计完成相应的模块代码开发</w:t>
            </w:r>
          </w:p>
        </w:tc>
      </w:tr>
      <w:tr w14:paraId="223D37B8">
        <w:tblPrEx>
          <w:tblCellMar>
            <w:top w:w="0" w:type="dxa"/>
            <w:left w:w="108" w:type="dxa"/>
            <w:bottom w:w="0" w:type="dxa"/>
            <w:right w:w="108" w:type="dxa"/>
          </w:tblCellMar>
        </w:tblPrEx>
        <w:trPr>
          <w:trHeight w:val="530"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1F088D6B">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1</w:t>
            </w:r>
          </w:p>
        </w:tc>
        <w:tc>
          <w:tcPr>
            <w:tcW w:w="2443" w:type="dxa"/>
            <w:tcBorders>
              <w:top w:val="single" w:color="000000" w:sz="4" w:space="0"/>
              <w:left w:val="single" w:color="000000" w:sz="4" w:space="0"/>
              <w:bottom w:val="single" w:color="000000" w:sz="4" w:space="0"/>
              <w:right w:val="single" w:color="000000" w:sz="4" w:space="0"/>
            </w:tcBorders>
            <w:vAlign w:val="center"/>
          </w:tcPr>
          <w:p w14:paraId="2625FE1E">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三维场景矢量数据信息管理</w:t>
            </w:r>
          </w:p>
        </w:tc>
        <w:tc>
          <w:tcPr>
            <w:tcW w:w="10600" w:type="dxa"/>
            <w:tcBorders>
              <w:top w:val="single" w:color="000000" w:sz="4" w:space="0"/>
              <w:left w:val="single" w:color="000000" w:sz="4" w:space="0"/>
              <w:bottom w:val="single" w:color="000000" w:sz="4" w:space="0"/>
              <w:right w:val="single" w:color="000000" w:sz="4" w:space="0"/>
            </w:tcBorders>
            <w:vAlign w:val="center"/>
          </w:tcPr>
          <w:p w14:paraId="1A9279E0">
            <w:pPr>
              <w:spacing w:line="240" w:lineRule="auto"/>
              <w:ind w:firstLine="0" w:firstLineChars="0"/>
              <w:jc w:val="left"/>
              <w:rPr>
                <w:rFonts w:hint="eastAsia" w:ascii="宋体" w:hAnsi="宋体" w:cs="宋体"/>
                <w:b/>
                <w:bCs/>
                <w:color w:val="auto"/>
                <w:sz w:val="20"/>
                <w:szCs w:val="20"/>
              </w:rPr>
            </w:pPr>
          </w:p>
        </w:tc>
      </w:tr>
      <w:tr w14:paraId="47F4E32E">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218F6224">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1.1</w:t>
            </w:r>
          </w:p>
        </w:tc>
        <w:tc>
          <w:tcPr>
            <w:tcW w:w="2443" w:type="dxa"/>
            <w:tcBorders>
              <w:top w:val="single" w:color="000000" w:sz="4" w:space="0"/>
              <w:left w:val="single" w:color="000000" w:sz="4" w:space="0"/>
              <w:bottom w:val="single" w:color="000000" w:sz="4" w:space="0"/>
              <w:right w:val="single" w:color="000000" w:sz="4" w:space="0"/>
            </w:tcBorders>
            <w:vAlign w:val="center"/>
          </w:tcPr>
          <w:p w14:paraId="14B4BFD2">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矢量分类管理</w:t>
            </w:r>
          </w:p>
        </w:tc>
        <w:tc>
          <w:tcPr>
            <w:tcW w:w="10600" w:type="dxa"/>
            <w:tcBorders>
              <w:top w:val="single" w:color="000000" w:sz="4" w:space="0"/>
              <w:left w:val="single" w:color="000000" w:sz="4" w:space="0"/>
              <w:bottom w:val="single" w:color="000000" w:sz="4" w:space="0"/>
              <w:right w:val="single" w:color="000000" w:sz="4" w:space="0"/>
            </w:tcBorders>
            <w:vAlign w:val="center"/>
          </w:tcPr>
          <w:p w14:paraId="752F8C5D">
            <w:pPr>
              <w:spacing w:line="240" w:lineRule="auto"/>
              <w:ind w:firstLine="0" w:firstLineChars="0"/>
              <w:jc w:val="left"/>
              <w:rPr>
                <w:rFonts w:hint="eastAsia" w:ascii="宋体" w:hAnsi="宋体" w:cs="宋体"/>
                <w:b/>
                <w:bCs/>
                <w:color w:val="auto"/>
                <w:sz w:val="20"/>
                <w:szCs w:val="20"/>
              </w:rPr>
            </w:pPr>
          </w:p>
        </w:tc>
      </w:tr>
      <w:tr w14:paraId="1ACA8AFA">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18BC47C3">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1.1.1</w:t>
            </w:r>
          </w:p>
        </w:tc>
        <w:tc>
          <w:tcPr>
            <w:tcW w:w="2443" w:type="dxa"/>
            <w:tcBorders>
              <w:top w:val="single" w:color="000000" w:sz="4" w:space="0"/>
              <w:left w:val="single" w:color="000000" w:sz="4" w:space="0"/>
              <w:bottom w:val="single" w:color="000000" w:sz="4" w:space="0"/>
              <w:right w:val="single" w:color="000000" w:sz="4" w:space="0"/>
            </w:tcBorders>
            <w:vAlign w:val="center"/>
          </w:tcPr>
          <w:p w14:paraId="0A19B479">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矢量图层分类管理</w:t>
            </w:r>
          </w:p>
        </w:tc>
        <w:tc>
          <w:tcPr>
            <w:tcW w:w="10600" w:type="dxa"/>
            <w:tcBorders>
              <w:top w:val="single" w:color="000000" w:sz="4" w:space="0"/>
              <w:left w:val="single" w:color="000000" w:sz="4" w:space="0"/>
              <w:bottom w:val="single" w:color="000000" w:sz="4" w:space="0"/>
              <w:right w:val="single" w:color="000000" w:sz="4" w:space="0"/>
            </w:tcBorders>
            <w:vAlign w:val="center"/>
          </w:tcPr>
          <w:p w14:paraId="172D3504">
            <w:pPr>
              <w:spacing w:line="240" w:lineRule="auto"/>
              <w:ind w:firstLine="0" w:firstLineChars="0"/>
              <w:jc w:val="left"/>
              <w:rPr>
                <w:rFonts w:hint="eastAsia" w:ascii="宋体" w:hAnsi="宋体" w:cs="宋体"/>
                <w:b/>
                <w:bCs/>
                <w:color w:val="auto"/>
                <w:sz w:val="20"/>
                <w:szCs w:val="20"/>
              </w:rPr>
            </w:pPr>
          </w:p>
        </w:tc>
      </w:tr>
      <w:tr w14:paraId="770C3531">
        <w:tblPrEx>
          <w:tblCellMar>
            <w:top w:w="0" w:type="dxa"/>
            <w:left w:w="108" w:type="dxa"/>
            <w:bottom w:w="0" w:type="dxa"/>
            <w:right w:w="108" w:type="dxa"/>
          </w:tblCellMar>
        </w:tblPrEx>
        <w:trPr>
          <w:trHeight w:val="530"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67424A0C">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1.1.1.1</w:t>
            </w:r>
          </w:p>
        </w:tc>
        <w:tc>
          <w:tcPr>
            <w:tcW w:w="2443" w:type="dxa"/>
            <w:tcBorders>
              <w:top w:val="single" w:color="000000" w:sz="4" w:space="0"/>
              <w:left w:val="single" w:color="000000" w:sz="4" w:space="0"/>
              <w:bottom w:val="single" w:color="000000" w:sz="4" w:space="0"/>
              <w:right w:val="single" w:color="000000" w:sz="4" w:space="0"/>
            </w:tcBorders>
            <w:vAlign w:val="center"/>
          </w:tcPr>
          <w:p w14:paraId="751F952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矢量图层分类查询</w:t>
            </w:r>
          </w:p>
        </w:tc>
        <w:tc>
          <w:tcPr>
            <w:tcW w:w="10600" w:type="dxa"/>
            <w:tcBorders>
              <w:top w:val="single" w:color="000000" w:sz="4" w:space="0"/>
              <w:left w:val="single" w:color="000000" w:sz="4" w:space="0"/>
              <w:bottom w:val="single" w:color="000000" w:sz="4" w:space="0"/>
              <w:right w:val="single" w:color="000000" w:sz="4" w:space="0"/>
            </w:tcBorders>
            <w:vAlign w:val="center"/>
          </w:tcPr>
          <w:p w14:paraId="57AA27D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用户可以根据矢量图层分类名称模糊搜索或精确搜索图层分类信息，并能实时统计出图层分类下存在的矢量资源数量信息。</w:t>
            </w:r>
          </w:p>
        </w:tc>
      </w:tr>
      <w:tr w14:paraId="4D8F6512">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2A617FAE">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1.1.1.2</w:t>
            </w:r>
          </w:p>
        </w:tc>
        <w:tc>
          <w:tcPr>
            <w:tcW w:w="2443" w:type="dxa"/>
            <w:tcBorders>
              <w:top w:val="single" w:color="000000" w:sz="4" w:space="0"/>
              <w:left w:val="single" w:color="000000" w:sz="4" w:space="0"/>
              <w:bottom w:val="single" w:color="000000" w:sz="4" w:space="0"/>
              <w:right w:val="single" w:color="000000" w:sz="4" w:space="0"/>
            </w:tcBorders>
            <w:vAlign w:val="center"/>
          </w:tcPr>
          <w:p w14:paraId="796BF8D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矢量图层分类列表</w:t>
            </w:r>
          </w:p>
        </w:tc>
        <w:tc>
          <w:tcPr>
            <w:tcW w:w="10600" w:type="dxa"/>
            <w:tcBorders>
              <w:top w:val="single" w:color="000000" w:sz="4" w:space="0"/>
              <w:left w:val="single" w:color="000000" w:sz="4" w:space="0"/>
              <w:bottom w:val="single" w:color="000000" w:sz="4" w:space="0"/>
              <w:right w:val="single" w:color="000000" w:sz="4" w:space="0"/>
            </w:tcBorders>
            <w:vAlign w:val="center"/>
          </w:tcPr>
          <w:p w14:paraId="3E357C7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以树形结构展示矢量图层分类的基本信息。包括矢量图层分类名称、分类编号及关联展示分类所属的资源统计数量。</w:t>
            </w:r>
          </w:p>
        </w:tc>
      </w:tr>
      <w:tr w14:paraId="75552648">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1125495F">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1.1.1.3</w:t>
            </w:r>
          </w:p>
        </w:tc>
        <w:tc>
          <w:tcPr>
            <w:tcW w:w="2443" w:type="dxa"/>
            <w:tcBorders>
              <w:top w:val="single" w:color="000000" w:sz="4" w:space="0"/>
              <w:left w:val="single" w:color="000000" w:sz="4" w:space="0"/>
              <w:bottom w:val="single" w:color="000000" w:sz="4" w:space="0"/>
              <w:right w:val="single" w:color="000000" w:sz="4" w:space="0"/>
            </w:tcBorders>
            <w:vAlign w:val="center"/>
          </w:tcPr>
          <w:p w14:paraId="5E7C6F3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矢量图层分类设置</w:t>
            </w:r>
          </w:p>
        </w:tc>
        <w:tc>
          <w:tcPr>
            <w:tcW w:w="10600" w:type="dxa"/>
            <w:tcBorders>
              <w:top w:val="single" w:color="000000" w:sz="4" w:space="0"/>
              <w:left w:val="single" w:color="000000" w:sz="4" w:space="0"/>
              <w:bottom w:val="single" w:color="000000" w:sz="4" w:space="0"/>
              <w:right w:val="single" w:color="000000" w:sz="4" w:space="0"/>
            </w:tcBorders>
            <w:vAlign w:val="center"/>
          </w:tcPr>
          <w:p w14:paraId="66C3898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雅长保护区内物种、生态系统、典型自然景观，科研监测与科普宣教设施等不同要素图层的分类信息设置。</w:t>
            </w:r>
          </w:p>
        </w:tc>
      </w:tr>
      <w:tr w14:paraId="1045FFF6">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5EAA8879">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1.1.1.4</w:t>
            </w:r>
          </w:p>
        </w:tc>
        <w:tc>
          <w:tcPr>
            <w:tcW w:w="2443" w:type="dxa"/>
            <w:tcBorders>
              <w:top w:val="single" w:color="000000" w:sz="4" w:space="0"/>
              <w:left w:val="single" w:color="000000" w:sz="4" w:space="0"/>
              <w:bottom w:val="single" w:color="000000" w:sz="4" w:space="0"/>
              <w:right w:val="single" w:color="000000" w:sz="4" w:space="0"/>
            </w:tcBorders>
            <w:vAlign w:val="center"/>
          </w:tcPr>
          <w:p w14:paraId="4F426E9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矢量图层分类信息修改</w:t>
            </w:r>
          </w:p>
        </w:tc>
        <w:tc>
          <w:tcPr>
            <w:tcW w:w="10600" w:type="dxa"/>
            <w:tcBorders>
              <w:top w:val="single" w:color="000000" w:sz="4" w:space="0"/>
              <w:left w:val="single" w:color="000000" w:sz="4" w:space="0"/>
              <w:bottom w:val="single" w:color="000000" w:sz="4" w:space="0"/>
              <w:right w:val="single" w:color="000000" w:sz="4" w:space="0"/>
            </w:tcBorders>
            <w:vAlign w:val="center"/>
          </w:tcPr>
          <w:p w14:paraId="4299482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提供在线编辑、修改功能，实现在线修改矢量图层分类信息。</w:t>
            </w:r>
          </w:p>
        </w:tc>
      </w:tr>
      <w:tr w14:paraId="06370045">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68793AE2">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1.1.1.5</w:t>
            </w:r>
          </w:p>
        </w:tc>
        <w:tc>
          <w:tcPr>
            <w:tcW w:w="2443" w:type="dxa"/>
            <w:tcBorders>
              <w:top w:val="single" w:color="000000" w:sz="4" w:space="0"/>
              <w:left w:val="single" w:color="000000" w:sz="4" w:space="0"/>
              <w:bottom w:val="single" w:color="000000" w:sz="4" w:space="0"/>
              <w:right w:val="single" w:color="000000" w:sz="4" w:space="0"/>
            </w:tcBorders>
            <w:vAlign w:val="center"/>
          </w:tcPr>
          <w:p w14:paraId="0DD4EAF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矢量图层分类信息删除</w:t>
            </w:r>
          </w:p>
        </w:tc>
        <w:tc>
          <w:tcPr>
            <w:tcW w:w="10600" w:type="dxa"/>
            <w:tcBorders>
              <w:top w:val="single" w:color="000000" w:sz="4" w:space="0"/>
              <w:left w:val="single" w:color="000000" w:sz="4" w:space="0"/>
              <w:bottom w:val="single" w:color="000000" w:sz="4" w:space="0"/>
              <w:right w:val="single" w:color="000000" w:sz="4" w:space="0"/>
            </w:tcBorders>
            <w:vAlign w:val="center"/>
          </w:tcPr>
          <w:p w14:paraId="3C479B3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删除矢量图层分类信息，只允许删除无所属资源数据的矢量图层信息，删除后数据不进行恢复。</w:t>
            </w:r>
          </w:p>
        </w:tc>
      </w:tr>
      <w:tr w14:paraId="6168BD13">
        <w:tblPrEx>
          <w:tblCellMar>
            <w:top w:w="0" w:type="dxa"/>
            <w:left w:w="108" w:type="dxa"/>
            <w:bottom w:w="0" w:type="dxa"/>
            <w:right w:w="108" w:type="dxa"/>
          </w:tblCellMar>
        </w:tblPrEx>
        <w:trPr>
          <w:trHeight w:val="530"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0711F9D6">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1.1.1.6</w:t>
            </w:r>
          </w:p>
        </w:tc>
        <w:tc>
          <w:tcPr>
            <w:tcW w:w="2443" w:type="dxa"/>
            <w:tcBorders>
              <w:top w:val="single" w:color="000000" w:sz="4" w:space="0"/>
              <w:left w:val="single" w:color="000000" w:sz="4" w:space="0"/>
              <w:bottom w:val="single" w:color="000000" w:sz="4" w:space="0"/>
              <w:right w:val="single" w:color="000000" w:sz="4" w:space="0"/>
            </w:tcBorders>
            <w:vAlign w:val="center"/>
          </w:tcPr>
          <w:p w14:paraId="57AA450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矢量图层分类启用禁用</w:t>
            </w:r>
          </w:p>
        </w:tc>
        <w:tc>
          <w:tcPr>
            <w:tcW w:w="10600" w:type="dxa"/>
            <w:tcBorders>
              <w:top w:val="single" w:color="000000" w:sz="4" w:space="0"/>
              <w:left w:val="single" w:color="000000" w:sz="4" w:space="0"/>
              <w:bottom w:val="single" w:color="000000" w:sz="4" w:space="0"/>
              <w:right w:val="single" w:color="000000" w:sz="4" w:space="0"/>
            </w:tcBorders>
            <w:vAlign w:val="center"/>
          </w:tcPr>
          <w:p w14:paraId="3A26356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矢量图层分类进行启用/禁用控制，同时在三维可视化场景中同步进行禁用图层的取消加载或显示加载，并在上传矢量资源信息时将不能选在已禁用的图层分类。</w:t>
            </w:r>
          </w:p>
        </w:tc>
      </w:tr>
      <w:tr w14:paraId="429D6B59">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0A2A62C0">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1.1.2</w:t>
            </w:r>
          </w:p>
        </w:tc>
        <w:tc>
          <w:tcPr>
            <w:tcW w:w="2443" w:type="dxa"/>
            <w:tcBorders>
              <w:top w:val="single" w:color="000000" w:sz="4" w:space="0"/>
              <w:left w:val="single" w:color="000000" w:sz="4" w:space="0"/>
              <w:bottom w:val="single" w:color="000000" w:sz="4" w:space="0"/>
              <w:right w:val="single" w:color="000000" w:sz="4" w:space="0"/>
            </w:tcBorders>
            <w:vAlign w:val="center"/>
          </w:tcPr>
          <w:p w14:paraId="171B1DA5">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矢量图层图例管理</w:t>
            </w:r>
          </w:p>
        </w:tc>
        <w:tc>
          <w:tcPr>
            <w:tcW w:w="10600" w:type="dxa"/>
            <w:tcBorders>
              <w:top w:val="single" w:color="000000" w:sz="4" w:space="0"/>
              <w:left w:val="single" w:color="000000" w:sz="4" w:space="0"/>
              <w:bottom w:val="single" w:color="000000" w:sz="4" w:space="0"/>
              <w:right w:val="single" w:color="000000" w:sz="4" w:space="0"/>
            </w:tcBorders>
            <w:vAlign w:val="center"/>
          </w:tcPr>
          <w:p w14:paraId="064CF7C5">
            <w:pPr>
              <w:spacing w:line="240" w:lineRule="auto"/>
              <w:ind w:firstLine="0" w:firstLineChars="0"/>
              <w:jc w:val="left"/>
              <w:rPr>
                <w:rFonts w:hint="eastAsia" w:ascii="宋体" w:hAnsi="宋体" w:cs="宋体"/>
                <w:b/>
                <w:bCs/>
                <w:color w:val="auto"/>
                <w:sz w:val="20"/>
                <w:szCs w:val="20"/>
              </w:rPr>
            </w:pPr>
          </w:p>
        </w:tc>
      </w:tr>
      <w:tr w14:paraId="3E800BA9">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2C2BFBB1">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1.1.2.1</w:t>
            </w:r>
          </w:p>
        </w:tc>
        <w:tc>
          <w:tcPr>
            <w:tcW w:w="2443" w:type="dxa"/>
            <w:tcBorders>
              <w:top w:val="single" w:color="000000" w:sz="4" w:space="0"/>
              <w:left w:val="single" w:color="000000" w:sz="4" w:space="0"/>
              <w:bottom w:val="single" w:color="000000" w:sz="4" w:space="0"/>
              <w:right w:val="single" w:color="000000" w:sz="4" w:space="0"/>
            </w:tcBorders>
            <w:vAlign w:val="center"/>
          </w:tcPr>
          <w:p w14:paraId="2E637E4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矢量图层图例图片</w:t>
            </w:r>
          </w:p>
        </w:tc>
        <w:tc>
          <w:tcPr>
            <w:tcW w:w="10600" w:type="dxa"/>
            <w:tcBorders>
              <w:top w:val="single" w:color="000000" w:sz="4" w:space="0"/>
              <w:left w:val="single" w:color="000000" w:sz="4" w:space="0"/>
              <w:bottom w:val="single" w:color="000000" w:sz="4" w:space="0"/>
              <w:right w:val="single" w:color="000000" w:sz="4" w:space="0"/>
            </w:tcBorders>
            <w:vAlign w:val="center"/>
          </w:tcPr>
          <w:p w14:paraId="39F066D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自定义配置上传矢量分类图例图片，图例图片将同步在三维可视化场景中进行标注加载。</w:t>
            </w:r>
          </w:p>
        </w:tc>
      </w:tr>
      <w:tr w14:paraId="1BA81A96">
        <w:tblPrEx>
          <w:tblCellMar>
            <w:top w:w="0" w:type="dxa"/>
            <w:left w:w="108" w:type="dxa"/>
            <w:bottom w:w="0" w:type="dxa"/>
            <w:right w:w="108" w:type="dxa"/>
          </w:tblCellMar>
        </w:tblPrEx>
        <w:trPr>
          <w:trHeight w:val="530"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514C31A1">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1.1.2.2</w:t>
            </w:r>
          </w:p>
        </w:tc>
        <w:tc>
          <w:tcPr>
            <w:tcW w:w="2443" w:type="dxa"/>
            <w:tcBorders>
              <w:top w:val="single" w:color="000000" w:sz="4" w:space="0"/>
              <w:left w:val="single" w:color="000000" w:sz="4" w:space="0"/>
              <w:bottom w:val="single" w:color="000000" w:sz="4" w:space="0"/>
              <w:right w:val="single" w:color="000000" w:sz="4" w:space="0"/>
            </w:tcBorders>
            <w:vAlign w:val="center"/>
          </w:tcPr>
          <w:p w14:paraId="7318C22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矢量图层图例字体颜色</w:t>
            </w:r>
          </w:p>
        </w:tc>
        <w:tc>
          <w:tcPr>
            <w:tcW w:w="10600" w:type="dxa"/>
            <w:tcBorders>
              <w:top w:val="single" w:color="000000" w:sz="4" w:space="0"/>
              <w:left w:val="single" w:color="000000" w:sz="4" w:space="0"/>
              <w:bottom w:val="single" w:color="000000" w:sz="4" w:space="0"/>
              <w:right w:val="single" w:color="000000" w:sz="4" w:space="0"/>
            </w:tcBorders>
            <w:vAlign w:val="center"/>
          </w:tcPr>
          <w:p w14:paraId="17DD5C1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自定义配置矢量分类图例显示字体颜色：1、支持使用自定义颜色滑块的方式选择颜色；2、支持直接输入HEX或RGBA值确认颜色；3、支持进行显示透明度的设置。4、字体衍射、透明度设置完成后，三维场景中将实时进行变更后展现。</w:t>
            </w:r>
          </w:p>
        </w:tc>
      </w:tr>
      <w:tr w14:paraId="466F6986">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1B10B03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1.1.2.3</w:t>
            </w:r>
          </w:p>
        </w:tc>
        <w:tc>
          <w:tcPr>
            <w:tcW w:w="2443" w:type="dxa"/>
            <w:tcBorders>
              <w:top w:val="single" w:color="000000" w:sz="4" w:space="0"/>
              <w:left w:val="single" w:color="000000" w:sz="4" w:space="0"/>
              <w:bottom w:val="single" w:color="000000" w:sz="4" w:space="0"/>
              <w:right w:val="single" w:color="000000" w:sz="4" w:space="0"/>
            </w:tcBorders>
            <w:vAlign w:val="center"/>
          </w:tcPr>
          <w:p w14:paraId="6A4582B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矢量图层图例缺失处理</w:t>
            </w:r>
          </w:p>
        </w:tc>
        <w:tc>
          <w:tcPr>
            <w:tcW w:w="10600" w:type="dxa"/>
            <w:tcBorders>
              <w:top w:val="single" w:color="000000" w:sz="4" w:space="0"/>
              <w:left w:val="single" w:color="000000" w:sz="4" w:space="0"/>
              <w:bottom w:val="single" w:color="000000" w:sz="4" w:space="0"/>
              <w:right w:val="single" w:color="000000" w:sz="4" w:space="0"/>
            </w:tcBorders>
            <w:vAlign w:val="center"/>
          </w:tcPr>
          <w:p w14:paraId="07B400D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系统检测矢量图层图例是否进行配置，系统自动剔除已配置使用的颜色信息后进行自动展示补全。</w:t>
            </w:r>
          </w:p>
        </w:tc>
      </w:tr>
      <w:tr w14:paraId="50818D1F">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3B3003EF">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1.2</w:t>
            </w:r>
          </w:p>
        </w:tc>
        <w:tc>
          <w:tcPr>
            <w:tcW w:w="2443" w:type="dxa"/>
            <w:tcBorders>
              <w:top w:val="single" w:color="000000" w:sz="4" w:space="0"/>
              <w:left w:val="single" w:color="000000" w:sz="4" w:space="0"/>
              <w:bottom w:val="single" w:color="000000" w:sz="4" w:space="0"/>
              <w:right w:val="single" w:color="000000" w:sz="4" w:space="0"/>
            </w:tcBorders>
            <w:vAlign w:val="center"/>
          </w:tcPr>
          <w:p w14:paraId="3C13C1E3">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矢量资源管理</w:t>
            </w:r>
          </w:p>
        </w:tc>
        <w:tc>
          <w:tcPr>
            <w:tcW w:w="10600" w:type="dxa"/>
            <w:tcBorders>
              <w:top w:val="single" w:color="000000" w:sz="4" w:space="0"/>
              <w:left w:val="single" w:color="000000" w:sz="4" w:space="0"/>
              <w:bottom w:val="single" w:color="000000" w:sz="4" w:space="0"/>
              <w:right w:val="single" w:color="000000" w:sz="4" w:space="0"/>
            </w:tcBorders>
            <w:vAlign w:val="center"/>
          </w:tcPr>
          <w:p w14:paraId="5D02080A">
            <w:pPr>
              <w:spacing w:line="240" w:lineRule="auto"/>
              <w:ind w:firstLine="0" w:firstLineChars="0"/>
              <w:jc w:val="left"/>
              <w:rPr>
                <w:rFonts w:hint="eastAsia" w:ascii="宋体" w:hAnsi="宋体" w:cs="宋体"/>
                <w:b/>
                <w:bCs/>
                <w:color w:val="auto"/>
                <w:sz w:val="20"/>
                <w:szCs w:val="20"/>
              </w:rPr>
            </w:pPr>
          </w:p>
        </w:tc>
      </w:tr>
      <w:tr w14:paraId="6EBB99D9">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150FB1BC">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1.2.1</w:t>
            </w:r>
          </w:p>
        </w:tc>
        <w:tc>
          <w:tcPr>
            <w:tcW w:w="2443" w:type="dxa"/>
            <w:tcBorders>
              <w:top w:val="single" w:color="000000" w:sz="4" w:space="0"/>
              <w:left w:val="single" w:color="000000" w:sz="4" w:space="0"/>
              <w:bottom w:val="single" w:color="000000" w:sz="4" w:space="0"/>
              <w:right w:val="single" w:color="000000" w:sz="4" w:space="0"/>
            </w:tcBorders>
            <w:vAlign w:val="center"/>
          </w:tcPr>
          <w:p w14:paraId="16223A1D">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矢量资源信息管理</w:t>
            </w:r>
          </w:p>
        </w:tc>
        <w:tc>
          <w:tcPr>
            <w:tcW w:w="10600" w:type="dxa"/>
            <w:tcBorders>
              <w:top w:val="single" w:color="000000" w:sz="4" w:space="0"/>
              <w:left w:val="single" w:color="000000" w:sz="4" w:space="0"/>
              <w:bottom w:val="single" w:color="000000" w:sz="4" w:space="0"/>
              <w:right w:val="single" w:color="000000" w:sz="4" w:space="0"/>
            </w:tcBorders>
            <w:vAlign w:val="center"/>
          </w:tcPr>
          <w:p w14:paraId="3A1C2295">
            <w:pPr>
              <w:spacing w:line="240" w:lineRule="auto"/>
              <w:ind w:firstLine="0" w:firstLineChars="0"/>
              <w:jc w:val="left"/>
              <w:rPr>
                <w:rFonts w:hint="eastAsia" w:ascii="宋体" w:hAnsi="宋体" w:cs="宋体"/>
                <w:b/>
                <w:bCs/>
                <w:color w:val="auto"/>
                <w:sz w:val="20"/>
                <w:szCs w:val="20"/>
              </w:rPr>
            </w:pPr>
          </w:p>
        </w:tc>
      </w:tr>
      <w:tr w14:paraId="7306BD12">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2E0A152A">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1.2.1.1</w:t>
            </w:r>
          </w:p>
        </w:tc>
        <w:tc>
          <w:tcPr>
            <w:tcW w:w="2443" w:type="dxa"/>
            <w:tcBorders>
              <w:top w:val="single" w:color="000000" w:sz="4" w:space="0"/>
              <w:left w:val="single" w:color="000000" w:sz="4" w:space="0"/>
              <w:bottom w:val="single" w:color="000000" w:sz="4" w:space="0"/>
              <w:right w:val="single" w:color="000000" w:sz="4" w:space="0"/>
            </w:tcBorders>
            <w:vAlign w:val="center"/>
          </w:tcPr>
          <w:p w14:paraId="53DAC57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矢量资源查询</w:t>
            </w:r>
          </w:p>
        </w:tc>
        <w:tc>
          <w:tcPr>
            <w:tcW w:w="10600" w:type="dxa"/>
            <w:tcBorders>
              <w:top w:val="single" w:color="000000" w:sz="4" w:space="0"/>
              <w:left w:val="single" w:color="000000" w:sz="4" w:space="0"/>
              <w:bottom w:val="single" w:color="000000" w:sz="4" w:space="0"/>
              <w:right w:val="single" w:color="000000" w:sz="4" w:space="0"/>
            </w:tcBorders>
            <w:vAlign w:val="center"/>
          </w:tcPr>
          <w:p w14:paraId="0AD77FC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用户可以根据矢量图层分类名称、矢量资源名称、所属年份模糊搜索或精确搜索查询矢量资源数据信息。</w:t>
            </w:r>
          </w:p>
        </w:tc>
      </w:tr>
      <w:tr w14:paraId="383B3489">
        <w:tblPrEx>
          <w:tblCellMar>
            <w:top w:w="0" w:type="dxa"/>
            <w:left w:w="108" w:type="dxa"/>
            <w:bottom w:w="0" w:type="dxa"/>
            <w:right w:w="108" w:type="dxa"/>
          </w:tblCellMar>
        </w:tblPrEx>
        <w:trPr>
          <w:trHeight w:val="530"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649043C3">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1.2.1.2</w:t>
            </w:r>
          </w:p>
        </w:tc>
        <w:tc>
          <w:tcPr>
            <w:tcW w:w="2443" w:type="dxa"/>
            <w:tcBorders>
              <w:top w:val="single" w:color="000000" w:sz="4" w:space="0"/>
              <w:left w:val="single" w:color="000000" w:sz="4" w:space="0"/>
              <w:bottom w:val="single" w:color="000000" w:sz="4" w:space="0"/>
              <w:right w:val="single" w:color="000000" w:sz="4" w:space="0"/>
            </w:tcBorders>
            <w:vAlign w:val="center"/>
          </w:tcPr>
          <w:p w14:paraId="0D84832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矢量资源上传</w:t>
            </w:r>
          </w:p>
        </w:tc>
        <w:tc>
          <w:tcPr>
            <w:tcW w:w="10600" w:type="dxa"/>
            <w:tcBorders>
              <w:top w:val="single" w:color="000000" w:sz="4" w:space="0"/>
              <w:left w:val="single" w:color="000000" w:sz="4" w:space="0"/>
              <w:bottom w:val="single" w:color="000000" w:sz="4" w:space="0"/>
              <w:right w:val="single" w:color="000000" w:sz="4" w:space="0"/>
            </w:tcBorders>
            <w:vAlign w:val="center"/>
          </w:tcPr>
          <w:p w14:paraId="2FA85DE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提供矢量资源数据上传功能，支持将采集的矢量资源SHP数据以ZIP格式导入系统中，导入过程中对矢量数据进行验证，并对验证后不正确的SHP数据信息错误提示。</w:t>
            </w:r>
          </w:p>
        </w:tc>
      </w:tr>
      <w:tr w14:paraId="4F1F67C0">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525B3E1D">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1.2.1.3</w:t>
            </w:r>
          </w:p>
        </w:tc>
        <w:tc>
          <w:tcPr>
            <w:tcW w:w="2443" w:type="dxa"/>
            <w:tcBorders>
              <w:top w:val="single" w:color="000000" w:sz="4" w:space="0"/>
              <w:left w:val="single" w:color="000000" w:sz="4" w:space="0"/>
              <w:bottom w:val="single" w:color="000000" w:sz="4" w:space="0"/>
              <w:right w:val="single" w:color="000000" w:sz="4" w:space="0"/>
            </w:tcBorders>
            <w:vAlign w:val="center"/>
          </w:tcPr>
          <w:p w14:paraId="116AD04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矢量资源绑定</w:t>
            </w:r>
          </w:p>
        </w:tc>
        <w:tc>
          <w:tcPr>
            <w:tcW w:w="10600" w:type="dxa"/>
            <w:tcBorders>
              <w:top w:val="single" w:color="000000" w:sz="4" w:space="0"/>
              <w:left w:val="single" w:color="000000" w:sz="4" w:space="0"/>
              <w:bottom w:val="single" w:color="000000" w:sz="4" w:space="0"/>
              <w:right w:val="single" w:color="000000" w:sz="4" w:space="0"/>
            </w:tcBorders>
            <w:vAlign w:val="center"/>
          </w:tcPr>
          <w:p w14:paraId="49C5034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对上传验证后的矢量资源进行绑定操作，绑定矢量资源所属的保护区片区、矢量分类及所属年份信息。</w:t>
            </w:r>
          </w:p>
        </w:tc>
      </w:tr>
      <w:tr w14:paraId="6C7140EF">
        <w:tblPrEx>
          <w:tblCellMar>
            <w:top w:w="0" w:type="dxa"/>
            <w:left w:w="108" w:type="dxa"/>
            <w:bottom w:w="0" w:type="dxa"/>
            <w:right w:w="108" w:type="dxa"/>
          </w:tblCellMar>
        </w:tblPrEx>
        <w:trPr>
          <w:trHeight w:val="530"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02DC1250">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1.2.1.4</w:t>
            </w:r>
          </w:p>
        </w:tc>
        <w:tc>
          <w:tcPr>
            <w:tcW w:w="2443" w:type="dxa"/>
            <w:tcBorders>
              <w:top w:val="single" w:color="000000" w:sz="4" w:space="0"/>
              <w:left w:val="single" w:color="000000" w:sz="4" w:space="0"/>
              <w:bottom w:val="single" w:color="000000" w:sz="4" w:space="0"/>
              <w:right w:val="single" w:color="000000" w:sz="4" w:space="0"/>
            </w:tcBorders>
            <w:vAlign w:val="center"/>
          </w:tcPr>
          <w:p w14:paraId="4FB7273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矢量资源数据解译</w:t>
            </w:r>
          </w:p>
        </w:tc>
        <w:tc>
          <w:tcPr>
            <w:tcW w:w="10600" w:type="dxa"/>
            <w:tcBorders>
              <w:top w:val="single" w:color="000000" w:sz="4" w:space="0"/>
              <w:left w:val="single" w:color="000000" w:sz="4" w:space="0"/>
              <w:bottom w:val="single" w:color="000000" w:sz="4" w:space="0"/>
              <w:right w:val="single" w:color="000000" w:sz="4" w:space="0"/>
            </w:tcBorders>
            <w:vAlign w:val="center"/>
          </w:tcPr>
          <w:p w14:paraId="4067F32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对矢量资源SHP文件中的点、线、面数据进行解译，提取资源中每条矢量数据的属性信息并进行矢量数据预处理及分类存储。</w:t>
            </w:r>
          </w:p>
        </w:tc>
      </w:tr>
      <w:tr w14:paraId="1CE971BC">
        <w:tblPrEx>
          <w:tblCellMar>
            <w:top w:w="0" w:type="dxa"/>
            <w:left w:w="108" w:type="dxa"/>
            <w:bottom w:w="0" w:type="dxa"/>
            <w:right w:w="108" w:type="dxa"/>
          </w:tblCellMar>
        </w:tblPrEx>
        <w:trPr>
          <w:trHeight w:val="530"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4FD5045D">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1.2.1.5</w:t>
            </w:r>
          </w:p>
        </w:tc>
        <w:tc>
          <w:tcPr>
            <w:tcW w:w="2443" w:type="dxa"/>
            <w:tcBorders>
              <w:top w:val="single" w:color="000000" w:sz="4" w:space="0"/>
              <w:left w:val="single" w:color="000000" w:sz="4" w:space="0"/>
              <w:bottom w:val="single" w:color="000000" w:sz="4" w:space="0"/>
              <w:right w:val="single" w:color="000000" w:sz="4" w:space="0"/>
            </w:tcBorders>
            <w:vAlign w:val="center"/>
          </w:tcPr>
          <w:p w14:paraId="3A15413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矢量资源列表</w:t>
            </w:r>
          </w:p>
        </w:tc>
        <w:tc>
          <w:tcPr>
            <w:tcW w:w="10600" w:type="dxa"/>
            <w:tcBorders>
              <w:top w:val="single" w:color="000000" w:sz="4" w:space="0"/>
              <w:left w:val="single" w:color="000000" w:sz="4" w:space="0"/>
              <w:bottom w:val="single" w:color="000000" w:sz="4" w:space="0"/>
              <w:right w:val="single" w:color="000000" w:sz="4" w:space="0"/>
            </w:tcBorders>
            <w:vAlign w:val="center"/>
          </w:tcPr>
          <w:p w14:paraId="5C73EE9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展示矢量资源的基本信息。包括矢量图层分类、资源名称、、图形、所属分区、年份及关联展示矢量资源解译的矢量数据统计数量。</w:t>
            </w:r>
          </w:p>
        </w:tc>
      </w:tr>
      <w:tr w14:paraId="5702E312">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42BCEC8C">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1.2.1.6</w:t>
            </w:r>
          </w:p>
        </w:tc>
        <w:tc>
          <w:tcPr>
            <w:tcW w:w="2443" w:type="dxa"/>
            <w:tcBorders>
              <w:top w:val="single" w:color="000000" w:sz="4" w:space="0"/>
              <w:left w:val="single" w:color="000000" w:sz="4" w:space="0"/>
              <w:bottom w:val="single" w:color="000000" w:sz="4" w:space="0"/>
              <w:right w:val="single" w:color="000000" w:sz="4" w:space="0"/>
            </w:tcBorders>
            <w:vAlign w:val="center"/>
          </w:tcPr>
          <w:p w14:paraId="64CB99F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矢量资源信息修改</w:t>
            </w:r>
          </w:p>
        </w:tc>
        <w:tc>
          <w:tcPr>
            <w:tcW w:w="10600" w:type="dxa"/>
            <w:tcBorders>
              <w:top w:val="single" w:color="000000" w:sz="4" w:space="0"/>
              <w:left w:val="single" w:color="000000" w:sz="4" w:space="0"/>
              <w:bottom w:val="single" w:color="000000" w:sz="4" w:space="0"/>
              <w:right w:val="single" w:color="000000" w:sz="4" w:space="0"/>
            </w:tcBorders>
            <w:vAlign w:val="center"/>
          </w:tcPr>
          <w:p w14:paraId="71DF64A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修改矢量资源信息。包括资源的名称、所属保护区分区、矢量年份信息。</w:t>
            </w:r>
          </w:p>
        </w:tc>
      </w:tr>
      <w:tr w14:paraId="1C58917A">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24CE1E94">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1.2.17000</w:t>
            </w:r>
          </w:p>
        </w:tc>
        <w:tc>
          <w:tcPr>
            <w:tcW w:w="2443" w:type="dxa"/>
            <w:tcBorders>
              <w:top w:val="single" w:color="000000" w:sz="4" w:space="0"/>
              <w:left w:val="single" w:color="000000" w:sz="4" w:space="0"/>
              <w:bottom w:val="single" w:color="000000" w:sz="4" w:space="0"/>
              <w:right w:val="single" w:color="000000" w:sz="4" w:space="0"/>
            </w:tcBorders>
            <w:vAlign w:val="center"/>
          </w:tcPr>
          <w:p w14:paraId="1277E2F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矢量资源信息删除</w:t>
            </w:r>
          </w:p>
        </w:tc>
        <w:tc>
          <w:tcPr>
            <w:tcW w:w="10600" w:type="dxa"/>
            <w:tcBorders>
              <w:top w:val="single" w:color="000000" w:sz="4" w:space="0"/>
              <w:left w:val="single" w:color="000000" w:sz="4" w:space="0"/>
              <w:bottom w:val="single" w:color="000000" w:sz="4" w:space="0"/>
              <w:right w:val="single" w:color="000000" w:sz="4" w:space="0"/>
            </w:tcBorders>
            <w:vAlign w:val="center"/>
          </w:tcPr>
          <w:p w14:paraId="1C4AF75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删除矢量资源信息，矢量资源删除图层分类信息，只允许删除无所属资源数据的矢量图层信息，删除后数据不进行恢复。</w:t>
            </w:r>
          </w:p>
        </w:tc>
      </w:tr>
      <w:tr w14:paraId="4B2C6A00">
        <w:tblPrEx>
          <w:tblCellMar>
            <w:top w:w="0" w:type="dxa"/>
            <w:left w:w="108" w:type="dxa"/>
            <w:bottom w:w="0" w:type="dxa"/>
            <w:right w:w="108" w:type="dxa"/>
          </w:tblCellMar>
        </w:tblPrEx>
        <w:trPr>
          <w:trHeight w:val="530"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0CD1B1DE">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1.2.1.8</w:t>
            </w:r>
          </w:p>
        </w:tc>
        <w:tc>
          <w:tcPr>
            <w:tcW w:w="2443" w:type="dxa"/>
            <w:tcBorders>
              <w:top w:val="single" w:color="000000" w:sz="4" w:space="0"/>
              <w:left w:val="single" w:color="000000" w:sz="4" w:space="0"/>
              <w:bottom w:val="single" w:color="000000" w:sz="4" w:space="0"/>
              <w:right w:val="single" w:color="000000" w:sz="4" w:space="0"/>
            </w:tcBorders>
            <w:vAlign w:val="center"/>
          </w:tcPr>
          <w:p w14:paraId="63A13C2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矢量资源介绍</w:t>
            </w:r>
          </w:p>
        </w:tc>
        <w:tc>
          <w:tcPr>
            <w:tcW w:w="10600" w:type="dxa"/>
            <w:tcBorders>
              <w:top w:val="single" w:color="000000" w:sz="4" w:space="0"/>
              <w:left w:val="single" w:color="000000" w:sz="4" w:space="0"/>
              <w:bottom w:val="single" w:color="000000" w:sz="4" w:space="0"/>
              <w:right w:val="single" w:color="000000" w:sz="4" w:space="0"/>
            </w:tcBorders>
            <w:vAlign w:val="center"/>
          </w:tcPr>
          <w:p w14:paraId="3B8CBDD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矢量资源介绍主要实现保护区所处位置及物种、生态系统、生存环境、自然景观、人文景观、社区及其他保护管理的标注、说明，实现以文字、图片等多种形式的介绍。</w:t>
            </w:r>
          </w:p>
        </w:tc>
      </w:tr>
      <w:tr w14:paraId="270B3CFC">
        <w:tblPrEx>
          <w:tblCellMar>
            <w:top w:w="0" w:type="dxa"/>
            <w:left w:w="108" w:type="dxa"/>
            <w:bottom w:w="0" w:type="dxa"/>
            <w:right w:w="108" w:type="dxa"/>
          </w:tblCellMar>
        </w:tblPrEx>
        <w:trPr>
          <w:trHeight w:val="1051"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01EB5998">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1.2.1.9</w:t>
            </w:r>
          </w:p>
        </w:tc>
        <w:tc>
          <w:tcPr>
            <w:tcW w:w="2443" w:type="dxa"/>
            <w:tcBorders>
              <w:top w:val="single" w:color="000000" w:sz="4" w:space="0"/>
              <w:left w:val="single" w:color="000000" w:sz="4" w:space="0"/>
              <w:bottom w:val="single" w:color="000000" w:sz="4" w:space="0"/>
              <w:right w:val="single" w:color="000000" w:sz="4" w:space="0"/>
            </w:tcBorders>
            <w:vAlign w:val="center"/>
          </w:tcPr>
          <w:p w14:paraId="3CD8DCA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自定义矢量资源简单面图形</w:t>
            </w:r>
          </w:p>
        </w:tc>
        <w:tc>
          <w:tcPr>
            <w:tcW w:w="10600" w:type="dxa"/>
            <w:tcBorders>
              <w:top w:val="single" w:color="000000" w:sz="4" w:space="0"/>
              <w:left w:val="single" w:color="000000" w:sz="4" w:space="0"/>
              <w:bottom w:val="single" w:color="000000" w:sz="4" w:space="0"/>
              <w:right w:val="single" w:color="000000" w:sz="4" w:space="0"/>
            </w:tcBorders>
            <w:vAlign w:val="center"/>
          </w:tcPr>
          <w:p w14:paraId="6695FAF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自定义配置矢量资源简单面图形：1、支持进行简单面填充类型设置，包含实体填充、斜线填充、十字填充、X填充、反线填充、横线填充、竖线填充方式；2、支持进行简单面颜色自定义设置，使用自定义颜色滑块的方式选择颜色或直接输入HEX或RGBA值确认颜色，并进行显示透明度的设置。3、简单面自定义轮廓设置，包括设置线类型（实线、线、线点、短线、长线、点等）、轮廓颜色及宽度设置；4、矢量资源简单面信息同步至三维场景中实时进行变更展现。</w:t>
            </w:r>
          </w:p>
        </w:tc>
      </w:tr>
      <w:tr w14:paraId="361E0E99">
        <w:tblPrEx>
          <w:tblCellMar>
            <w:top w:w="0" w:type="dxa"/>
            <w:left w:w="108" w:type="dxa"/>
            <w:bottom w:w="0" w:type="dxa"/>
            <w:right w:w="108" w:type="dxa"/>
          </w:tblCellMar>
        </w:tblPrEx>
        <w:trPr>
          <w:trHeight w:val="790"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752F4DCF">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1.2.1.10</w:t>
            </w:r>
          </w:p>
        </w:tc>
        <w:tc>
          <w:tcPr>
            <w:tcW w:w="2443" w:type="dxa"/>
            <w:tcBorders>
              <w:top w:val="single" w:color="000000" w:sz="4" w:space="0"/>
              <w:left w:val="single" w:color="000000" w:sz="4" w:space="0"/>
              <w:bottom w:val="single" w:color="000000" w:sz="4" w:space="0"/>
              <w:right w:val="single" w:color="000000" w:sz="4" w:space="0"/>
            </w:tcBorders>
            <w:vAlign w:val="center"/>
          </w:tcPr>
          <w:p w14:paraId="32C8FC3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自定义矢量资源图片面图形</w:t>
            </w:r>
          </w:p>
        </w:tc>
        <w:tc>
          <w:tcPr>
            <w:tcW w:w="10600" w:type="dxa"/>
            <w:tcBorders>
              <w:top w:val="single" w:color="000000" w:sz="4" w:space="0"/>
              <w:left w:val="single" w:color="000000" w:sz="4" w:space="0"/>
              <w:bottom w:val="single" w:color="000000" w:sz="4" w:space="0"/>
              <w:right w:val="single" w:color="000000" w:sz="4" w:space="0"/>
            </w:tcBorders>
            <w:vAlign w:val="center"/>
          </w:tcPr>
          <w:p w14:paraId="63812AF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自定义配置矢量资源图片面图形：1、自定义上传图片面图片信息，并自动设置图片的像素值宽度及像素值高度信息；2、根据上传的图片信息及三维空间数据，配置图片面的偏移X像素值及偏移Y像素值同时定义比例XY值；3、矢量资源图片面信息同步至三维场景中实时进行变更展现。</w:t>
            </w:r>
          </w:p>
        </w:tc>
      </w:tr>
      <w:tr w14:paraId="44E024AE">
        <w:tblPrEx>
          <w:tblCellMar>
            <w:top w:w="0" w:type="dxa"/>
            <w:left w:w="108" w:type="dxa"/>
            <w:bottom w:w="0" w:type="dxa"/>
            <w:right w:w="108" w:type="dxa"/>
          </w:tblCellMar>
        </w:tblPrEx>
        <w:trPr>
          <w:trHeight w:val="790"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3A22D448">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1.2.1.11</w:t>
            </w:r>
          </w:p>
        </w:tc>
        <w:tc>
          <w:tcPr>
            <w:tcW w:w="2443" w:type="dxa"/>
            <w:tcBorders>
              <w:top w:val="single" w:color="000000" w:sz="4" w:space="0"/>
              <w:left w:val="single" w:color="000000" w:sz="4" w:space="0"/>
              <w:bottom w:val="single" w:color="000000" w:sz="4" w:space="0"/>
              <w:right w:val="single" w:color="000000" w:sz="4" w:space="0"/>
            </w:tcBorders>
            <w:vAlign w:val="center"/>
          </w:tcPr>
          <w:p w14:paraId="653699A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自定义矢量资源面轮廓</w:t>
            </w:r>
          </w:p>
        </w:tc>
        <w:tc>
          <w:tcPr>
            <w:tcW w:w="10600" w:type="dxa"/>
            <w:tcBorders>
              <w:top w:val="single" w:color="000000" w:sz="4" w:space="0"/>
              <w:left w:val="single" w:color="000000" w:sz="4" w:space="0"/>
              <w:bottom w:val="single" w:color="000000" w:sz="4" w:space="0"/>
              <w:right w:val="single" w:color="000000" w:sz="4" w:space="0"/>
            </w:tcBorders>
            <w:vAlign w:val="center"/>
          </w:tcPr>
          <w:p w14:paraId="7AB2AC0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自定义资源面轮廓设置，包括设置线类型（实线、线、线点、短线、长线、点等）、支持进行资源面轮廓颜色自定义设置，使用自定义颜色滑块的方式选择颜色或直接输入HEX或RGBA值确认颜色，并进行显示透明度的设置。进行面轮廓宽度设置。</w:t>
            </w:r>
          </w:p>
        </w:tc>
      </w:tr>
      <w:tr w14:paraId="5C5C5D81">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65EC065E">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1.2.2</w:t>
            </w:r>
          </w:p>
        </w:tc>
        <w:tc>
          <w:tcPr>
            <w:tcW w:w="2443" w:type="dxa"/>
            <w:tcBorders>
              <w:top w:val="single" w:color="000000" w:sz="4" w:space="0"/>
              <w:left w:val="single" w:color="000000" w:sz="4" w:space="0"/>
              <w:bottom w:val="single" w:color="000000" w:sz="4" w:space="0"/>
              <w:right w:val="single" w:color="000000" w:sz="4" w:space="0"/>
            </w:tcBorders>
            <w:vAlign w:val="center"/>
          </w:tcPr>
          <w:p w14:paraId="2ABD3837">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矢量资源数据管理</w:t>
            </w:r>
          </w:p>
        </w:tc>
        <w:tc>
          <w:tcPr>
            <w:tcW w:w="10600" w:type="dxa"/>
            <w:tcBorders>
              <w:top w:val="single" w:color="000000" w:sz="4" w:space="0"/>
              <w:left w:val="single" w:color="000000" w:sz="4" w:space="0"/>
              <w:bottom w:val="single" w:color="000000" w:sz="4" w:space="0"/>
              <w:right w:val="single" w:color="000000" w:sz="4" w:space="0"/>
            </w:tcBorders>
            <w:vAlign w:val="center"/>
          </w:tcPr>
          <w:p w14:paraId="38225752">
            <w:pPr>
              <w:spacing w:line="240" w:lineRule="auto"/>
              <w:ind w:firstLine="0" w:firstLineChars="0"/>
              <w:jc w:val="left"/>
              <w:rPr>
                <w:rFonts w:hint="eastAsia" w:ascii="宋体" w:hAnsi="宋体" w:cs="宋体"/>
                <w:b/>
                <w:bCs/>
                <w:color w:val="auto"/>
                <w:sz w:val="20"/>
                <w:szCs w:val="20"/>
              </w:rPr>
            </w:pPr>
          </w:p>
        </w:tc>
      </w:tr>
      <w:tr w14:paraId="285340D1">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5E7C13E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1.2.2.1</w:t>
            </w:r>
          </w:p>
        </w:tc>
        <w:tc>
          <w:tcPr>
            <w:tcW w:w="2443" w:type="dxa"/>
            <w:tcBorders>
              <w:top w:val="single" w:color="000000" w:sz="4" w:space="0"/>
              <w:left w:val="single" w:color="000000" w:sz="4" w:space="0"/>
              <w:bottom w:val="single" w:color="000000" w:sz="4" w:space="0"/>
              <w:right w:val="single" w:color="000000" w:sz="4" w:space="0"/>
            </w:tcBorders>
            <w:vAlign w:val="center"/>
          </w:tcPr>
          <w:p w14:paraId="5913556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矢量资源数据属性管理</w:t>
            </w:r>
          </w:p>
        </w:tc>
        <w:tc>
          <w:tcPr>
            <w:tcW w:w="10600" w:type="dxa"/>
            <w:tcBorders>
              <w:top w:val="single" w:color="000000" w:sz="4" w:space="0"/>
              <w:left w:val="single" w:color="000000" w:sz="4" w:space="0"/>
              <w:bottom w:val="single" w:color="000000" w:sz="4" w:space="0"/>
              <w:right w:val="single" w:color="000000" w:sz="4" w:space="0"/>
            </w:tcBorders>
            <w:vAlign w:val="center"/>
          </w:tcPr>
          <w:p w14:paraId="55C1741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在系统中对解译后的单条矢量数据进行管理及属性信息修改，支持查看、编辑和更新每条矢量数据的数据名称、周长、面积、定位等属性信息。</w:t>
            </w:r>
          </w:p>
        </w:tc>
      </w:tr>
      <w:tr w14:paraId="7D41890B">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1CEA51B1">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1.2.2.2</w:t>
            </w:r>
          </w:p>
        </w:tc>
        <w:tc>
          <w:tcPr>
            <w:tcW w:w="2443" w:type="dxa"/>
            <w:tcBorders>
              <w:top w:val="single" w:color="000000" w:sz="4" w:space="0"/>
              <w:left w:val="single" w:color="000000" w:sz="4" w:space="0"/>
              <w:bottom w:val="single" w:color="000000" w:sz="4" w:space="0"/>
              <w:right w:val="single" w:color="000000" w:sz="4" w:space="0"/>
            </w:tcBorders>
            <w:vAlign w:val="center"/>
          </w:tcPr>
          <w:p w14:paraId="644CBCE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矢量资源数据列表</w:t>
            </w:r>
          </w:p>
        </w:tc>
        <w:tc>
          <w:tcPr>
            <w:tcW w:w="10600" w:type="dxa"/>
            <w:tcBorders>
              <w:top w:val="single" w:color="000000" w:sz="4" w:space="0"/>
              <w:left w:val="single" w:color="000000" w:sz="4" w:space="0"/>
              <w:bottom w:val="single" w:color="000000" w:sz="4" w:space="0"/>
              <w:right w:val="single" w:color="000000" w:sz="4" w:space="0"/>
            </w:tcBorders>
            <w:vAlign w:val="center"/>
          </w:tcPr>
          <w:p w14:paraId="6EF6EBD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展示矢量资源数据的基本信息。包括数据名称、周长、面积、定位等信息并统计出当前资源数据条目数量。</w:t>
            </w:r>
          </w:p>
        </w:tc>
      </w:tr>
      <w:tr w14:paraId="3673AF21">
        <w:tblPrEx>
          <w:tblCellMar>
            <w:top w:w="0" w:type="dxa"/>
            <w:left w:w="108" w:type="dxa"/>
            <w:bottom w:w="0" w:type="dxa"/>
            <w:right w:w="108" w:type="dxa"/>
          </w:tblCellMar>
        </w:tblPrEx>
        <w:trPr>
          <w:trHeight w:val="530"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56335DEF">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1.2.2.3</w:t>
            </w:r>
          </w:p>
        </w:tc>
        <w:tc>
          <w:tcPr>
            <w:tcW w:w="2443" w:type="dxa"/>
            <w:tcBorders>
              <w:top w:val="single" w:color="000000" w:sz="4" w:space="0"/>
              <w:left w:val="single" w:color="000000" w:sz="4" w:space="0"/>
              <w:bottom w:val="single" w:color="000000" w:sz="4" w:space="0"/>
              <w:right w:val="single" w:color="000000" w:sz="4" w:space="0"/>
            </w:tcBorders>
            <w:vAlign w:val="center"/>
          </w:tcPr>
          <w:p w14:paraId="0BA78C3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矢量数据GIS预览</w:t>
            </w:r>
          </w:p>
        </w:tc>
        <w:tc>
          <w:tcPr>
            <w:tcW w:w="10600" w:type="dxa"/>
            <w:tcBorders>
              <w:top w:val="single" w:color="000000" w:sz="4" w:space="0"/>
              <w:left w:val="single" w:color="000000" w:sz="4" w:space="0"/>
              <w:bottom w:val="single" w:color="000000" w:sz="4" w:space="0"/>
              <w:right w:val="single" w:color="000000" w:sz="4" w:space="0"/>
            </w:tcBorders>
            <w:vAlign w:val="center"/>
          </w:tcPr>
          <w:p w14:paraId="35BBE80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在GIS地图中加载出当前矢量资源的所有矢量数据，直观查看矢量数据的分布及属性信息，以及每个矢量数据的具体位置等属性信息。</w:t>
            </w:r>
          </w:p>
        </w:tc>
      </w:tr>
      <w:tr w14:paraId="121DA485">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0F12600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1.2.2.4</w:t>
            </w:r>
          </w:p>
        </w:tc>
        <w:tc>
          <w:tcPr>
            <w:tcW w:w="2443" w:type="dxa"/>
            <w:tcBorders>
              <w:top w:val="single" w:color="000000" w:sz="4" w:space="0"/>
              <w:left w:val="single" w:color="000000" w:sz="4" w:space="0"/>
              <w:bottom w:val="single" w:color="000000" w:sz="4" w:space="0"/>
              <w:right w:val="single" w:color="000000" w:sz="4" w:space="0"/>
            </w:tcBorders>
            <w:vAlign w:val="center"/>
          </w:tcPr>
          <w:p w14:paraId="4EFABA9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矢量数据GIS定位</w:t>
            </w:r>
          </w:p>
        </w:tc>
        <w:tc>
          <w:tcPr>
            <w:tcW w:w="10600" w:type="dxa"/>
            <w:tcBorders>
              <w:top w:val="single" w:color="000000" w:sz="4" w:space="0"/>
              <w:left w:val="single" w:color="000000" w:sz="4" w:space="0"/>
              <w:bottom w:val="single" w:color="000000" w:sz="4" w:space="0"/>
              <w:right w:val="single" w:color="000000" w:sz="4" w:space="0"/>
            </w:tcBorders>
            <w:vAlign w:val="center"/>
          </w:tcPr>
          <w:p w14:paraId="03D6239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点击矢量数据定位按钮，可以在GIS地图中快速定位到矢量数据位置，并进行高亮展示。</w:t>
            </w:r>
          </w:p>
        </w:tc>
      </w:tr>
      <w:tr w14:paraId="2FA9F701">
        <w:tblPrEx>
          <w:tblCellMar>
            <w:top w:w="0" w:type="dxa"/>
            <w:left w:w="108" w:type="dxa"/>
            <w:bottom w:w="0" w:type="dxa"/>
            <w:right w:w="108" w:type="dxa"/>
          </w:tblCellMar>
        </w:tblPrEx>
        <w:trPr>
          <w:trHeight w:val="530"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163D49CD">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1.2.2.5</w:t>
            </w:r>
          </w:p>
        </w:tc>
        <w:tc>
          <w:tcPr>
            <w:tcW w:w="2443" w:type="dxa"/>
            <w:tcBorders>
              <w:top w:val="single" w:color="000000" w:sz="4" w:space="0"/>
              <w:left w:val="single" w:color="000000" w:sz="4" w:space="0"/>
              <w:bottom w:val="single" w:color="000000" w:sz="4" w:space="0"/>
              <w:right w:val="single" w:color="000000" w:sz="4" w:space="0"/>
            </w:tcBorders>
            <w:vAlign w:val="center"/>
          </w:tcPr>
          <w:p w14:paraId="4844FBE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矢量周长计算</w:t>
            </w:r>
          </w:p>
        </w:tc>
        <w:tc>
          <w:tcPr>
            <w:tcW w:w="10600" w:type="dxa"/>
            <w:tcBorders>
              <w:top w:val="single" w:color="000000" w:sz="4" w:space="0"/>
              <w:left w:val="single" w:color="000000" w:sz="4" w:space="0"/>
              <w:bottom w:val="single" w:color="000000" w:sz="4" w:space="0"/>
              <w:right w:val="single" w:color="000000" w:sz="4" w:space="0"/>
            </w:tcBorders>
            <w:vAlign w:val="center"/>
          </w:tcPr>
          <w:p w14:paraId="1980191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自动计算矢量数据周长，并将新计算的周长数据与解译周长数据进行对比，当用户主动触发周长数据替换指令时自动进行周长属性更改。</w:t>
            </w:r>
          </w:p>
        </w:tc>
      </w:tr>
      <w:tr w14:paraId="19EA4DBE">
        <w:tblPrEx>
          <w:tblCellMar>
            <w:top w:w="0" w:type="dxa"/>
            <w:left w:w="108" w:type="dxa"/>
            <w:bottom w:w="0" w:type="dxa"/>
            <w:right w:w="108" w:type="dxa"/>
          </w:tblCellMar>
        </w:tblPrEx>
        <w:trPr>
          <w:trHeight w:val="530"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2675B3F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1.2.2.6</w:t>
            </w:r>
          </w:p>
        </w:tc>
        <w:tc>
          <w:tcPr>
            <w:tcW w:w="2443" w:type="dxa"/>
            <w:tcBorders>
              <w:top w:val="single" w:color="000000" w:sz="4" w:space="0"/>
              <w:left w:val="single" w:color="000000" w:sz="4" w:space="0"/>
              <w:bottom w:val="single" w:color="000000" w:sz="4" w:space="0"/>
              <w:right w:val="single" w:color="000000" w:sz="4" w:space="0"/>
            </w:tcBorders>
            <w:vAlign w:val="center"/>
          </w:tcPr>
          <w:p w14:paraId="0C84B81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矢量面积计算</w:t>
            </w:r>
          </w:p>
        </w:tc>
        <w:tc>
          <w:tcPr>
            <w:tcW w:w="10600" w:type="dxa"/>
            <w:tcBorders>
              <w:top w:val="single" w:color="000000" w:sz="4" w:space="0"/>
              <w:left w:val="single" w:color="000000" w:sz="4" w:space="0"/>
              <w:bottom w:val="single" w:color="000000" w:sz="4" w:space="0"/>
              <w:right w:val="single" w:color="000000" w:sz="4" w:space="0"/>
            </w:tcBorders>
            <w:vAlign w:val="center"/>
          </w:tcPr>
          <w:p w14:paraId="5A97CD4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自动计算矢量数据面积，并将新计算的面积数据与解译面积数据进行对比，当用户主动触发面积数据替换指令时自动进行面积属性更改。</w:t>
            </w:r>
          </w:p>
        </w:tc>
      </w:tr>
      <w:tr w14:paraId="50C4D4F3">
        <w:tblPrEx>
          <w:tblCellMar>
            <w:top w:w="0" w:type="dxa"/>
            <w:left w:w="108" w:type="dxa"/>
            <w:bottom w:w="0" w:type="dxa"/>
            <w:right w:w="108" w:type="dxa"/>
          </w:tblCellMar>
        </w:tblPrEx>
        <w:trPr>
          <w:trHeight w:val="1051"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4CB522F3">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1.2.2.7</w:t>
            </w:r>
          </w:p>
        </w:tc>
        <w:tc>
          <w:tcPr>
            <w:tcW w:w="2443" w:type="dxa"/>
            <w:tcBorders>
              <w:top w:val="single" w:color="000000" w:sz="4" w:space="0"/>
              <w:left w:val="single" w:color="000000" w:sz="4" w:space="0"/>
              <w:bottom w:val="single" w:color="000000" w:sz="4" w:space="0"/>
              <w:right w:val="single" w:color="000000" w:sz="4" w:space="0"/>
            </w:tcBorders>
            <w:vAlign w:val="center"/>
          </w:tcPr>
          <w:p w14:paraId="5C0AB59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GIS地图工具</w:t>
            </w:r>
          </w:p>
        </w:tc>
        <w:tc>
          <w:tcPr>
            <w:tcW w:w="10600" w:type="dxa"/>
            <w:tcBorders>
              <w:top w:val="single" w:color="000000" w:sz="4" w:space="0"/>
              <w:left w:val="single" w:color="000000" w:sz="4" w:space="0"/>
              <w:bottom w:val="single" w:color="000000" w:sz="4" w:space="0"/>
              <w:right w:val="single" w:color="000000" w:sz="4" w:space="0"/>
            </w:tcBorders>
            <w:vAlign w:val="center"/>
          </w:tcPr>
          <w:p w14:paraId="21E46E1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1、定位工具，输入经纬度信息或者XY坐标信息，快速在GIS地图中定位到位置。</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2、长度测量工具，在GIS地图上定出需要测量长度的位置点信息，系统自动测算长度并进行展示。</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3、范围控制工具，在GIS地图控制保护区范围的加载与隐藏显示。</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4、回中，点击回中按钮，GIS地图展示区域自动切换到设置好的保护区中心点位置。</w:t>
            </w:r>
          </w:p>
        </w:tc>
      </w:tr>
      <w:tr w14:paraId="26AD09E4">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2A2A3BC1">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1.3</w:t>
            </w:r>
          </w:p>
        </w:tc>
        <w:tc>
          <w:tcPr>
            <w:tcW w:w="2443" w:type="dxa"/>
            <w:tcBorders>
              <w:top w:val="single" w:color="000000" w:sz="4" w:space="0"/>
              <w:left w:val="single" w:color="000000" w:sz="4" w:space="0"/>
              <w:bottom w:val="single" w:color="000000" w:sz="4" w:space="0"/>
              <w:right w:val="single" w:color="000000" w:sz="4" w:space="0"/>
            </w:tcBorders>
            <w:vAlign w:val="center"/>
          </w:tcPr>
          <w:p w14:paraId="31432DE9">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保护区介绍</w:t>
            </w:r>
          </w:p>
        </w:tc>
        <w:tc>
          <w:tcPr>
            <w:tcW w:w="10600" w:type="dxa"/>
            <w:tcBorders>
              <w:top w:val="single" w:color="000000" w:sz="4" w:space="0"/>
              <w:left w:val="single" w:color="000000" w:sz="4" w:space="0"/>
              <w:bottom w:val="single" w:color="000000" w:sz="4" w:space="0"/>
              <w:right w:val="single" w:color="000000" w:sz="4" w:space="0"/>
            </w:tcBorders>
            <w:vAlign w:val="center"/>
          </w:tcPr>
          <w:p w14:paraId="79451277">
            <w:pPr>
              <w:spacing w:line="240" w:lineRule="auto"/>
              <w:ind w:firstLine="0" w:firstLineChars="0"/>
              <w:jc w:val="left"/>
              <w:rPr>
                <w:rFonts w:hint="eastAsia" w:ascii="宋体" w:hAnsi="宋体" w:cs="宋体"/>
                <w:b/>
                <w:bCs/>
                <w:color w:val="auto"/>
                <w:sz w:val="20"/>
                <w:szCs w:val="20"/>
              </w:rPr>
            </w:pPr>
          </w:p>
        </w:tc>
      </w:tr>
      <w:tr w14:paraId="0FC8A130">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57613DAD">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1.3.1</w:t>
            </w:r>
          </w:p>
        </w:tc>
        <w:tc>
          <w:tcPr>
            <w:tcW w:w="2443" w:type="dxa"/>
            <w:tcBorders>
              <w:top w:val="single" w:color="000000" w:sz="4" w:space="0"/>
              <w:left w:val="single" w:color="000000" w:sz="4" w:space="0"/>
              <w:bottom w:val="single" w:color="000000" w:sz="4" w:space="0"/>
              <w:right w:val="single" w:color="000000" w:sz="4" w:space="0"/>
            </w:tcBorders>
            <w:vAlign w:val="center"/>
          </w:tcPr>
          <w:p w14:paraId="48880B7C">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自然基本情况管理</w:t>
            </w:r>
          </w:p>
        </w:tc>
        <w:tc>
          <w:tcPr>
            <w:tcW w:w="10600" w:type="dxa"/>
            <w:tcBorders>
              <w:top w:val="single" w:color="000000" w:sz="4" w:space="0"/>
              <w:left w:val="single" w:color="000000" w:sz="4" w:space="0"/>
              <w:bottom w:val="single" w:color="000000" w:sz="4" w:space="0"/>
              <w:right w:val="single" w:color="000000" w:sz="4" w:space="0"/>
            </w:tcBorders>
            <w:vAlign w:val="center"/>
          </w:tcPr>
          <w:p w14:paraId="262D74A2">
            <w:pPr>
              <w:spacing w:line="240" w:lineRule="auto"/>
              <w:ind w:firstLine="0" w:firstLineChars="0"/>
              <w:jc w:val="left"/>
              <w:rPr>
                <w:rFonts w:hint="eastAsia" w:ascii="宋体" w:hAnsi="宋体" w:cs="宋体"/>
                <w:b/>
                <w:bCs/>
                <w:color w:val="auto"/>
                <w:sz w:val="20"/>
                <w:szCs w:val="20"/>
              </w:rPr>
            </w:pPr>
          </w:p>
        </w:tc>
      </w:tr>
      <w:tr w14:paraId="5C58727E">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1EDC730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1.3.1.1</w:t>
            </w:r>
          </w:p>
        </w:tc>
        <w:tc>
          <w:tcPr>
            <w:tcW w:w="2443" w:type="dxa"/>
            <w:tcBorders>
              <w:top w:val="single" w:color="000000" w:sz="4" w:space="0"/>
              <w:left w:val="single" w:color="000000" w:sz="4" w:space="0"/>
              <w:bottom w:val="single" w:color="000000" w:sz="4" w:space="0"/>
              <w:right w:val="single" w:color="000000" w:sz="4" w:space="0"/>
            </w:tcBorders>
            <w:vAlign w:val="center"/>
          </w:tcPr>
          <w:p w14:paraId="0A34823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自然基本情况管理</w:t>
            </w:r>
          </w:p>
        </w:tc>
        <w:tc>
          <w:tcPr>
            <w:tcW w:w="10600" w:type="dxa"/>
            <w:tcBorders>
              <w:top w:val="single" w:color="000000" w:sz="4" w:space="0"/>
              <w:left w:val="single" w:color="000000" w:sz="4" w:space="0"/>
              <w:bottom w:val="single" w:color="000000" w:sz="4" w:space="0"/>
              <w:right w:val="single" w:color="000000" w:sz="4" w:space="0"/>
            </w:tcBorders>
            <w:vAlign w:val="center"/>
          </w:tcPr>
          <w:p w14:paraId="1B737EA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以图片、文字、视频等多种形式综合管理保护区名称、位置与范围。</w:t>
            </w:r>
          </w:p>
        </w:tc>
      </w:tr>
      <w:tr w14:paraId="1CA54141">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482D3054">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1.3.2</w:t>
            </w:r>
          </w:p>
        </w:tc>
        <w:tc>
          <w:tcPr>
            <w:tcW w:w="2443" w:type="dxa"/>
            <w:tcBorders>
              <w:top w:val="single" w:color="000000" w:sz="4" w:space="0"/>
              <w:left w:val="single" w:color="000000" w:sz="4" w:space="0"/>
              <w:bottom w:val="single" w:color="000000" w:sz="4" w:space="0"/>
              <w:right w:val="single" w:color="000000" w:sz="4" w:space="0"/>
            </w:tcBorders>
            <w:vAlign w:val="center"/>
          </w:tcPr>
          <w:p w14:paraId="08A3D738">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历史沿革信息管理</w:t>
            </w:r>
          </w:p>
        </w:tc>
        <w:tc>
          <w:tcPr>
            <w:tcW w:w="10600" w:type="dxa"/>
            <w:tcBorders>
              <w:top w:val="single" w:color="000000" w:sz="4" w:space="0"/>
              <w:left w:val="single" w:color="000000" w:sz="4" w:space="0"/>
              <w:bottom w:val="single" w:color="000000" w:sz="4" w:space="0"/>
              <w:right w:val="single" w:color="000000" w:sz="4" w:space="0"/>
            </w:tcBorders>
            <w:vAlign w:val="center"/>
          </w:tcPr>
          <w:p w14:paraId="10842483">
            <w:pPr>
              <w:spacing w:line="240" w:lineRule="auto"/>
              <w:ind w:firstLine="0" w:firstLineChars="0"/>
              <w:jc w:val="left"/>
              <w:rPr>
                <w:rFonts w:hint="eastAsia" w:ascii="宋体" w:hAnsi="宋体" w:cs="宋体"/>
                <w:b/>
                <w:bCs/>
                <w:color w:val="auto"/>
                <w:sz w:val="20"/>
                <w:szCs w:val="20"/>
              </w:rPr>
            </w:pPr>
          </w:p>
        </w:tc>
      </w:tr>
      <w:tr w14:paraId="58D5664D">
        <w:tblPrEx>
          <w:tblCellMar>
            <w:top w:w="0" w:type="dxa"/>
            <w:left w:w="108" w:type="dxa"/>
            <w:bottom w:w="0" w:type="dxa"/>
            <w:right w:w="108" w:type="dxa"/>
          </w:tblCellMar>
        </w:tblPrEx>
        <w:trPr>
          <w:trHeight w:val="530"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0AC52253">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1.3.2.1</w:t>
            </w:r>
          </w:p>
        </w:tc>
        <w:tc>
          <w:tcPr>
            <w:tcW w:w="2443" w:type="dxa"/>
            <w:tcBorders>
              <w:top w:val="single" w:color="000000" w:sz="4" w:space="0"/>
              <w:left w:val="single" w:color="000000" w:sz="4" w:space="0"/>
              <w:bottom w:val="single" w:color="000000" w:sz="4" w:space="0"/>
              <w:right w:val="single" w:color="000000" w:sz="4" w:space="0"/>
            </w:tcBorders>
            <w:vAlign w:val="center"/>
          </w:tcPr>
          <w:p w14:paraId="47C2771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历史沿革信息维护</w:t>
            </w:r>
          </w:p>
        </w:tc>
        <w:tc>
          <w:tcPr>
            <w:tcW w:w="10600" w:type="dxa"/>
            <w:tcBorders>
              <w:top w:val="single" w:color="000000" w:sz="4" w:space="0"/>
              <w:left w:val="single" w:color="000000" w:sz="4" w:space="0"/>
              <w:bottom w:val="single" w:color="000000" w:sz="4" w:space="0"/>
              <w:right w:val="single" w:color="000000" w:sz="4" w:space="0"/>
            </w:tcBorders>
            <w:vAlign w:val="center"/>
          </w:tcPr>
          <w:p w14:paraId="0A60466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添加和编辑保护区历史沿革数据，包括历史沿革事件名称、图文详情、时间段等信息；图文详细支持在添加编辑事件的背景、影响、相关人物和地点等。</w:t>
            </w:r>
          </w:p>
        </w:tc>
      </w:tr>
      <w:tr w14:paraId="42800FC0">
        <w:tblPrEx>
          <w:tblCellMar>
            <w:top w:w="0" w:type="dxa"/>
            <w:left w:w="108" w:type="dxa"/>
            <w:bottom w:w="0" w:type="dxa"/>
            <w:right w:w="108" w:type="dxa"/>
          </w:tblCellMar>
        </w:tblPrEx>
        <w:trPr>
          <w:trHeight w:val="530"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0DC2865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1.3.2.2</w:t>
            </w:r>
          </w:p>
        </w:tc>
        <w:tc>
          <w:tcPr>
            <w:tcW w:w="2443" w:type="dxa"/>
            <w:tcBorders>
              <w:top w:val="single" w:color="000000" w:sz="4" w:space="0"/>
              <w:left w:val="single" w:color="000000" w:sz="4" w:space="0"/>
              <w:bottom w:val="single" w:color="000000" w:sz="4" w:space="0"/>
              <w:right w:val="single" w:color="000000" w:sz="4" w:space="0"/>
            </w:tcBorders>
            <w:vAlign w:val="center"/>
          </w:tcPr>
          <w:p w14:paraId="7AA8A6C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历史沿革信息查询</w:t>
            </w:r>
          </w:p>
        </w:tc>
        <w:tc>
          <w:tcPr>
            <w:tcW w:w="10600" w:type="dxa"/>
            <w:tcBorders>
              <w:top w:val="single" w:color="000000" w:sz="4" w:space="0"/>
              <w:left w:val="single" w:color="000000" w:sz="4" w:space="0"/>
              <w:bottom w:val="single" w:color="000000" w:sz="4" w:space="0"/>
              <w:right w:val="single" w:color="000000" w:sz="4" w:space="0"/>
            </w:tcBorders>
            <w:vAlign w:val="center"/>
          </w:tcPr>
          <w:p w14:paraId="3313CF3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为保护区介绍提供了全面的历史沿革信息记录和查询服务，用户可以根据历史沿革事件名称、时间模糊搜索或精确搜索查询历史沿革数据信息。</w:t>
            </w:r>
          </w:p>
        </w:tc>
      </w:tr>
      <w:tr w14:paraId="4ACAFF14">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45E901A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1.3.2.3</w:t>
            </w:r>
          </w:p>
        </w:tc>
        <w:tc>
          <w:tcPr>
            <w:tcW w:w="2443" w:type="dxa"/>
            <w:tcBorders>
              <w:top w:val="single" w:color="000000" w:sz="4" w:space="0"/>
              <w:left w:val="single" w:color="000000" w:sz="4" w:space="0"/>
              <w:bottom w:val="single" w:color="000000" w:sz="4" w:space="0"/>
              <w:right w:val="single" w:color="000000" w:sz="4" w:space="0"/>
            </w:tcBorders>
            <w:vAlign w:val="center"/>
          </w:tcPr>
          <w:p w14:paraId="16F159C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历史沿革信息列表</w:t>
            </w:r>
          </w:p>
        </w:tc>
        <w:tc>
          <w:tcPr>
            <w:tcW w:w="10600" w:type="dxa"/>
            <w:tcBorders>
              <w:top w:val="single" w:color="000000" w:sz="4" w:space="0"/>
              <w:left w:val="single" w:color="000000" w:sz="4" w:space="0"/>
              <w:bottom w:val="single" w:color="000000" w:sz="4" w:space="0"/>
              <w:right w:val="single" w:color="000000" w:sz="4" w:space="0"/>
            </w:tcBorders>
            <w:vAlign w:val="center"/>
          </w:tcPr>
          <w:p w14:paraId="440D252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以时间轴的方式展示历史沿革基本信息，包括时间、事件名称、更新时间等信息。</w:t>
            </w:r>
          </w:p>
        </w:tc>
      </w:tr>
      <w:tr w14:paraId="46ADB97D">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68A88CF6">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1.3.2.4</w:t>
            </w:r>
          </w:p>
        </w:tc>
        <w:tc>
          <w:tcPr>
            <w:tcW w:w="2443" w:type="dxa"/>
            <w:tcBorders>
              <w:top w:val="single" w:color="000000" w:sz="4" w:space="0"/>
              <w:left w:val="single" w:color="000000" w:sz="4" w:space="0"/>
              <w:bottom w:val="single" w:color="000000" w:sz="4" w:space="0"/>
              <w:right w:val="single" w:color="000000" w:sz="4" w:space="0"/>
            </w:tcBorders>
            <w:vAlign w:val="center"/>
          </w:tcPr>
          <w:p w14:paraId="2534AC6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历史沿革信息删除</w:t>
            </w:r>
          </w:p>
        </w:tc>
        <w:tc>
          <w:tcPr>
            <w:tcW w:w="10600" w:type="dxa"/>
            <w:tcBorders>
              <w:top w:val="single" w:color="000000" w:sz="4" w:space="0"/>
              <w:left w:val="single" w:color="000000" w:sz="4" w:space="0"/>
              <w:bottom w:val="single" w:color="000000" w:sz="4" w:space="0"/>
              <w:right w:val="single" w:color="000000" w:sz="4" w:space="0"/>
            </w:tcBorders>
            <w:vAlign w:val="center"/>
          </w:tcPr>
          <w:p w14:paraId="70C5FE7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删除历史沿革信息，删除后的历史沿革信息将不再管理系统及展现系统可见，但依然存在数据库中，以便数据恢复。</w:t>
            </w:r>
          </w:p>
        </w:tc>
      </w:tr>
      <w:tr w14:paraId="592FEFF6">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11B1C71B">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1.3.3</w:t>
            </w:r>
          </w:p>
        </w:tc>
        <w:tc>
          <w:tcPr>
            <w:tcW w:w="2443" w:type="dxa"/>
            <w:tcBorders>
              <w:top w:val="single" w:color="000000" w:sz="4" w:space="0"/>
              <w:left w:val="single" w:color="000000" w:sz="4" w:space="0"/>
              <w:bottom w:val="single" w:color="000000" w:sz="4" w:space="0"/>
              <w:right w:val="single" w:color="000000" w:sz="4" w:space="0"/>
            </w:tcBorders>
            <w:vAlign w:val="center"/>
          </w:tcPr>
          <w:p w14:paraId="6C30105A">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生态环境信息管理</w:t>
            </w:r>
          </w:p>
        </w:tc>
        <w:tc>
          <w:tcPr>
            <w:tcW w:w="10600" w:type="dxa"/>
            <w:tcBorders>
              <w:top w:val="single" w:color="000000" w:sz="4" w:space="0"/>
              <w:left w:val="single" w:color="000000" w:sz="4" w:space="0"/>
              <w:bottom w:val="single" w:color="000000" w:sz="4" w:space="0"/>
              <w:right w:val="single" w:color="000000" w:sz="4" w:space="0"/>
            </w:tcBorders>
            <w:vAlign w:val="center"/>
          </w:tcPr>
          <w:p w14:paraId="0AF039B8">
            <w:pPr>
              <w:spacing w:line="240" w:lineRule="auto"/>
              <w:ind w:firstLine="0" w:firstLineChars="0"/>
              <w:jc w:val="left"/>
              <w:rPr>
                <w:rFonts w:hint="eastAsia" w:ascii="宋体" w:hAnsi="宋体" w:cs="宋体"/>
                <w:b/>
                <w:bCs/>
                <w:color w:val="auto"/>
                <w:sz w:val="20"/>
                <w:szCs w:val="20"/>
              </w:rPr>
            </w:pPr>
          </w:p>
        </w:tc>
      </w:tr>
      <w:tr w14:paraId="1B3E06B3">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1F159A51">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1.3.3.1</w:t>
            </w:r>
          </w:p>
        </w:tc>
        <w:tc>
          <w:tcPr>
            <w:tcW w:w="2443" w:type="dxa"/>
            <w:tcBorders>
              <w:top w:val="single" w:color="000000" w:sz="4" w:space="0"/>
              <w:left w:val="single" w:color="000000" w:sz="4" w:space="0"/>
              <w:bottom w:val="single" w:color="000000" w:sz="4" w:space="0"/>
              <w:right w:val="single" w:color="000000" w:sz="4" w:space="0"/>
            </w:tcBorders>
            <w:vAlign w:val="center"/>
          </w:tcPr>
          <w:p w14:paraId="1ACDE92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生态环境信息维护</w:t>
            </w:r>
          </w:p>
        </w:tc>
        <w:tc>
          <w:tcPr>
            <w:tcW w:w="10600" w:type="dxa"/>
            <w:tcBorders>
              <w:top w:val="single" w:color="000000" w:sz="4" w:space="0"/>
              <w:left w:val="single" w:color="000000" w:sz="4" w:space="0"/>
              <w:bottom w:val="single" w:color="000000" w:sz="4" w:space="0"/>
              <w:right w:val="single" w:color="000000" w:sz="4" w:space="0"/>
            </w:tcBorders>
            <w:vAlign w:val="center"/>
          </w:tcPr>
          <w:p w14:paraId="68751FF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管理生态环境图文介绍信息，包括生态系统名称、生态系统介绍信息、生态系统图册、生态系统价值、生态系统保护措施。</w:t>
            </w:r>
          </w:p>
        </w:tc>
      </w:tr>
      <w:tr w14:paraId="19FD3C4A">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3593B182">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1.3.3.2</w:t>
            </w:r>
          </w:p>
        </w:tc>
        <w:tc>
          <w:tcPr>
            <w:tcW w:w="2443" w:type="dxa"/>
            <w:tcBorders>
              <w:top w:val="single" w:color="000000" w:sz="4" w:space="0"/>
              <w:left w:val="single" w:color="000000" w:sz="4" w:space="0"/>
              <w:bottom w:val="single" w:color="000000" w:sz="4" w:space="0"/>
              <w:right w:val="single" w:color="000000" w:sz="4" w:space="0"/>
            </w:tcBorders>
            <w:vAlign w:val="center"/>
          </w:tcPr>
          <w:p w14:paraId="7E0D8FB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生态环境信息查询</w:t>
            </w:r>
          </w:p>
        </w:tc>
        <w:tc>
          <w:tcPr>
            <w:tcW w:w="10600" w:type="dxa"/>
            <w:tcBorders>
              <w:top w:val="single" w:color="000000" w:sz="4" w:space="0"/>
              <w:left w:val="single" w:color="000000" w:sz="4" w:space="0"/>
              <w:bottom w:val="single" w:color="000000" w:sz="4" w:space="0"/>
              <w:right w:val="single" w:color="000000" w:sz="4" w:space="0"/>
            </w:tcBorders>
            <w:vAlign w:val="center"/>
          </w:tcPr>
          <w:p w14:paraId="694EF78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用户可以根据生态系统名称、更新时间模糊搜索或精确搜索查询矢量资源数据信息。</w:t>
            </w:r>
          </w:p>
        </w:tc>
      </w:tr>
      <w:tr w14:paraId="78032185">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22FEB096">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1.3.3.3</w:t>
            </w:r>
          </w:p>
        </w:tc>
        <w:tc>
          <w:tcPr>
            <w:tcW w:w="2443" w:type="dxa"/>
            <w:tcBorders>
              <w:top w:val="single" w:color="000000" w:sz="4" w:space="0"/>
              <w:left w:val="single" w:color="000000" w:sz="4" w:space="0"/>
              <w:bottom w:val="single" w:color="000000" w:sz="4" w:space="0"/>
              <w:right w:val="single" w:color="000000" w:sz="4" w:space="0"/>
            </w:tcBorders>
            <w:vAlign w:val="center"/>
          </w:tcPr>
          <w:p w14:paraId="1FC92BD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生态环境信息列表</w:t>
            </w:r>
          </w:p>
        </w:tc>
        <w:tc>
          <w:tcPr>
            <w:tcW w:w="10600" w:type="dxa"/>
            <w:tcBorders>
              <w:top w:val="single" w:color="000000" w:sz="4" w:space="0"/>
              <w:left w:val="single" w:color="000000" w:sz="4" w:space="0"/>
              <w:bottom w:val="single" w:color="000000" w:sz="4" w:space="0"/>
              <w:right w:val="single" w:color="000000" w:sz="4" w:space="0"/>
            </w:tcBorders>
            <w:vAlign w:val="center"/>
          </w:tcPr>
          <w:p w14:paraId="03A34CD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展示历史沿革基本信息，包括生态系统名称、图册、状态、更新时间等信息。</w:t>
            </w:r>
          </w:p>
        </w:tc>
      </w:tr>
      <w:tr w14:paraId="053900AF">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2B29EDFE">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1.3.3.4</w:t>
            </w:r>
          </w:p>
        </w:tc>
        <w:tc>
          <w:tcPr>
            <w:tcW w:w="2443" w:type="dxa"/>
            <w:tcBorders>
              <w:top w:val="single" w:color="000000" w:sz="4" w:space="0"/>
              <w:left w:val="single" w:color="000000" w:sz="4" w:space="0"/>
              <w:bottom w:val="single" w:color="000000" w:sz="4" w:space="0"/>
              <w:right w:val="single" w:color="000000" w:sz="4" w:space="0"/>
            </w:tcBorders>
            <w:vAlign w:val="center"/>
          </w:tcPr>
          <w:p w14:paraId="029BFAB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生态环境信息删除</w:t>
            </w:r>
          </w:p>
        </w:tc>
        <w:tc>
          <w:tcPr>
            <w:tcW w:w="10600" w:type="dxa"/>
            <w:tcBorders>
              <w:top w:val="single" w:color="000000" w:sz="4" w:space="0"/>
              <w:left w:val="single" w:color="000000" w:sz="4" w:space="0"/>
              <w:bottom w:val="single" w:color="000000" w:sz="4" w:space="0"/>
              <w:right w:val="single" w:color="000000" w:sz="4" w:space="0"/>
            </w:tcBorders>
            <w:vAlign w:val="center"/>
          </w:tcPr>
          <w:p w14:paraId="34EE4FB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删除生态系统信息，删除后的信息将不再管理系统及展现系统可见，但依然存在数据库中，以便数据恢复。</w:t>
            </w:r>
          </w:p>
        </w:tc>
      </w:tr>
      <w:tr w14:paraId="74A4581E">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76DBE494">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1.3.3.5</w:t>
            </w:r>
          </w:p>
        </w:tc>
        <w:tc>
          <w:tcPr>
            <w:tcW w:w="2443" w:type="dxa"/>
            <w:tcBorders>
              <w:top w:val="single" w:color="000000" w:sz="4" w:space="0"/>
              <w:left w:val="single" w:color="000000" w:sz="4" w:space="0"/>
              <w:bottom w:val="single" w:color="000000" w:sz="4" w:space="0"/>
              <w:right w:val="single" w:color="000000" w:sz="4" w:space="0"/>
            </w:tcBorders>
            <w:vAlign w:val="center"/>
          </w:tcPr>
          <w:p w14:paraId="6CDD0C0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生态环境矢量数据关联</w:t>
            </w:r>
          </w:p>
        </w:tc>
        <w:tc>
          <w:tcPr>
            <w:tcW w:w="10600" w:type="dxa"/>
            <w:tcBorders>
              <w:top w:val="single" w:color="000000" w:sz="4" w:space="0"/>
              <w:left w:val="single" w:color="000000" w:sz="4" w:space="0"/>
              <w:bottom w:val="single" w:color="000000" w:sz="4" w:space="0"/>
              <w:right w:val="single" w:color="000000" w:sz="4" w:space="0"/>
            </w:tcBorders>
            <w:vAlign w:val="center"/>
          </w:tcPr>
          <w:p w14:paraId="7722878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关联选择矢量资源数据，记录生态环境范围、点位信息。</w:t>
            </w:r>
          </w:p>
        </w:tc>
      </w:tr>
      <w:tr w14:paraId="476EB195">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5FD576CD">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1.3.4</w:t>
            </w:r>
          </w:p>
        </w:tc>
        <w:tc>
          <w:tcPr>
            <w:tcW w:w="2443" w:type="dxa"/>
            <w:tcBorders>
              <w:top w:val="single" w:color="000000" w:sz="4" w:space="0"/>
              <w:left w:val="single" w:color="000000" w:sz="4" w:space="0"/>
              <w:bottom w:val="single" w:color="000000" w:sz="4" w:space="0"/>
              <w:right w:val="single" w:color="000000" w:sz="4" w:space="0"/>
            </w:tcBorders>
            <w:vAlign w:val="center"/>
          </w:tcPr>
          <w:p w14:paraId="1B3B72B6">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旅游资源信息管理</w:t>
            </w:r>
          </w:p>
        </w:tc>
        <w:tc>
          <w:tcPr>
            <w:tcW w:w="10600" w:type="dxa"/>
            <w:tcBorders>
              <w:top w:val="single" w:color="000000" w:sz="4" w:space="0"/>
              <w:left w:val="single" w:color="000000" w:sz="4" w:space="0"/>
              <w:bottom w:val="single" w:color="000000" w:sz="4" w:space="0"/>
              <w:right w:val="single" w:color="000000" w:sz="4" w:space="0"/>
            </w:tcBorders>
            <w:vAlign w:val="center"/>
          </w:tcPr>
          <w:p w14:paraId="52AC7A98">
            <w:pPr>
              <w:spacing w:line="240" w:lineRule="auto"/>
              <w:ind w:firstLine="0" w:firstLineChars="0"/>
              <w:jc w:val="left"/>
              <w:rPr>
                <w:rFonts w:hint="eastAsia" w:ascii="宋体" w:hAnsi="宋体" w:cs="宋体"/>
                <w:b/>
                <w:bCs/>
                <w:color w:val="auto"/>
                <w:sz w:val="20"/>
                <w:szCs w:val="20"/>
              </w:rPr>
            </w:pPr>
          </w:p>
        </w:tc>
      </w:tr>
      <w:tr w14:paraId="3271EA78">
        <w:tblPrEx>
          <w:tblCellMar>
            <w:top w:w="0" w:type="dxa"/>
            <w:left w:w="108" w:type="dxa"/>
            <w:bottom w:w="0" w:type="dxa"/>
            <w:right w:w="108" w:type="dxa"/>
          </w:tblCellMar>
        </w:tblPrEx>
        <w:trPr>
          <w:trHeight w:val="530"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7C9F8022">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1.3.4.1</w:t>
            </w:r>
          </w:p>
        </w:tc>
        <w:tc>
          <w:tcPr>
            <w:tcW w:w="2443" w:type="dxa"/>
            <w:tcBorders>
              <w:top w:val="single" w:color="000000" w:sz="4" w:space="0"/>
              <w:left w:val="single" w:color="000000" w:sz="4" w:space="0"/>
              <w:bottom w:val="single" w:color="000000" w:sz="4" w:space="0"/>
              <w:right w:val="single" w:color="000000" w:sz="4" w:space="0"/>
            </w:tcBorders>
            <w:vAlign w:val="center"/>
          </w:tcPr>
          <w:p w14:paraId="0E03A4D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旅游资源信息维护</w:t>
            </w:r>
          </w:p>
        </w:tc>
        <w:tc>
          <w:tcPr>
            <w:tcW w:w="10600" w:type="dxa"/>
            <w:tcBorders>
              <w:top w:val="single" w:color="000000" w:sz="4" w:space="0"/>
              <w:left w:val="single" w:color="000000" w:sz="4" w:space="0"/>
              <w:bottom w:val="single" w:color="000000" w:sz="4" w:space="0"/>
              <w:right w:val="single" w:color="000000" w:sz="4" w:space="0"/>
            </w:tcBorders>
            <w:vAlign w:val="center"/>
          </w:tcPr>
          <w:p w14:paraId="3CD7BC2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添加和编辑保护区旅游资源信息，包括旅游资源名称、旅游资源简介、旅游资源经纬度信息、图册、视频、旅游注意事项等信息。</w:t>
            </w:r>
          </w:p>
        </w:tc>
      </w:tr>
      <w:tr w14:paraId="46B4A9CF">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573CD363">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1.3.4.2</w:t>
            </w:r>
          </w:p>
        </w:tc>
        <w:tc>
          <w:tcPr>
            <w:tcW w:w="2443" w:type="dxa"/>
            <w:tcBorders>
              <w:top w:val="single" w:color="000000" w:sz="4" w:space="0"/>
              <w:left w:val="single" w:color="000000" w:sz="4" w:space="0"/>
              <w:bottom w:val="single" w:color="000000" w:sz="4" w:space="0"/>
              <w:right w:val="single" w:color="000000" w:sz="4" w:space="0"/>
            </w:tcBorders>
            <w:vAlign w:val="center"/>
          </w:tcPr>
          <w:p w14:paraId="5386617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旅游资源信息查询</w:t>
            </w:r>
          </w:p>
        </w:tc>
        <w:tc>
          <w:tcPr>
            <w:tcW w:w="10600" w:type="dxa"/>
            <w:tcBorders>
              <w:top w:val="single" w:color="000000" w:sz="4" w:space="0"/>
              <w:left w:val="single" w:color="000000" w:sz="4" w:space="0"/>
              <w:bottom w:val="single" w:color="000000" w:sz="4" w:space="0"/>
              <w:right w:val="single" w:color="000000" w:sz="4" w:space="0"/>
            </w:tcBorders>
            <w:vAlign w:val="center"/>
          </w:tcPr>
          <w:p w14:paraId="65568C0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用户可以根据旅游资源名称、简介、更新时间模糊搜索或精确搜索查询旅游资源数据信息。</w:t>
            </w:r>
          </w:p>
        </w:tc>
      </w:tr>
      <w:tr w14:paraId="5DB2C1C8">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1BE34FA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1.3.4.3</w:t>
            </w:r>
          </w:p>
        </w:tc>
        <w:tc>
          <w:tcPr>
            <w:tcW w:w="2443" w:type="dxa"/>
            <w:tcBorders>
              <w:top w:val="single" w:color="000000" w:sz="4" w:space="0"/>
              <w:left w:val="single" w:color="000000" w:sz="4" w:space="0"/>
              <w:bottom w:val="single" w:color="000000" w:sz="4" w:space="0"/>
              <w:right w:val="single" w:color="000000" w:sz="4" w:space="0"/>
            </w:tcBorders>
            <w:vAlign w:val="center"/>
          </w:tcPr>
          <w:p w14:paraId="7A73914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旅游资源信息列表</w:t>
            </w:r>
          </w:p>
        </w:tc>
        <w:tc>
          <w:tcPr>
            <w:tcW w:w="10600" w:type="dxa"/>
            <w:tcBorders>
              <w:top w:val="single" w:color="000000" w:sz="4" w:space="0"/>
              <w:left w:val="single" w:color="000000" w:sz="4" w:space="0"/>
              <w:bottom w:val="single" w:color="000000" w:sz="4" w:space="0"/>
              <w:right w:val="single" w:color="000000" w:sz="4" w:space="0"/>
            </w:tcBorders>
            <w:vAlign w:val="center"/>
          </w:tcPr>
          <w:p w14:paraId="3E9877C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展示旅游资源基本信息，包括旅游资源名称、经纬度、图册、状态、更新时间等信息。</w:t>
            </w:r>
          </w:p>
        </w:tc>
      </w:tr>
      <w:tr w14:paraId="756936FD">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2DC0F9FD">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1.3.4.4</w:t>
            </w:r>
          </w:p>
        </w:tc>
        <w:tc>
          <w:tcPr>
            <w:tcW w:w="2443" w:type="dxa"/>
            <w:tcBorders>
              <w:top w:val="single" w:color="000000" w:sz="4" w:space="0"/>
              <w:left w:val="single" w:color="000000" w:sz="4" w:space="0"/>
              <w:bottom w:val="single" w:color="000000" w:sz="4" w:space="0"/>
              <w:right w:val="single" w:color="000000" w:sz="4" w:space="0"/>
            </w:tcBorders>
            <w:vAlign w:val="center"/>
          </w:tcPr>
          <w:p w14:paraId="5F431AB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旅游资源信息删除</w:t>
            </w:r>
          </w:p>
        </w:tc>
        <w:tc>
          <w:tcPr>
            <w:tcW w:w="10600" w:type="dxa"/>
            <w:tcBorders>
              <w:top w:val="single" w:color="000000" w:sz="4" w:space="0"/>
              <w:left w:val="single" w:color="000000" w:sz="4" w:space="0"/>
              <w:bottom w:val="single" w:color="000000" w:sz="4" w:space="0"/>
              <w:right w:val="single" w:color="000000" w:sz="4" w:space="0"/>
            </w:tcBorders>
            <w:vAlign w:val="center"/>
          </w:tcPr>
          <w:p w14:paraId="2C64434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删除旅游资源信息，删除后的信息将不再管理系统及展现系统可见，但依然存在数据库中，以便数据恢复。</w:t>
            </w:r>
          </w:p>
        </w:tc>
      </w:tr>
      <w:tr w14:paraId="1C21EFBD">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606F803E">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1.3.4.5</w:t>
            </w:r>
          </w:p>
        </w:tc>
        <w:tc>
          <w:tcPr>
            <w:tcW w:w="2443" w:type="dxa"/>
            <w:tcBorders>
              <w:top w:val="single" w:color="000000" w:sz="4" w:space="0"/>
              <w:left w:val="single" w:color="000000" w:sz="4" w:space="0"/>
              <w:bottom w:val="single" w:color="000000" w:sz="4" w:space="0"/>
              <w:right w:val="single" w:color="000000" w:sz="4" w:space="0"/>
            </w:tcBorders>
            <w:vAlign w:val="center"/>
          </w:tcPr>
          <w:p w14:paraId="3097BFF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旅游资源矢量数据关联</w:t>
            </w:r>
          </w:p>
        </w:tc>
        <w:tc>
          <w:tcPr>
            <w:tcW w:w="10600" w:type="dxa"/>
            <w:tcBorders>
              <w:top w:val="single" w:color="000000" w:sz="4" w:space="0"/>
              <w:left w:val="single" w:color="000000" w:sz="4" w:space="0"/>
              <w:bottom w:val="single" w:color="000000" w:sz="4" w:space="0"/>
              <w:right w:val="single" w:color="000000" w:sz="4" w:space="0"/>
            </w:tcBorders>
            <w:vAlign w:val="center"/>
          </w:tcPr>
          <w:p w14:paraId="48AB25D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关联选择矢量资源数据，记录旅游资源范围、点位信息。</w:t>
            </w:r>
          </w:p>
        </w:tc>
      </w:tr>
      <w:tr w14:paraId="17E4CC3B">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5CF6F083">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1.3.5</w:t>
            </w:r>
          </w:p>
        </w:tc>
        <w:tc>
          <w:tcPr>
            <w:tcW w:w="2443" w:type="dxa"/>
            <w:tcBorders>
              <w:top w:val="single" w:color="000000" w:sz="4" w:space="0"/>
              <w:left w:val="single" w:color="000000" w:sz="4" w:space="0"/>
              <w:bottom w:val="single" w:color="000000" w:sz="4" w:space="0"/>
              <w:right w:val="single" w:color="000000" w:sz="4" w:space="0"/>
            </w:tcBorders>
            <w:vAlign w:val="center"/>
          </w:tcPr>
          <w:p w14:paraId="0875BD0A">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社区基本情况</w:t>
            </w:r>
          </w:p>
        </w:tc>
        <w:tc>
          <w:tcPr>
            <w:tcW w:w="10600" w:type="dxa"/>
            <w:tcBorders>
              <w:top w:val="single" w:color="000000" w:sz="4" w:space="0"/>
              <w:left w:val="single" w:color="000000" w:sz="4" w:space="0"/>
              <w:bottom w:val="single" w:color="000000" w:sz="4" w:space="0"/>
              <w:right w:val="single" w:color="000000" w:sz="4" w:space="0"/>
            </w:tcBorders>
            <w:vAlign w:val="center"/>
          </w:tcPr>
          <w:p w14:paraId="27E1EE3E">
            <w:pPr>
              <w:spacing w:line="240" w:lineRule="auto"/>
              <w:ind w:firstLine="0" w:firstLineChars="0"/>
              <w:jc w:val="left"/>
              <w:rPr>
                <w:rFonts w:hint="eastAsia" w:ascii="宋体" w:hAnsi="宋体" w:cs="宋体"/>
                <w:b/>
                <w:bCs/>
                <w:color w:val="auto"/>
                <w:sz w:val="20"/>
                <w:szCs w:val="20"/>
              </w:rPr>
            </w:pPr>
          </w:p>
        </w:tc>
      </w:tr>
      <w:tr w14:paraId="0BEF967A">
        <w:tblPrEx>
          <w:tblCellMar>
            <w:top w:w="0" w:type="dxa"/>
            <w:left w:w="108" w:type="dxa"/>
            <w:bottom w:w="0" w:type="dxa"/>
            <w:right w:w="108" w:type="dxa"/>
          </w:tblCellMar>
        </w:tblPrEx>
        <w:trPr>
          <w:trHeight w:val="530"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3F7BC0FC">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1.3.5.1</w:t>
            </w:r>
          </w:p>
        </w:tc>
        <w:tc>
          <w:tcPr>
            <w:tcW w:w="2443" w:type="dxa"/>
            <w:tcBorders>
              <w:top w:val="single" w:color="000000" w:sz="4" w:space="0"/>
              <w:left w:val="single" w:color="000000" w:sz="4" w:space="0"/>
              <w:bottom w:val="single" w:color="000000" w:sz="4" w:space="0"/>
              <w:right w:val="single" w:color="000000" w:sz="4" w:space="0"/>
            </w:tcBorders>
            <w:vAlign w:val="center"/>
          </w:tcPr>
          <w:p w14:paraId="09A75D5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社区基本情况管理</w:t>
            </w:r>
          </w:p>
        </w:tc>
        <w:tc>
          <w:tcPr>
            <w:tcW w:w="10600" w:type="dxa"/>
            <w:tcBorders>
              <w:top w:val="single" w:color="000000" w:sz="4" w:space="0"/>
              <w:left w:val="single" w:color="000000" w:sz="4" w:space="0"/>
              <w:bottom w:val="single" w:color="000000" w:sz="4" w:space="0"/>
              <w:right w:val="single" w:color="000000" w:sz="4" w:space="0"/>
            </w:tcBorders>
            <w:vAlign w:val="center"/>
          </w:tcPr>
          <w:p w14:paraId="74B390C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实现以图片、文字、视频等多种形式综合展示雅长保护区社区及社会经济等。包括社区名称、社区介绍、人口数、社会经济等。</w:t>
            </w:r>
          </w:p>
        </w:tc>
      </w:tr>
      <w:tr w14:paraId="0228E9E4">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016C8BC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1.3.5.2</w:t>
            </w:r>
          </w:p>
        </w:tc>
        <w:tc>
          <w:tcPr>
            <w:tcW w:w="2443" w:type="dxa"/>
            <w:tcBorders>
              <w:top w:val="single" w:color="000000" w:sz="4" w:space="0"/>
              <w:left w:val="single" w:color="000000" w:sz="4" w:space="0"/>
              <w:bottom w:val="single" w:color="000000" w:sz="4" w:space="0"/>
              <w:right w:val="single" w:color="000000" w:sz="4" w:space="0"/>
            </w:tcBorders>
            <w:vAlign w:val="center"/>
          </w:tcPr>
          <w:p w14:paraId="3C3B39B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社区信息查询</w:t>
            </w:r>
          </w:p>
        </w:tc>
        <w:tc>
          <w:tcPr>
            <w:tcW w:w="10600" w:type="dxa"/>
            <w:tcBorders>
              <w:top w:val="single" w:color="000000" w:sz="4" w:space="0"/>
              <w:left w:val="single" w:color="000000" w:sz="4" w:space="0"/>
              <w:bottom w:val="single" w:color="000000" w:sz="4" w:space="0"/>
              <w:right w:val="single" w:color="000000" w:sz="4" w:space="0"/>
            </w:tcBorders>
            <w:vAlign w:val="center"/>
          </w:tcPr>
          <w:p w14:paraId="47230FC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用户可以根据社区名称、面积、人口、更新时间模糊搜索或精确搜索查询社区信息。</w:t>
            </w:r>
          </w:p>
        </w:tc>
      </w:tr>
      <w:tr w14:paraId="61FD0127">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76A17703">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1.3.5.3</w:t>
            </w:r>
          </w:p>
        </w:tc>
        <w:tc>
          <w:tcPr>
            <w:tcW w:w="2443" w:type="dxa"/>
            <w:tcBorders>
              <w:top w:val="single" w:color="000000" w:sz="4" w:space="0"/>
              <w:left w:val="single" w:color="000000" w:sz="4" w:space="0"/>
              <w:bottom w:val="single" w:color="000000" w:sz="4" w:space="0"/>
              <w:right w:val="single" w:color="000000" w:sz="4" w:space="0"/>
            </w:tcBorders>
            <w:vAlign w:val="center"/>
          </w:tcPr>
          <w:p w14:paraId="2B5FAE3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社区信息删除</w:t>
            </w:r>
          </w:p>
        </w:tc>
        <w:tc>
          <w:tcPr>
            <w:tcW w:w="10600" w:type="dxa"/>
            <w:tcBorders>
              <w:top w:val="single" w:color="000000" w:sz="4" w:space="0"/>
              <w:left w:val="single" w:color="000000" w:sz="4" w:space="0"/>
              <w:bottom w:val="single" w:color="000000" w:sz="4" w:space="0"/>
              <w:right w:val="single" w:color="000000" w:sz="4" w:space="0"/>
            </w:tcBorders>
            <w:vAlign w:val="center"/>
          </w:tcPr>
          <w:p w14:paraId="10AB7C2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删除旅游资源信息，删除后的信息将不再管理系统及展现系统可见，但依然存在数据库中，以便数据恢复。</w:t>
            </w:r>
          </w:p>
        </w:tc>
      </w:tr>
      <w:tr w14:paraId="04700D5F">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422219DF">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1.3.5.4</w:t>
            </w:r>
          </w:p>
        </w:tc>
        <w:tc>
          <w:tcPr>
            <w:tcW w:w="2443" w:type="dxa"/>
            <w:tcBorders>
              <w:top w:val="single" w:color="000000" w:sz="4" w:space="0"/>
              <w:left w:val="single" w:color="000000" w:sz="4" w:space="0"/>
              <w:bottom w:val="single" w:color="000000" w:sz="4" w:space="0"/>
              <w:right w:val="single" w:color="000000" w:sz="4" w:space="0"/>
            </w:tcBorders>
            <w:vAlign w:val="center"/>
          </w:tcPr>
          <w:p w14:paraId="31475EA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社区矢量数据关联</w:t>
            </w:r>
          </w:p>
        </w:tc>
        <w:tc>
          <w:tcPr>
            <w:tcW w:w="10600" w:type="dxa"/>
            <w:tcBorders>
              <w:top w:val="single" w:color="000000" w:sz="4" w:space="0"/>
              <w:left w:val="single" w:color="000000" w:sz="4" w:space="0"/>
              <w:bottom w:val="single" w:color="000000" w:sz="4" w:space="0"/>
              <w:right w:val="single" w:color="000000" w:sz="4" w:space="0"/>
            </w:tcBorders>
            <w:vAlign w:val="center"/>
          </w:tcPr>
          <w:p w14:paraId="1A06C99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关联选择矢量资源数据，记录社区范围、点位信息。</w:t>
            </w:r>
          </w:p>
        </w:tc>
      </w:tr>
      <w:tr w14:paraId="4934AE5B">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59BDA996">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1.3.6</w:t>
            </w:r>
          </w:p>
        </w:tc>
        <w:tc>
          <w:tcPr>
            <w:tcW w:w="2443" w:type="dxa"/>
            <w:tcBorders>
              <w:top w:val="single" w:color="000000" w:sz="4" w:space="0"/>
              <w:left w:val="single" w:color="000000" w:sz="4" w:space="0"/>
              <w:bottom w:val="single" w:color="000000" w:sz="4" w:space="0"/>
              <w:right w:val="single" w:color="000000" w:sz="4" w:space="0"/>
            </w:tcBorders>
            <w:vAlign w:val="center"/>
          </w:tcPr>
          <w:p w14:paraId="5C1FC28C">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物种情况</w:t>
            </w:r>
          </w:p>
        </w:tc>
        <w:tc>
          <w:tcPr>
            <w:tcW w:w="10600" w:type="dxa"/>
            <w:tcBorders>
              <w:top w:val="single" w:color="000000" w:sz="4" w:space="0"/>
              <w:left w:val="single" w:color="000000" w:sz="4" w:space="0"/>
              <w:bottom w:val="single" w:color="000000" w:sz="4" w:space="0"/>
              <w:right w:val="single" w:color="000000" w:sz="4" w:space="0"/>
            </w:tcBorders>
            <w:vAlign w:val="center"/>
          </w:tcPr>
          <w:p w14:paraId="497753A5">
            <w:pPr>
              <w:spacing w:line="240" w:lineRule="auto"/>
              <w:ind w:firstLine="0" w:firstLineChars="0"/>
              <w:jc w:val="left"/>
              <w:rPr>
                <w:rFonts w:hint="eastAsia" w:ascii="宋体" w:hAnsi="宋体" w:cs="宋体"/>
                <w:b/>
                <w:bCs/>
                <w:color w:val="auto"/>
                <w:sz w:val="20"/>
                <w:szCs w:val="20"/>
              </w:rPr>
            </w:pPr>
          </w:p>
        </w:tc>
      </w:tr>
      <w:tr w14:paraId="7BF78840">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0511A244">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1.3.6.1</w:t>
            </w:r>
          </w:p>
        </w:tc>
        <w:tc>
          <w:tcPr>
            <w:tcW w:w="2443" w:type="dxa"/>
            <w:tcBorders>
              <w:top w:val="single" w:color="000000" w:sz="4" w:space="0"/>
              <w:left w:val="single" w:color="000000" w:sz="4" w:space="0"/>
              <w:bottom w:val="single" w:color="000000" w:sz="4" w:space="0"/>
              <w:right w:val="single" w:color="000000" w:sz="4" w:space="0"/>
            </w:tcBorders>
            <w:vAlign w:val="center"/>
          </w:tcPr>
          <w:p w14:paraId="108ACFF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生物学分类管理</w:t>
            </w:r>
          </w:p>
        </w:tc>
        <w:tc>
          <w:tcPr>
            <w:tcW w:w="10600" w:type="dxa"/>
            <w:tcBorders>
              <w:top w:val="single" w:color="000000" w:sz="4" w:space="0"/>
              <w:left w:val="single" w:color="000000" w:sz="4" w:space="0"/>
              <w:bottom w:val="single" w:color="000000" w:sz="4" w:space="0"/>
              <w:right w:val="single" w:color="000000" w:sz="4" w:space="0"/>
            </w:tcBorders>
            <w:vAlign w:val="center"/>
          </w:tcPr>
          <w:p w14:paraId="3857FDB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根据生物学分类树维护物种的分类信息（界门纲目科属），包括分析信息的拉丁文名、中文名、别名等信息</w:t>
            </w:r>
          </w:p>
        </w:tc>
      </w:tr>
      <w:tr w14:paraId="75887386">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6232E9DF">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1.3.6.2</w:t>
            </w:r>
          </w:p>
        </w:tc>
        <w:tc>
          <w:tcPr>
            <w:tcW w:w="2443" w:type="dxa"/>
            <w:tcBorders>
              <w:top w:val="single" w:color="000000" w:sz="4" w:space="0"/>
              <w:left w:val="single" w:color="000000" w:sz="4" w:space="0"/>
              <w:bottom w:val="single" w:color="000000" w:sz="4" w:space="0"/>
              <w:right w:val="single" w:color="000000" w:sz="4" w:space="0"/>
            </w:tcBorders>
            <w:vAlign w:val="center"/>
          </w:tcPr>
          <w:p w14:paraId="5642FC2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生物学分类信息查询</w:t>
            </w:r>
          </w:p>
        </w:tc>
        <w:tc>
          <w:tcPr>
            <w:tcW w:w="10600" w:type="dxa"/>
            <w:tcBorders>
              <w:top w:val="single" w:color="000000" w:sz="4" w:space="0"/>
              <w:left w:val="single" w:color="000000" w:sz="4" w:space="0"/>
              <w:bottom w:val="single" w:color="000000" w:sz="4" w:space="0"/>
              <w:right w:val="single" w:color="000000" w:sz="4" w:space="0"/>
            </w:tcBorders>
            <w:vAlign w:val="center"/>
          </w:tcPr>
          <w:p w14:paraId="62CF824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用户可以根据生物分类拉丁文名、中文名、更新时间模糊搜索或精确搜索查询分类信息。</w:t>
            </w:r>
          </w:p>
        </w:tc>
      </w:tr>
      <w:tr w14:paraId="3327E426">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0EC4CD33">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1.3.6.3</w:t>
            </w:r>
          </w:p>
        </w:tc>
        <w:tc>
          <w:tcPr>
            <w:tcW w:w="2443" w:type="dxa"/>
            <w:tcBorders>
              <w:top w:val="single" w:color="000000" w:sz="4" w:space="0"/>
              <w:left w:val="single" w:color="000000" w:sz="4" w:space="0"/>
              <w:bottom w:val="single" w:color="000000" w:sz="4" w:space="0"/>
              <w:right w:val="single" w:color="000000" w:sz="4" w:space="0"/>
            </w:tcBorders>
            <w:vAlign w:val="center"/>
          </w:tcPr>
          <w:p w14:paraId="2F00D83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生物学分类信息删除</w:t>
            </w:r>
          </w:p>
        </w:tc>
        <w:tc>
          <w:tcPr>
            <w:tcW w:w="10600" w:type="dxa"/>
            <w:tcBorders>
              <w:top w:val="single" w:color="000000" w:sz="4" w:space="0"/>
              <w:left w:val="single" w:color="000000" w:sz="4" w:space="0"/>
              <w:bottom w:val="single" w:color="000000" w:sz="4" w:space="0"/>
              <w:right w:val="single" w:color="000000" w:sz="4" w:space="0"/>
            </w:tcBorders>
            <w:vAlign w:val="center"/>
          </w:tcPr>
          <w:p w14:paraId="4E72D89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删除分类信息，删除后的信息将不再管理系统及展现系统可见，但依然存在数据库中，以便数据恢复。</w:t>
            </w:r>
          </w:p>
        </w:tc>
      </w:tr>
      <w:tr w14:paraId="7223CBCD">
        <w:tblPrEx>
          <w:tblCellMar>
            <w:top w:w="0" w:type="dxa"/>
            <w:left w:w="108" w:type="dxa"/>
            <w:bottom w:w="0" w:type="dxa"/>
            <w:right w:w="108" w:type="dxa"/>
          </w:tblCellMar>
        </w:tblPrEx>
        <w:trPr>
          <w:trHeight w:val="530"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1C684AA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1.3.6.4</w:t>
            </w:r>
          </w:p>
        </w:tc>
        <w:tc>
          <w:tcPr>
            <w:tcW w:w="2443" w:type="dxa"/>
            <w:tcBorders>
              <w:top w:val="single" w:color="000000" w:sz="4" w:space="0"/>
              <w:left w:val="single" w:color="000000" w:sz="4" w:space="0"/>
              <w:bottom w:val="single" w:color="000000" w:sz="4" w:space="0"/>
              <w:right w:val="single" w:color="000000" w:sz="4" w:space="0"/>
            </w:tcBorders>
            <w:vAlign w:val="center"/>
          </w:tcPr>
          <w:p w14:paraId="680532D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物种信息管理</w:t>
            </w:r>
          </w:p>
        </w:tc>
        <w:tc>
          <w:tcPr>
            <w:tcW w:w="10600" w:type="dxa"/>
            <w:tcBorders>
              <w:top w:val="single" w:color="000000" w:sz="4" w:space="0"/>
              <w:left w:val="single" w:color="000000" w:sz="4" w:space="0"/>
              <w:bottom w:val="single" w:color="000000" w:sz="4" w:space="0"/>
              <w:right w:val="single" w:color="000000" w:sz="4" w:space="0"/>
            </w:tcBorders>
            <w:vAlign w:val="center"/>
          </w:tcPr>
          <w:p w14:paraId="2A7BA50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管理物种的基本信息，包括物种生物学分类、物种拉丁文名、物种中文名、物种介绍、物种图册、物种视频、物种故事、物种科普等信息。</w:t>
            </w:r>
          </w:p>
        </w:tc>
      </w:tr>
      <w:tr w14:paraId="4173A3A2">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624E5B2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1.3.6.5</w:t>
            </w:r>
          </w:p>
        </w:tc>
        <w:tc>
          <w:tcPr>
            <w:tcW w:w="2443" w:type="dxa"/>
            <w:tcBorders>
              <w:top w:val="single" w:color="000000" w:sz="4" w:space="0"/>
              <w:left w:val="single" w:color="000000" w:sz="4" w:space="0"/>
              <w:bottom w:val="single" w:color="000000" w:sz="4" w:space="0"/>
              <w:right w:val="single" w:color="000000" w:sz="4" w:space="0"/>
            </w:tcBorders>
            <w:vAlign w:val="center"/>
          </w:tcPr>
          <w:p w14:paraId="730ACAF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自定义物种科普信息</w:t>
            </w:r>
          </w:p>
        </w:tc>
        <w:tc>
          <w:tcPr>
            <w:tcW w:w="10600" w:type="dxa"/>
            <w:tcBorders>
              <w:top w:val="single" w:color="000000" w:sz="4" w:space="0"/>
              <w:left w:val="single" w:color="000000" w:sz="4" w:space="0"/>
              <w:bottom w:val="single" w:color="000000" w:sz="4" w:space="0"/>
              <w:right w:val="single" w:color="000000" w:sz="4" w:space="0"/>
            </w:tcBorders>
            <w:vAlign w:val="center"/>
          </w:tcPr>
          <w:p w14:paraId="0018641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在物种信息维护中支持自定义物种科普字段及内容，如物种分布、物种生长阶段、物种活动节律等。</w:t>
            </w:r>
          </w:p>
        </w:tc>
      </w:tr>
      <w:tr w14:paraId="3A760FCE">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0C5947BC">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1.3.6.6</w:t>
            </w:r>
          </w:p>
        </w:tc>
        <w:tc>
          <w:tcPr>
            <w:tcW w:w="2443" w:type="dxa"/>
            <w:tcBorders>
              <w:top w:val="single" w:color="000000" w:sz="4" w:space="0"/>
              <w:left w:val="single" w:color="000000" w:sz="4" w:space="0"/>
              <w:bottom w:val="single" w:color="000000" w:sz="4" w:space="0"/>
              <w:right w:val="single" w:color="000000" w:sz="4" w:space="0"/>
            </w:tcBorders>
            <w:vAlign w:val="center"/>
          </w:tcPr>
          <w:p w14:paraId="5821AE8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物种信息查询</w:t>
            </w:r>
          </w:p>
        </w:tc>
        <w:tc>
          <w:tcPr>
            <w:tcW w:w="10600" w:type="dxa"/>
            <w:tcBorders>
              <w:top w:val="single" w:color="000000" w:sz="4" w:space="0"/>
              <w:left w:val="single" w:color="000000" w:sz="4" w:space="0"/>
              <w:bottom w:val="single" w:color="000000" w:sz="4" w:space="0"/>
              <w:right w:val="single" w:color="000000" w:sz="4" w:space="0"/>
            </w:tcBorders>
            <w:vAlign w:val="center"/>
          </w:tcPr>
          <w:p w14:paraId="1F30F92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用户可以根据生物分类树、拉丁文名、中文名模糊搜索或精确搜索查询物种信息。</w:t>
            </w:r>
          </w:p>
        </w:tc>
      </w:tr>
      <w:tr w14:paraId="413483C2">
        <w:tblPrEx>
          <w:tblCellMar>
            <w:top w:w="0" w:type="dxa"/>
            <w:left w:w="108" w:type="dxa"/>
            <w:bottom w:w="0" w:type="dxa"/>
            <w:right w:w="108" w:type="dxa"/>
          </w:tblCellMar>
        </w:tblPrEx>
        <w:trPr>
          <w:trHeight w:val="530"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5E491CD6">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1.3.6.7</w:t>
            </w:r>
          </w:p>
        </w:tc>
        <w:tc>
          <w:tcPr>
            <w:tcW w:w="2443" w:type="dxa"/>
            <w:tcBorders>
              <w:top w:val="single" w:color="000000" w:sz="4" w:space="0"/>
              <w:left w:val="single" w:color="000000" w:sz="4" w:space="0"/>
              <w:bottom w:val="single" w:color="000000" w:sz="4" w:space="0"/>
              <w:right w:val="single" w:color="000000" w:sz="4" w:space="0"/>
            </w:tcBorders>
            <w:vAlign w:val="center"/>
          </w:tcPr>
          <w:p w14:paraId="35E4372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物种信息列表</w:t>
            </w:r>
          </w:p>
        </w:tc>
        <w:tc>
          <w:tcPr>
            <w:tcW w:w="10600" w:type="dxa"/>
            <w:tcBorders>
              <w:top w:val="single" w:color="000000" w:sz="4" w:space="0"/>
              <w:left w:val="single" w:color="000000" w:sz="4" w:space="0"/>
              <w:bottom w:val="single" w:color="000000" w:sz="4" w:space="0"/>
              <w:right w:val="single" w:color="000000" w:sz="4" w:space="0"/>
            </w:tcBorders>
            <w:vAlign w:val="center"/>
          </w:tcPr>
          <w:p w14:paraId="0F23AA5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以分类树的形式展示出物种基础信息，包括物种拉丁名、中文名、更新时间。同时分类树会统计出分类下的数据统计数量。</w:t>
            </w:r>
          </w:p>
        </w:tc>
      </w:tr>
      <w:tr w14:paraId="262D3242">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16AF762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1.3.6.8</w:t>
            </w:r>
          </w:p>
        </w:tc>
        <w:tc>
          <w:tcPr>
            <w:tcW w:w="2443" w:type="dxa"/>
            <w:tcBorders>
              <w:top w:val="single" w:color="000000" w:sz="4" w:space="0"/>
              <w:left w:val="single" w:color="000000" w:sz="4" w:space="0"/>
              <w:bottom w:val="single" w:color="000000" w:sz="4" w:space="0"/>
              <w:right w:val="single" w:color="000000" w:sz="4" w:space="0"/>
            </w:tcBorders>
            <w:vAlign w:val="center"/>
          </w:tcPr>
          <w:p w14:paraId="645512C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物种分布信息管理</w:t>
            </w:r>
          </w:p>
        </w:tc>
        <w:tc>
          <w:tcPr>
            <w:tcW w:w="10600" w:type="dxa"/>
            <w:tcBorders>
              <w:top w:val="single" w:color="000000" w:sz="4" w:space="0"/>
              <w:left w:val="single" w:color="000000" w:sz="4" w:space="0"/>
              <w:bottom w:val="single" w:color="000000" w:sz="4" w:space="0"/>
              <w:right w:val="single" w:color="000000" w:sz="4" w:space="0"/>
            </w:tcBorders>
            <w:vAlign w:val="center"/>
          </w:tcPr>
          <w:p w14:paraId="2EBD6CB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1、物种选择矢量资源数据进行分布信息绑定；2、用户自定义上传物种出现GIS点位数据；</w:t>
            </w:r>
          </w:p>
        </w:tc>
      </w:tr>
      <w:tr w14:paraId="36C6007E">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2EEDD4C9">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1.3.6.9</w:t>
            </w:r>
          </w:p>
        </w:tc>
        <w:tc>
          <w:tcPr>
            <w:tcW w:w="2443" w:type="dxa"/>
            <w:tcBorders>
              <w:top w:val="single" w:color="000000" w:sz="4" w:space="0"/>
              <w:left w:val="single" w:color="000000" w:sz="4" w:space="0"/>
              <w:bottom w:val="single" w:color="000000" w:sz="4" w:space="0"/>
              <w:right w:val="single" w:color="000000" w:sz="4" w:space="0"/>
            </w:tcBorders>
            <w:vAlign w:val="center"/>
          </w:tcPr>
          <w:p w14:paraId="7508EF7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物种分布信息展示</w:t>
            </w:r>
          </w:p>
        </w:tc>
        <w:tc>
          <w:tcPr>
            <w:tcW w:w="10600" w:type="dxa"/>
            <w:tcBorders>
              <w:top w:val="single" w:color="000000" w:sz="4" w:space="0"/>
              <w:left w:val="single" w:color="000000" w:sz="4" w:space="0"/>
              <w:bottom w:val="single" w:color="000000" w:sz="4" w:space="0"/>
              <w:right w:val="single" w:color="000000" w:sz="4" w:space="0"/>
            </w:tcBorders>
            <w:vAlign w:val="center"/>
          </w:tcPr>
          <w:p w14:paraId="72D6CCB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依据用户关联或上传的GIS矢量数据生成保护区生物多样性热点分布图表、主要物种种群及分布图表。</w:t>
            </w:r>
          </w:p>
        </w:tc>
      </w:tr>
      <w:tr w14:paraId="6BF8303B">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650DC008">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1.3.7</w:t>
            </w:r>
          </w:p>
        </w:tc>
        <w:tc>
          <w:tcPr>
            <w:tcW w:w="2443" w:type="dxa"/>
            <w:tcBorders>
              <w:top w:val="single" w:color="000000" w:sz="4" w:space="0"/>
              <w:left w:val="single" w:color="000000" w:sz="4" w:space="0"/>
              <w:bottom w:val="single" w:color="000000" w:sz="4" w:space="0"/>
              <w:right w:val="single" w:color="000000" w:sz="4" w:space="0"/>
            </w:tcBorders>
            <w:vAlign w:val="center"/>
          </w:tcPr>
          <w:p w14:paraId="5B8CE013">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智能设备</w:t>
            </w:r>
          </w:p>
        </w:tc>
        <w:tc>
          <w:tcPr>
            <w:tcW w:w="10600" w:type="dxa"/>
            <w:tcBorders>
              <w:top w:val="single" w:color="000000" w:sz="4" w:space="0"/>
              <w:left w:val="single" w:color="000000" w:sz="4" w:space="0"/>
              <w:bottom w:val="single" w:color="000000" w:sz="4" w:space="0"/>
              <w:right w:val="single" w:color="000000" w:sz="4" w:space="0"/>
            </w:tcBorders>
            <w:vAlign w:val="center"/>
          </w:tcPr>
          <w:p w14:paraId="467D2BB1">
            <w:pPr>
              <w:spacing w:line="240" w:lineRule="auto"/>
              <w:ind w:firstLine="0" w:firstLineChars="0"/>
              <w:jc w:val="left"/>
              <w:rPr>
                <w:rFonts w:hint="eastAsia" w:ascii="宋体" w:hAnsi="宋体" w:cs="宋体"/>
                <w:b/>
                <w:bCs/>
                <w:color w:val="auto"/>
                <w:sz w:val="20"/>
                <w:szCs w:val="20"/>
              </w:rPr>
            </w:pPr>
          </w:p>
        </w:tc>
      </w:tr>
      <w:tr w14:paraId="3491DBC0">
        <w:tblPrEx>
          <w:tblCellMar>
            <w:top w:w="0" w:type="dxa"/>
            <w:left w:w="108" w:type="dxa"/>
            <w:bottom w:w="0" w:type="dxa"/>
            <w:right w:w="108" w:type="dxa"/>
          </w:tblCellMar>
        </w:tblPrEx>
        <w:trPr>
          <w:trHeight w:val="530"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2B5F4863">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1.3.7.1</w:t>
            </w:r>
          </w:p>
        </w:tc>
        <w:tc>
          <w:tcPr>
            <w:tcW w:w="2443" w:type="dxa"/>
            <w:tcBorders>
              <w:top w:val="single" w:color="000000" w:sz="4" w:space="0"/>
              <w:left w:val="single" w:color="000000" w:sz="4" w:space="0"/>
              <w:bottom w:val="single" w:color="000000" w:sz="4" w:space="0"/>
              <w:right w:val="single" w:color="000000" w:sz="4" w:space="0"/>
            </w:tcBorders>
            <w:vAlign w:val="center"/>
          </w:tcPr>
          <w:p w14:paraId="0168C8A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智能设备分类管理</w:t>
            </w:r>
          </w:p>
        </w:tc>
        <w:tc>
          <w:tcPr>
            <w:tcW w:w="10600" w:type="dxa"/>
            <w:tcBorders>
              <w:top w:val="single" w:color="000000" w:sz="4" w:space="0"/>
              <w:left w:val="single" w:color="000000" w:sz="4" w:space="0"/>
              <w:bottom w:val="single" w:color="000000" w:sz="4" w:space="0"/>
              <w:right w:val="single" w:color="000000" w:sz="4" w:space="0"/>
            </w:tcBorders>
            <w:vAlign w:val="center"/>
          </w:tcPr>
          <w:p w14:paraId="2BE725A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智能设备分类信息设置，包括气象、水质、虫情、性诱、摄像头、鸟类监测等智能设备分类信息。支持自定义设置设备分类图标。</w:t>
            </w:r>
          </w:p>
        </w:tc>
      </w:tr>
      <w:tr w14:paraId="1D58F193">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5AA81629">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1.3.7.2</w:t>
            </w:r>
          </w:p>
        </w:tc>
        <w:tc>
          <w:tcPr>
            <w:tcW w:w="2443" w:type="dxa"/>
            <w:tcBorders>
              <w:top w:val="single" w:color="000000" w:sz="4" w:space="0"/>
              <w:left w:val="single" w:color="000000" w:sz="4" w:space="0"/>
              <w:bottom w:val="single" w:color="000000" w:sz="4" w:space="0"/>
              <w:right w:val="single" w:color="000000" w:sz="4" w:space="0"/>
            </w:tcBorders>
            <w:vAlign w:val="center"/>
          </w:tcPr>
          <w:p w14:paraId="7D6712A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智能设备信息管理</w:t>
            </w:r>
          </w:p>
        </w:tc>
        <w:tc>
          <w:tcPr>
            <w:tcW w:w="10600" w:type="dxa"/>
            <w:tcBorders>
              <w:top w:val="single" w:color="000000" w:sz="4" w:space="0"/>
              <w:left w:val="single" w:color="000000" w:sz="4" w:space="0"/>
              <w:bottom w:val="single" w:color="000000" w:sz="4" w:space="0"/>
              <w:right w:val="single" w:color="000000" w:sz="4" w:space="0"/>
            </w:tcBorders>
            <w:vAlign w:val="center"/>
          </w:tcPr>
          <w:p w14:paraId="7644C41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管理设备的基本信息，包括设备名称、设备编号、安装地址、安装经纬度、设备图片、设备简介等信息。</w:t>
            </w:r>
          </w:p>
        </w:tc>
      </w:tr>
      <w:tr w14:paraId="5AC12594">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78385C7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1.3.7.3</w:t>
            </w:r>
          </w:p>
        </w:tc>
        <w:tc>
          <w:tcPr>
            <w:tcW w:w="2443" w:type="dxa"/>
            <w:tcBorders>
              <w:top w:val="single" w:color="000000" w:sz="4" w:space="0"/>
              <w:left w:val="single" w:color="000000" w:sz="4" w:space="0"/>
              <w:bottom w:val="single" w:color="000000" w:sz="4" w:space="0"/>
              <w:right w:val="single" w:color="000000" w:sz="4" w:space="0"/>
            </w:tcBorders>
            <w:vAlign w:val="center"/>
          </w:tcPr>
          <w:p w14:paraId="2540D0D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智能设备信息查询</w:t>
            </w:r>
          </w:p>
        </w:tc>
        <w:tc>
          <w:tcPr>
            <w:tcW w:w="10600" w:type="dxa"/>
            <w:tcBorders>
              <w:top w:val="single" w:color="000000" w:sz="4" w:space="0"/>
              <w:left w:val="single" w:color="000000" w:sz="4" w:space="0"/>
              <w:bottom w:val="single" w:color="000000" w:sz="4" w:space="0"/>
              <w:right w:val="single" w:color="000000" w:sz="4" w:space="0"/>
            </w:tcBorders>
            <w:vAlign w:val="center"/>
          </w:tcPr>
          <w:p w14:paraId="4298D98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用户可以根据智能设备分类、设备编号、设备名称、安装时间模糊搜索或精确搜索查询分类信息。</w:t>
            </w:r>
          </w:p>
        </w:tc>
      </w:tr>
      <w:tr w14:paraId="1A7BA7C3">
        <w:tblPrEx>
          <w:tblCellMar>
            <w:top w:w="0" w:type="dxa"/>
            <w:left w:w="108" w:type="dxa"/>
            <w:bottom w:w="0" w:type="dxa"/>
            <w:right w:w="108" w:type="dxa"/>
          </w:tblCellMar>
        </w:tblPrEx>
        <w:trPr>
          <w:trHeight w:val="530"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3ECB80C6">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1.3.7.4</w:t>
            </w:r>
          </w:p>
        </w:tc>
        <w:tc>
          <w:tcPr>
            <w:tcW w:w="2443" w:type="dxa"/>
            <w:tcBorders>
              <w:top w:val="single" w:color="000000" w:sz="4" w:space="0"/>
              <w:left w:val="single" w:color="000000" w:sz="4" w:space="0"/>
              <w:bottom w:val="single" w:color="000000" w:sz="4" w:space="0"/>
              <w:right w:val="single" w:color="000000" w:sz="4" w:space="0"/>
            </w:tcBorders>
            <w:vAlign w:val="center"/>
          </w:tcPr>
          <w:p w14:paraId="2017F5E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智能设备信息列表</w:t>
            </w:r>
          </w:p>
        </w:tc>
        <w:tc>
          <w:tcPr>
            <w:tcW w:w="10600" w:type="dxa"/>
            <w:tcBorders>
              <w:top w:val="single" w:color="000000" w:sz="4" w:space="0"/>
              <w:left w:val="single" w:color="000000" w:sz="4" w:space="0"/>
              <w:bottom w:val="single" w:color="000000" w:sz="4" w:space="0"/>
              <w:right w:val="single" w:color="000000" w:sz="4" w:space="0"/>
            </w:tcBorders>
            <w:vAlign w:val="center"/>
          </w:tcPr>
          <w:p w14:paraId="5240C3A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左侧为设备分类，并统计出分类下的设备数量；右侧为设备信息列表，展示出设备名称、设备编号、安装地址、安装时间等基础信息</w:t>
            </w:r>
          </w:p>
        </w:tc>
      </w:tr>
      <w:tr w14:paraId="12AD4DCC">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14DFA063">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1.3.7.5</w:t>
            </w:r>
          </w:p>
        </w:tc>
        <w:tc>
          <w:tcPr>
            <w:tcW w:w="2443" w:type="dxa"/>
            <w:tcBorders>
              <w:top w:val="single" w:color="000000" w:sz="4" w:space="0"/>
              <w:left w:val="single" w:color="000000" w:sz="4" w:space="0"/>
              <w:bottom w:val="single" w:color="000000" w:sz="4" w:space="0"/>
              <w:right w:val="single" w:color="000000" w:sz="4" w:space="0"/>
            </w:tcBorders>
            <w:vAlign w:val="center"/>
          </w:tcPr>
          <w:p w14:paraId="6218A07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智能设备分布展示</w:t>
            </w:r>
          </w:p>
        </w:tc>
        <w:tc>
          <w:tcPr>
            <w:tcW w:w="10600" w:type="dxa"/>
            <w:tcBorders>
              <w:top w:val="single" w:color="000000" w:sz="4" w:space="0"/>
              <w:left w:val="single" w:color="000000" w:sz="4" w:space="0"/>
              <w:bottom w:val="single" w:color="000000" w:sz="4" w:space="0"/>
              <w:right w:val="single" w:color="000000" w:sz="4" w:space="0"/>
            </w:tcBorders>
            <w:vAlign w:val="center"/>
          </w:tcPr>
          <w:p w14:paraId="65D0353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依据设备安装设备的点位信息在GIS地图上展示出分布位置，并支持进行设备分类选择，隐藏无关分类的设备。</w:t>
            </w:r>
          </w:p>
        </w:tc>
      </w:tr>
      <w:tr w14:paraId="1D198364">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1D8E44F5">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1.4</w:t>
            </w:r>
          </w:p>
        </w:tc>
        <w:tc>
          <w:tcPr>
            <w:tcW w:w="2443" w:type="dxa"/>
            <w:tcBorders>
              <w:top w:val="single" w:color="000000" w:sz="4" w:space="0"/>
              <w:left w:val="single" w:color="000000" w:sz="4" w:space="0"/>
              <w:bottom w:val="single" w:color="000000" w:sz="4" w:space="0"/>
              <w:right w:val="single" w:color="000000" w:sz="4" w:space="0"/>
            </w:tcBorders>
            <w:vAlign w:val="center"/>
          </w:tcPr>
          <w:p w14:paraId="75F8272B">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科普导览数据专项管理</w:t>
            </w:r>
          </w:p>
        </w:tc>
        <w:tc>
          <w:tcPr>
            <w:tcW w:w="10600" w:type="dxa"/>
            <w:tcBorders>
              <w:top w:val="single" w:color="000000" w:sz="4" w:space="0"/>
              <w:left w:val="single" w:color="000000" w:sz="4" w:space="0"/>
              <w:bottom w:val="single" w:color="000000" w:sz="4" w:space="0"/>
              <w:right w:val="single" w:color="000000" w:sz="4" w:space="0"/>
            </w:tcBorders>
            <w:vAlign w:val="center"/>
          </w:tcPr>
          <w:p w14:paraId="4C03975A">
            <w:pPr>
              <w:spacing w:line="240" w:lineRule="auto"/>
              <w:ind w:firstLine="0" w:firstLineChars="0"/>
              <w:jc w:val="left"/>
              <w:rPr>
                <w:rFonts w:hint="eastAsia" w:ascii="宋体" w:hAnsi="宋体" w:cs="宋体"/>
                <w:b/>
                <w:bCs/>
                <w:color w:val="auto"/>
                <w:sz w:val="20"/>
                <w:szCs w:val="20"/>
              </w:rPr>
            </w:pPr>
          </w:p>
        </w:tc>
      </w:tr>
      <w:tr w14:paraId="394C4EAD">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76D258C9">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1.4.1</w:t>
            </w:r>
          </w:p>
        </w:tc>
        <w:tc>
          <w:tcPr>
            <w:tcW w:w="2443" w:type="dxa"/>
            <w:tcBorders>
              <w:top w:val="single" w:color="000000" w:sz="4" w:space="0"/>
              <w:left w:val="single" w:color="000000" w:sz="4" w:space="0"/>
              <w:bottom w:val="single" w:color="000000" w:sz="4" w:space="0"/>
              <w:right w:val="single" w:color="000000" w:sz="4" w:space="0"/>
            </w:tcBorders>
            <w:vAlign w:val="center"/>
          </w:tcPr>
          <w:p w14:paraId="7EA4FF77">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导览信息管理</w:t>
            </w:r>
          </w:p>
        </w:tc>
        <w:tc>
          <w:tcPr>
            <w:tcW w:w="10600" w:type="dxa"/>
            <w:tcBorders>
              <w:top w:val="single" w:color="000000" w:sz="4" w:space="0"/>
              <w:left w:val="single" w:color="000000" w:sz="4" w:space="0"/>
              <w:bottom w:val="single" w:color="000000" w:sz="4" w:space="0"/>
              <w:right w:val="single" w:color="000000" w:sz="4" w:space="0"/>
            </w:tcBorders>
            <w:vAlign w:val="center"/>
          </w:tcPr>
          <w:p w14:paraId="1AE98087">
            <w:pPr>
              <w:spacing w:line="240" w:lineRule="auto"/>
              <w:ind w:firstLine="0" w:firstLineChars="0"/>
              <w:jc w:val="left"/>
              <w:rPr>
                <w:rFonts w:hint="eastAsia" w:ascii="宋体" w:hAnsi="宋体" w:cs="宋体"/>
                <w:b/>
                <w:bCs/>
                <w:color w:val="auto"/>
                <w:sz w:val="20"/>
                <w:szCs w:val="20"/>
              </w:rPr>
            </w:pPr>
          </w:p>
        </w:tc>
      </w:tr>
      <w:tr w14:paraId="142CE773">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3F73035C">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1.4.1.1</w:t>
            </w:r>
          </w:p>
        </w:tc>
        <w:tc>
          <w:tcPr>
            <w:tcW w:w="2443" w:type="dxa"/>
            <w:tcBorders>
              <w:top w:val="single" w:color="000000" w:sz="4" w:space="0"/>
              <w:left w:val="single" w:color="000000" w:sz="4" w:space="0"/>
              <w:bottom w:val="single" w:color="000000" w:sz="4" w:space="0"/>
              <w:right w:val="single" w:color="000000" w:sz="4" w:space="0"/>
            </w:tcBorders>
            <w:vAlign w:val="center"/>
          </w:tcPr>
          <w:p w14:paraId="3A54C95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导览点管理</w:t>
            </w:r>
          </w:p>
        </w:tc>
        <w:tc>
          <w:tcPr>
            <w:tcW w:w="10600" w:type="dxa"/>
            <w:tcBorders>
              <w:top w:val="single" w:color="000000" w:sz="4" w:space="0"/>
              <w:left w:val="single" w:color="000000" w:sz="4" w:space="0"/>
              <w:bottom w:val="single" w:color="000000" w:sz="4" w:space="0"/>
              <w:right w:val="single" w:color="000000" w:sz="4" w:space="0"/>
            </w:tcBorders>
            <w:vAlign w:val="center"/>
          </w:tcPr>
          <w:p w14:paraId="61BC340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实现对导览点的经纬度位置、名称、导览点描述、展示时长、图片或视频资料等进行有效管理。</w:t>
            </w:r>
          </w:p>
        </w:tc>
      </w:tr>
      <w:tr w14:paraId="4F279861">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19B7DDEE">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1.4.1.2</w:t>
            </w:r>
          </w:p>
        </w:tc>
        <w:tc>
          <w:tcPr>
            <w:tcW w:w="2443" w:type="dxa"/>
            <w:tcBorders>
              <w:top w:val="single" w:color="000000" w:sz="4" w:space="0"/>
              <w:left w:val="single" w:color="000000" w:sz="4" w:space="0"/>
              <w:bottom w:val="single" w:color="000000" w:sz="4" w:space="0"/>
              <w:right w:val="single" w:color="000000" w:sz="4" w:space="0"/>
            </w:tcBorders>
            <w:vAlign w:val="center"/>
          </w:tcPr>
          <w:p w14:paraId="3DC9A67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导览点内容管理</w:t>
            </w:r>
          </w:p>
        </w:tc>
        <w:tc>
          <w:tcPr>
            <w:tcW w:w="10600" w:type="dxa"/>
            <w:tcBorders>
              <w:top w:val="single" w:color="000000" w:sz="4" w:space="0"/>
              <w:left w:val="single" w:color="000000" w:sz="4" w:space="0"/>
              <w:bottom w:val="single" w:color="000000" w:sz="4" w:space="0"/>
              <w:right w:val="single" w:color="000000" w:sz="4" w:space="0"/>
            </w:tcBorders>
            <w:vAlign w:val="center"/>
          </w:tcPr>
          <w:p w14:paraId="7C0367B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进行文字编辑、图片更新、视频添加等，以实现动态地将该点位最新的信息整合展示。</w:t>
            </w:r>
          </w:p>
        </w:tc>
      </w:tr>
      <w:tr w14:paraId="5D966015">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3D0D9169">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1.4.1.3</w:t>
            </w:r>
          </w:p>
        </w:tc>
        <w:tc>
          <w:tcPr>
            <w:tcW w:w="2443" w:type="dxa"/>
            <w:tcBorders>
              <w:top w:val="single" w:color="000000" w:sz="4" w:space="0"/>
              <w:left w:val="single" w:color="000000" w:sz="4" w:space="0"/>
              <w:bottom w:val="single" w:color="000000" w:sz="4" w:space="0"/>
              <w:right w:val="single" w:color="000000" w:sz="4" w:space="0"/>
            </w:tcBorders>
            <w:vAlign w:val="center"/>
          </w:tcPr>
          <w:p w14:paraId="4C90509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导览点查询</w:t>
            </w:r>
          </w:p>
        </w:tc>
        <w:tc>
          <w:tcPr>
            <w:tcW w:w="10600" w:type="dxa"/>
            <w:tcBorders>
              <w:top w:val="single" w:color="000000" w:sz="4" w:space="0"/>
              <w:left w:val="single" w:color="000000" w:sz="4" w:space="0"/>
              <w:bottom w:val="single" w:color="000000" w:sz="4" w:space="0"/>
              <w:right w:val="single" w:color="000000" w:sz="4" w:space="0"/>
            </w:tcBorders>
            <w:vAlign w:val="center"/>
          </w:tcPr>
          <w:p w14:paraId="5771B7A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用户可以根据导览点名称、更新时间模糊搜索或精确搜索查询导览点信息。</w:t>
            </w:r>
          </w:p>
        </w:tc>
      </w:tr>
      <w:tr w14:paraId="3C95C52C">
        <w:tblPrEx>
          <w:tblCellMar>
            <w:top w:w="0" w:type="dxa"/>
            <w:left w:w="108" w:type="dxa"/>
            <w:bottom w:w="0" w:type="dxa"/>
            <w:right w:w="108" w:type="dxa"/>
          </w:tblCellMar>
        </w:tblPrEx>
        <w:trPr>
          <w:trHeight w:val="530"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6CF0E443">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1.4.1.4</w:t>
            </w:r>
          </w:p>
        </w:tc>
        <w:tc>
          <w:tcPr>
            <w:tcW w:w="2443" w:type="dxa"/>
            <w:tcBorders>
              <w:top w:val="single" w:color="000000" w:sz="4" w:space="0"/>
              <w:left w:val="single" w:color="000000" w:sz="4" w:space="0"/>
              <w:bottom w:val="single" w:color="000000" w:sz="4" w:space="0"/>
              <w:right w:val="single" w:color="000000" w:sz="4" w:space="0"/>
            </w:tcBorders>
            <w:vAlign w:val="center"/>
          </w:tcPr>
          <w:p w14:paraId="7071C7F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导览点列表</w:t>
            </w:r>
          </w:p>
        </w:tc>
        <w:tc>
          <w:tcPr>
            <w:tcW w:w="10600" w:type="dxa"/>
            <w:tcBorders>
              <w:top w:val="single" w:color="000000" w:sz="4" w:space="0"/>
              <w:left w:val="single" w:color="000000" w:sz="4" w:space="0"/>
              <w:bottom w:val="single" w:color="000000" w:sz="4" w:space="0"/>
              <w:right w:val="single" w:color="000000" w:sz="4" w:space="0"/>
            </w:tcBorders>
            <w:vAlign w:val="center"/>
          </w:tcPr>
          <w:p w14:paraId="5812133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展示出导览点基础信息，包括导览点名称、位置经纬度、导览时间点、展示时长、更新时间。同时分类树会统计出分类下的数据统计数量。</w:t>
            </w:r>
          </w:p>
        </w:tc>
      </w:tr>
      <w:tr w14:paraId="0A0A96BA">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58B9EAD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1.4.1.5</w:t>
            </w:r>
          </w:p>
        </w:tc>
        <w:tc>
          <w:tcPr>
            <w:tcW w:w="2443" w:type="dxa"/>
            <w:tcBorders>
              <w:top w:val="single" w:color="000000" w:sz="4" w:space="0"/>
              <w:left w:val="single" w:color="000000" w:sz="4" w:space="0"/>
              <w:bottom w:val="single" w:color="000000" w:sz="4" w:space="0"/>
              <w:right w:val="single" w:color="000000" w:sz="4" w:space="0"/>
            </w:tcBorders>
            <w:vAlign w:val="center"/>
          </w:tcPr>
          <w:p w14:paraId="6F7353B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导览点删除</w:t>
            </w:r>
          </w:p>
        </w:tc>
        <w:tc>
          <w:tcPr>
            <w:tcW w:w="10600" w:type="dxa"/>
            <w:tcBorders>
              <w:top w:val="single" w:color="000000" w:sz="4" w:space="0"/>
              <w:left w:val="single" w:color="000000" w:sz="4" w:space="0"/>
              <w:bottom w:val="single" w:color="000000" w:sz="4" w:space="0"/>
              <w:right w:val="single" w:color="000000" w:sz="4" w:space="0"/>
            </w:tcBorders>
            <w:vAlign w:val="center"/>
          </w:tcPr>
          <w:p w14:paraId="365F2E8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删除导览点数据，删除后的信息不能在系统中进行展示。</w:t>
            </w:r>
          </w:p>
        </w:tc>
      </w:tr>
      <w:tr w14:paraId="38305D2C">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534525BA">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1.4.2</w:t>
            </w:r>
          </w:p>
        </w:tc>
        <w:tc>
          <w:tcPr>
            <w:tcW w:w="2443" w:type="dxa"/>
            <w:tcBorders>
              <w:top w:val="single" w:color="000000" w:sz="4" w:space="0"/>
              <w:left w:val="single" w:color="000000" w:sz="4" w:space="0"/>
              <w:bottom w:val="single" w:color="000000" w:sz="4" w:space="0"/>
              <w:right w:val="single" w:color="000000" w:sz="4" w:space="0"/>
            </w:tcBorders>
            <w:vAlign w:val="center"/>
          </w:tcPr>
          <w:p w14:paraId="1EC52757">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导览点全景</w:t>
            </w:r>
          </w:p>
        </w:tc>
        <w:tc>
          <w:tcPr>
            <w:tcW w:w="10600" w:type="dxa"/>
            <w:tcBorders>
              <w:top w:val="single" w:color="000000" w:sz="4" w:space="0"/>
              <w:left w:val="single" w:color="000000" w:sz="4" w:space="0"/>
              <w:bottom w:val="single" w:color="000000" w:sz="4" w:space="0"/>
              <w:right w:val="single" w:color="000000" w:sz="4" w:space="0"/>
            </w:tcBorders>
            <w:vAlign w:val="center"/>
          </w:tcPr>
          <w:p w14:paraId="0C82F51F">
            <w:pPr>
              <w:spacing w:line="240" w:lineRule="auto"/>
              <w:ind w:firstLine="0" w:firstLineChars="0"/>
              <w:jc w:val="left"/>
              <w:rPr>
                <w:rFonts w:hint="eastAsia" w:ascii="宋体" w:hAnsi="宋体" w:cs="宋体"/>
                <w:b/>
                <w:bCs/>
                <w:color w:val="auto"/>
                <w:sz w:val="20"/>
                <w:szCs w:val="20"/>
              </w:rPr>
            </w:pPr>
          </w:p>
        </w:tc>
      </w:tr>
      <w:tr w14:paraId="4A22E566">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32733AC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1.4.2.1</w:t>
            </w:r>
          </w:p>
        </w:tc>
        <w:tc>
          <w:tcPr>
            <w:tcW w:w="2443" w:type="dxa"/>
            <w:tcBorders>
              <w:top w:val="single" w:color="000000" w:sz="4" w:space="0"/>
              <w:left w:val="single" w:color="000000" w:sz="4" w:space="0"/>
              <w:bottom w:val="single" w:color="000000" w:sz="4" w:space="0"/>
              <w:right w:val="single" w:color="000000" w:sz="4" w:space="0"/>
            </w:tcBorders>
            <w:vAlign w:val="center"/>
          </w:tcPr>
          <w:p w14:paraId="09A1A27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全景数据管理</w:t>
            </w:r>
          </w:p>
        </w:tc>
        <w:tc>
          <w:tcPr>
            <w:tcW w:w="10600" w:type="dxa"/>
            <w:tcBorders>
              <w:top w:val="single" w:color="000000" w:sz="4" w:space="0"/>
              <w:left w:val="single" w:color="000000" w:sz="4" w:space="0"/>
              <w:bottom w:val="single" w:color="000000" w:sz="4" w:space="0"/>
              <w:right w:val="single" w:color="000000" w:sz="4" w:space="0"/>
            </w:tcBorders>
            <w:vAlign w:val="center"/>
          </w:tcPr>
          <w:p w14:paraId="18E219A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全景数据管理，全景数据名称、全景合成链接信息管理。</w:t>
            </w:r>
          </w:p>
        </w:tc>
      </w:tr>
      <w:tr w14:paraId="6641F0EE">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37C7692D">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1.4.2.2</w:t>
            </w:r>
          </w:p>
        </w:tc>
        <w:tc>
          <w:tcPr>
            <w:tcW w:w="2443" w:type="dxa"/>
            <w:tcBorders>
              <w:top w:val="single" w:color="000000" w:sz="4" w:space="0"/>
              <w:left w:val="single" w:color="000000" w:sz="4" w:space="0"/>
              <w:bottom w:val="single" w:color="000000" w:sz="4" w:space="0"/>
              <w:right w:val="single" w:color="000000" w:sz="4" w:space="0"/>
            </w:tcBorders>
            <w:vAlign w:val="center"/>
          </w:tcPr>
          <w:p w14:paraId="781AA52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全景数据预览</w:t>
            </w:r>
          </w:p>
        </w:tc>
        <w:tc>
          <w:tcPr>
            <w:tcW w:w="10600" w:type="dxa"/>
            <w:tcBorders>
              <w:top w:val="single" w:color="000000" w:sz="4" w:space="0"/>
              <w:left w:val="single" w:color="000000" w:sz="4" w:space="0"/>
              <w:bottom w:val="single" w:color="000000" w:sz="4" w:space="0"/>
              <w:right w:val="single" w:color="000000" w:sz="4" w:space="0"/>
            </w:tcBorders>
            <w:vAlign w:val="center"/>
          </w:tcPr>
          <w:p w14:paraId="313DF5A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在弹出展示窗口中渲染全景数据。</w:t>
            </w:r>
          </w:p>
        </w:tc>
      </w:tr>
      <w:tr w14:paraId="6771B956">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0AC4DAAB">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1.4.3</w:t>
            </w:r>
          </w:p>
        </w:tc>
        <w:tc>
          <w:tcPr>
            <w:tcW w:w="2443" w:type="dxa"/>
            <w:tcBorders>
              <w:top w:val="single" w:color="000000" w:sz="4" w:space="0"/>
              <w:left w:val="single" w:color="000000" w:sz="4" w:space="0"/>
              <w:bottom w:val="single" w:color="000000" w:sz="4" w:space="0"/>
              <w:right w:val="single" w:color="000000" w:sz="4" w:space="0"/>
            </w:tcBorders>
            <w:vAlign w:val="center"/>
          </w:tcPr>
          <w:p w14:paraId="3D057D6E">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导览信息控制</w:t>
            </w:r>
          </w:p>
        </w:tc>
        <w:tc>
          <w:tcPr>
            <w:tcW w:w="10600" w:type="dxa"/>
            <w:tcBorders>
              <w:top w:val="single" w:color="000000" w:sz="4" w:space="0"/>
              <w:left w:val="single" w:color="000000" w:sz="4" w:space="0"/>
              <w:bottom w:val="single" w:color="000000" w:sz="4" w:space="0"/>
              <w:right w:val="single" w:color="000000" w:sz="4" w:space="0"/>
            </w:tcBorders>
            <w:vAlign w:val="center"/>
          </w:tcPr>
          <w:p w14:paraId="16A9BE5A">
            <w:pPr>
              <w:spacing w:line="240" w:lineRule="auto"/>
              <w:ind w:firstLine="0" w:firstLineChars="0"/>
              <w:jc w:val="left"/>
              <w:rPr>
                <w:rFonts w:hint="eastAsia" w:ascii="宋体" w:hAnsi="宋体" w:cs="宋体"/>
                <w:b/>
                <w:bCs/>
                <w:color w:val="auto"/>
                <w:sz w:val="20"/>
                <w:szCs w:val="20"/>
              </w:rPr>
            </w:pPr>
          </w:p>
        </w:tc>
      </w:tr>
      <w:tr w14:paraId="1C05E7D7">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10E009B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1.4.3.1</w:t>
            </w:r>
          </w:p>
        </w:tc>
        <w:tc>
          <w:tcPr>
            <w:tcW w:w="2443" w:type="dxa"/>
            <w:tcBorders>
              <w:top w:val="single" w:color="000000" w:sz="4" w:space="0"/>
              <w:left w:val="single" w:color="000000" w:sz="4" w:space="0"/>
              <w:bottom w:val="single" w:color="000000" w:sz="4" w:space="0"/>
              <w:right w:val="single" w:color="000000" w:sz="4" w:space="0"/>
            </w:tcBorders>
            <w:vAlign w:val="center"/>
          </w:tcPr>
          <w:p w14:paraId="7DE0588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导览显示控制</w:t>
            </w:r>
          </w:p>
        </w:tc>
        <w:tc>
          <w:tcPr>
            <w:tcW w:w="10600" w:type="dxa"/>
            <w:tcBorders>
              <w:top w:val="single" w:color="000000" w:sz="4" w:space="0"/>
              <w:left w:val="single" w:color="000000" w:sz="4" w:space="0"/>
              <w:bottom w:val="single" w:color="000000" w:sz="4" w:space="0"/>
              <w:right w:val="single" w:color="000000" w:sz="4" w:space="0"/>
            </w:tcBorders>
            <w:vAlign w:val="center"/>
          </w:tcPr>
          <w:p w14:paraId="22B26BE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实现对导览信息的个性化定制，三维可视化系统中导览点的显示方式、显示顺序、显示时间等进行管理和控制。</w:t>
            </w:r>
          </w:p>
        </w:tc>
      </w:tr>
      <w:tr w14:paraId="053EB359">
        <w:tblPrEx>
          <w:tblCellMar>
            <w:top w:w="0" w:type="dxa"/>
            <w:left w:w="108" w:type="dxa"/>
            <w:bottom w:w="0" w:type="dxa"/>
            <w:right w:w="108" w:type="dxa"/>
          </w:tblCellMar>
        </w:tblPrEx>
        <w:trPr>
          <w:trHeight w:val="530"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299BEAE3">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1.4.3.2</w:t>
            </w:r>
          </w:p>
        </w:tc>
        <w:tc>
          <w:tcPr>
            <w:tcW w:w="2443" w:type="dxa"/>
            <w:tcBorders>
              <w:top w:val="single" w:color="000000" w:sz="4" w:space="0"/>
              <w:left w:val="single" w:color="000000" w:sz="4" w:space="0"/>
              <w:bottom w:val="single" w:color="000000" w:sz="4" w:space="0"/>
              <w:right w:val="single" w:color="000000" w:sz="4" w:space="0"/>
            </w:tcBorders>
            <w:vAlign w:val="center"/>
          </w:tcPr>
          <w:p w14:paraId="5D8EE0C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导览预览</w:t>
            </w:r>
          </w:p>
        </w:tc>
        <w:tc>
          <w:tcPr>
            <w:tcW w:w="10600" w:type="dxa"/>
            <w:tcBorders>
              <w:top w:val="single" w:color="000000" w:sz="4" w:space="0"/>
              <w:left w:val="single" w:color="000000" w:sz="4" w:space="0"/>
              <w:bottom w:val="single" w:color="000000" w:sz="4" w:space="0"/>
              <w:right w:val="single" w:color="000000" w:sz="4" w:space="0"/>
            </w:tcBorders>
            <w:vAlign w:val="center"/>
          </w:tcPr>
          <w:p w14:paraId="4D51213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在三维可视化系统中对导览点进行预览和测试的过程。通过预览，可以检查导览点的信息展示是否准确、完整，显示控制是否流畅、自然，内容管理是否及时、有效等。</w:t>
            </w:r>
          </w:p>
        </w:tc>
      </w:tr>
      <w:tr w14:paraId="6F7C2F7E">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5173086A">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1.4.3.3</w:t>
            </w:r>
          </w:p>
        </w:tc>
        <w:tc>
          <w:tcPr>
            <w:tcW w:w="2443" w:type="dxa"/>
            <w:tcBorders>
              <w:top w:val="single" w:color="000000" w:sz="4" w:space="0"/>
              <w:left w:val="single" w:color="000000" w:sz="4" w:space="0"/>
              <w:bottom w:val="single" w:color="000000" w:sz="4" w:space="0"/>
              <w:right w:val="single" w:color="000000" w:sz="4" w:space="0"/>
            </w:tcBorders>
            <w:vAlign w:val="center"/>
          </w:tcPr>
          <w:p w14:paraId="4516B55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导览发布</w:t>
            </w:r>
          </w:p>
        </w:tc>
        <w:tc>
          <w:tcPr>
            <w:tcW w:w="10600" w:type="dxa"/>
            <w:tcBorders>
              <w:top w:val="single" w:color="000000" w:sz="4" w:space="0"/>
              <w:left w:val="single" w:color="000000" w:sz="4" w:space="0"/>
              <w:bottom w:val="single" w:color="000000" w:sz="4" w:space="0"/>
              <w:right w:val="single" w:color="000000" w:sz="4" w:space="0"/>
            </w:tcBorders>
            <w:vAlign w:val="center"/>
          </w:tcPr>
          <w:p w14:paraId="13383EA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实现对导览点信息内容的一键发布，当经过预览和测试后的导览点，支持一键发布到三维可视化应用系统。</w:t>
            </w:r>
          </w:p>
        </w:tc>
      </w:tr>
      <w:tr w14:paraId="0CAAECFB">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0A36E3D2">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1.5</w:t>
            </w:r>
          </w:p>
        </w:tc>
        <w:tc>
          <w:tcPr>
            <w:tcW w:w="2443" w:type="dxa"/>
            <w:tcBorders>
              <w:top w:val="single" w:color="000000" w:sz="4" w:space="0"/>
              <w:left w:val="single" w:color="000000" w:sz="4" w:space="0"/>
              <w:bottom w:val="single" w:color="000000" w:sz="4" w:space="0"/>
              <w:right w:val="single" w:color="000000" w:sz="4" w:space="0"/>
            </w:tcBorders>
            <w:vAlign w:val="center"/>
          </w:tcPr>
          <w:p w14:paraId="76CEAA41">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统一身份认证中心</w:t>
            </w:r>
          </w:p>
        </w:tc>
        <w:tc>
          <w:tcPr>
            <w:tcW w:w="10600" w:type="dxa"/>
            <w:tcBorders>
              <w:top w:val="single" w:color="000000" w:sz="4" w:space="0"/>
              <w:left w:val="single" w:color="000000" w:sz="4" w:space="0"/>
              <w:bottom w:val="single" w:color="000000" w:sz="4" w:space="0"/>
              <w:right w:val="single" w:color="000000" w:sz="4" w:space="0"/>
            </w:tcBorders>
            <w:vAlign w:val="center"/>
          </w:tcPr>
          <w:p w14:paraId="71667DF1">
            <w:pPr>
              <w:spacing w:line="240" w:lineRule="auto"/>
              <w:ind w:firstLine="0" w:firstLineChars="0"/>
              <w:jc w:val="left"/>
              <w:rPr>
                <w:rFonts w:hint="eastAsia" w:ascii="宋体" w:hAnsi="宋体" w:cs="宋体"/>
                <w:b/>
                <w:bCs/>
                <w:color w:val="auto"/>
                <w:sz w:val="20"/>
                <w:szCs w:val="20"/>
              </w:rPr>
            </w:pPr>
          </w:p>
        </w:tc>
      </w:tr>
      <w:tr w14:paraId="014C9BBC">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145208B1">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1.5.1</w:t>
            </w:r>
          </w:p>
        </w:tc>
        <w:tc>
          <w:tcPr>
            <w:tcW w:w="2443" w:type="dxa"/>
            <w:tcBorders>
              <w:top w:val="single" w:color="000000" w:sz="4" w:space="0"/>
              <w:left w:val="single" w:color="000000" w:sz="4" w:space="0"/>
              <w:bottom w:val="single" w:color="000000" w:sz="4" w:space="0"/>
              <w:right w:val="single" w:color="000000" w:sz="4" w:space="0"/>
            </w:tcBorders>
            <w:vAlign w:val="center"/>
          </w:tcPr>
          <w:p w14:paraId="2A2427EC">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令牌服务引擎</w:t>
            </w:r>
          </w:p>
        </w:tc>
        <w:tc>
          <w:tcPr>
            <w:tcW w:w="10600" w:type="dxa"/>
            <w:tcBorders>
              <w:top w:val="single" w:color="000000" w:sz="4" w:space="0"/>
              <w:left w:val="single" w:color="000000" w:sz="4" w:space="0"/>
              <w:bottom w:val="single" w:color="000000" w:sz="4" w:space="0"/>
              <w:right w:val="single" w:color="000000" w:sz="4" w:space="0"/>
            </w:tcBorders>
            <w:vAlign w:val="center"/>
          </w:tcPr>
          <w:p w14:paraId="481C565C">
            <w:pPr>
              <w:spacing w:line="240" w:lineRule="auto"/>
              <w:ind w:firstLine="0" w:firstLineChars="0"/>
              <w:jc w:val="left"/>
              <w:rPr>
                <w:rFonts w:hint="eastAsia" w:ascii="宋体" w:hAnsi="宋体" w:cs="宋体"/>
                <w:b/>
                <w:bCs/>
                <w:color w:val="auto"/>
                <w:sz w:val="20"/>
                <w:szCs w:val="20"/>
              </w:rPr>
            </w:pPr>
          </w:p>
        </w:tc>
      </w:tr>
      <w:tr w14:paraId="3A129F90">
        <w:tblPrEx>
          <w:tblCellMar>
            <w:top w:w="0" w:type="dxa"/>
            <w:left w:w="108" w:type="dxa"/>
            <w:bottom w:w="0" w:type="dxa"/>
            <w:right w:w="108" w:type="dxa"/>
          </w:tblCellMar>
        </w:tblPrEx>
        <w:trPr>
          <w:trHeight w:val="530"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72FF1E23">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1.5.1.1</w:t>
            </w:r>
          </w:p>
        </w:tc>
        <w:tc>
          <w:tcPr>
            <w:tcW w:w="2443" w:type="dxa"/>
            <w:tcBorders>
              <w:top w:val="single" w:color="000000" w:sz="4" w:space="0"/>
              <w:left w:val="single" w:color="000000" w:sz="4" w:space="0"/>
              <w:bottom w:val="single" w:color="000000" w:sz="4" w:space="0"/>
              <w:right w:val="single" w:color="000000" w:sz="4" w:space="0"/>
            </w:tcBorders>
            <w:vAlign w:val="center"/>
          </w:tcPr>
          <w:p w14:paraId="4034105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动态令牌生成</w:t>
            </w:r>
          </w:p>
        </w:tc>
        <w:tc>
          <w:tcPr>
            <w:tcW w:w="10600" w:type="dxa"/>
            <w:tcBorders>
              <w:top w:val="single" w:color="000000" w:sz="4" w:space="0"/>
              <w:left w:val="single" w:color="000000" w:sz="4" w:space="0"/>
              <w:bottom w:val="single" w:color="000000" w:sz="4" w:space="0"/>
              <w:right w:val="single" w:color="000000" w:sz="4" w:space="0"/>
            </w:tcBorders>
            <w:vAlign w:val="center"/>
          </w:tcPr>
          <w:p w14:paraId="2862AC2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基于JWT生成短期有效令牌（默认5分钟），包含用户唯一标识、系统标识、权限范围及时间戳，支持HS256/RS256双加密算法</w:t>
            </w:r>
            <w:r>
              <w:rPr>
                <w:rFonts w:cs="Times New Roman"/>
                <w:color w:val="auto"/>
                <w:kern w:val="0"/>
                <w:sz w:val="20"/>
                <w:szCs w:val="20"/>
                <w:lang w:bidi="ar"/>
              </w:rPr>
              <w:t>‌</w:t>
            </w:r>
          </w:p>
        </w:tc>
      </w:tr>
      <w:tr w14:paraId="1401AD65">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77801B1F">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1.5.1.2</w:t>
            </w:r>
          </w:p>
        </w:tc>
        <w:tc>
          <w:tcPr>
            <w:tcW w:w="2443" w:type="dxa"/>
            <w:tcBorders>
              <w:top w:val="single" w:color="000000" w:sz="4" w:space="0"/>
              <w:left w:val="single" w:color="000000" w:sz="4" w:space="0"/>
              <w:bottom w:val="single" w:color="000000" w:sz="4" w:space="0"/>
              <w:right w:val="single" w:color="000000" w:sz="4" w:space="0"/>
            </w:tcBorders>
            <w:vAlign w:val="center"/>
          </w:tcPr>
          <w:p w14:paraId="089D5CD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密钥轮换</w:t>
            </w:r>
          </w:p>
        </w:tc>
        <w:tc>
          <w:tcPr>
            <w:tcW w:w="10600" w:type="dxa"/>
            <w:tcBorders>
              <w:top w:val="single" w:color="000000" w:sz="4" w:space="0"/>
              <w:left w:val="single" w:color="000000" w:sz="4" w:space="0"/>
              <w:bottom w:val="single" w:color="000000" w:sz="4" w:space="0"/>
              <w:right w:val="single" w:color="000000" w:sz="4" w:space="0"/>
            </w:tcBorders>
            <w:vAlign w:val="center"/>
          </w:tcPr>
          <w:p w14:paraId="180053A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通过密钥轮换机制（每24小时更换签名密钥）防范密钥泄露风险</w:t>
            </w:r>
            <w:r>
              <w:rPr>
                <w:rFonts w:cs="Times New Roman"/>
                <w:color w:val="auto"/>
                <w:kern w:val="0"/>
                <w:sz w:val="20"/>
                <w:szCs w:val="20"/>
                <w:lang w:bidi="ar"/>
              </w:rPr>
              <w:t>‌</w:t>
            </w:r>
          </w:p>
        </w:tc>
      </w:tr>
      <w:tr w14:paraId="2D9EB540">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1F65A8F3">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1.5.1.3</w:t>
            </w:r>
          </w:p>
        </w:tc>
        <w:tc>
          <w:tcPr>
            <w:tcW w:w="2443" w:type="dxa"/>
            <w:tcBorders>
              <w:top w:val="single" w:color="000000" w:sz="4" w:space="0"/>
              <w:left w:val="single" w:color="000000" w:sz="4" w:space="0"/>
              <w:bottom w:val="single" w:color="000000" w:sz="4" w:space="0"/>
              <w:right w:val="single" w:color="000000" w:sz="4" w:space="0"/>
            </w:tcBorders>
            <w:vAlign w:val="center"/>
          </w:tcPr>
          <w:p w14:paraId="1A0F410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令牌验证</w:t>
            </w:r>
          </w:p>
        </w:tc>
        <w:tc>
          <w:tcPr>
            <w:tcW w:w="10600" w:type="dxa"/>
            <w:tcBorders>
              <w:top w:val="single" w:color="000000" w:sz="4" w:space="0"/>
              <w:left w:val="single" w:color="000000" w:sz="4" w:space="0"/>
              <w:bottom w:val="single" w:color="000000" w:sz="4" w:space="0"/>
              <w:right w:val="single" w:color="000000" w:sz="4" w:space="0"/>
            </w:tcBorders>
            <w:vAlign w:val="center"/>
          </w:tcPr>
          <w:p w14:paraId="563E7FB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验证令牌签名有效性、时效性及来源系统白名单，验证延迟控制在50ms内</w:t>
            </w:r>
            <w:r>
              <w:rPr>
                <w:rFonts w:cs="Times New Roman"/>
                <w:color w:val="auto"/>
                <w:kern w:val="0"/>
                <w:sz w:val="20"/>
                <w:szCs w:val="20"/>
                <w:lang w:bidi="ar"/>
              </w:rPr>
              <w:t>‌</w:t>
            </w:r>
          </w:p>
        </w:tc>
      </w:tr>
      <w:tr w14:paraId="710EA802">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3C9C1937">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1.5.1.4</w:t>
            </w:r>
          </w:p>
        </w:tc>
        <w:tc>
          <w:tcPr>
            <w:tcW w:w="2443" w:type="dxa"/>
            <w:tcBorders>
              <w:top w:val="single" w:color="000000" w:sz="4" w:space="0"/>
              <w:left w:val="single" w:color="000000" w:sz="4" w:space="0"/>
              <w:bottom w:val="single" w:color="000000" w:sz="4" w:space="0"/>
              <w:right w:val="single" w:color="000000" w:sz="4" w:space="0"/>
            </w:tcBorders>
            <w:vAlign w:val="center"/>
          </w:tcPr>
          <w:p w14:paraId="4B8018F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令牌拦截</w:t>
            </w:r>
          </w:p>
        </w:tc>
        <w:tc>
          <w:tcPr>
            <w:tcW w:w="10600" w:type="dxa"/>
            <w:tcBorders>
              <w:top w:val="single" w:color="000000" w:sz="4" w:space="0"/>
              <w:left w:val="single" w:color="000000" w:sz="4" w:space="0"/>
              <w:bottom w:val="single" w:color="000000" w:sz="4" w:space="0"/>
              <w:right w:val="single" w:color="000000" w:sz="4" w:space="0"/>
            </w:tcBorders>
            <w:vAlign w:val="center"/>
          </w:tcPr>
          <w:p w14:paraId="0C4A883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自动拦截篡改或过期的异常令牌，触发安全预警</w:t>
            </w:r>
          </w:p>
        </w:tc>
      </w:tr>
      <w:tr w14:paraId="07705F84">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5A504412">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1.5.1.5</w:t>
            </w:r>
          </w:p>
        </w:tc>
        <w:tc>
          <w:tcPr>
            <w:tcW w:w="2443" w:type="dxa"/>
            <w:tcBorders>
              <w:top w:val="single" w:color="000000" w:sz="4" w:space="0"/>
              <w:left w:val="single" w:color="000000" w:sz="4" w:space="0"/>
              <w:bottom w:val="single" w:color="000000" w:sz="4" w:space="0"/>
              <w:right w:val="single" w:color="000000" w:sz="4" w:space="0"/>
            </w:tcBorders>
            <w:vAlign w:val="center"/>
          </w:tcPr>
          <w:p w14:paraId="54503D6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旧令牌换新令牌</w:t>
            </w:r>
          </w:p>
        </w:tc>
        <w:tc>
          <w:tcPr>
            <w:tcW w:w="10600" w:type="dxa"/>
            <w:tcBorders>
              <w:top w:val="single" w:color="000000" w:sz="4" w:space="0"/>
              <w:left w:val="single" w:color="000000" w:sz="4" w:space="0"/>
              <w:bottom w:val="single" w:color="000000" w:sz="4" w:space="0"/>
              <w:right w:val="single" w:color="000000" w:sz="4" w:space="0"/>
            </w:tcBorders>
            <w:vAlign w:val="center"/>
          </w:tcPr>
          <w:p w14:paraId="254FA01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允许通过旧令牌换取新令牌（Refresh Token），有效期延长至24小时。</w:t>
            </w:r>
          </w:p>
        </w:tc>
      </w:tr>
      <w:tr w14:paraId="276BB598">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7D0D1162">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1.5.1.6</w:t>
            </w:r>
          </w:p>
        </w:tc>
        <w:tc>
          <w:tcPr>
            <w:tcW w:w="2443" w:type="dxa"/>
            <w:tcBorders>
              <w:top w:val="single" w:color="000000" w:sz="4" w:space="0"/>
              <w:left w:val="single" w:color="000000" w:sz="4" w:space="0"/>
              <w:bottom w:val="single" w:color="000000" w:sz="4" w:space="0"/>
              <w:right w:val="single" w:color="000000" w:sz="4" w:space="0"/>
            </w:tcBorders>
            <w:vAlign w:val="center"/>
          </w:tcPr>
          <w:p w14:paraId="7960D2E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静默刷新</w:t>
            </w:r>
          </w:p>
        </w:tc>
        <w:tc>
          <w:tcPr>
            <w:tcW w:w="10600" w:type="dxa"/>
            <w:tcBorders>
              <w:top w:val="single" w:color="000000" w:sz="4" w:space="0"/>
              <w:left w:val="single" w:color="000000" w:sz="4" w:space="0"/>
              <w:bottom w:val="single" w:color="000000" w:sz="4" w:space="0"/>
              <w:right w:val="single" w:color="000000" w:sz="4" w:space="0"/>
            </w:tcBorders>
            <w:vAlign w:val="center"/>
          </w:tcPr>
          <w:p w14:paraId="12882DA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支持静默刷新（令牌剩余有效期&lt;30秒时自动续期），单用户每小时限3次刷新操作</w:t>
            </w:r>
            <w:r>
              <w:rPr>
                <w:rFonts w:cs="Times New Roman"/>
                <w:color w:val="auto"/>
                <w:kern w:val="0"/>
                <w:sz w:val="20"/>
                <w:szCs w:val="20"/>
                <w:lang w:bidi="ar"/>
              </w:rPr>
              <w:t>‌</w:t>
            </w:r>
          </w:p>
        </w:tc>
      </w:tr>
      <w:tr w14:paraId="7BDA4F31">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6A2241B0">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1.5.2</w:t>
            </w:r>
          </w:p>
        </w:tc>
        <w:tc>
          <w:tcPr>
            <w:tcW w:w="2443" w:type="dxa"/>
            <w:tcBorders>
              <w:top w:val="single" w:color="000000" w:sz="4" w:space="0"/>
              <w:left w:val="single" w:color="000000" w:sz="4" w:space="0"/>
              <w:bottom w:val="single" w:color="000000" w:sz="4" w:space="0"/>
              <w:right w:val="single" w:color="000000" w:sz="4" w:space="0"/>
            </w:tcBorders>
            <w:vAlign w:val="center"/>
          </w:tcPr>
          <w:p w14:paraId="3F3EE2FD">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权限映射服务</w:t>
            </w:r>
          </w:p>
        </w:tc>
        <w:tc>
          <w:tcPr>
            <w:tcW w:w="10600" w:type="dxa"/>
            <w:tcBorders>
              <w:top w:val="single" w:color="000000" w:sz="4" w:space="0"/>
              <w:left w:val="single" w:color="000000" w:sz="4" w:space="0"/>
              <w:bottom w:val="single" w:color="000000" w:sz="4" w:space="0"/>
              <w:right w:val="single" w:color="000000" w:sz="4" w:space="0"/>
            </w:tcBorders>
            <w:vAlign w:val="center"/>
          </w:tcPr>
          <w:p w14:paraId="6A96ECE2">
            <w:pPr>
              <w:spacing w:line="240" w:lineRule="auto"/>
              <w:ind w:firstLine="0" w:firstLineChars="0"/>
              <w:jc w:val="left"/>
              <w:rPr>
                <w:rFonts w:hint="eastAsia" w:ascii="宋体" w:hAnsi="宋体" w:cs="宋体"/>
                <w:b/>
                <w:bCs/>
                <w:color w:val="auto"/>
                <w:sz w:val="20"/>
                <w:szCs w:val="20"/>
              </w:rPr>
            </w:pPr>
          </w:p>
        </w:tc>
      </w:tr>
      <w:tr w14:paraId="60B26A4C">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011D10B4">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1.5.2.1</w:t>
            </w:r>
          </w:p>
        </w:tc>
        <w:tc>
          <w:tcPr>
            <w:tcW w:w="2443" w:type="dxa"/>
            <w:tcBorders>
              <w:top w:val="single" w:color="000000" w:sz="4" w:space="0"/>
              <w:left w:val="single" w:color="000000" w:sz="4" w:space="0"/>
              <w:bottom w:val="single" w:color="000000" w:sz="4" w:space="0"/>
              <w:right w:val="single" w:color="000000" w:sz="4" w:space="0"/>
            </w:tcBorders>
            <w:vAlign w:val="center"/>
          </w:tcPr>
          <w:p w14:paraId="53166D4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预置角色映射</w:t>
            </w:r>
          </w:p>
        </w:tc>
        <w:tc>
          <w:tcPr>
            <w:tcW w:w="10600" w:type="dxa"/>
            <w:tcBorders>
              <w:top w:val="single" w:color="000000" w:sz="4" w:space="0"/>
              <w:left w:val="single" w:color="000000" w:sz="4" w:space="0"/>
              <w:bottom w:val="single" w:color="000000" w:sz="4" w:space="0"/>
              <w:right w:val="single" w:color="000000" w:sz="4" w:space="0"/>
            </w:tcBorders>
            <w:vAlign w:val="center"/>
          </w:tcPr>
          <w:p w14:paraId="1E6B3D3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预置角色映射表，支持JSON/YAML格式配置</w:t>
            </w:r>
            <w:r>
              <w:rPr>
                <w:rFonts w:cs="Times New Roman"/>
                <w:color w:val="auto"/>
                <w:kern w:val="0"/>
                <w:sz w:val="20"/>
                <w:szCs w:val="20"/>
                <w:lang w:bidi="ar"/>
              </w:rPr>
              <w:t>‌</w:t>
            </w:r>
          </w:p>
        </w:tc>
      </w:tr>
      <w:tr w14:paraId="39D28E67">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37A4BDBA">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1.5.2.2</w:t>
            </w:r>
          </w:p>
        </w:tc>
        <w:tc>
          <w:tcPr>
            <w:tcW w:w="2443" w:type="dxa"/>
            <w:tcBorders>
              <w:top w:val="single" w:color="000000" w:sz="4" w:space="0"/>
              <w:left w:val="single" w:color="000000" w:sz="4" w:space="0"/>
              <w:bottom w:val="single" w:color="000000" w:sz="4" w:space="0"/>
              <w:right w:val="single" w:color="000000" w:sz="4" w:space="0"/>
            </w:tcBorders>
            <w:vAlign w:val="center"/>
          </w:tcPr>
          <w:p w14:paraId="460F536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动态转换用户角色权限</w:t>
            </w:r>
          </w:p>
        </w:tc>
        <w:tc>
          <w:tcPr>
            <w:tcW w:w="10600" w:type="dxa"/>
            <w:tcBorders>
              <w:top w:val="single" w:color="000000" w:sz="4" w:space="0"/>
              <w:left w:val="single" w:color="000000" w:sz="4" w:space="0"/>
              <w:bottom w:val="single" w:color="000000" w:sz="4" w:space="0"/>
              <w:right w:val="single" w:color="000000" w:sz="4" w:space="0"/>
            </w:tcBorders>
            <w:vAlign w:val="center"/>
          </w:tcPr>
          <w:p w14:paraId="550041A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动态转换用户角色权限至目标系统格式</w:t>
            </w:r>
          </w:p>
        </w:tc>
      </w:tr>
      <w:tr w14:paraId="1B30E2AD">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5DADCFE5">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1.5.2.3</w:t>
            </w:r>
          </w:p>
        </w:tc>
        <w:tc>
          <w:tcPr>
            <w:tcW w:w="2443" w:type="dxa"/>
            <w:tcBorders>
              <w:top w:val="single" w:color="000000" w:sz="4" w:space="0"/>
              <w:left w:val="single" w:color="000000" w:sz="4" w:space="0"/>
              <w:bottom w:val="single" w:color="000000" w:sz="4" w:space="0"/>
              <w:right w:val="single" w:color="000000" w:sz="4" w:space="0"/>
            </w:tcBorders>
            <w:vAlign w:val="center"/>
          </w:tcPr>
          <w:p w14:paraId="700D732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动态权限继承</w:t>
            </w:r>
          </w:p>
        </w:tc>
        <w:tc>
          <w:tcPr>
            <w:tcW w:w="10600" w:type="dxa"/>
            <w:tcBorders>
              <w:top w:val="single" w:color="000000" w:sz="4" w:space="0"/>
              <w:left w:val="single" w:color="000000" w:sz="4" w:space="0"/>
              <w:bottom w:val="single" w:color="000000" w:sz="4" w:space="0"/>
              <w:right w:val="single" w:color="000000" w:sz="4" w:space="0"/>
            </w:tcBorders>
            <w:vAlign w:val="center"/>
          </w:tcPr>
          <w:p w14:paraId="4F07C61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主系统权限变更后，10秒内同步至关联系统</w:t>
            </w:r>
            <w:r>
              <w:rPr>
                <w:rFonts w:cs="Times New Roman"/>
                <w:color w:val="auto"/>
                <w:kern w:val="0"/>
                <w:sz w:val="20"/>
                <w:szCs w:val="20"/>
                <w:lang w:bidi="ar"/>
              </w:rPr>
              <w:t>‌</w:t>
            </w:r>
          </w:p>
        </w:tc>
      </w:tr>
      <w:tr w14:paraId="0D163F5C">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3D74C962">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1.5.3</w:t>
            </w:r>
          </w:p>
        </w:tc>
        <w:tc>
          <w:tcPr>
            <w:tcW w:w="2443" w:type="dxa"/>
            <w:tcBorders>
              <w:top w:val="single" w:color="000000" w:sz="4" w:space="0"/>
              <w:left w:val="single" w:color="000000" w:sz="4" w:space="0"/>
              <w:bottom w:val="single" w:color="000000" w:sz="4" w:space="0"/>
              <w:right w:val="single" w:color="000000" w:sz="4" w:space="0"/>
            </w:tcBorders>
            <w:vAlign w:val="center"/>
          </w:tcPr>
          <w:p w14:paraId="445E99D4">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账号安全设置</w:t>
            </w:r>
          </w:p>
        </w:tc>
        <w:tc>
          <w:tcPr>
            <w:tcW w:w="10600" w:type="dxa"/>
            <w:tcBorders>
              <w:top w:val="single" w:color="000000" w:sz="4" w:space="0"/>
              <w:left w:val="single" w:color="000000" w:sz="4" w:space="0"/>
              <w:bottom w:val="single" w:color="000000" w:sz="4" w:space="0"/>
              <w:right w:val="single" w:color="000000" w:sz="4" w:space="0"/>
            </w:tcBorders>
            <w:vAlign w:val="center"/>
          </w:tcPr>
          <w:p w14:paraId="7C404310">
            <w:pPr>
              <w:spacing w:line="240" w:lineRule="auto"/>
              <w:ind w:firstLine="0" w:firstLineChars="0"/>
              <w:jc w:val="left"/>
              <w:rPr>
                <w:rFonts w:hint="eastAsia" w:ascii="宋体" w:hAnsi="宋体" w:cs="宋体"/>
                <w:b/>
                <w:bCs/>
                <w:color w:val="auto"/>
                <w:sz w:val="20"/>
                <w:szCs w:val="20"/>
              </w:rPr>
            </w:pPr>
          </w:p>
        </w:tc>
      </w:tr>
      <w:tr w14:paraId="7B414294">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298965A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1.5.3.1</w:t>
            </w:r>
          </w:p>
        </w:tc>
        <w:tc>
          <w:tcPr>
            <w:tcW w:w="2443" w:type="dxa"/>
            <w:tcBorders>
              <w:top w:val="single" w:color="000000" w:sz="4" w:space="0"/>
              <w:left w:val="single" w:color="000000" w:sz="4" w:space="0"/>
              <w:bottom w:val="single" w:color="000000" w:sz="4" w:space="0"/>
              <w:right w:val="single" w:color="000000" w:sz="4" w:space="0"/>
            </w:tcBorders>
            <w:vAlign w:val="center"/>
          </w:tcPr>
          <w:p w14:paraId="170E224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账号规则与激活</w:t>
            </w:r>
          </w:p>
        </w:tc>
        <w:tc>
          <w:tcPr>
            <w:tcW w:w="10600" w:type="dxa"/>
            <w:tcBorders>
              <w:top w:val="single" w:color="000000" w:sz="4" w:space="0"/>
              <w:left w:val="single" w:color="000000" w:sz="4" w:space="0"/>
              <w:bottom w:val="single" w:color="000000" w:sz="4" w:space="0"/>
              <w:right w:val="single" w:color="000000" w:sz="4" w:space="0"/>
            </w:tcBorders>
            <w:vAlign w:val="center"/>
          </w:tcPr>
          <w:p w14:paraId="1445800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首次登录或连续6个月未登录需先激活账号</w:t>
            </w:r>
            <w:r>
              <w:rPr>
                <w:rFonts w:cs="Times New Roman"/>
                <w:color w:val="auto"/>
                <w:kern w:val="0"/>
                <w:sz w:val="20"/>
                <w:szCs w:val="20"/>
                <w:lang w:bidi="ar"/>
              </w:rPr>
              <w:t>‌</w:t>
            </w:r>
            <w:r>
              <w:rPr>
                <w:rFonts w:hint="eastAsia" w:ascii="宋体" w:hAnsi="宋体" w:cs="宋体"/>
                <w:color w:val="auto"/>
                <w:kern w:val="0"/>
                <w:sz w:val="20"/>
                <w:szCs w:val="20"/>
                <w:lang w:bidi="ar"/>
              </w:rPr>
              <w:t>。</w:t>
            </w:r>
          </w:p>
        </w:tc>
      </w:tr>
      <w:tr w14:paraId="3061C122">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11A41876">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1.5.3.2</w:t>
            </w:r>
          </w:p>
        </w:tc>
        <w:tc>
          <w:tcPr>
            <w:tcW w:w="2443" w:type="dxa"/>
            <w:tcBorders>
              <w:top w:val="single" w:color="000000" w:sz="4" w:space="0"/>
              <w:left w:val="single" w:color="000000" w:sz="4" w:space="0"/>
              <w:bottom w:val="single" w:color="000000" w:sz="4" w:space="0"/>
              <w:right w:val="single" w:color="000000" w:sz="4" w:space="0"/>
            </w:tcBorders>
            <w:vAlign w:val="center"/>
          </w:tcPr>
          <w:p w14:paraId="5F4B218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密码在线修改</w:t>
            </w:r>
          </w:p>
        </w:tc>
        <w:tc>
          <w:tcPr>
            <w:tcW w:w="10600" w:type="dxa"/>
            <w:tcBorders>
              <w:top w:val="single" w:color="000000" w:sz="4" w:space="0"/>
              <w:left w:val="single" w:color="000000" w:sz="4" w:space="0"/>
              <w:bottom w:val="single" w:color="000000" w:sz="4" w:space="0"/>
              <w:right w:val="single" w:color="000000" w:sz="4" w:space="0"/>
            </w:tcBorders>
            <w:vAlign w:val="center"/>
          </w:tcPr>
          <w:p w14:paraId="6052673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登录后通过“账号管理”页面直接修改密码，新密码同步生效于所有集成系统</w:t>
            </w:r>
            <w:r>
              <w:rPr>
                <w:rFonts w:cs="Times New Roman"/>
                <w:color w:val="auto"/>
                <w:kern w:val="0"/>
                <w:sz w:val="20"/>
                <w:szCs w:val="20"/>
                <w:lang w:bidi="ar"/>
              </w:rPr>
              <w:t>‌</w:t>
            </w:r>
            <w:r>
              <w:rPr>
                <w:rFonts w:hint="eastAsia" w:ascii="宋体" w:hAnsi="宋体" w:cs="宋体"/>
                <w:color w:val="auto"/>
                <w:kern w:val="0"/>
                <w:sz w:val="20"/>
                <w:szCs w:val="20"/>
                <w:lang w:bidi="ar"/>
              </w:rPr>
              <w:t>。</w:t>
            </w:r>
          </w:p>
        </w:tc>
      </w:tr>
      <w:tr w14:paraId="50BAF4F1">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313B12A3">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1.5.3.3</w:t>
            </w:r>
          </w:p>
        </w:tc>
        <w:tc>
          <w:tcPr>
            <w:tcW w:w="2443" w:type="dxa"/>
            <w:tcBorders>
              <w:top w:val="single" w:color="000000" w:sz="4" w:space="0"/>
              <w:left w:val="single" w:color="000000" w:sz="4" w:space="0"/>
              <w:bottom w:val="single" w:color="000000" w:sz="4" w:space="0"/>
              <w:right w:val="single" w:color="000000" w:sz="4" w:space="0"/>
            </w:tcBorders>
            <w:vAlign w:val="center"/>
          </w:tcPr>
          <w:p w14:paraId="4246D68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自动登录</w:t>
            </w:r>
          </w:p>
        </w:tc>
        <w:tc>
          <w:tcPr>
            <w:tcW w:w="10600" w:type="dxa"/>
            <w:tcBorders>
              <w:top w:val="single" w:color="000000" w:sz="4" w:space="0"/>
              <w:left w:val="single" w:color="000000" w:sz="4" w:space="0"/>
              <w:bottom w:val="single" w:color="000000" w:sz="4" w:space="0"/>
              <w:right w:val="single" w:color="000000" w:sz="4" w:space="0"/>
            </w:tcBorders>
            <w:vAlign w:val="center"/>
          </w:tcPr>
          <w:p w14:paraId="32A0AE5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支持7天内自动登录或两周内免登录，兼顾便捷性与安全性</w:t>
            </w:r>
            <w:r>
              <w:rPr>
                <w:rFonts w:cs="Times New Roman"/>
                <w:color w:val="auto"/>
                <w:kern w:val="0"/>
                <w:sz w:val="20"/>
                <w:szCs w:val="20"/>
                <w:lang w:bidi="ar"/>
              </w:rPr>
              <w:t>‌</w:t>
            </w:r>
          </w:p>
        </w:tc>
      </w:tr>
      <w:tr w14:paraId="59D4F449">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2F539579">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1.5.3.4</w:t>
            </w:r>
          </w:p>
        </w:tc>
        <w:tc>
          <w:tcPr>
            <w:tcW w:w="2443" w:type="dxa"/>
            <w:tcBorders>
              <w:top w:val="single" w:color="000000" w:sz="4" w:space="0"/>
              <w:left w:val="single" w:color="000000" w:sz="4" w:space="0"/>
              <w:bottom w:val="single" w:color="000000" w:sz="4" w:space="0"/>
              <w:right w:val="single" w:color="000000" w:sz="4" w:space="0"/>
            </w:tcBorders>
            <w:vAlign w:val="center"/>
          </w:tcPr>
          <w:p w14:paraId="349A073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设备指纹校验</w:t>
            </w:r>
          </w:p>
        </w:tc>
        <w:tc>
          <w:tcPr>
            <w:tcW w:w="10600" w:type="dxa"/>
            <w:tcBorders>
              <w:top w:val="single" w:color="000000" w:sz="4" w:space="0"/>
              <w:left w:val="single" w:color="000000" w:sz="4" w:space="0"/>
              <w:bottom w:val="single" w:color="000000" w:sz="4" w:space="0"/>
              <w:right w:val="single" w:color="000000" w:sz="4" w:space="0"/>
            </w:tcBorders>
            <w:vAlign w:val="center"/>
          </w:tcPr>
          <w:p w14:paraId="1413B50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比对用户首次授权时的IP、User-Agent、屏幕分辨率特征</w:t>
            </w:r>
          </w:p>
        </w:tc>
      </w:tr>
      <w:tr w14:paraId="4F8C9A51">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59AC7AF2">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1.5.3.5</w:t>
            </w:r>
          </w:p>
        </w:tc>
        <w:tc>
          <w:tcPr>
            <w:tcW w:w="2443" w:type="dxa"/>
            <w:tcBorders>
              <w:top w:val="single" w:color="000000" w:sz="4" w:space="0"/>
              <w:left w:val="single" w:color="000000" w:sz="4" w:space="0"/>
              <w:bottom w:val="single" w:color="000000" w:sz="4" w:space="0"/>
              <w:right w:val="single" w:color="000000" w:sz="4" w:space="0"/>
            </w:tcBorders>
            <w:vAlign w:val="center"/>
          </w:tcPr>
          <w:p w14:paraId="48F57B5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异常流量熔断</w:t>
            </w:r>
          </w:p>
        </w:tc>
        <w:tc>
          <w:tcPr>
            <w:tcW w:w="10600" w:type="dxa"/>
            <w:tcBorders>
              <w:top w:val="single" w:color="000000" w:sz="4" w:space="0"/>
              <w:left w:val="single" w:color="000000" w:sz="4" w:space="0"/>
              <w:bottom w:val="single" w:color="000000" w:sz="4" w:space="0"/>
              <w:right w:val="single" w:color="000000" w:sz="4" w:space="0"/>
            </w:tcBorders>
            <w:vAlign w:val="center"/>
          </w:tcPr>
          <w:p w14:paraId="0C8A9CB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若系统每秒令牌请求突增300%则自动进入沙箱检测模式</w:t>
            </w:r>
          </w:p>
        </w:tc>
      </w:tr>
      <w:tr w14:paraId="05648EE4">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60090777">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1.5.3.6</w:t>
            </w:r>
          </w:p>
        </w:tc>
        <w:tc>
          <w:tcPr>
            <w:tcW w:w="2443" w:type="dxa"/>
            <w:tcBorders>
              <w:top w:val="single" w:color="000000" w:sz="4" w:space="0"/>
              <w:left w:val="single" w:color="000000" w:sz="4" w:space="0"/>
              <w:bottom w:val="single" w:color="000000" w:sz="4" w:space="0"/>
              <w:right w:val="single" w:color="000000" w:sz="4" w:space="0"/>
            </w:tcBorders>
            <w:vAlign w:val="center"/>
          </w:tcPr>
          <w:p w14:paraId="55704B9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敏感操作拦截</w:t>
            </w:r>
          </w:p>
        </w:tc>
        <w:tc>
          <w:tcPr>
            <w:tcW w:w="10600" w:type="dxa"/>
            <w:tcBorders>
              <w:top w:val="single" w:color="000000" w:sz="4" w:space="0"/>
              <w:left w:val="single" w:color="000000" w:sz="4" w:space="0"/>
              <w:bottom w:val="single" w:color="000000" w:sz="4" w:space="0"/>
              <w:right w:val="single" w:color="000000" w:sz="4" w:space="0"/>
            </w:tcBorders>
            <w:vAlign w:val="center"/>
          </w:tcPr>
          <w:p w14:paraId="501137F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涉及资金/数据导出等操作时强制要求重新输入主系统密码</w:t>
            </w:r>
          </w:p>
        </w:tc>
      </w:tr>
      <w:tr w14:paraId="456EF48E">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7DCA866F">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1.5.4</w:t>
            </w:r>
          </w:p>
        </w:tc>
        <w:tc>
          <w:tcPr>
            <w:tcW w:w="2443" w:type="dxa"/>
            <w:tcBorders>
              <w:top w:val="single" w:color="000000" w:sz="4" w:space="0"/>
              <w:left w:val="single" w:color="000000" w:sz="4" w:space="0"/>
              <w:bottom w:val="single" w:color="000000" w:sz="4" w:space="0"/>
              <w:right w:val="single" w:color="000000" w:sz="4" w:space="0"/>
            </w:tcBorders>
            <w:vAlign w:val="center"/>
          </w:tcPr>
          <w:p w14:paraId="5D9446B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审计追踪模块</w:t>
            </w:r>
          </w:p>
        </w:tc>
        <w:tc>
          <w:tcPr>
            <w:tcW w:w="10600" w:type="dxa"/>
            <w:tcBorders>
              <w:top w:val="single" w:color="000000" w:sz="4" w:space="0"/>
              <w:left w:val="single" w:color="000000" w:sz="4" w:space="0"/>
              <w:bottom w:val="single" w:color="000000" w:sz="4" w:space="0"/>
              <w:right w:val="single" w:color="000000" w:sz="4" w:space="0"/>
            </w:tcBorders>
            <w:vAlign w:val="center"/>
          </w:tcPr>
          <w:p w14:paraId="1C698DA9">
            <w:pPr>
              <w:spacing w:line="240" w:lineRule="auto"/>
              <w:ind w:firstLine="0" w:firstLineChars="0"/>
              <w:rPr>
                <w:rFonts w:hint="eastAsia" w:ascii="宋体" w:hAnsi="宋体" w:cs="宋体"/>
                <w:color w:val="auto"/>
                <w:sz w:val="20"/>
                <w:szCs w:val="20"/>
              </w:rPr>
            </w:pPr>
          </w:p>
        </w:tc>
      </w:tr>
      <w:tr w14:paraId="31354920">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4CA8B9D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1.5.4.1</w:t>
            </w:r>
          </w:p>
        </w:tc>
        <w:tc>
          <w:tcPr>
            <w:tcW w:w="2443" w:type="dxa"/>
            <w:tcBorders>
              <w:top w:val="single" w:color="000000" w:sz="4" w:space="0"/>
              <w:left w:val="single" w:color="000000" w:sz="4" w:space="0"/>
              <w:bottom w:val="single" w:color="000000" w:sz="4" w:space="0"/>
              <w:right w:val="single" w:color="000000" w:sz="4" w:space="0"/>
            </w:tcBorders>
            <w:vAlign w:val="center"/>
          </w:tcPr>
          <w:p w14:paraId="7FED2C5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全链路日志记录</w:t>
            </w:r>
          </w:p>
        </w:tc>
        <w:tc>
          <w:tcPr>
            <w:tcW w:w="10600" w:type="dxa"/>
            <w:tcBorders>
              <w:top w:val="single" w:color="000000" w:sz="4" w:space="0"/>
              <w:left w:val="single" w:color="000000" w:sz="4" w:space="0"/>
              <w:bottom w:val="single" w:color="000000" w:sz="4" w:space="0"/>
              <w:right w:val="single" w:color="000000" w:sz="4" w:space="0"/>
            </w:tcBorders>
            <w:vAlign w:val="center"/>
          </w:tcPr>
          <w:p w14:paraId="48C9EB6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涵盖令牌生成、传递、使用、销毁全生命周期</w:t>
            </w:r>
          </w:p>
        </w:tc>
      </w:tr>
      <w:tr w14:paraId="05AE70DB">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644325A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1.5.4.2</w:t>
            </w:r>
          </w:p>
        </w:tc>
        <w:tc>
          <w:tcPr>
            <w:tcW w:w="2443" w:type="dxa"/>
            <w:tcBorders>
              <w:top w:val="single" w:color="000000" w:sz="4" w:space="0"/>
              <w:left w:val="single" w:color="000000" w:sz="4" w:space="0"/>
              <w:bottom w:val="single" w:color="000000" w:sz="4" w:space="0"/>
              <w:right w:val="single" w:color="000000" w:sz="4" w:space="0"/>
            </w:tcBorders>
            <w:vAlign w:val="center"/>
          </w:tcPr>
          <w:p w14:paraId="7F08F12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可视化追踪面板</w:t>
            </w:r>
          </w:p>
        </w:tc>
        <w:tc>
          <w:tcPr>
            <w:tcW w:w="10600" w:type="dxa"/>
            <w:tcBorders>
              <w:top w:val="single" w:color="000000" w:sz="4" w:space="0"/>
              <w:left w:val="single" w:color="000000" w:sz="4" w:space="0"/>
              <w:bottom w:val="single" w:color="000000" w:sz="4" w:space="0"/>
              <w:right w:val="single" w:color="000000" w:sz="4" w:space="0"/>
            </w:tcBorders>
            <w:vAlign w:val="center"/>
          </w:tcPr>
          <w:p w14:paraId="1519464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支持按用户ID/系统ID/时间范围检索操作轨迹</w:t>
            </w:r>
          </w:p>
        </w:tc>
      </w:tr>
      <w:tr w14:paraId="5D0FED47">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102C2E4B">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2</w:t>
            </w:r>
          </w:p>
        </w:tc>
        <w:tc>
          <w:tcPr>
            <w:tcW w:w="2443" w:type="dxa"/>
            <w:tcBorders>
              <w:top w:val="single" w:color="000000" w:sz="4" w:space="0"/>
              <w:left w:val="single" w:color="000000" w:sz="4" w:space="0"/>
              <w:bottom w:val="single" w:color="000000" w:sz="4" w:space="0"/>
              <w:right w:val="single" w:color="000000" w:sz="4" w:space="0"/>
            </w:tcBorders>
            <w:vAlign w:val="center"/>
          </w:tcPr>
          <w:p w14:paraId="09F8B796">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三维场景可视化应用</w:t>
            </w:r>
          </w:p>
        </w:tc>
        <w:tc>
          <w:tcPr>
            <w:tcW w:w="10600" w:type="dxa"/>
            <w:tcBorders>
              <w:top w:val="single" w:color="000000" w:sz="4" w:space="0"/>
              <w:left w:val="single" w:color="000000" w:sz="4" w:space="0"/>
              <w:bottom w:val="single" w:color="000000" w:sz="4" w:space="0"/>
              <w:right w:val="single" w:color="000000" w:sz="4" w:space="0"/>
            </w:tcBorders>
            <w:vAlign w:val="center"/>
          </w:tcPr>
          <w:p w14:paraId="25A79BC8">
            <w:pPr>
              <w:spacing w:line="240" w:lineRule="auto"/>
              <w:ind w:firstLine="0" w:firstLineChars="0"/>
              <w:jc w:val="left"/>
              <w:rPr>
                <w:rFonts w:hint="eastAsia" w:ascii="宋体" w:hAnsi="宋体" w:cs="宋体"/>
                <w:b/>
                <w:bCs/>
                <w:color w:val="auto"/>
                <w:sz w:val="20"/>
                <w:szCs w:val="20"/>
              </w:rPr>
            </w:pPr>
          </w:p>
        </w:tc>
      </w:tr>
      <w:tr w14:paraId="390B439C">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470EAF49">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2.1</w:t>
            </w:r>
          </w:p>
        </w:tc>
        <w:tc>
          <w:tcPr>
            <w:tcW w:w="2443" w:type="dxa"/>
            <w:tcBorders>
              <w:top w:val="single" w:color="000000" w:sz="4" w:space="0"/>
              <w:left w:val="single" w:color="000000" w:sz="4" w:space="0"/>
              <w:bottom w:val="single" w:color="000000" w:sz="4" w:space="0"/>
              <w:right w:val="single" w:color="000000" w:sz="4" w:space="0"/>
            </w:tcBorders>
            <w:vAlign w:val="center"/>
          </w:tcPr>
          <w:p w14:paraId="19674BFA">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矢量资源分析与应用</w:t>
            </w:r>
          </w:p>
        </w:tc>
        <w:tc>
          <w:tcPr>
            <w:tcW w:w="10600" w:type="dxa"/>
            <w:tcBorders>
              <w:top w:val="single" w:color="000000" w:sz="4" w:space="0"/>
              <w:left w:val="single" w:color="000000" w:sz="4" w:space="0"/>
              <w:bottom w:val="single" w:color="000000" w:sz="4" w:space="0"/>
              <w:right w:val="single" w:color="000000" w:sz="4" w:space="0"/>
            </w:tcBorders>
            <w:vAlign w:val="center"/>
          </w:tcPr>
          <w:p w14:paraId="2ADA8219">
            <w:pPr>
              <w:spacing w:line="240" w:lineRule="auto"/>
              <w:ind w:firstLine="0" w:firstLineChars="0"/>
              <w:jc w:val="left"/>
              <w:rPr>
                <w:rFonts w:hint="eastAsia" w:ascii="宋体" w:hAnsi="宋体" w:cs="宋体"/>
                <w:b/>
                <w:bCs/>
                <w:color w:val="auto"/>
                <w:sz w:val="20"/>
                <w:szCs w:val="20"/>
              </w:rPr>
            </w:pPr>
          </w:p>
        </w:tc>
      </w:tr>
      <w:tr w14:paraId="13EF18C3">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002D8DD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2.1.1</w:t>
            </w:r>
          </w:p>
        </w:tc>
        <w:tc>
          <w:tcPr>
            <w:tcW w:w="2443" w:type="dxa"/>
            <w:tcBorders>
              <w:top w:val="single" w:color="000000" w:sz="4" w:space="0"/>
              <w:left w:val="single" w:color="000000" w:sz="4" w:space="0"/>
              <w:bottom w:val="single" w:color="000000" w:sz="4" w:space="0"/>
              <w:right w:val="single" w:color="000000" w:sz="4" w:space="0"/>
            </w:tcBorders>
            <w:vAlign w:val="center"/>
          </w:tcPr>
          <w:p w14:paraId="6EA74699">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矢量资源搜索</w:t>
            </w:r>
          </w:p>
        </w:tc>
        <w:tc>
          <w:tcPr>
            <w:tcW w:w="10600" w:type="dxa"/>
            <w:tcBorders>
              <w:top w:val="single" w:color="000000" w:sz="4" w:space="0"/>
              <w:left w:val="single" w:color="000000" w:sz="4" w:space="0"/>
              <w:bottom w:val="single" w:color="000000" w:sz="4" w:space="0"/>
              <w:right w:val="single" w:color="000000" w:sz="4" w:space="0"/>
            </w:tcBorders>
            <w:vAlign w:val="center"/>
          </w:tcPr>
          <w:p w14:paraId="224C3F17">
            <w:pPr>
              <w:spacing w:line="240" w:lineRule="auto"/>
              <w:ind w:firstLine="0" w:firstLineChars="0"/>
              <w:jc w:val="left"/>
              <w:rPr>
                <w:rFonts w:hint="eastAsia" w:ascii="宋体" w:hAnsi="宋体" w:cs="宋体"/>
                <w:b/>
                <w:bCs/>
                <w:color w:val="auto"/>
                <w:sz w:val="20"/>
                <w:szCs w:val="20"/>
              </w:rPr>
            </w:pPr>
          </w:p>
        </w:tc>
      </w:tr>
      <w:tr w14:paraId="652066FF">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56959C4C">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2.1.1.1</w:t>
            </w:r>
          </w:p>
        </w:tc>
        <w:tc>
          <w:tcPr>
            <w:tcW w:w="2443" w:type="dxa"/>
            <w:tcBorders>
              <w:top w:val="single" w:color="000000" w:sz="4" w:space="0"/>
              <w:left w:val="single" w:color="000000" w:sz="4" w:space="0"/>
              <w:bottom w:val="single" w:color="000000" w:sz="4" w:space="0"/>
              <w:right w:val="single" w:color="000000" w:sz="4" w:space="0"/>
            </w:tcBorders>
            <w:vAlign w:val="center"/>
          </w:tcPr>
          <w:p w14:paraId="4499F6E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矢量资源搜索条件设置</w:t>
            </w:r>
          </w:p>
        </w:tc>
        <w:tc>
          <w:tcPr>
            <w:tcW w:w="10600" w:type="dxa"/>
            <w:tcBorders>
              <w:top w:val="single" w:color="000000" w:sz="4" w:space="0"/>
              <w:left w:val="single" w:color="000000" w:sz="4" w:space="0"/>
              <w:bottom w:val="single" w:color="000000" w:sz="4" w:space="0"/>
              <w:right w:val="single" w:color="000000" w:sz="4" w:space="0"/>
            </w:tcBorders>
            <w:vAlign w:val="center"/>
          </w:tcPr>
          <w:p w14:paraId="61A31B2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管理员动态配置矢量资源搜索条件</w:t>
            </w:r>
          </w:p>
        </w:tc>
      </w:tr>
      <w:tr w14:paraId="69542EA0">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271C315C">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2.1.1.2</w:t>
            </w:r>
          </w:p>
        </w:tc>
        <w:tc>
          <w:tcPr>
            <w:tcW w:w="2443" w:type="dxa"/>
            <w:tcBorders>
              <w:top w:val="single" w:color="000000" w:sz="4" w:space="0"/>
              <w:left w:val="single" w:color="000000" w:sz="4" w:space="0"/>
              <w:bottom w:val="single" w:color="000000" w:sz="4" w:space="0"/>
              <w:right w:val="single" w:color="000000" w:sz="4" w:space="0"/>
            </w:tcBorders>
            <w:vAlign w:val="center"/>
          </w:tcPr>
          <w:p w14:paraId="7F9E5F6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矢量资源索引构建</w:t>
            </w:r>
          </w:p>
        </w:tc>
        <w:tc>
          <w:tcPr>
            <w:tcW w:w="10600" w:type="dxa"/>
            <w:tcBorders>
              <w:top w:val="single" w:color="000000" w:sz="4" w:space="0"/>
              <w:left w:val="single" w:color="000000" w:sz="4" w:space="0"/>
              <w:bottom w:val="single" w:color="000000" w:sz="4" w:space="0"/>
              <w:right w:val="single" w:color="000000" w:sz="4" w:space="0"/>
            </w:tcBorders>
            <w:vAlign w:val="center"/>
          </w:tcPr>
          <w:p w14:paraId="79BEC91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依据矢量资源信息元素，进行索引构建设设置</w:t>
            </w:r>
          </w:p>
        </w:tc>
      </w:tr>
      <w:tr w14:paraId="0D0B9782">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5D8DB0ED">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2.1.1.3</w:t>
            </w:r>
          </w:p>
        </w:tc>
        <w:tc>
          <w:tcPr>
            <w:tcW w:w="2443" w:type="dxa"/>
            <w:tcBorders>
              <w:top w:val="single" w:color="000000" w:sz="4" w:space="0"/>
              <w:left w:val="single" w:color="000000" w:sz="4" w:space="0"/>
              <w:bottom w:val="single" w:color="000000" w:sz="4" w:space="0"/>
              <w:right w:val="single" w:color="000000" w:sz="4" w:space="0"/>
            </w:tcBorders>
            <w:vAlign w:val="center"/>
          </w:tcPr>
          <w:p w14:paraId="1FC9572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矢量资源搜索条件查询</w:t>
            </w:r>
          </w:p>
        </w:tc>
        <w:tc>
          <w:tcPr>
            <w:tcW w:w="10600" w:type="dxa"/>
            <w:tcBorders>
              <w:top w:val="single" w:color="000000" w:sz="4" w:space="0"/>
              <w:left w:val="single" w:color="000000" w:sz="4" w:space="0"/>
              <w:bottom w:val="single" w:color="000000" w:sz="4" w:space="0"/>
              <w:right w:val="single" w:color="000000" w:sz="4" w:space="0"/>
            </w:tcBorders>
            <w:vAlign w:val="center"/>
          </w:tcPr>
          <w:p w14:paraId="0A2151F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系统动态获取矢量资源搜索条件并进行矢量资源搜索条件前端渲染。</w:t>
            </w:r>
          </w:p>
        </w:tc>
      </w:tr>
      <w:tr w14:paraId="203B76CA">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10C01B63">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2.1.1.4</w:t>
            </w:r>
          </w:p>
        </w:tc>
        <w:tc>
          <w:tcPr>
            <w:tcW w:w="2443" w:type="dxa"/>
            <w:tcBorders>
              <w:top w:val="single" w:color="000000" w:sz="4" w:space="0"/>
              <w:left w:val="single" w:color="000000" w:sz="4" w:space="0"/>
              <w:bottom w:val="single" w:color="000000" w:sz="4" w:space="0"/>
              <w:right w:val="single" w:color="000000" w:sz="4" w:space="0"/>
            </w:tcBorders>
            <w:vAlign w:val="center"/>
          </w:tcPr>
          <w:p w14:paraId="34E7718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矢量资源搜索条件删除</w:t>
            </w:r>
          </w:p>
        </w:tc>
        <w:tc>
          <w:tcPr>
            <w:tcW w:w="10600" w:type="dxa"/>
            <w:tcBorders>
              <w:top w:val="single" w:color="000000" w:sz="4" w:space="0"/>
              <w:left w:val="single" w:color="000000" w:sz="4" w:space="0"/>
              <w:bottom w:val="single" w:color="000000" w:sz="4" w:space="0"/>
              <w:right w:val="single" w:color="000000" w:sz="4" w:space="0"/>
            </w:tcBorders>
            <w:vAlign w:val="center"/>
          </w:tcPr>
          <w:p w14:paraId="2DFBAD6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删除矢量资源搜索条件，删除后的信息将不再可视化界面进行渲染可见，但依然存在数据库中，以便数据恢复。</w:t>
            </w:r>
          </w:p>
        </w:tc>
      </w:tr>
      <w:tr w14:paraId="22DBD7B8">
        <w:tblPrEx>
          <w:tblCellMar>
            <w:top w:w="0" w:type="dxa"/>
            <w:left w:w="108" w:type="dxa"/>
            <w:bottom w:w="0" w:type="dxa"/>
            <w:right w:w="108" w:type="dxa"/>
          </w:tblCellMar>
        </w:tblPrEx>
        <w:trPr>
          <w:trHeight w:val="530"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2448DBA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2.1.1.5</w:t>
            </w:r>
          </w:p>
        </w:tc>
        <w:tc>
          <w:tcPr>
            <w:tcW w:w="2443" w:type="dxa"/>
            <w:tcBorders>
              <w:top w:val="single" w:color="000000" w:sz="4" w:space="0"/>
              <w:left w:val="single" w:color="000000" w:sz="4" w:space="0"/>
              <w:bottom w:val="single" w:color="000000" w:sz="4" w:space="0"/>
              <w:right w:val="single" w:color="000000" w:sz="4" w:space="0"/>
            </w:tcBorders>
            <w:vAlign w:val="center"/>
          </w:tcPr>
          <w:p w14:paraId="1A1F7F5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矢量资源搜索条件启用禁用</w:t>
            </w:r>
          </w:p>
        </w:tc>
        <w:tc>
          <w:tcPr>
            <w:tcW w:w="10600" w:type="dxa"/>
            <w:tcBorders>
              <w:top w:val="single" w:color="000000" w:sz="4" w:space="0"/>
              <w:left w:val="single" w:color="000000" w:sz="4" w:space="0"/>
              <w:bottom w:val="single" w:color="000000" w:sz="4" w:space="0"/>
              <w:right w:val="single" w:color="000000" w:sz="4" w:space="0"/>
            </w:tcBorders>
            <w:vAlign w:val="center"/>
          </w:tcPr>
          <w:p w14:paraId="4564249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矢量资源搜索条件进行启用/禁用控制，同时在三维可视化场景中同步进行禁用搜索条件的取消加载或显示加载。</w:t>
            </w:r>
          </w:p>
        </w:tc>
      </w:tr>
      <w:tr w14:paraId="60E3333F">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66EF666A">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2.1.2</w:t>
            </w:r>
          </w:p>
        </w:tc>
        <w:tc>
          <w:tcPr>
            <w:tcW w:w="2443" w:type="dxa"/>
            <w:tcBorders>
              <w:top w:val="single" w:color="000000" w:sz="4" w:space="0"/>
              <w:left w:val="single" w:color="000000" w:sz="4" w:space="0"/>
              <w:bottom w:val="single" w:color="000000" w:sz="4" w:space="0"/>
              <w:right w:val="single" w:color="000000" w:sz="4" w:space="0"/>
            </w:tcBorders>
            <w:vAlign w:val="center"/>
          </w:tcPr>
          <w:p w14:paraId="0938CFA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矢量资源展示</w:t>
            </w:r>
          </w:p>
        </w:tc>
        <w:tc>
          <w:tcPr>
            <w:tcW w:w="10600" w:type="dxa"/>
            <w:tcBorders>
              <w:top w:val="single" w:color="000000" w:sz="4" w:space="0"/>
              <w:left w:val="single" w:color="000000" w:sz="4" w:space="0"/>
              <w:bottom w:val="single" w:color="000000" w:sz="4" w:space="0"/>
              <w:right w:val="single" w:color="000000" w:sz="4" w:space="0"/>
            </w:tcBorders>
            <w:vAlign w:val="center"/>
          </w:tcPr>
          <w:p w14:paraId="6383A0D2">
            <w:pPr>
              <w:spacing w:line="240" w:lineRule="auto"/>
              <w:ind w:firstLine="0" w:firstLineChars="0"/>
              <w:jc w:val="left"/>
              <w:rPr>
                <w:rFonts w:hint="eastAsia" w:ascii="宋体" w:hAnsi="宋体" w:cs="宋体"/>
                <w:color w:val="auto"/>
                <w:sz w:val="20"/>
                <w:szCs w:val="20"/>
              </w:rPr>
            </w:pPr>
          </w:p>
        </w:tc>
      </w:tr>
      <w:tr w14:paraId="6B8CA7D9">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0731DA0C">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2.1.2.1</w:t>
            </w:r>
          </w:p>
        </w:tc>
        <w:tc>
          <w:tcPr>
            <w:tcW w:w="2443" w:type="dxa"/>
            <w:tcBorders>
              <w:top w:val="single" w:color="000000" w:sz="4" w:space="0"/>
              <w:left w:val="single" w:color="000000" w:sz="4" w:space="0"/>
              <w:bottom w:val="single" w:color="000000" w:sz="4" w:space="0"/>
              <w:right w:val="single" w:color="000000" w:sz="4" w:space="0"/>
            </w:tcBorders>
            <w:vAlign w:val="center"/>
          </w:tcPr>
          <w:p w14:paraId="1E86AFE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矢量资源列表加载</w:t>
            </w:r>
          </w:p>
        </w:tc>
        <w:tc>
          <w:tcPr>
            <w:tcW w:w="10600" w:type="dxa"/>
            <w:tcBorders>
              <w:top w:val="single" w:color="000000" w:sz="4" w:space="0"/>
              <w:left w:val="single" w:color="000000" w:sz="4" w:space="0"/>
              <w:bottom w:val="single" w:color="000000" w:sz="4" w:space="0"/>
              <w:right w:val="single" w:color="000000" w:sz="4" w:space="0"/>
            </w:tcBorders>
            <w:vAlign w:val="center"/>
          </w:tcPr>
          <w:p w14:paraId="301673C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在雅长保护区三维场景以列表的形式加载出需要进行展示矢量资源。</w:t>
            </w:r>
          </w:p>
        </w:tc>
      </w:tr>
      <w:tr w14:paraId="63D65A6F">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0E102579">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2.1.2.2</w:t>
            </w:r>
          </w:p>
        </w:tc>
        <w:tc>
          <w:tcPr>
            <w:tcW w:w="2443" w:type="dxa"/>
            <w:tcBorders>
              <w:top w:val="single" w:color="000000" w:sz="4" w:space="0"/>
              <w:left w:val="single" w:color="000000" w:sz="4" w:space="0"/>
              <w:bottom w:val="single" w:color="000000" w:sz="4" w:space="0"/>
              <w:right w:val="single" w:color="000000" w:sz="4" w:space="0"/>
            </w:tcBorders>
            <w:vAlign w:val="center"/>
          </w:tcPr>
          <w:p w14:paraId="1C7A4D5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矢量资源切换选择</w:t>
            </w:r>
          </w:p>
        </w:tc>
        <w:tc>
          <w:tcPr>
            <w:tcW w:w="10600" w:type="dxa"/>
            <w:tcBorders>
              <w:top w:val="single" w:color="000000" w:sz="4" w:space="0"/>
              <w:left w:val="single" w:color="000000" w:sz="4" w:space="0"/>
              <w:bottom w:val="single" w:color="000000" w:sz="4" w:space="0"/>
              <w:right w:val="single" w:color="000000" w:sz="4" w:space="0"/>
            </w:tcBorders>
            <w:vAlign w:val="center"/>
          </w:tcPr>
          <w:p w14:paraId="1AF5561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在三维场景中支持用户进行矢量资源的切换选择，动态在三维场景中加载。</w:t>
            </w:r>
          </w:p>
        </w:tc>
      </w:tr>
      <w:tr w14:paraId="78763FEC">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31584DA2">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2.1.2.3</w:t>
            </w:r>
          </w:p>
        </w:tc>
        <w:tc>
          <w:tcPr>
            <w:tcW w:w="2443" w:type="dxa"/>
            <w:tcBorders>
              <w:top w:val="single" w:color="000000" w:sz="4" w:space="0"/>
              <w:left w:val="single" w:color="000000" w:sz="4" w:space="0"/>
              <w:bottom w:val="single" w:color="000000" w:sz="4" w:space="0"/>
              <w:right w:val="single" w:color="000000" w:sz="4" w:space="0"/>
            </w:tcBorders>
            <w:vAlign w:val="center"/>
          </w:tcPr>
          <w:p w14:paraId="23A71C9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点位矢量资源展示</w:t>
            </w:r>
          </w:p>
        </w:tc>
        <w:tc>
          <w:tcPr>
            <w:tcW w:w="10600" w:type="dxa"/>
            <w:tcBorders>
              <w:top w:val="single" w:color="000000" w:sz="4" w:space="0"/>
              <w:left w:val="single" w:color="000000" w:sz="4" w:space="0"/>
              <w:bottom w:val="single" w:color="000000" w:sz="4" w:space="0"/>
              <w:right w:val="single" w:color="000000" w:sz="4" w:space="0"/>
            </w:tcBorders>
            <w:vAlign w:val="center"/>
          </w:tcPr>
          <w:p w14:paraId="5D0187E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在雅长保护区三维场景中展现点位类型的矢量资源，标记出点位位置、名称等基础点位信息。</w:t>
            </w:r>
          </w:p>
        </w:tc>
      </w:tr>
      <w:tr w14:paraId="40660D8B">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6B7F46D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2.1.2.4</w:t>
            </w:r>
          </w:p>
        </w:tc>
        <w:tc>
          <w:tcPr>
            <w:tcW w:w="2443" w:type="dxa"/>
            <w:tcBorders>
              <w:top w:val="single" w:color="000000" w:sz="4" w:space="0"/>
              <w:left w:val="single" w:color="000000" w:sz="4" w:space="0"/>
              <w:bottom w:val="single" w:color="000000" w:sz="4" w:space="0"/>
              <w:right w:val="single" w:color="000000" w:sz="4" w:space="0"/>
            </w:tcBorders>
            <w:vAlign w:val="center"/>
          </w:tcPr>
          <w:p w14:paraId="0CCE1EC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线状矢量资源展示</w:t>
            </w:r>
          </w:p>
        </w:tc>
        <w:tc>
          <w:tcPr>
            <w:tcW w:w="10600" w:type="dxa"/>
            <w:tcBorders>
              <w:top w:val="single" w:color="000000" w:sz="4" w:space="0"/>
              <w:left w:val="single" w:color="000000" w:sz="4" w:space="0"/>
              <w:bottom w:val="single" w:color="000000" w:sz="4" w:space="0"/>
              <w:right w:val="single" w:color="000000" w:sz="4" w:space="0"/>
            </w:tcBorders>
            <w:vAlign w:val="center"/>
          </w:tcPr>
          <w:p w14:paraId="5A80267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在雅长保护区三维场景中展现线状类型的矢量资源，标记出线状资源的位置、长度、名称等基础信息。</w:t>
            </w:r>
          </w:p>
        </w:tc>
      </w:tr>
      <w:tr w14:paraId="114ECF96">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26226803">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2.1.2.5</w:t>
            </w:r>
          </w:p>
        </w:tc>
        <w:tc>
          <w:tcPr>
            <w:tcW w:w="2443" w:type="dxa"/>
            <w:tcBorders>
              <w:top w:val="single" w:color="000000" w:sz="4" w:space="0"/>
              <w:left w:val="single" w:color="000000" w:sz="4" w:space="0"/>
              <w:bottom w:val="single" w:color="000000" w:sz="4" w:space="0"/>
              <w:right w:val="single" w:color="000000" w:sz="4" w:space="0"/>
            </w:tcBorders>
            <w:vAlign w:val="center"/>
          </w:tcPr>
          <w:p w14:paraId="10FCFEC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面状矢量资源展示</w:t>
            </w:r>
          </w:p>
        </w:tc>
        <w:tc>
          <w:tcPr>
            <w:tcW w:w="10600" w:type="dxa"/>
            <w:tcBorders>
              <w:top w:val="single" w:color="000000" w:sz="4" w:space="0"/>
              <w:left w:val="single" w:color="000000" w:sz="4" w:space="0"/>
              <w:bottom w:val="single" w:color="000000" w:sz="4" w:space="0"/>
              <w:right w:val="single" w:color="000000" w:sz="4" w:space="0"/>
            </w:tcBorders>
            <w:vAlign w:val="center"/>
          </w:tcPr>
          <w:p w14:paraId="54C5E66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在雅长保护区三维场景中展现面状类型的矢量资源，标记出面状资源的中心位置、面积、名称等基础信息。</w:t>
            </w:r>
          </w:p>
        </w:tc>
      </w:tr>
      <w:tr w14:paraId="6B8950CA">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177E5A27">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2.1.2.6</w:t>
            </w:r>
          </w:p>
        </w:tc>
        <w:tc>
          <w:tcPr>
            <w:tcW w:w="2443" w:type="dxa"/>
            <w:tcBorders>
              <w:top w:val="single" w:color="000000" w:sz="4" w:space="0"/>
              <w:left w:val="single" w:color="000000" w:sz="4" w:space="0"/>
              <w:bottom w:val="single" w:color="000000" w:sz="4" w:space="0"/>
              <w:right w:val="single" w:color="000000" w:sz="4" w:space="0"/>
            </w:tcBorders>
            <w:vAlign w:val="center"/>
          </w:tcPr>
          <w:p w14:paraId="6555478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矢量资源详细信息加载</w:t>
            </w:r>
          </w:p>
        </w:tc>
        <w:tc>
          <w:tcPr>
            <w:tcW w:w="10600" w:type="dxa"/>
            <w:tcBorders>
              <w:top w:val="single" w:color="000000" w:sz="4" w:space="0"/>
              <w:left w:val="single" w:color="000000" w:sz="4" w:space="0"/>
              <w:bottom w:val="single" w:color="000000" w:sz="4" w:space="0"/>
              <w:right w:val="single" w:color="000000" w:sz="4" w:space="0"/>
            </w:tcBorders>
            <w:vAlign w:val="center"/>
          </w:tcPr>
          <w:p w14:paraId="13A6238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根据选择的矢量资源获取对用资源的详细信息数据。</w:t>
            </w:r>
          </w:p>
        </w:tc>
      </w:tr>
      <w:tr w14:paraId="56F55AF3">
        <w:tblPrEx>
          <w:tblCellMar>
            <w:top w:w="0" w:type="dxa"/>
            <w:left w:w="108" w:type="dxa"/>
            <w:bottom w:w="0" w:type="dxa"/>
            <w:right w:w="108" w:type="dxa"/>
          </w:tblCellMar>
        </w:tblPrEx>
        <w:trPr>
          <w:trHeight w:val="530"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0DED3E83">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2.1.2.7</w:t>
            </w:r>
          </w:p>
        </w:tc>
        <w:tc>
          <w:tcPr>
            <w:tcW w:w="2443" w:type="dxa"/>
            <w:tcBorders>
              <w:top w:val="single" w:color="000000" w:sz="4" w:space="0"/>
              <w:left w:val="single" w:color="000000" w:sz="4" w:space="0"/>
              <w:bottom w:val="single" w:color="000000" w:sz="4" w:space="0"/>
              <w:right w:val="single" w:color="000000" w:sz="4" w:space="0"/>
            </w:tcBorders>
            <w:vAlign w:val="center"/>
          </w:tcPr>
          <w:p w14:paraId="6183D51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矢量资源信息弹窗</w:t>
            </w:r>
          </w:p>
        </w:tc>
        <w:tc>
          <w:tcPr>
            <w:tcW w:w="10600" w:type="dxa"/>
            <w:tcBorders>
              <w:top w:val="single" w:color="000000" w:sz="4" w:space="0"/>
              <w:left w:val="single" w:color="000000" w:sz="4" w:space="0"/>
              <w:bottom w:val="single" w:color="000000" w:sz="4" w:space="0"/>
              <w:right w:val="single" w:color="000000" w:sz="4" w:space="0"/>
            </w:tcBorders>
            <w:vAlign w:val="center"/>
          </w:tcPr>
          <w:p w14:paraId="1991F73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用户在三维场景中点击对应的点、线、面状矢量资源，弹出资源详细信息弹窗，包括矢量资源的名称、关联图片、简介等信息。</w:t>
            </w:r>
          </w:p>
        </w:tc>
      </w:tr>
      <w:tr w14:paraId="339C6147">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1DAF124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2.1.2.8</w:t>
            </w:r>
          </w:p>
        </w:tc>
        <w:tc>
          <w:tcPr>
            <w:tcW w:w="2443" w:type="dxa"/>
            <w:tcBorders>
              <w:top w:val="single" w:color="000000" w:sz="4" w:space="0"/>
              <w:left w:val="single" w:color="000000" w:sz="4" w:space="0"/>
              <w:bottom w:val="single" w:color="000000" w:sz="4" w:space="0"/>
              <w:right w:val="single" w:color="000000" w:sz="4" w:space="0"/>
            </w:tcBorders>
            <w:vAlign w:val="center"/>
          </w:tcPr>
          <w:p w14:paraId="605D7DF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矢量资源信息弹窗关闭</w:t>
            </w:r>
          </w:p>
        </w:tc>
        <w:tc>
          <w:tcPr>
            <w:tcW w:w="10600" w:type="dxa"/>
            <w:tcBorders>
              <w:top w:val="single" w:color="000000" w:sz="4" w:space="0"/>
              <w:left w:val="single" w:color="000000" w:sz="4" w:space="0"/>
              <w:bottom w:val="single" w:color="000000" w:sz="4" w:space="0"/>
              <w:right w:val="single" w:color="000000" w:sz="4" w:space="0"/>
            </w:tcBorders>
            <w:vAlign w:val="center"/>
          </w:tcPr>
          <w:p w14:paraId="7DB5775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用户在三维场景中点击关闭按钮，关闭资源信息弹窗。</w:t>
            </w:r>
          </w:p>
        </w:tc>
      </w:tr>
      <w:tr w14:paraId="67DCA329">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114CA415">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2.1.3</w:t>
            </w:r>
          </w:p>
        </w:tc>
        <w:tc>
          <w:tcPr>
            <w:tcW w:w="2443" w:type="dxa"/>
            <w:tcBorders>
              <w:top w:val="single" w:color="000000" w:sz="4" w:space="0"/>
              <w:left w:val="single" w:color="000000" w:sz="4" w:space="0"/>
              <w:bottom w:val="single" w:color="000000" w:sz="4" w:space="0"/>
              <w:right w:val="single" w:color="000000" w:sz="4" w:space="0"/>
            </w:tcBorders>
            <w:vAlign w:val="center"/>
          </w:tcPr>
          <w:p w14:paraId="443F717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矢量图例优化</w:t>
            </w:r>
          </w:p>
        </w:tc>
        <w:tc>
          <w:tcPr>
            <w:tcW w:w="10600" w:type="dxa"/>
            <w:tcBorders>
              <w:top w:val="single" w:color="000000" w:sz="4" w:space="0"/>
              <w:left w:val="single" w:color="000000" w:sz="4" w:space="0"/>
              <w:bottom w:val="single" w:color="000000" w:sz="4" w:space="0"/>
              <w:right w:val="single" w:color="000000" w:sz="4" w:space="0"/>
            </w:tcBorders>
            <w:vAlign w:val="center"/>
          </w:tcPr>
          <w:p w14:paraId="50F02EFB">
            <w:pPr>
              <w:spacing w:line="240" w:lineRule="auto"/>
              <w:ind w:firstLine="0" w:firstLineChars="0"/>
              <w:rPr>
                <w:rFonts w:hint="eastAsia" w:ascii="宋体" w:hAnsi="宋体" w:cs="宋体"/>
                <w:color w:val="auto"/>
                <w:sz w:val="20"/>
                <w:szCs w:val="20"/>
              </w:rPr>
            </w:pPr>
          </w:p>
        </w:tc>
      </w:tr>
      <w:tr w14:paraId="1D050DB2">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166C3AD5">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2.1.3.1</w:t>
            </w:r>
          </w:p>
        </w:tc>
        <w:tc>
          <w:tcPr>
            <w:tcW w:w="2443" w:type="dxa"/>
            <w:tcBorders>
              <w:top w:val="single" w:color="000000" w:sz="4" w:space="0"/>
              <w:left w:val="single" w:color="000000" w:sz="4" w:space="0"/>
              <w:bottom w:val="single" w:color="000000" w:sz="4" w:space="0"/>
              <w:right w:val="single" w:color="000000" w:sz="4" w:space="0"/>
            </w:tcBorders>
            <w:vAlign w:val="center"/>
          </w:tcPr>
          <w:p w14:paraId="5119B62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矢量分类展示</w:t>
            </w:r>
          </w:p>
        </w:tc>
        <w:tc>
          <w:tcPr>
            <w:tcW w:w="10600" w:type="dxa"/>
            <w:tcBorders>
              <w:top w:val="single" w:color="000000" w:sz="4" w:space="0"/>
              <w:left w:val="single" w:color="000000" w:sz="4" w:space="0"/>
              <w:bottom w:val="single" w:color="000000" w:sz="4" w:space="0"/>
              <w:right w:val="single" w:color="000000" w:sz="4" w:space="0"/>
            </w:tcBorders>
            <w:vAlign w:val="center"/>
          </w:tcPr>
          <w:p w14:paraId="626EAA0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在三维场景中以树形结构方式加载出矢量分类信息。</w:t>
            </w:r>
          </w:p>
        </w:tc>
      </w:tr>
      <w:tr w14:paraId="2A737658">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65EB2247">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2.1.3.2</w:t>
            </w:r>
          </w:p>
        </w:tc>
        <w:tc>
          <w:tcPr>
            <w:tcW w:w="2443" w:type="dxa"/>
            <w:tcBorders>
              <w:top w:val="single" w:color="000000" w:sz="4" w:space="0"/>
              <w:left w:val="single" w:color="000000" w:sz="4" w:space="0"/>
              <w:bottom w:val="single" w:color="000000" w:sz="4" w:space="0"/>
              <w:right w:val="single" w:color="000000" w:sz="4" w:space="0"/>
            </w:tcBorders>
            <w:vAlign w:val="center"/>
          </w:tcPr>
          <w:p w14:paraId="088EFBF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矢量分类选择</w:t>
            </w:r>
          </w:p>
        </w:tc>
        <w:tc>
          <w:tcPr>
            <w:tcW w:w="10600" w:type="dxa"/>
            <w:tcBorders>
              <w:top w:val="single" w:color="000000" w:sz="4" w:space="0"/>
              <w:left w:val="single" w:color="000000" w:sz="4" w:space="0"/>
              <w:bottom w:val="single" w:color="000000" w:sz="4" w:space="0"/>
              <w:right w:val="single" w:color="000000" w:sz="4" w:space="0"/>
            </w:tcBorders>
            <w:vAlign w:val="center"/>
          </w:tcPr>
          <w:p w14:paraId="706554C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支持用户进行矢量分类选择后聚焦展示当前分类对应的资源信息。</w:t>
            </w:r>
          </w:p>
        </w:tc>
      </w:tr>
      <w:tr w14:paraId="77D954DB">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2A8FCA7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2.1.3.3</w:t>
            </w:r>
          </w:p>
        </w:tc>
        <w:tc>
          <w:tcPr>
            <w:tcW w:w="2443" w:type="dxa"/>
            <w:tcBorders>
              <w:top w:val="single" w:color="000000" w:sz="4" w:space="0"/>
              <w:left w:val="single" w:color="000000" w:sz="4" w:space="0"/>
              <w:bottom w:val="single" w:color="000000" w:sz="4" w:space="0"/>
              <w:right w:val="single" w:color="000000" w:sz="4" w:space="0"/>
            </w:tcBorders>
            <w:vAlign w:val="center"/>
          </w:tcPr>
          <w:p w14:paraId="6955F49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矢量分类图例查询渲染</w:t>
            </w:r>
          </w:p>
        </w:tc>
        <w:tc>
          <w:tcPr>
            <w:tcW w:w="10600" w:type="dxa"/>
            <w:tcBorders>
              <w:top w:val="single" w:color="000000" w:sz="4" w:space="0"/>
              <w:left w:val="single" w:color="000000" w:sz="4" w:space="0"/>
              <w:bottom w:val="single" w:color="000000" w:sz="4" w:space="0"/>
              <w:right w:val="single" w:color="000000" w:sz="4" w:space="0"/>
            </w:tcBorders>
            <w:vAlign w:val="center"/>
          </w:tcPr>
          <w:p w14:paraId="21943C4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根据矢量分类信息获取对应图例并进行可视化渲染。</w:t>
            </w:r>
          </w:p>
        </w:tc>
      </w:tr>
      <w:tr w14:paraId="4238B6D1">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67995263">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2.1.3.4</w:t>
            </w:r>
          </w:p>
        </w:tc>
        <w:tc>
          <w:tcPr>
            <w:tcW w:w="2443" w:type="dxa"/>
            <w:tcBorders>
              <w:top w:val="single" w:color="000000" w:sz="4" w:space="0"/>
              <w:left w:val="single" w:color="000000" w:sz="4" w:space="0"/>
              <w:bottom w:val="single" w:color="000000" w:sz="4" w:space="0"/>
              <w:right w:val="single" w:color="000000" w:sz="4" w:space="0"/>
            </w:tcBorders>
            <w:vAlign w:val="center"/>
          </w:tcPr>
          <w:p w14:paraId="7FFA917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矢量分类图例控制</w:t>
            </w:r>
          </w:p>
        </w:tc>
        <w:tc>
          <w:tcPr>
            <w:tcW w:w="10600" w:type="dxa"/>
            <w:tcBorders>
              <w:top w:val="single" w:color="000000" w:sz="4" w:space="0"/>
              <w:left w:val="single" w:color="000000" w:sz="4" w:space="0"/>
              <w:bottom w:val="single" w:color="000000" w:sz="4" w:space="0"/>
              <w:right w:val="single" w:color="000000" w:sz="4" w:space="0"/>
            </w:tcBorders>
            <w:vAlign w:val="center"/>
          </w:tcPr>
          <w:p w14:paraId="4AABFCA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点击矢量图例后控制控制对应分类资源的显示和隐藏。</w:t>
            </w:r>
          </w:p>
        </w:tc>
      </w:tr>
      <w:tr w14:paraId="62AFE7E5">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14CA576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2.1.3.5</w:t>
            </w:r>
          </w:p>
        </w:tc>
        <w:tc>
          <w:tcPr>
            <w:tcW w:w="2443" w:type="dxa"/>
            <w:tcBorders>
              <w:top w:val="single" w:color="000000" w:sz="4" w:space="0"/>
              <w:left w:val="single" w:color="000000" w:sz="4" w:space="0"/>
              <w:bottom w:val="single" w:color="000000" w:sz="4" w:space="0"/>
              <w:right w:val="single" w:color="000000" w:sz="4" w:space="0"/>
            </w:tcBorders>
            <w:vAlign w:val="center"/>
          </w:tcPr>
          <w:p w14:paraId="3187DE5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比例尺信息动态展示</w:t>
            </w:r>
          </w:p>
        </w:tc>
        <w:tc>
          <w:tcPr>
            <w:tcW w:w="10600" w:type="dxa"/>
            <w:tcBorders>
              <w:top w:val="single" w:color="000000" w:sz="4" w:space="0"/>
              <w:left w:val="single" w:color="000000" w:sz="4" w:space="0"/>
              <w:bottom w:val="single" w:color="000000" w:sz="4" w:space="0"/>
              <w:right w:val="single" w:color="000000" w:sz="4" w:space="0"/>
            </w:tcBorders>
            <w:vAlign w:val="center"/>
          </w:tcPr>
          <w:p w14:paraId="446973D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在可视区域随着鼠标的放大缩小动态计算并展示三维场景当前比例尺信息</w:t>
            </w:r>
          </w:p>
        </w:tc>
      </w:tr>
      <w:tr w14:paraId="6FE9D066">
        <w:tblPrEx>
          <w:tblCellMar>
            <w:top w:w="0" w:type="dxa"/>
            <w:left w:w="108" w:type="dxa"/>
            <w:bottom w:w="0" w:type="dxa"/>
            <w:right w:w="108" w:type="dxa"/>
          </w:tblCellMar>
        </w:tblPrEx>
        <w:trPr>
          <w:trHeight w:val="790"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116017E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2.1.4</w:t>
            </w:r>
          </w:p>
        </w:tc>
        <w:tc>
          <w:tcPr>
            <w:tcW w:w="2443" w:type="dxa"/>
            <w:tcBorders>
              <w:top w:val="single" w:color="000000" w:sz="4" w:space="0"/>
              <w:left w:val="single" w:color="000000" w:sz="4" w:space="0"/>
              <w:bottom w:val="single" w:color="000000" w:sz="4" w:space="0"/>
              <w:right w:val="single" w:color="000000" w:sz="4" w:space="0"/>
            </w:tcBorders>
            <w:vAlign w:val="center"/>
          </w:tcPr>
          <w:p w14:paraId="2E81DF5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矢量资源高亮</w:t>
            </w:r>
          </w:p>
        </w:tc>
        <w:tc>
          <w:tcPr>
            <w:tcW w:w="10600" w:type="dxa"/>
            <w:tcBorders>
              <w:top w:val="single" w:color="000000" w:sz="4" w:space="0"/>
              <w:left w:val="single" w:color="000000" w:sz="4" w:space="0"/>
              <w:bottom w:val="single" w:color="000000" w:sz="4" w:space="0"/>
              <w:right w:val="single" w:color="000000" w:sz="4" w:space="0"/>
            </w:tcBorders>
            <w:vAlign w:val="center"/>
          </w:tcPr>
          <w:p w14:paraId="4762186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矢量资源高亮主要用于需要特别显示或重点关注的情况下，实现快速精准的定位、表达、分析与展示，例如，野生动物活动路线、疑似图斑、社区冲突点等。同时，考虑交互的便捷性，支持点击高频率的提醒，三维模型自动缩放，进一步增强用户的交互体验和信息的获取效率。</w:t>
            </w:r>
          </w:p>
        </w:tc>
      </w:tr>
      <w:tr w14:paraId="4C709153">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77ECCE77">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2.2</w:t>
            </w:r>
          </w:p>
        </w:tc>
        <w:tc>
          <w:tcPr>
            <w:tcW w:w="2443" w:type="dxa"/>
            <w:tcBorders>
              <w:top w:val="single" w:color="000000" w:sz="4" w:space="0"/>
              <w:left w:val="single" w:color="000000" w:sz="4" w:space="0"/>
              <w:bottom w:val="single" w:color="000000" w:sz="4" w:space="0"/>
              <w:right w:val="single" w:color="000000" w:sz="4" w:space="0"/>
            </w:tcBorders>
            <w:vAlign w:val="center"/>
          </w:tcPr>
          <w:p w14:paraId="52B99D58">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三维漫游</w:t>
            </w:r>
          </w:p>
        </w:tc>
        <w:tc>
          <w:tcPr>
            <w:tcW w:w="10600" w:type="dxa"/>
            <w:tcBorders>
              <w:top w:val="single" w:color="000000" w:sz="4" w:space="0"/>
              <w:left w:val="single" w:color="000000" w:sz="4" w:space="0"/>
              <w:bottom w:val="single" w:color="000000" w:sz="4" w:space="0"/>
              <w:right w:val="single" w:color="000000" w:sz="4" w:space="0"/>
            </w:tcBorders>
            <w:vAlign w:val="center"/>
          </w:tcPr>
          <w:p w14:paraId="35D62B63">
            <w:pPr>
              <w:spacing w:line="240" w:lineRule="auto"/>
              <w:ind w:firstLine="0" w:firstLineChars="0"/>
              <w:jc w:val="left"/>
              <w:rPr>
                <w:rFonts w:hint="eastAsia" w:ascii="宋体" w:hAnsi="宋体" w:cs="宋体"/>
                <w:b/>
                <w:bCs/>
                <w:color w:val="auto"/>
                <w:sz w:val="20"/>
                <w:szCs w:val="20"/>
              </w:rPr>
            </w:pPr>
          </w:p>
        </w:tc>
      </w:tr>
      <w:tr w14:paraId="55625EA5">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1583FFB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2.2.1</w:t>
            </w:r>
          </w:p>
        </w:tc>
        <w:tc>
          <w:tcPr>
            <w:tcW w:w="2443" w:type="dxa"/>
            <w:tcBorders>
              <w:top w:val="single" w:color="000000" w:sz="4" w:space="0"/>
              <w:left w:val="single" w:color="000000" w:sz="4" w:space="0"/>
              <w:bottom w:val="single" w:color="000000" w:sz="4" w:space="0"/>
              <w:right w:val="single" w:color="000000" w:sz="4" w:space="0"/>
            </w:tcBorders>
            <w:vAlign w:val="center"/>
          </w:tcPr>
          <w:p w14:paraId="03F4B0F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漫游路线及视角设置</w:t>
            </w:r>
          </w:p>
        </w:tc>
        <w:tc>
          <w:tcPr>
            <w:tcW w:w="10600" w:type="dxa"/>
            <w:tcBorders>
              <w:top w:val="single" w:color="000000" w:sz="4" w:space="0"/>
              <w:left w:val="single" w:color="000000" w:sz="4" w:space="0"/>
              <w:bottom w:val="single" w:color="000000" w:sz="4" w:space="0"/>
              <w:right w:val="single" w:color="000000" w:sz="4" w:space="0"/>
            </w:tcBorders>
            <w:vAlign w:val="center"/>
          </w:tcPr>
          <w:p w14:paraId="5D34FB9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在三维场景中自定义设置三维导览路线及可视视角。自动启用视角信息并完成导览操作。</w:t>
            </w:r>
          </w:p>
        </w:tc>
      </w:tr>
      <w:tr w14:paraId="622A1624">
        <w:tblPrEx>
          <w:tblCellMar>
            <w:top w:w="0" w:type="dxa"/>
            <w:left w:w="108" w:type="dxa"/>
            <w:bottom w:w="0" w:type="dxa"/>
            <w:right w:w="108" w:type="dxa"/>
          </w:tblCellMar>
        </w:tblPrEx>
        <w:trPr>
          <w:trHeight w:val="530"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39D5C5FF">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2.2.2</w:t>
            </w:r>
          </w:p>
        </w:tc>
        <w:tc>
          <w:tcPr>
            <w:tcW w:w="2443" w:type="dxa"/>
            <w:tcBorders>
              <w:top w:val="single" w:color="000000" w:sz="4" w:space="0"/>
              <w:left w:val="single" w:color="000000" w:sz="4" w:space="0"/>
              <w:bottom w:val="single" w:color="000000" w:sz="4" w:space="0"/>
              <w:right w:val="single" w:color="000000" w:sz="4" w:space="0"/>
            </w:tcBorders>
            <w:vAlign w:val="center"/>
          </w:tcPr>
          <w:p w14:paraId="59198A3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漫游展示</w:t>
            </w:r>
          </w:p>
        </w:tc>
        <w:tc>
          <w:tcPr>
            <w:tcW w:w="10600" w:type="dxa"/>
            <w:tcBorders>
              <w:top w:val="single" w:color="000000" w:sz="4" w:space="0"/>
              <w:left w:val="single" w:color="000000" w:sz="4" w:space="0"/>
              <w:bottom w:val="single" w:color="000000" w:sz="4" w:space="0"/>
              <w:right w:val="single" w:color="000000" w:sz="4" w:space="0"/>
            </w:tcBorders>
            <w:vAlign w:val="center"/>
          </w:tcPr>
          <w:p w14:paraId="43D97F1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基于雅长保护区的三维场景，建立漫游展示功能，主要实现以漫游、全景的方式全方位展示保护区的整体面貌，以俯瞰、平视等多种视角感受保护区整体轮廓，一览核心资源分布区域和细节特征等。</w:t>
            </w:r>
          </w:p>
        </w:tc>
      </w:tr>
      <w:tr w14:paraId="01EF5AC1">
        <w:tblPrEx>
          <w:tblCellMar>
            <w:top w:w="0" w:type="dxa"/>
            <w:left w:w="108" w:type="dxa"/>
            <w:bottom w:w="0" w:type="dxa"/>
            <w:right w:w="108" w:type="dxa"/>
          </w:tblCellMar>
        </w:tblPrEx>
        <w:trPr>
          <w:trHeight w:val="530"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03A04D0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2.2.3</w:t>
            </w:r>
          </w:p>
        </w:tc>
        <w:tc>
          <w:tcPr>
            <w:tcW w:w="2443" w:type="dxa"/>
            <w:tcBorders>
              <w:top w:val="single" w:color="000000" w:sz="4" w:space="0"/>
              <w:left w:val="single" w:color="000000" w:sz="4" w:space="0"/>
              <w:bottom w:val="single" w:color="000000" w:sz="4" w:space="0"/>
              <w:right w:val="single" w:color="000000" w:sz="4" w:space="0"/>
            </w:tcBorders>
            <w:vAlign w:val="center"/>
          </w:tcPr>
          <w:p w14:paraId="37B7D93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漫游暂停与继续</w:t>
            </w:r>
          </w:p>
        </w:tc>
        <w:tc>
          <w:tcPr>
            <w:tcW w:w="10600" w:type="dxa"/>
            <w:tcBorders>
              <w:top w:val="single" w:color="000000" w:sz="4" w:space="0"/>
              <w:left w:val="single" w:color="000000" w:sz="4" w:space="0"/>
              <w:bottom w:val="single" w:color="000000" w:sz="4" w:space="0"/>
              <w:right w:val="single" w:color="000000" w:sz="4" w:space="0"/>
            </w:tcBorders>
            <w:vAlign w:val="center"/>
          </w:tcPr>
          <w:p w14:paraId="2315CEE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提供漫游暂停与继续功能，用户可以随时暂停漫游，以便仔细体验某个导览点，暂停后，用户可以选择继续漫游，系统会自动恢复到之前的漫游路线和视角设置。</w:t>
            </w:r>
          </w:p>
        </w:tc>
      </w:tr>
      <w:tr w14:paraId="20ADBBF6">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56796119">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2.2.4</w:t>
            </w:r>
          </w:p>
        </w:tc>
        <w:tc>
          <w:tcPr>
            <w:tcW w:w="2443" w:type="dxa"/>
            <w:tcBorders>
              <w:top w:val="single" w:color="000000" w:sz="4" w:space="0"/>
              <w:left w:val="single" w:color="000000" w:sz="4" w:space="0"/>
              <w:bottom w:val="single" w:color="000000" w:sz="4" w:space="0"/>
              <w:right w:val="single" w:color="000000" w:sz="4" w:space="0"/>
            </w:tcBorders>
            <w:vAlign w:val="center"/>
          </w:tcPr>
          <w:p w14:paraId="098EE4C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一元复始</w:t>
            </w:r>
          </w:p>
        </w:tc>
        <w:tc>
          <w:tcPr>
            <w:tcW w:w="10600" w:type="dxa"/>
            <w:tcBorders>
              <w:top w:val="single" w:color="000000" w:sz="4" w:space="0"/>
              <w:left w:val="single" w:color="000000" w:sz="4" w:space="0"/>
              <w:bottom w:val="single" w:color="000000" w:sz="4" w:space="0"/>
              <w:right w:val="single" w:color="000000" w:sz="4" w:space="0"/>
            </w:tcBorders>
            <w:vAlign w:val="center"/>
          </w:tcPr>
          <w:p w14:paraId="49EACDC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一元复始功能实现用户将漫游状态重置为初始状态，包括漫游路线、视角设置等。</w:t>
            </w:r>
          </w:p>
        </w:tc>
      </w:tr>
      <w:tr w14:paraId="27BDA000">
        <w:tblPrEx>
          <w:tblCellMar>
            <w:top w:w="0" w:type="dxa"/>
            <w:left w:w="108" w:type="dxa"/>
            <w:bottom w:w="0" w:type="dxa"/>
            <w:right w:w="108" w:type="dxa"/>
          </w:tblCellMar>
        </w:tblPrEx>
        <w:trPr>
          <w:trHeight w:val="530"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44108936">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2.2.5</w:t>
            </w:r>
          </w:p>
        </w:tc>
        <w:tc>
          <w:tcPr>
            <w:tcW w:w="2443" w:type="dxa"/>
            <w:tcBorders>
              <w:top w:val="single" w:color="000000" w:sz="4" w:space="0"/>
              <w:left w:val="single" w:color="000000" w:sz="4" w:space="0"/>
              <w:bottom w:val="single" w:color="000000" w:sz="4" w:space="0"/>
              <w:right w:val="single" w:color="000000" w:sz="4" w:space="0"/>
            </w:tcBorders>
            <w:vAlign w:val="center"/>
          </w:tcPr>
          <w:p w14:paraId="496CA2F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漫游信息弹窗</w:t>
            </w:r>
          </w:p>
        </w:tc>
        <w:tc>
          <w:tcPr>
            <w:tcW w:w="10600" w:type="dxa"/>
            <w:tcBorders>
              <w:top w:val="single" w:color="000000" w:sz="4" w:space="0"/>
              <w:left w:val="single" w:color="000000" w:sz="4" w:space="0"/>
              <w:bottom w:val="single" w:color="000000" w:sz="4" w:space="0"/>
              <w:right w:val="single" w:color="000000" w:sz="4" w:space="0"/>
            </w:tcBorders>
            <w:vAlign w:val="center"/>
          </w:tcPr>
          <w:p w14:paraId="67B519C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建立漫游信息弹窗，实现在漫游过程中，为漫游者提供该点位具体的情况介绍，介绍内容包括该点位主要分布的物种、主要生境信息等内容，到达预设的漫游点时，系统会自动弹出信息弹窗，展示该点的相关信息。</w:t>
            </w:r>
          </w:p>
        </w:tc>
      </w:tr>
      <w:tr w14:paraId="07B19DB1">
        <w:tblPrEx>
          <w:tblCellMar>
            <w:top w:w="0" w:type="dxa"/>
            <w:left w:w="108" w:type="dxa"/>
            <w:bottom w:w="0" w:type="dxa"/>
            <w:right w:w="108" w:type="dxa"/>
          </w:tblCellMar>
        </w:tblPrEx>
        <w:trPr>
          <w:trHeight w:val="530"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30AFD892">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2.3</w:t>
            </w:r>
          </w:p>
        </w:tc>
        <w:tc>
          <w:tcPr>
            <w:tcW w:w="2443" w:type="dxa"/>
            <w:tcBorders>
              <w:top w:val="single" w:color="000000" w:sz="4" w:space="0"/>
              <w:left w:val="single" w:color="000000" w:sz="4" w:space="0"/>
              <w:bottom w:val="single" w:color="000000" w:sz="4" w:space="0"/>
              <w:right w:val="single" w:color="000000" w:sz="4" w:space="0"/>
            </w:tcBorders>
            <w:vAlign w:val="center"/>
          </w:tcPr>
          <w:p w14:paraId="65143832">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矢量图层三维构建与空间叠加展示</w:t>
            </w:r>
          </w:p>
        </w:tc>
        <w:tc>
          <w:tcPr>
            <w:tcW w:w="10600" w:type="dxa"/>
            <w:tcBorders>
              <w:top w:val="single" w:color="000000" w:sz="4" w:space="0"/>
              <w:left w:val="single" w:color="000000" w:sz="4" w:space="0"/>
              <w:bottom w:val="single" w:color="000000" w:sz="4" w:space="0"/>
              <w:right w:val="single" w:color="000000" w:sz="4" w:space="0"/>
            </w:tcBorders>
            <w:vAlign w:val="center"/>
          </w:tcPr>
          <w:p w14:paraId="53BCCA3A">
            <w:pPr>
              <w:spacing w:line="240" w:lineRule="auto"/>
              <w:ind w:firstLine="0" w:firstLineChars="0"/>
              <w:jc w:val="left"/>
              <w:rPr>
                <w:rFonts w:hint="eastAsia" w:ascii="宋体" w:hAnsi="宋体" w:cs="宋体"/>
                <w:b/>
                <w:bCs/>
                <w:color w:val="auto"/>
                <w:sz w:val="20"/>
                <w:szCs w:val="20"/>
              </w:rPr>
            </w:pPr>
          </w:p>
        </w:tc>
      </w:tr>
      <w:tr w14:paraId="7774785E">
        <w:tblPrEx>
          <w:tblCellMar>
            <w:top w:w="0" w:type="dxa"/>
            <w:left w:w="108" w:type="dxa"/>
            <w:bottom w:w="0" w:type="dxa"/>
            <w:right w:w="108" w:type="dxa"/>
          </w:tblCellMar>
        </w:tblPrEx>
        <w:trPr>
          <w:trHeight w:val="530"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43FB342A">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2.3.1</w:t>
            </w:r>
          </w:p>
        </w:tc>
        <w:tc>
          <w:tcPr>
            <w:tcW w:w="2443" w:type="dxa"/>
            <w:tcBorders>
              <w:top w:val="single" w:color="000000" w:sz="4" w:space="0"/>
              <w:left w:val="single" w:color="000000" w:sz="4" w:space="0"/>
              <w:bottom w:val="single" w:color="000000" w:sz="4" w:space="0"/>
              <w:right w:val="single" w:color="000000" w:sz="4" w:space="0"/>
            </w:tcBorders>
            <w:vAlign w:val="center"/>
          </w:tcPr>
          <w:p w14:paraId="170D173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关键区域边界图层</w:t>
            </w:r>
          </w:p>
        </w:tc>
        <w:tc>
          <w:tcPr>
            <w:tcW w:w="10600" w:type="dxa"/>
            <w:tcBorders>
              <w:top w:val="single" w:color="000000" w:sz="4" w:space="0"/>
              <w:left w:val="single" w:color="000000" w:sz="4" w:space="0"/>
              <w:bottom w:val="single" w:color="000000" w:sz="4" w:space="0"/>
              <w:right w:val="single" w:color="000000" w:sz="4" w:space="0"/>
            </w:tcBorders>
            <w:vAlign w:val="center"/>
          </w:tcPr>
          <w:p w14:paraId="6C3F3D7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展示广西雅长兰科国家级自然保护区核心区、缓冲区、实验区，以及其他重要生态区域的区域边界，助力明确保护区重要区域的范围和管理要求。</w:t>
            </w:r>
          </w:p>
        </w:tc>
      </w:tr>
      <w:tr w14:paraId="590117D0">
        <w:tblPrEx>
          <w:tblCellMar>
            <w:top w:w="0" w:type="dxa"/>
            <w:left w:w="108" w:type="dxa"/>
            <w:bottom w:w="0" w:type="dxa"/>
            <w:right w:w="108" w:type="dxa"/>
          </w:tblCellMar>
        </w:tblPrEx>
        <w:trPr>
          <w:trHeight w:val="530"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4A3A9A0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2.3.2</w:t>
            </w:r>
          </w:p>
        </w:tc>
        <w:tc>
          <w:tcPr>
            <w:tcW w:w="2443" w:type="dxa"/>
            <w:tcBorders>
              <w:top w:val="single" w:color="000000" w:sz="4" w:space="0"/>
              <w:left w:val="single" w:color="000000" w:sz="4" w:space="0"/>
              <w:bottom w:val="single" w:color="000000" w:sz="4" w:space="0"/>
              <w:right w:val="single" w:color="000000" w:sz="4" w:space="0"/>
            </w:tcBorders>
            <w:vAlign w:val="center"/>
          </w:tcPr>
          <w:p w14:paraId="4534876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分区图层</w:t>
            </w:r>
          </w:p>
        </w:tc>
        <w:tc>
          <w:tcPr>
            <w:tcW w:w="10600" w:type="dxa"/>
            <w:tcBorders>
              <w:top w:val="single" w:color="000000" w:sz="4" w:space="0"/>
              <w:left w:val="single" w:color="000000" w:sz="4" w:space="0"/>
              <w:bottom w:val="single" w:color="000000" w:sz="4" w:space="0"/>
              <w:right w:val="single" w:color="000000" w:sz="4" w:space="0"/>
            </w:tcBorders>
            <w:vAlign w:val="center"/>
          </w:tcPr>
          <w:p w14:paraId="0B3BCB2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展示保护区内的不同功能区域，如科研区、教育区、生态旅游区等，有助于实现资源的合理利用和保护区的多功能发展，通过不同的颜色或纹理区分各功能区域</w:t>
            </w:r>
          </w:p>
        </w:tc>
      </w:tr>
      <w:tr w14:paraId="578DD791">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19FB71CA">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2.3.3</w:t>
            </w:r>
          </w:p>
        </w:tc>
        <w:tc>
          <w:tcPr>
            <w:tcW w:w="2443" w:type="dxa"/>
            <w:tcBorders>
              <w:top w:val="single" w:color="000000" w:sz="4" w:space="0"/>
              <w:left w:val="single" w:color="000000" w:sz="4" w:space="0"/>
              <w:bottom w:val="single" w:color="000000" w:sz="4" w:space="0"/>
              <w:right w:val="single" w:color="000000" w:sz="4" w:space="0"/>
            </w:tcBorders>
            <w:vAlign w:val="center"/>
          </w:tcPr>
          <w:p w14:paraId="5E49031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重要生态系统图层</w:t>
            </w:r>
          </w:p>
        </w:tc>
        <w:tc>
          <w:tcPr>
            <w:tcW w:w="10600" w:type="dxa"/>
            <w:tcBorders>
              <w:top w:val="single" w:color="000000" w:sz="4" w:space="0"/>
              <w:left w:val="single" w:color="000000" w:sz="4" w:space="0"/>
              <w:bottom w:val="single" w:color="000000" w:sz="4" w:space="0"/>
              <w:right w:val="single" w:color="000000" w:sz="4" w:space="0"/>
            </w:tcBorders>
            <w:vAlign w:val="center"/>
          </w:tcPr>
          <w:p w14:paraId="32083F6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展示保护区内的重要生态系统分布，为生态保护提供科学依据</w:t>
            </w:r>
          </w:p>
        </w:tc>
      </w:tr>
      <w:tr w14:paraId="08CFFC06">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7793CC49">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2.3.4</w:t>
            </w:r>
          </w:p>
        </w:tc>
        <w:tc>
          <w:tcPr>
            <w:tcW w:w="2443" w:type="dxa"/>
            <w:tcBorders>
              <w:top w:val="single" w:color="000000" w:sz="4" w:space="0"/>
              <w:left w:val="single" w:color="000000" w:sz="4" w:space="0"/>
              <w:bottom w:val="single" w:color="000000" w:sz="4" w:space="0"/>
              <w:right w:val="single" w:color="000000" w:sz="4" w:space="0"/>
            </w:tcBorders>
            <w:vAlign w:val="center"/>
          </w:tcPr>
          <w:p w14:paraId="7C10FAF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重要物种及栖息地图层</w:t>
            </w:r>
          </w:p>
        </w:tc>
        <w:tc>
          <w:tcPr>
            <w:tcW w:w="10600" w:type="dxa"/>
            <w:tcBorders>
              <w:top w:val="single" w:color="000000" w:sz="4" w:space="0"/>
              <w:left w:val="single" w:color="000000" w:sz="4" w:space="0"/>
              <w:bottom w:val="single" w:color="000000" w:sz="4" w:space="0"/>
              <w:right w:val="single" w:color="000000" w:sz="4" w:space="0"/>
            </w:tcBorders>
            <w:vAlign w:val="center"/>
          </w:tcPr>
          <w:p w14:paraId="3278A5A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通过标注物种栖息地的位置和范围，展示保护区内如珍稀鸟类、哺乳动物等重要物种的栖息地，以及兰科植物的分布区。</w:t>
            </w:r>
          </w:p>
        </w:tc>
      </w:tr>
      <w:tr w14:paraId="426676A3">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2E0438B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2.3.5</w:t>
            </w:r>
          </w:p>
        </w:tc>
        <w:tc>
          <w:tcPr>
            <w:tcW w:w="2443" w:type="dxa"/>
            <w:tcBorders>
              <w:top w:val="single" w:color="000000" w:sz="4" w:space="0"/>
              <w:left w:val="single" w:color="000000" w:sz="4" w:space="0"/>
              <w:bottom w:val="single" w:color="000000" w:sz="4" w:space="0"/>
              <w:right w:val="single" w:color="000000" w:sz="4" w:space="0"/>
            </w:tcBorders>
            <w:vAlign w:val="center"/>
          </w:tcPr>
          <w:p w14:paraId="72FF8ED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典型岩溶地貌图层</w:t>
            </w:r>
          </w:p>
        </w:tc>
        <w:tc>
          <w:tcPr>
            <w:tcW w:w="10600" w:type="dxa"/>
            <w:tcBorders>
              <w:top w:val="single" w:color="000000" w:sz="4" w:space="0"/>
              <w:left w:val="single" w:color="000000" w:sz="4" w:space="0"/>
              <w:bottom w:val="single" w:color="000000" w:sz="4" w:space="0"/>
              <w:right w:val="single" w:color="000000" w:sz="4" w:space="0"/>
            </w:tcBorders>
            <w:vAlign w:val="center"/>
          </w:tcPr>
          <w:p w14:paraId="5118360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展示保护区内典型的岩溶地貌特征，主要展示黄猄洞、老鹰洞、风岩洞等奇景所在的位置</w:t>
            </w:r>
          </w:p>
        </w:tc>
      </w:tr>
      <w:tr w14:paraId="6228DFF0">
        <w:tblPrEx>
          <w:tblCellMar>
            <w:top w:w="0" w:type="dxa"/>
            <w:left w:w="108" w:type="dxa"/>
            <w:bottom w:w="0" w:type="dxa"/>
            <w:right w:w="108" w:type="dxa"/>
          </w:tblCellMar>
        </w:tblPrEx>
        <w:trPr>
          <w:trHeight w:val="530"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6FE2189D">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2.3.6</w:t>
            </w:r>
          </w:p>
        </w:tc>
        <w:tc>
          <w:tcPr>
            <w:tcW w:w="2443" w:type="dxa"/>
            <w:tcBorders>
              <w:top w:val="single" w:color="000000" w:sz="4" w:space="0"/>
              <w:left w:val="single" w:color="000000" w:sz="4" w:space="0"/>
              <w:bottom w:val="single" w:color="000000" w:sz="4" w:space="0"/>
              <w:right w:val="single" w:color="000000" w:sz="4" w:space="0"/>
            </w:tcBorders>
            <w:vAlign w:val="center"/>
          </w:tcPr>
          <w:p w14:paraId="4FD7313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典型自然景观与人文景观图层</w:t>
            </w:r>
          </w:p>
        </w:tc>
        <w:tc>
          <w:tcPr>
            <w:tcW w:w="10600" w:type="dxa"/>
            <w:tcBorders>
              <w:top w:val="single" w:color="000000" w:sz="4" w:space="0"/>
              <w:left w:val="single" w:color="000000" w:sz="4" w:space="0"/>
              <w:bottom w:val="single" w:color="000000" w:sz="4" w:space="0"/>
              <w:right w:val="single" w:color="000000" w:sz="4" w:space="0"/>
            </w:tcBorders>
            <w:vAlign w:val="center"/>
          </w:tcPr>
          <w:p w14:paraId="0D88510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展示保护区内具有代表性的自然景观，主要展示保护区内具有代表性的自然景观，如瀑布、溪流、山峰等</w:t>
            </w:r>
          </w:p>
        </w:tc>
      </w:tr>
      <w:tr w14:paraId="465C377E">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5523E556">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2.3.7</w:t>
            </w:r>
          </w:p>
        </w:tc>
        <w:tc>
          <w:tcPr>
            <w:tcW w:w="2443" w:type="dxa"/>
            <w:tcBorders>
              <w:top w:val="single" w:color="000000" w:sz="4" w:space="0"/>
              <w:left w:val="single" w:color="000000" w:sz="4" w:space="0"/>
              <w:bottom w:val="single" w:color="000000" w:sz="4" w:space="0"/>
              <w:right w:val="single" w:color="000000" w:sz="4" w:space="0"/>
            </w:tcBorders>
            <w:vAlign w:val="center"/>
          </w:tcPr>
          <w:p w14:paraId="5D21E45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道路交通图层</w:t>
            </w:r>
          </w:p>
        </w:tc>
        <w:tc>
          <w:tcPr>
            <w:tcW w:w="10600" w:type="dxa"/>
            <w:tcBorders>
              <w:top w:val="single" w:color="000000" w:sz="4" w:space="0"/>
              <w:left w:val="single" w:color="000000" w:sz="4" w:space="0"/>
              <w:bottom w:val="single" w:color="000000" w:sz="4" w:space="0"/>
              <w:right w:val="single" w:color="000000" w:sz="4" w:space="0"/>
            </w:tcBorders>
            <w:vAlign w:val="center"/>
          </w:tcPr>
          <w:p w14:paraId="7841BE1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在系统中准确标注道路的位置和走向，展示保护区内主要道路、小径等。</w:t>
            </w:r>
          </w:p>
        </w:tc>
      </w:tr>
      <w:tr w14:paraId="58BE3609">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5AC9C8D2">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2.3.8</w:t>
            </w:r>
          </w:p>
        </w:tc>
        <w:tc>
          <w:tcPr>
            <w:tcW w:w="2443" w:type="dxa"/>
            <w:tcBorders>
              <w:top w:val="single" w:color="000000" w:sz="4" w:space="0"/>
              <w:left w:val="single" w:color="000000" w:sz="4" w:space="0"/>
              <w:bottom w:val="single" w:color="000000" w:sz="4" w:space="0"/>
              <w:right w:val="single" w:color="000000" w:sz="4" w:space="0"/>
            </w:tcBorders>
            <w:vAlign w:val="center"/>
          </w:tcPr>
          <w:p w14:paraId="0A29F74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资源分布图层</w:t>
            </w:r>
          </w:p>
        </w:tc>
        <w:tc>
          <w:tcPr>
            <w:tcW w:w="10600" w:type="dxa"/>
            <w:tcBorders>
              <w:top w:val="single" w:color="000000" w:sz="4" w:space="0"/>
              <w:left w:val="single" w:color="000000" w:sz="4" w:space="0"/>
              <w:bottom w:val="single" w:color="000000" w:sz="4" w:space="0"/>
              <w:right w:val="single" w:color="000000" w:sz="4" w:space="0"/>
            </w:tcBorders>
            <w:vAlign w:val="center"/>
          </w:tcPr>
          <w:p w14:paraId="07005A9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展示保护区内的水系分布，包括河流、湖泊、水库等，有助于水资源管理和生态保护。</w:t>
            </w:r>
          </w:p>
        </w:tc>
      </w:tr>
      <w:tr w14:paraId="1A483C02">
        <w:tblPrEx>
          <w:tblCellMar>
            <w:top w:w="0" w:type="dxa"/>
            <w:left w:w="108" w:type="dxa"/>
            <w:bottom w:w="0" w:type="dxa"/>
            <w:right w:w="108" w:type="dxa"/>
          </w:tblCellMar>
        </w:tblPrEx>
        <w:trPr>
          <w:trHeight w:val="530"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142BCEDD">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2.3.9</w:t>
            </w:r>
          </w:p>
        </w:tc>
        <w:tc>
          <w:tcPr>
            <w:tcW w:w="2443" w:type="dxa"/>
            <w:tcBorders>
              <w:top w:val="single" w:color="000000" w:sz="4" w:space="0"/>
              <w:left w:val="single" w:color="000000" w:sz="4" w:space="0"/>
              <w:bottom w:val="single" w:color="000000" w:sz="4" w:space="0"/>
              <w:right w:val="single" w:color="000000" w:sz="4" w:space="0"/>
            </w:tcBorders>
            <w:vAlign w:val="center"/>
          </w:tcPr>
          <w:p w14:paraId="6FABB4B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土地利用图层</w:t>
            </w:r>
          </w:p>
        </w:tc>
        <w:tc>
          <w:tcPr>
            <w:tcW w:w="10600" w:type="dxa"/>
            <w:tcBorders>
              <w:top w:val="single" w:color="000000" w:sz="4" w:space="0"/>
              <w:left w:val="single" w:color="000000" w:sz="4" w:space="0"/>
              <w:bottom w:val="single" w:color="000000" w:sz="4" w:space="0"/>
              <w:right w:val="single" w:color="000000" w:sz="4" w:space="0"/>
            </w:tcBorders>
            <w:vAlign w:val="center"/>
          </w:tcPr>
          <w:p w14:paraId="2940FF2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展示保护区内、水资源、生物资源等各类资源的分布情况，如矿产资源，通过标注资源的位置和类型，为资源管理提供科学依据。</w:t>
            </w:r>
          </w:p>
        </w:tc>
      </w:tr>
      <w:tr w14:paraId="238421D3">
        <w:tblPrEx>
          <w:tblCellMar>
            <w:top w:w="0" w:type="dxa"/>
            <w:left w:w="108" w:type="dxa"/>
            <w:bottom w:w="0" w:type="dxa"/>
            <w:right w:w="108" w:type="dxa"/>
          </w:tblCellMar>
        </w:tblPrEx>
        <w:trPr>
          <w:trHeight w:val="530"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6032D93D">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2.3.10</w:t>
            </w:r>
          </w:p>
        </w:tc>
        <w:tc>
          <w:tcPr>
            <w:tcW w:w="2443" w:type="dxa"/>
            <w:tcBorders>
              <w:top w:val="single" w:color="000000" w:sz="4" w:space="0"/>
              <w:left w:val="single" w:color="000000" w:sz="4" w:space="0"/>
              <w:bottom w:val="single" w:color="000000" w:sz="4" w:space="0"/>
              <w:right w:val="single" w:color="000000" w:sz="4" w:space="0"/>
            </w:tcBorders>
            <w:vAlign w:val="center"/>
          </w:tcPr>
          <w:p w14:paraId="19C4E21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科研监测图层</w:t>
            </w:r>
          </w:p>
        </w:tc>
        <w:tc>
          <w:tcPr>
            <w:tcW w:w="10600" w:type="dxa"/>
            <w:tcBorders>
              <w:top w:val="single" w:color="000000" w:sz="4" w:space="0"/>
              <w:left w:val="single" w:color="000000" w:sz="4" w:space="0"/>
              <w:bottom w:val="single" w:color="000000" w:sz="4" w:space="0"/>
              <w:right w:val="single" w:color="000000" w:sz="4" w:space="0"/>
            </w:tcBorders>
            <w:vAlign w:val="center"/>
          </w:tcPr>
          <w:p w14:paraId="31213EA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基于广西雅长兰科国家级自然保护区在实际情况中的土地利用情况，实现线上展示保护区内土地利用的类型和分布情况，如林地、草地、耕地等，从而助力保护区管理者充分掌握土地资源的利用状况。</w:t>
            </w:r>
          </w:p>
        </w:tc>
      </w:tr>
      <w:tr w14:paraId="5DEA4D98">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1F124EAE">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2.3.11</w:t>
            </w:r>
          </w:p>
        </w:tc>
        <w:tc>
          <w:tcPr>
            <w:tcW w:w="2443" w:type="dxa"/>
            <w:tcBorders>
              <w:top w:val="single" w:color="000000" w:sz="4" w:space="0"/>
              <w:left w:val="single" w:color="000000" w:sz="4" w:space="0"/>
              <w:bottom w:val="single" w:color="000000" w:sz="4" w:space="0"/>
              <w:right w:val="single" w:color="000000" w:sz="4" w:space="0"/>
            </w:tcBorders>
            <w:vAlign w:val="center"/>
          </w:tcPr>
          <w:p w14:paraId="1C61377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保护管理设施图层</w:t>
            </w:r>
          </w:p>
        </w:tc>
        <w:tc>
          <w:tcPr>
            <w:tcW w:w="10600" w:type="dxa"/>
            <w:tcBorders>
              <w:top w:val="single" w:color="000000" w:sz="4" w:space="0"/>
              <w:left w:val="single" w:color="000000" w:sz="4" w:space="0"/>
              <w:bottom w:val="single" w:color="000000" w:sz="4" w:space="0"/>
              <w:right w:val="single" w:color="000000" w:sz="4" w:space="0"/>
            </w:tcBorders>
            <w:vAlign w:val="center"/>
          </w:tcPr>
          <w:p w14:paraId="58988F7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实现以一张图的形式，充分展示保护区内的气象站、生态监测站等科研监测站点和设施，</w:t>
            </w:r>
          </w:p>
        </w:tc>
      </w:tr>
      <w:tr w14:paraId="177BC04B">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00AF9C4F">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2.3.12</w:t>
            </w:r>
          </w:p>
        </w:tc>
        <w:tc>
          <w:tcPr>
            <w:tcW w:w="2443" w:type="dxa"/>
            <w:tcBorders>
              <w:top w:val="single" w:color="000000" w:sz="4" w:space="0"/>
              <w:left w:val="single" w:color="000000" w:sz="4" w:space="0"/>
              <w:bottom w:val="single" w:color="000000" w:sz="4" w:space="0"/>
              <w:right w:val="single" w:color="000000" w:sz="4" w:space="0"/>
            </w:tcBorders>
            <w:vAlign w:val="center"/>
          </w:tcPr>
          <w:p w14:paraId="6C0C3F3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防御灾害图层</w:t>
            </w:r>
          </w:p>
        </w:tc>
        <w:tc>
          <w:tcPr>
            <w:tcW w:w="10600" w:type="dxa"/>
            <w:tcBorders>
              <w:top w:val="single" w:color="000000" w:sz="4" w:space="0"/>
              <w:left w:val="single" w:color="000000" w:sz="4" w:space="0"/>
              <w:bottom w:val="single" w:color="000000" w:sz="4" w:space="0"/>
              <w:right w:val="single" w:color="000000" w:sz="4" w:space="0"/>
            </w:tcBorders>
            <w:vAlign w:val="center"/>
          </w:tcPr>
          <w:p w14:paraId="2CE2FE6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通过标注管理设施的位置和类型，展示保护区内管理站、宣教中心、救护站等的管理设施.</w:t>
            </w:r>
          </w:p>
        </w:tc>
      </w:tr>
      <w:tr w14:paraId="1EE5B712">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018CC435">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2.3.13</w:t>
            </w:r>
          </w:p>
        </w:tc>
        <w:tc>
          <w:tcPr>
            <w:tcW w:w="2443" w:type="dxa"/>
            <w:tcBorders>
              <w:top w:val="single" w:color="000000" w:sz="4" w:space="0"/>
              <w:left w:val="single" w:color="000000" w:sz="4" w:space="0"/>
              <w:bottom w:val="single" w:color="000000" w:sz="4" w:space="0"/>
              <w:right w:val="single" w:color="000000" w:sz="4" w:space="0"/>
            </w:tcBorders>
            <w:vAlign w:val="center"/>
          </w:tcPr>
          <w:p w14:paraId="104FD94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其他图层</w:t>
            </w:r>
          </w:p>
        </w:tc>
        <w:tc>
          <w:tcPr>
            <w:tcW w:w="10600" w:type="dxa"/>
            <w:tcBorders>
              <w:top w:val="single" w:color="000000" w:sz="4" w:space="0"/>
              <w:left w:val="single" w:color="000000" w:sz="4" w:space="0"/>
              <w:bottom w:val="single" w:color="000000" w:sz="4" w:space="0"/>
              <w:right w:val="single" w:color="000000" w:sz="4" w:space="0"/>
            </w:tcBorders>
            <w:vAlign w:val="center"/>
          </w:tcPr>
          <w:p w14:paraId="624E6EB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展示保护区内可能面临的火灾、病害、虫害等灾害类型和分布情况，通过较为精准地标注灾害风险区域和类型.</w:t>
            </w:r>
          </w:p>
        </w:tc>
      </w:tr>
      <w:tr w14:paraId="5F5DD532">
        <w:tblPrEx>
          <w:tblCellMar>
            <w:top w:w="0" w:type="dxa"/>
            <w:left w:w="108" w:type="dxa"/>
            <w:bottom w:w="0" w:type="dxa"/>
            <w:right w:w="108" w:type="dxa"/>
          </w:tblCellMar>
        </w:tblPrEx>
        <w:trPr>
          <w:trHeight w:val="269"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6DACE79B">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(四）</w:t>
            </w:r>
          </w:p>
        </w:tc>
        <w:tc>
          <w:tcPr>
            <w:tcW w:w="2443" w:type="dxa"/>
            <w:tcBorders>
              <w:top w:val="single" w:color="000000" w:sz="4" w:space="0"/>
              <w:left w:val="single" w:color="000000" w:sz="4" w:space="0"/>
              <w:bottom w:val="single" w:color="000000" w:sz="4" w:space="0"/>
              <w:right w:val="single" w:color="000000" w:sz="4" w:space="0"/>
            </w:tcBorders>
            <w:vAlign w:val="center"/>
          </w:tcPr>
          <w:p w14:paraId="1D3E1CBF">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系统测试</w:t>
            </w:r>
          </w:p>
        </w:tc>
        <w:tc>
          <w:tcPr>
            <w:tcW w:w="10600" w:type="dxa"/>
            <w:tcBorders>
              <w:top w:val="single" w:color="000000" w:sz="4" w:space="0"/>
              <w:left w:val="single" w:color="000000" w:sz="4" w:space="0"/>
              <w:bottom w:val="single" w:color="000000" w:sz="4" w:space="0"/>
              <w:right w:val="single" w:color="000000" w:sz="4" w:space="0"/>
            </w:tcBorders>
            <w:vAlign w:val="center"/>
          </w:tcPr>
          <w:p w14:paraId="72E1938A">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系统各个功能模块测试</w:t>
            </w:r>
          </w:p>
        </w:tc>
      </w:tr>
      <w:tr w14:paraId="41AE54EF">
        <w:tblPrEx>
          <w:tblCellMar>
            <w:top w:w="0" w:type="dxa"/>
            <w:left w:w="108" w:type="dxa"/>
            <w:bottom w:w="0" w:type="dxa"/>
            <w:right w:w="108" w:type="dxa"/>
          </w:tblCellMar>
        </w:tblPrEx>
        <w:trPr>
          <w:trHeight w:val="538" w:hRule="atLeast"/>
        </w:trPr>
        <w:tc>
          <w:tcPr>
            <w:tcW w:w="1176" w:type="dxa"/>
            <w:tcBorders>
              <w:top w:val="single" w:color="000000" w:sz="4" w:space="0"/>
              <w:left w:val="single" w:color="000000" w:sz="4" w:space="0"/>
              <w:bottom w:val="single" w:color="000000" w:sz="4" w:space="0"/>
              <w:right w:val="single" w:color="000000" w:sz="4" w:space="0"/>
            </w:tcBorders>
            <w:vAlign w:val="center"/>
          </w:tcPr>
          <w:p w14:paraId="2DC8BD20">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（五）</w:t>
            </w:r>
          </w:p>
        </w:tc>
        <w:tc>
          <w:tcPr>
            <w:tcW w:w="2443" w:type="dxa"/>
            <w:tcBorders>
              <w:top w:val="single" w:color="000000" w:sz="4" w:space="0"/>
              <w:left w:val="single" w:color="000000" w:sz="4" w:space="0"/>
              <w:bottom w:val="single" w:color="000000" w:sz="4" w:space="0"/>
              <w:right w:val="single" w:color="000000" w:sz="4" w:space="0"/>
            </w:tcBorders>
            <w:vAlign w:val="center"/>
          </w:tcPr>
          <w:p w14:paraId="090C45ED">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实施部署</w:t>
            </w:r>
          </w:p>
        </w:tc>
        <w:tc>
          <w:tcPr>
            <w:tcW w:w="10600" w:type="dxa"/>
            <w:tcBorders>
              <w:top w:val="single" w:color="000000" w:sz="4" w:space="0"/>
              <w:left w:val="single" w:color="000000" w:sz="4" w:space="0"/>
              <w:bottom w:val="single" w:color="000000" w:sz="4" w:space="0"/>
              <w:right w:val="single" w:color="000000" w:sz="4" w:space="0"/>
            </w:tcBorders>
            <w:vAlign w:val="center"/>
          </w:tcPr>
          <w:p w14:paraId="36E34BA5">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系统软、硬件的安装、调试部署工作、对国产化环境进行适配，包括服务器、数据库、中间件、流式版式软件、电子签章适配</w:t>
            </w:r>
          </w:p>
        </w:tc>
      </w:tr>
    </w:tbl>
    <w:p w14:paraId="395E97F1">
      <w:pPr>
        <w:pStyle w:val="5"/>
        <w:numPr>
          <w:ilvl w:val="-1"/>
          <w:numId w:val="0"/>
        </w:numPr>
        <w:spacing w:before="156" w:after="156"/>
        <w:rPr>
          <w:rFonts w:hint="eastAsia" w:eastAsia="黑体"/>
          <w:color w:val="auto"/>
          <w:lang w:eastAsia="zh-CN"/>
        </w:rPr>
      </w:pPr>
    </w:p>
    <w:p w14:paraId="37175BF8">
      <w:pPr>
        <w:pStyle w:val="5"/>
        <w:numPr>
          <w:ilvl w:val="-1"/>
          <w:numId w:val="0"/>
        </w:numPr>
        <w:spacing w:before="156" w:after="156"/>
        <w:rPr>
          <w:rFonts w:hint="eastAsia"/>
          <w:color w:val="auto"/>
        </w:rPr>
      </w:pPr>
      <w:r>
        <w:rPr>
          <w:rFonts w:hint="eastAsia"/>
          <w:color w:val="auto"/>
          <w:lang w:val="en-US" w:eastAsia="zh-CN"/>
        </w:rPr>
        <w:t>1.2</w:t>
      </w:r>
      <w:r>
        <w:rPr>
          <w:rFonts w:hint="eastAsia"/>
          <w:color w:val="auto"/>
        </w:rPr>
        <w:t>数据清洗以及监测感知系统分析服务</w:t>
      </w:r>
    </w:p>
    <w:tbl>
      <w:tblPr>
        <w:tblStyle w:val="17"/>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863"/>
        <w:gridCol w:w="11300"/>
      </w:tblGrid>
      <w:tr w14:paraId="356D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917" w:type="dxa"/>
            <w:vAlign w:val="center"/>
          </w:tcPr>
          <w:p w14:paraId="701325F4">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序号</w:t>
            </w:r>
          </w:p>
        </w:tc>
        <w:tc>
          <w:tcPr>
            <w:tcW w:w="1863" w:type="dxa"/>
            <w:vAlign w:val="center"/>
          </w:tcPr>
          <w:p w14:paraId="29A3F9C1">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功能/模块名称</w:t>
            </w:r>
          </w:p>
        </w:tc>
        <w:tc>
          <w:tcPr>
            <w:tcW w:w="11300" w:type="dxa"/>
            <w:vAlign w:val="center"/>
          </w:tcPr>
          <w:p w14:paraId="12B11B30">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需求描述</w:t>
            </w:r>
          </w:p>
        </w:tc>
      </w:tr>
      <w:tr w14:paraId="5E0F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917" w:type="dxa"/>
            <w:vAlign w:val="center"/>
          </w:tcPr>
          <w:p w14:paraId="4FBAA7D7">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1</w:t>
            </w:r>
          </w:p>
        </w:tc>
        <w:tc>
          <w:tcPr>
            <w:tcW w:w="1863" w:type="dxa"/>
            <w:vAlign w:val="center"/>
          </w:tcPr>
          <w:p w14:paraId="46C5D140">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数据清洗以及监测感知系统分析</w:t>
            </w:r>
          </w:p>
        </w:tc>
        <w:tc>
          <w:tcPr>
            <w:tcW w:w="11300" w:type="dxa"/>
            <w:vAlign w:val="center"/>
          </w:tcPr>
          <w:p w14:paraId="2DF95E8A">
            <w:pPr>
              <w:spacing w:line="240" w:lineRule="auto"/>
              <w:ind w:firstLine="0" w:firstLineChars="0"/>
              <w:jc w:val="left"/>
              <w:rPr>
                <w:rFonts w:hint="eastAsia" w:ascii="宋体" w:hAnsi="宋体" w:cs="宋体"/>
                <w:b/>
                <w:bCs/>
                <w:color w:val="auto"/>
                <w:sz w:val="20"/>
                <w:szCs w:val="20"/>
              </w:rPr>
            </w:pPr>
          </w:p>
        </w:tc>
      </w:tr>
      <w:tr w14:paraId="48988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7" w:type="dxa"/>
            <w:vAlign w:val="center"/>
          </w:tcPr>
          <w:p w14:paraId="104C0BD6">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1.1</w:t>
            </w:r>
          </w:p>
        </w:tc>
        <w:tc>
          <w:tcPr>
            <w:tcW w:w="1863" w:type="dxa"/>
            <w:vAlign w:val="center"/>
          </w:tcPr>
          <w:p w14:paraId="506EBBAD">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数据清洗</w:t>
            </w:r>
          </w:p>
        </w:tc>
        <w:tc>
          <w:tcPr>
            <w:tcW w:w="11300" w:type="dxa"/>
            <w:vAlign w:val="center"/>
          </w:tcPr>
          <w:p w14:paraId="4322B8C2">
            <w:pPr>
              <w:spacing w:line="240" w:lineRule="auto"/>
              <w:ind w:firstLine="0" w:firstLineChars="0"/>
              <w:jc w:val="center"/>
              <w:rPr>
                <w:rFonts w:hint="eastAsia" w:ascii="宋体" w:hAnsi="宋体" w:cs="宋体"/>
                <w:b/>
                <w:bCs/>
                <w:color w:val="auto"/>
                <w:sz w:val="20"/>
                <w:szCs w:val="20"/>
              </w:rPr>
            </w:pPr>
          </w:p>
        </w:tc>
      </w:tr>
      <w:tr w14:paraId="6F25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7" w:type="dxa"/>
            <w:vAlign w:val="center"/>
          </w:tcPr>
          <w:p w14:paraId="1F5D16B1">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1.1.1</w:t>
            </w:r>
          </w:p>
        </w:tc>
        <w:tc>
          <w:tcPr>
            <w:tcW w:w="1863" w:type="dxa"/>
            <w:vAlign w:val="center"/>
          </w:tcPr>
          <w:p w14:paraId="513C55D2">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数据质量标准管理</w:t>
            </w:r>
          </w:p>
        </w:tc>
        <w:tc>
          <w:tcPr>
            <w:tcW w:w="11300" w:type="dxa"/>
            <w:vAlign w:val="center"/>
          </w:tcPr>
          <w:p w14:paraId="12B54B1C">
            <w:pPr>
              <w:spacing w:line="240" w:lineRule="auto"/>
              <w:ind w:firstLine="0" w:firstLineChars="0"/>
              <w:jc w:val="center"/>
              <w:rPr>
                <w:rFonts w:hint="eastAsia" w:ascii="宋体" w:hAnsi="宋体" w:cs="宋体"/>
                <w:b/>
                <w:bCs/>
                <w:color w:val="auto"/>
                <w:sz w:val="20"/>
                <w:szCs w:val="20"/>
              </w:rPr>
            </w:pPr>
          </w:p>
        </w:tc>
      </w:tr>
      <w:tr w14:paraId="62DEC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917" w:type="dxa"/>
            <w:vAlign w:val="center"/>
          </w:tcPr>
          <w:p w14:paraId="7AACB581">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1.1.1.1</w:t>
            </w:r>
          </w:p>
        </w:tc>
        <w:tc>
          <w:tcPr>
            <w:tcW w:w="1863" w:type="dxa"/>
            <w:vAlign w:val="center"/>
          </w:tcPr>
          <w:p w14:paraId="4EBC037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质量需求分析</w:t>
            </w:r>
          </w:p>
        </w:tc>
        <w:tc>
          <w:tcPr>
            <w:tcW w:w="11300" w:type="dxa"/>
            <w:vAlign w:val="center"/>
          </w:tcPr>
          <w:p w14:paraId="1DDE7BF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针对三维可视化平台，制定从一中心五平台提取物联网监测数据（视频、气象、水质、虫情等）、巡护数据、灾害发生数据、科普宣教数据、GIS图层数据的数据格式及编码要求。</w:t>
            </w:r>
          </w:p>
        </w:tc>
      </w:tr>
      <w:tr w14:paraId="51C74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917" w:type="dxa"/>
            <w:vAlign w:val="center"/>
          </w:tcPr>
          <w:p w14:paraId="178DE38D">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1.1.1.2</w:t>
            </w:r>
          </w:p>
        </w:tc>
        <w:tc>
          <w:tcPr>
            <w:tcW w:w="1863" w:type="dxa"/>
            <w:vAlign w:val="center"/>
          </w:tcPr>
          <w:p w14:paraId="395F45C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质量标准制定</w:t>
            </w:r>
          </w:p>
        </w:tc>
        <w:tc>
          <w:tcPr>
            <w:tcW w:w="11300" w:type="dxa"/>
            <w:vAlign w:val="center"/>
          </w:tcPr>
          <w:p w14:paraId="1704CDE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制定一中心五平台汇聚数据的处理、分析、存储等环节数据标准，统一数据精度及效验规则，定义准确性、完整性、一致性、时效性等核心指标。</w:t>
            </w:r>
          </w:p>
        </w:tc>
      </w:tr>
      <w:tr w14:paraId="49395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917" w:type="dxa"/>
            <w:vAlign w:val="center"/>
          </w:tcPr>
          <w:p w14:paraId="64687DF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1.1.1.3</w:t>
            </w:r>
          </w:p>
        </w:tc>
        <w:tc>
          <w:tcPr>
            <w:tcW w:w="1863" w:type="dxa"/>
            <w:vAlign w:val="center"/>
          </w:tcPr>
          <w:p w14:paraId="17B5798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数据质量审查</w:t>
            </w:r>
          </w:p>
        </w:tc>
        <w:tc>
          <w:tcPr>
            <w:tcW w:w="11300" w:type="dxa"/>
            <w:vAlign w:val="center"/>
          </w:tcPr>
          <w:p w14:paraId="2803C8C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设定可量化的质量评价指标（如数据错误率、更新及时性等），采用“集中+分散”模式开展常态化检查，例如通过随机抽查、交叉验证等方式确保监测数据“真、准、全、快、实、新”</w:t>
            </w:r>
            <w:r>
              <w:rPr>
                <w:rFonts w:cs="Times New Roman"/>
                <w:color w:val="auto"/>
                <w:kern w:val="0"/>
                <w:sz w:val="20"/>
                <w:szCs w:val="20"/>
                <w:lang w:bidi="ar"/>
              </w:rPr>
              <w:t>‌</w:t>
            </w:r>
            <w:r>
              <w:rPr>
                <w:rFonts w:hint="eastAsia" w:ascii="宋体" w:hAnsi="宋体" w:cs="宋体"/>
                <w:color w:val="auto"/>
                <w:kern w:val="0"/>
                <w:sz w:val="20"/>
                <w:szCs w:val="20"/>
                <w:lang w:bidi="ar"/>
              </w:rPr>
              <w:t>。</w:t>
            </w:r>
          </w:p>
        </w:tc>
      </w:tr>
      <w:tr w14:paraId="2C1B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7" w:type="dxa"/>
            <w:vAlign w:val="center"/>
          </w:tcPr>
          <w:p w14:paraId="381BBCC5">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1.1.1.4</w:t>
            </w:r>
          </w:p>
        </w:tc>
        <w:tc>
          <w:tcPr>
            <w:tcW w:w="1863" w:type="dxa"/>
            <w:vAlign w:val="center"/>
          </w:tcPr>
          <w:p w14:paraId="1B259D3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质量标准验证</w:t>
            </w:r>
          </w:p>
        </w:tc>
        <w:tc>
          <w:tcPr>
            <w:tcW w:w="11300" w:type="dxa"/>
            <w:vAlign w:val="center"/>
          </w:tcPr>
          <w:p w14:paraId="0D0E3EE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设计覆盖数据采集、传输、存储全流程的验证步骤，通过交叉核验与逻辑比对确保数据逻辑自洽</w:t>
            </w:r>
            <w:r>
              <w:rPr>
                <w:rFonts w:cs="Times New Roman"/>
                <w:color w:val="auto"/>
                <w:kern w:val="0"/>
                <w:sz w:val="20"/>
                <w:szCs w:val="20"/>
                <w:lang w:bidi="ar"/>
              </w:rPr>
              <w:t>‌</w:t>
            </w:r>
            <w:r>
              <w:rPr>
                <w:rFonts w:hint="eastAsia" w:ascii="宋体" w:hAnsi="宋体" w:cs="宋体"/>
                <w:color w:val="auto"/>
                <w:kern w:val="0"/>
                <w:sz w:val="20"/>
                <w:szCs w:val="20"/>
                <w:lang w:bidi="ar"/>
              </w:rPr>
              <w:t>。</w:t>
            </w:r>
          </w:p>
        </w:tc>
      </w:tr>
      <w:tr w14:paraId="13F18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917" w:type="dxa"/>
            <w:vAlign w:val="center"/>
          </w:tcPr>
          <w:p w14:paraId="2F45E6BC">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1.1.1.5</w:t>
            </w:r>
          </w:p>
        </w:tc>
        <w:tc>
          <w:tcPr>
            <w:tcW w:w="1863" w:type="dxa"/>
            <w:vAlign w:val="center"/>
          </w:tcPr>
          <w:p w14:paraId="27B191F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标准的持续改进</w:t>
            </w:r>
          </w:p>
        </w:tc>
        <w:tc>
          <w:tcPr>
            <w:tcW w:w="11300" w:type="dxa"/>
            <w:vAlign w:val="center"/>
          </w:tcPr>
          <w:p w14:paraId="6239782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实时监测数据错误率、更新时效性等指标，识别标准执行漏洞</w:t>
            </w:r>
            <w:r>
              <w:rPr>
                <w:rFonts w:cs="Times New Roman"/>
                <w:color w:val="auto"/>
                <w:kern w:val="0"/>
                <w:sz w:val="20"/>
                <w:szCs w:val="20"/>
                <w:lang w:bidi="ar"/>
              </w:rPr>
              <w:t>‌</w:t>
            </w:r>
            <w:r>
              <w:rPr>
                <w:rFonts w:hint="eastAsia" w:ascii="宋体" w:hAnsi="宋体" w:cs="宋体"/>
                <w:color w:val="auto"/>
                <w:kern w:val="0"/>
                <w:sz w:val="20"/>
                <w:szCs w:val="20"/>
                <w:lang w:bidi="ar"/>
              </w:rPr>
              <w:t>，定位数据标准冲突点</w:t>
            </w:r>
            <w:r>
              <w:rPr>
                <w:rFonts w:cs="Times New Roman"/>
                <w:color w:val="auto"/>
                <w:kern w:val="0"/>
                <w:sz w:val="20"/>
                <w:szCs w:val="20"/>
                <w:lang w:bidi="ar"/>
              </w:rPr>
              <w:t>‌</w:t>
            </w:r>
            <w:r>
              <w:rPr>
                <w:rFonts w:hint="eastAsia" w:ascii="宋体" w:hAnsi="宋体" w:cs="宋体"/>
                <w:color w:val="auto"/>
                <w:kern w:val="0"/>
                <w:sz w:val="20"/>
                <w:szCs w:val="20"/>
                <w:lang w:bidi="ar"/>
              </w:rPr>
              <w:t>，形成“评估-优化-验证-推广”的持续改进循环。</w:t>
            </w:r>
          </w:p>
        </w:tc>
      </w:tr>
      <w:tr w14:paraId="597AF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7" w:type="dxa"/>
            <w:vAlign w:val="center"/>
          </w:tcPr>
          <w:p w14:paraId="345B6E4D">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1.1.2</w:t>
            </w:r>
          </w:p>
        </w:tc>
        <w:tc>
          <w:tcPr>
            <w:tcW w:w="1863" w:type="dxa"/>
            <w:vAlign w:val="center"/>
          </w:tcPr>
          <w:p w14:paraId="32A347FB">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数据目录体系管理</w:t>
            </w:r>
          </w:p>
        </w:tc>
        <w:tc>
          <w:tcPr>
            <w:tcW w:w="11300" w:type="dxa"/>
            <w:vAlign w:val="center"/>
          </w:tcPr>
          <w:p w14:paraId="3D0D3104">
            <w:pPr>
              <w:spacing w:line="240" w:lineRule="auto"/>
              <w:ind w:firstLine="0" w:firstLineChars="0"/>
              <w:rPr>
                <w:rFonts w:hint="eastAsia" w:ascii="宋体" w:hAnsi="宋体" w:cs="宋体"/>
                <w:color w:val="auto"/>
                <w:sz w:val="20"/>
                <w:szCs w:val="20"/>
              </w:rPr>
            </w:pPr>
          </w:p>
        </w:tc>
      </w:tr>
      <w:tr w14:paraId="117A7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917" w:type="dxa"/>
            <w:vAlign w:val="center"/>
          </w:tcPr>
          <w:p w14:paraId="5D801C5A">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1.1.2.1</w:t>
            </w:r>
          </w:p>
        </w:tc>
        <w:tc>
          <w:tcPr>
            <w:tcW w:w="1863" w:type="dxa"/>
            <w:vAlign w:val="center"/>
          </w:tcPr>
          <w:p w14:paraId="16CC961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数据识别和收集</w:t>
            </w:r>
          </w:p>
        </w:tc>
        <w:tc>
          <w:tcPr>
            <w:tcW w:w="11300" w:type="dxa"/>
            <w:vAlign w:val="center"/>
          </w:tcPr>
          <w:p w14:paraId="41A6D1B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从保护区历年综考数据中识别和收集需在三维可视化平台呈现的矢量图层、物种分布、科普导览、生态环境等数据，结合保护区“一中心五平台”系统采集数据，按照定义好的数据质量标准定义数据项信息。</w:t>
            </w:r>
          </w:p>
        </w:tc>
      </w:tr>
      <w:tr w14:paraId="0742E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7" w:type="dxa"/>
            <w:vAlign w:val="center"/>
          </w:tcPr>
          <w:p w14:paraId="22297D9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1.1.2.2</w:t>
            </w:r>
          </w:p>
        </w:tc>
        <w:tc>
          <w:tcPr>
            <w:tcW w:w="1863" w:type="dxa"/>
            <w:vAlign w:val="center"/>
          </w:tcPr>
          <w:p w14:paraId="2CC2B56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数据目录设计</w:t>
            </w:r>
          </w:p>
        </w:tc>
        <w:tc>
          <w:tcPr>
            <w:tcW w:w="11300" w:type="dxa"/>
            <w:vAlign w:val="center"/>
          </w:tcPr>
          <w:p w14:paraId="44B73F0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定义统一元数据属性，如信息资源名称、代码、分类标准等，确保不同系统间元数据格式一致性</w:t>
            </w:r>
            <w:r>
              <w:rPr>
                <w:rFonts w:cs="Times New Roman"/>
                <w:color w:val="auto"/>
                <w:kern w:val="0"/>
                <w:sz w:val="20"/>
                <w:szCs w:val="20"/>
                <w:lang w:bidi="ar"/>
              </w:rPr>
              <w:t>‌</w:t>
            </w:r>
            <w:r>
              <w:rPr>
                <w:rFonts w:hint="eastAsia" w:ascii="宋体" w:hAnsi="宋体" w:cs="宋体"/>
                <w:color w:val="auto"/>
                <w:kern w:val="0"/>
                <w:sz w:val="20"/>
                <w:szCs w:val="20"/>
                <w:lang w:bidi="ar"/>
              </w:rPr>
              <w:t>。</w:t>
            </w:r>
          </w:p>
        </w:tc>
      </w:tr>
      <w:tr w14:paraId="7FB48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7" w:type="dxa"/>
            <w:vAlign w:val="center"/>
          </w:tcPr>
          <w:p w14:paraId="2C600AEE">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1.1.2.3</w:t>
            </w:r>
          </w:p>
        </w:tc>
        <w:tc>
          <w:tcPr>
            <w:tcW w:w="1863" w:type="dxa"/>
            <w:vAlign w:val="center"/>
          </w:tcPr>
          <w:p w14:paraId="7B901CC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数据分类分级</w:t>
            </w:r>
          </w:p>
        </w:tc>
        <w:tc>
          <w:tcPr>
            <w:tcW w:w="11300" w:type="dxa"/>
            <w:vAlign w:val="center"/>
          </w:tcPr>
          <w:p w14:paraId="62AD1A1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按生境感知、物种分布、灾害防控、巡护管理、科普宣教业务线划分数据等级。</w:t>
            </w:r>
          </w:p>
        </w:tc>
      </w:tr>
      <w:tr w14:paraId="01F9F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7" w:type="dxa"/>
            <w:vAlign w:val="center"/>
          </w:tcPr>
          <w:p w14:paraId="4CC792AE">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1.1.2.4</w:t>
            </w:r>
          </w:p>
        </w:tc>
        <w:tc>
          <w:tcPr>
            <w:tcW w:w="1863" w:type="dxa"/>
            <w:vAlign w:val="center"/>
          </w:tcPr>
          <w:p w14:paraId="1F52FCE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元数据管理</w:t>
            </w:r>
          </w:p>
        </w:tc>
        <w:tc>
          <w:tcPr>
            <w:tcW w:w="11300" w:type="dxa"/>
            <w:vAlign w:val="center"/>
          </w:tcPr>
          <w:p w14:paraId="4DBCB54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细化生境感知、物种分布、灾害防控、巡护管理、科普宣教业务至具体数据表或文件，支持精确检索</w:t>
            </w:r>
            <w:r>
              <w:rPr>
                <w:rFonts w:cs="Times New Roman"/>
                <w:color w:val="auto"/>
                <w:kern w:val="0"/>
                <w:sz w:val="20"/>
                <w:szCs w:val="20"/>
                <w:lang w:bidi="ar"/>
              </w:rPr>
              <w:t>‌</w:t>
            </w:r>
            <w:r>
              <w:rPr>
                <w:rFonts w:hint="eastAsia" w:ascii="宋体" w:hAnsi="宋体" w:cs="宋体"/>
                <w:color w:val="auto"/>
                <w:kern w:val="0"/>
                <w:sz w:val="20"/>
                <w:szCs w:val="20"/>
                <w:lang w:bidi="ar"/>
              </w:rPr>
              <w:t>。</w:t>
            </w:r>
          </w:p>
        </w:tc>
      </w:tr>
      <w:tr w14:paraId="7E33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7" w:type="dxa"/>
            <w:vAlign w:val="center"/>
          </w:tcPr>
          <w:p w14:paraId="6C93691A">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1.1.3</w:t>
            </w:r>
          </w:p>
        </w:tc>
        <w:tc>
          <w:tcPr>
            <w:tcW w:w="1863" w:type="dxa"/>
            <w:vAlign w:val="center"/>
          </w:tcPr>
          <w:p w14:paraId="6E33EA21">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数据清洗服务</w:t>
            </w:r>
          </w:p>
        </w:tc>
        <w:tc>
          <w:tcPr>
            <w:tcW w:w="11300" w:type="dxa"/>
            <w:vAlign w:val="center"/>
          </w:tcPr>
          <w:p w14:paraId="58A9E31B">
            <w:pPr>
              <w:spacing w:line="240" w:lineRule="auto"/>
              <w:ind w:firstLine="0" w:firstLineChars="0"/>
              <w:rPr>
                <w:rFonts w:hint="eastAsia" w:ascii="宋体" w:hAnsi="宋体" w:cs="宋体"/>
                <w:color w:val="auto"/>
                <w:sz w:val="20"/>
                <w:szCs w:val="20"/>
              </w:rPr>
            </w:pPr>
          </w:p>
        </w:tc>
      </w:tr>
      <w:tr w14:paraId="60890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7" w:type="dxa"/>
            <w:vAlign w:val="center"/>
          </w:tcPr>
          <w:p w14:paraId="24DB121D">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1.1.3.1</w:t>
            </w:r>
          </w:p>
        </w:tc>
        <w:tc>
          <w:tcPr>
            <w:tcW w:w="1863" w:type="dxa"/>
            <w:vAlign w:val="center"/>
          </w:tcPr>
          <w:p w14:paraId="0352B25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数据识别与审核</w:t>
            </w:r>
          </w:p>
        </w:tc>
        <w:tc>
          <w:tcPr>
            <w:tcW w:w="11300" w:type="dxa"/>
            <w:vAlign w:val="center"/>
          </w:tcPr>
          <w:p w14:paraId="169051E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数据识别与审核</w:t>
            </w:r>
          </w:p>
        </w:tc>
      </w:tr>
      <w:tr w14:paraId="0FDC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7" w:type="dxa"/>
            <w:vAlign w:val="center"/>
          </w:tcPr>
          <w:p w14:paraId="036BEFEA">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1.1.3.2</w:t>
            </w:r>
          </w:p>
        </w:tc>
        <w:tc>
          <w:tcPr>
            <w:tcW w:w="1863" w:type="dxa"/>
            <w:vAlign w:val="center"/>
          </w:tcPr>
          <w:p w14:paraId="5EDF8B0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数据清洗规则制定</w:t>
            </w:r>
          </w:p>
        </w:tc>
        <w:tc>
          <w:tcPr>
            <w:tcW w:w="11300" w:type="dxa"/>
            <w:vAlign w:val="center"/>
          </w:tcPr>
          <w:p w14:paraId="40E6173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数据清洗规则制定</w:t>
            </w:r>
          </w:p>
        </w:tc>
      </w:tr>
      <w:tr w14:paraId="1053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917" w:type="dxa"/>
            <w:vAlign w:val="center"/>
          </w:tcPr>
          <w:p w14:paraId="2258A6F9">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1.1.3.3</w:t>
            </w:r>
          </w:p>
        </w:tc>
        <w:tc>
          <w:tcPr>
            <w:tcW w:w="1863" w:type="dxa"/>
            <w:vAlign w:val="center"/>
          </w:tcPr>
          <w:p w14:paraId="3E0A554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数据清洗执行与监控</w:t>
            </w:r>
          </w:p>
        </w:tc>
        <w:tc>
          <w:tcPr>
            <w:tcW w:w="11300" w:type="dxa"/>
            <w:vAlign w:val="center"/>
          </w:tcPr>
          <w:p w14:paraId="2D7769A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数据清洗执行与监控</w:t>
            </w:r>
          </w:p>
        </w:tc>
      </w:tr>
      <w:tr w14:paraId="75D27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7" w:type="dxa"/>
            <w:vAlign w:val="center"/>
          </w:tcPr>
          <w:p w14:paraId="5D1B186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1.1.3.4</w:t>
            </w:r>
          </w:p>
        </w:tc>
        <w:tc>
          <w:tcPr>
            <w:tcW w:w="1863" w:type="dxa"/>
            <w:vAlign w:val="center"/>
          </w:tcPr>
          <w:p w14:paraId="7383038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数据验证</w:t>
            </w:r>
          </w:p>
        </w:tc>
        <w:tc>
          <w:tcPr>
            <w:tcW w:w="11300" w:type="dxa"/>
            <w:vAlign w:val="center"/>
          </w:tcPr>
          <w:p w14:paraId="042C088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数据验证</w:t>
            </w:r>
          </w:p>
        </w:tc>
      </w:tr>
      <w:tr w14:paraId="5F345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7" w:type="dxa"/>
            <w:vAlign w:val="center"/>
          </w:tcPr>
          <w:p w14:paraId="2659CF7C">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1.1.4</w:t>
            </w:r>
          </w:p>
        </w:tc>
        <w:tc>
          <w:tcPr>
            <w:tcW w:w="1863" w:type="dxa"/>
            <w:vAlign w:val="center"/>
          </w:tcPr>
          <w:p w14:paraId="5E79A03C">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数据校验服务</w:t>
            </w:r>
          </w:p>
        </w:tc>
        <w:tc>
          <w:tcPr>
            <w:tcW w:w="11300" w:type="dxa"/>
            <w:vAlign w:val="center"/>
          </w:tcPr>
          <w:p w14:paraId="7B0515FB">
            <w:pPr>
              <w:spacing w:line="240" w:lineRule="auto"/>
              <w:ind w:firstLine="0" w:firstLineChars="0"/>
              <w:rPr>
                <w:rFonts w:hint="eastAsia" w:ascii="宋体" w:hAnsi="宋体" w:cs="宋体"/>
                <w:color w:val="auto"/>
                <w:sz w:val="20"/>
                <w:szCs w:val="20"/>
              </w:rPr>
            </w:pPr>
          </w:p>
        </w:tc>
      </w:tr>
      <w:tr w14:paraId="5D290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7" w:type="dxa"/>
            <w:vAlign w:val="center"/>
          </w:tcPr>
          <w:p w14:paraId="750F3FF1">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1.1.4.1</w:t>
            </w:r>
          </w:p>
        </w:tc>
        <w:tc>
          <w:tcPr>
            <w:tcW w:w="1863" w:type="dxa"/>
            <w:vAlign w:val="center"/>
          </w:tcPr>
          <w:p w14:paraId="651504F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数据完整性校验</w:t>
            </w:r>
          </w:p>
        </w:tc>
        <w:tc>
          <w:tcPr>
            <w:tcW w:w="11300" w:type="dxa"/>
            <w:vAlign w:val="center"/>
          </w:tcPr>
          <w:p w14:paraId="726BB69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数据完整性校验</w:t>
            </w:r>
          </w:p>
        </w:tc>
      </w:tr>
      <w:tr w14:paraId="139E5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7" w:type="dxa"/>
            <w:vAlign w:val="center"/>
          </w:tcPr>
          <w:p w14:paraId="0B2A8D39">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1.1.4.2</w:t>
            </w:r>
          </w:p>
        </w:tc>
        <w:tc>
          <w:tcPr>
            <w:tcW w:w="1863" w:type="dxa"/>
            <w:vAlign w:val="center"/>
          </w:tcPr>
          <w:p w14:paraId="7A786BA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数据一致性校验</w:t>
            </w:r>
          </w:p>
        </w:tc>
        <w:tc>
          <w:tcPr>
            <w:tcW w:w="11300" w:type="dxa"/>
            <w:vAlign w:val="center"/>
          </w:tcPr>
          <w:p w14:paraId="78C66BA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数据一致性校验</w:t>
            </w:r>
          </w:p>
        </w:tc>
      </w:tr>
      <w:tr w14:paraId="0C31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7" w:type="dxa"/>
            <w:vAlign w:val="center"/>
          </w:tcPr>
          <w:p w14:paraId="3C66122D">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1.1.4.3</w:t>
            </w:r>
          </w:p>
        </w:tc>
        <w:tc>
          <w:tcPr>
            <w:tcW w:w="1863" w:type="dxa"/>
            <w:vAlign w:val="center"/>
          </w:tcPr>
          <w:p w14:paraId="32D410E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数据逻辑校验</w:t>
            </w:r>
          </w:p>
        </w:tc>
        <w:tc>
          <w:tcPr>
            <w:tcW w:w="11300" w:type="dxa"/>
            <w:vAlign w:val="center"/>
          </w:tcPr>
          <w:p w14:paraId="0C985AF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数据逻辑校验</w:t>
            </w:r>
          </w:p>
        </w:tc>
      </w:tr>
      <w:tr w14:paraId="4DDD8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7" w:type="dxa"/>
            <w:vAlign w:val="center"/>
          </w:tcPr>
          <w:p w14:paraId="579A65BF">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1.1.4.4</w:t>
            </w:r>
          </w:p>
        </w:tc>
        <w:tc>
          <w:tcPr>
            <w:tcW w:w="1863" w:type="dxa"/>
            <w:vAlign w:val="center"/>
          </w:tcPr>
          <w:p w14:paraId="593E328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引用完整性校验</w:t>
            </w:r>
          </w:p>
        </w:tc>
        <w:tc>
          <w:tcPr>
            <w:tcW w:w="11300" w:type="dxa"/>
            <w:vAlign w:val="center"/>
          </w:tcPr>
          <w:p w14:paraId="4225D66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引用完整性校验</w:t>
            </w:r>
          </w:p>
        </w:tc>
      </w:tr>
      <w:tr w14:paraId="38832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7" w:type="dxa"/>
            <w:vAlign w:val="center"/>
          </w:tcPr>
          <w:p w14:paraId="4635E689">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1.1.4.5</w:t>
            </w:r>
          </w:p>
        </w:tc>
        <w:tc>
          <w:tcPr>
            <w:tcW w:w="1863" w:type="dxa"/>
            <w:vAlign w:val="center"/>
          </w:tcPr>
          <w:p w14:paraId="1CD9EBA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数据错误处理</w:t>
            </w:r>
          </w:p>
        </w:tc>
        <w:tc>
          <w:tcPr>
            <w:tcW w:w="11300" w:type="dxa"/>
            <w:vAlign w:val="center"/>
          </w:tcPr>
          <w:p w14:paraId="6F31AC3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数据错误处理</w:t>
            </w:r>
          </w:p>
        </w:tc>
      </w:tr>
      <w:tr w14:paraId="5351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7" w:type="dxa"/>
            <w:vAlign w:val="center"/>
          </w:tcPr>
          <w:p w14:paraId="1B468240">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2.1</w:t>
            </w:r>
          </w:p>
        </w:tc>
        <w:tc>
          <w:tcPr>
            <w:tcW w:w="1863" w:type="dxa"/>
            <w:vAlign w:val="center"/>
          </w:tcPr>
          <w:p w14:paraId="7AFF9EA6">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监测感知数据分析</w:t>
            </w:r>
          </w:p>
        </w:tc>
        <w:tc>
          <w:tcPr>
            <w:tcW w:w="11300" w:type="dxa"/>
            <w:vAlign w:val="center"/>
          </w:tcPr>
          <w:p w14:paraId="3B76387F">
            <w:pPr>
              <w:spacing w:line="240" w:lineRule="auto"/>
              <w:ind w:firstLine="0" w:firstLineChars="0"/>
              <w:rPr>
                <w:rFonts w:hint="eastAsia" w:ascii="宋体" w:hAnsi="宋体" w:cs="宋体"/>
                <w:b/>
                <w:bCs/>
                <w:color w:val="auto"/>
                <w:sz w:val="20"/>
                <w:szCs w:val="20"/>
              </w:rPr>
            </w:pPr>
          </w:p>
        </w:tc>
      </w:tr>
      <w:tr w14:paraId="32FC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917" w:type="dxa"/>
            <w:vAlign w:val="center"/>
          </w:tcPr>
          <w:p w14:paraId="7C3F13A6">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2.1.1</w:t>
            </w:r>
          </w:p>
        </w:tc>
        <w:tc>
          <w:tcPr>
            <w:tcW w:w="1863" w:type="dxa"/>
            <w:vAlign w:val="center"/>
          </w:tcPr>
          <w:p w14:paraId="1AE1C75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兰科植物空间分布与精细化保护措施分析</w:t>
            </w:r>
          </w:p>
        </w:tc>
        <w:tc>
          <w:tcPr>
            <w:tcW w:w="11300" w:type="dxa"/>
            <w:vAlign w:val="center"/>
          </w:tcPr>
          <w:p w14:paraId="62A9D83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以实景三维模型为基础，解译兰科植物监测视频数据，连同多年监测的其他格式数据，分析兰科植物分布及生态环境以及人为活动影响因子。有效指导野外保护与科普宣传、生态体验等活动。</w:t>
            </w:r>
          </w:p>
        </w:tc>
      </w:tr>
      <w:tr w14:paraId="425C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917" w:type="dxa"/>
            <w:vAlign w:val="center"/>
          </w:tcPr>
          <w:p w14:paraId="0AE6CE83">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2.2.2</w:t>
            </w:r>
          </w:p>
        </w:tc>
        <w:tc>
          <w:tcPr>
            <w:tcW w:w="1863" w:type="dxa"/>
            <w:vAlign w:val="center"/>
          </w:tcPr>
          <w:p w14:paraId="538D3C0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生物多样性与生态系统空间分布分析</w:t>
            </w:r>
          </w:p>
        </w:tc>
        <w:tc>
          <w:tcPr>
            <w:tcW w:w="11300" w:type="dxa"/>
            <w:vAlign w:val="center"/>
          </w:tcPr>
          <w:p w14:paraId="6C439F9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以红外相机、声纹监测设备、生态环境感知设备以及无人机、激光雷达等设备获取的数据，分析生物多样与生态系统空间分布。分别研判与自然条件、生态系统类型与结构、人为活动等的关系，确定关键因子。</w:t>
            </w:r>
          </w:p>
        </w:tc>
      </w:tr>
      <w:tr w14:paraId="043E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917" w:type="dxa"/>
            <w:vAlign w:val="center"/>
          </w:tcPr>
          <w:p w14:paraId="60AEE4C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2.2.3</w:t>
            </w:r>
          </w:p>
        </w:tc>
        <w:tc>
          <w:tcPr>
            <w:tcW w:w="1863" w:type="dxa"/>
            <w:vAlign w:val="center"/>
          </w:tcPr>
          <w:p w14:paraId="308C220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生产生活生态空间与动态分布分析</w:t>
            </w:r>
          </w:p>
        </w:tc>
        <w:tc>
          <w:tcPr>
            <w:tcW w:w="11300" w:type="dxa"/>
            <w:vAlign w:val="center"/>
          </w:tcPr>
          <w:p w14:paraId="0B03328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通过遥感数据、无人机数据、视频监控数据以及林草湿数据、国土变更数据等，结合保护区已开展的各种地面调查与监测，在三维尺度上，对保护区内及周边的生产生活与生态用地进行矢量化与感知分析，获取“三生”区域空间变化。</w:t>
            </w:r>
          </w:p>
        </w:tc>
      </w:tr>
      <w:tr w14:paraId="5F69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917" w:type="dxa"/>
            <w:vAlign w:val="center"/>
          </w:tcPr>
          <w:p w14:paraId="7BE4DAE9">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2.2.4</w:t>
            </w:r>
          </w:p>
        </w:tc>
        <w:tc>
          <w:tcPr>
            <w:tcW w:w="1863" w:type="dxa"/>
            <w:vAlign w:val="center"/>
          </w:tcPr>
          <w:p w14:paraId="15AF24A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病虫害等自然灾害动态分布与防灾减灾分析</w:t>
            </w:r>
          </w:p>
        </w:tc>
        <w:tc>
          <w:tcPr>
            <w:tcW w:w="11300" w:type="dxa"/>
            <w:vAlign w:val="center"/>
          </w:tcPr>
          <w:p w14:paraId="7B1D752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依据雅长保护区已收集到的病虫害生物数据，分析动态变化特征，进行生物特征提取，结合积累的历史环境因子及历史发生数据，构建病虫害生物分布动态预判与预警模块</w:t>
            </w:r>
          </w:p>
        </w:tc>
      </w:tr>
      <w:tr w14:paraId="460E6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917" w:type="dxa"/>
            <w:vAlign w:val="center"/>
          </w:tcPr>
          <w:p w14:paraId="618D8E9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2.2.5</w:t>
            </w:r>
          </w:p>
        </w:tc>
        <w:tc>
          <w:tcPr>
            <w:tcW w:w="1863" w:type="dxa"/>
            <w:vAlign w:val="center"/>
          </w:tcPr>
          <w:p w14:paraId="0EA4BA3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人为活动管控及预测预警分析</w:t>
            </w:r>
          </w:p>
        </w:tc>
        <w:tc>
          <w:tcPr>
            <w:tcW w:w="11300" w:type="dxa"/>
            <w:vAlign w:val="center"/>
          </w:tcPr>
          <w:p w14:paraId="608769C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整合保护区内人为活动管控数据资源，包括语音、警戒、警报等对保护区已采集的各年度人为活动数据以及涉及的各类建设活动进行类别识别以及分布与特征筛选，预判可能的行为与发展态势，提升管控效率。</w:t>
            </w:r>
          </w:p>
        </w:tc>
      </w:tr>
    </w:tbl>
    <w:p w14:paraId="38D1D110">
      <w:pPr>
        <w:pStyle w:val="5"/>
        <w:numPr>
          <w:ilvl w:val="-1"/>
          <w:numId w:val="0"/>
        </w:numPr>
        <w:spacing w:before="156" w:after="156"/>
        <w:rPr>
          <w:rFonts w:hint="eastAsia"/>
          <w:color w:val="auto"/>
        </w:rPr>
      </w:pPr>
    </w:p>
    <w:p w14:paraId="09A94B13">
      <w:pPr>
        <w:pStyle w:val="6"/>
        <w:numPr>
          <w:ilvl w:val="-1"/>
          <w:numId w:val="0"/>
        </w:numPr>
        <w:spacing w:before="78" w:after="78"/>
        <w:rPr>
          <w:rFonts w:hint="default" w:eastAsia="黑体"/>
          <w:color w:val="auto"/>
          <w:lang w:val="en-US" w:eastAsia="zh-CN"/>
        </w:rPr>
      </w:pPr>
      <w:r>
        <w:rPr>
          <w:rFonts w:hint="eastAsia"/>
          <w:color w:val="auto"/>
          <w:lang w:val="en-US" w:eastAsia="zh-CN"/>
        </w:rPr>
        <w:t>1.3三维模型可视化与应用及设备购置</w:t>
      </w:r>
    </w:p>
    <w:p w14:paraId="70D9DF75">
      <w:pPr>
        <w:pStyle w:val="6"/>
        <w:numPr>
          <w:ilvl w:val="-1"/>
          <w:numId w:val="0"/>
        </w:numPr>
        <w:spacing w:before="78" w:after="78"/>
        <w:rPr>
          <w:rFonts w:hint="eastAsia"/>
          <w:color w:val="auto"/>
        </w:rPr>
      </w:pPr>
      <w:r>
        <w:rPr>
          <w:rFonts w:hint="eastAsia"/>
          <w:color w:val="auto"/>
          <w:lang w:val="en-US" w:eastAsia="zh-CN"/>
        </w:rPr>
        <w:t>1.3.1</w:t>
      </w:r>
      <w:r>
        <w:rPr>
          <w:rFonts w:hint="eastAsia"/>
          <w:color w:val="auto"/>
        </w:rPr>
        <w:t>三维模型可视化与应用软件开发</w:t>
      </w:r>
    </w:p>
    <w:p w14:paraId="080DE2C3">
      <w:pPr>
        <w:pStyle w:val="6"/>
        <w:numPr>
          <w:ilvl w:val="-1"/>
          <w:numId w:val="0"/>
        </w:numPr>
        <w:spacing w:before="78" w:after="78"/>
        <w:rPr>
          <w:rFonts w:hint="eastAsia"/>
          <w:color w:val="auto"/>
        </w:rPr>
      </w:pPr>
    </w:p>
    <w:tbl>
      <w:tblPr>
        <w:tblStyle w:val="17"/>
        <w:tblW w:w="14199" w:type="dxa"/>
        <w:tblInd w:w="0" w:type="dxa"/>
        <w:tblLayout w:type="fixed"/>
        <w:tblCellMar>
          <w:top w:w="0" w:type="dxa"/>
          <w:left w:w="108" w:type="dxa"/>
          <w:bottom w:w="0" w:type="dxa"/>
          <w:right w:w="108" w:type="dxa"/>
        </w:tblCellMar>
      </w:tblPr>
      <w:tblGrid>
        <w:gridCol w:w="1403"/>
        <w:gridCol w:w="2749"/>
        <w:gridCol w:w="10047"/>
      </w:tblGrid>
      <w:tr w14:paraId="13CD1CC3">
        <w:tblPrEx>
          <w:tblCellMar>
            <w:top w:w="0" w:type="dxa"/>
            <w:left w:w="108" w:type="dxa"/>
            <w:bottom w:w="0" w:type="dxa"/>
            <w:right w:w="108" w:type="dxa"/>
          </w:tblCellMar>
        </w:tblPrEx>
        <w:trPr>
          <w:trHeight w:val="230" w:hRule="atLeast"/>
          <w:tblHeader/>
        </w:trPr>
        <w:tc>
          <w:tcPr>
            <w:tcW w:w="1403" w:type="dxa"/>
            <w:tcBorders>
              <w:top w:val="single" w:color="000000" w:sz="4" w:space="0"/>
              <w:left w:val="single" w:color="000000" w:sz="4" w:space="0"/>
              <w:bottom w:val="single" w:color="000000" w:sz="4" w:space="0"/>
              <w:right w:val="single" w:color="000000" w:sz="4" w:space="0"/>
            </w:tcBorders>
            <w:vAlign w:val="center"/>
          </w:tcPr>
          <w:p w14:paraId="3A8C1BB1">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序号</w:t>
            </w:r>
          </w:p>
        </w:tc>
        <w:tc>
          <w:tcPr>
            <w:tcW w:w="2749" w:type="dxa"/>
            <w:tcBorders>
              <w:top w:val="single" w:color="000000" w:sz="4" w:space="0"/>
              <w:left w:val="single" w:color="000000" w:sz="4" w:space="0"/>
              <w:bottom w:val="single" w:color="000000" w:sz="4" w:space="0"/>
              <w:right w:val="single" w:color="000000" w:sz="4" w:space="0"/>
            </w:tcBorders>
            <w:vAlign w:val="center"/>
          </w:tcPr>
          <w:p w14:paraId="2C0F1930">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功能/模块名称</w:t>
            </w:r>
          </w:p>
        </w:tc>
        <w:tc>
          <w:tcPr>
            <w:tcW w:w="10047" w:type="dxa"/>
            <w:tcBorders>
              <w:top w:val="single" w:color="000000" w:sz="4" w:space="0"/>
              <w:left w:val="single" w:color="000000" w:sz="4" w:space="0"/>
              <w:bottom w:val="single" w:color="000000" w:sz="4" w:space="0"/>
              <w:right w:val="single" w:color="000000" w:sz="4" w:space="0"/>
            </w:tcBorders>
            <w:vAlign w:val="center"/>
          </w:tcPr>
          <w:p w14:paraId="5A460FA4">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需求描述</w:t>
            </w:r>
          </w:p>
        </w:tc>
      </w:tr>
      <w:tr w14:paraId="4521ABA6">
        <w:tblPrEx>
          <w:tblCellMar>
            <w:top w:w="0" w:type="dxa"/>
            <w:left w:w="108" w:type="dxa"/>
            <w:bottom w:w="0" w:type="dxa"/>
            <w:right w:w="108" w:type="dxa"/>
          </w:tblCellMar>
        </w:tblPrEx>
        <w:trPr>
          <w:trHeight w:val="230" w:hRule="atLeast"/>
          <w:tblHeader/>
        </w:trPr>
        <w:tc>
          <w:tcPr>
            <w:tcW w:w="4152" w:type="dxa"/>
            <w:gridSpan w:val="2"/>
            <w:tcBorders>
              <w:top w:val="single" w:color="000000" w:sz="4" w:space="0"/>
              <w:left w:val="single" w:color="000000" w:sz="4" w:space="0"/>
              <w:bottom w:val="single" w:color="000000" w:sz="4" w:space="0"/>
              <w:right w:val="single" w:color="000000" w:sz="4" w:space="0"/>
            </w:tcBorders>
            <w:vAlign w:val="center"/>
          </w:tcPr>
          <w:p w14:paraId="455A0C52">
            <w:pPr>
              <w:widowControl/>
              <w:spacing w:line="240" w:lineRule="auto"/>
              <w:ind w:firstLine="0" w:firstLineChars="0"/>
              <w:jc w:val="center"/>
              <w:textAlignment w:val="center"/>
              <w:rPr>
                <w:rFonts w:hint="eastAsia" w:ascii="宋体" w:hAnsi="宋体" w:cs="宋体"/>
                <w:b/>
                <w:bCs/>
                <w:color w:val="auto"/>
                <w:kern w:val="0"/>
                <w:sz w:val="20"/>
                <w:szCs w:val="20"/>
                <w:lang w:bidi="ar"/>
              </w:rPr>
            </w:pPr>
            <w:r>
              <w:rPr>
                <w:rFonts w:hint="eastAsia" w:ascii="宋体" w:hAnsi="宋体" w:cs="宋体"/>
                <w:b/>
                <w:bCs/>
                <w:color w:val="auto"/>
                <w:kern w:val="0"/>
                <w:sz w:val="20"/>
                <w:szCs w:val="20"/>
                <w:lang w:bidi="ar"/>
              </w:rPr>
              <w:t>三维模型可视化与应用</w:t>
            </w:r>
          </w:p>
        </w:tc>
        <w:tc>
          <w:tcPr>
            <w:tcW w:w="10047" w:type="dxa"/>
            <w:tcBorders>
              <w:top w:val="single" w:color="000000" w:sz="4" w:space="0"/>
              <w:left w:val="single" w:color="000000" w:sz="4" w:space="0"/>
              <w:bottom w:val="single" w:color="000000" w:sz="4" w:space="0"/>
              <w:right w:val="single" w:color="000000" w:sz="4" w:space="0"/>
            </w:tcBorders>
            <w:vAlign w:val="center"/>
          </w:tcPr>
          <w:p w14:paraId="75172E38">
            <w:pPr>
              <w:widowControl/>
              <w:spacing w:line="240" w:lineRule="auto"/>
              <w:ind w:firstLine="0" w:firstLineChars="0"/>
              <w:jc w:val="center"/>
              <w:textAlignment w:val="center"/>
              <w:rPr>
                <w:rFonts w:hint="eastAsia" w:ascii="宋体" w:hAnsi="宋体" w:cs="宋体"/>
                <w:b/>
                <w:bCs/>
                <w:color w:val="auto"/>
                <w:kern w:val="0"/>
                <w:sz w:val="20"/>
                <w:szCs w:val="20"/>
                <w:lang w:bidi="ar"/>
              </w:rPr>
            </w:pPr>
          </w:p>
        </w:tc>
      </w:tr>
      <w:tr w14:paraId="543F9188">
        <w:tblPrEx>
          <w:tblCellMar>
            <w:top w:w="0" w:type="dxa"/>
            <w:left w:w="108" w:type="dxa"/>
            <w:bottom w:w="0" w:type="dxa"/>
            <w:right w:w="108" w:type="dxa"/>
          </w:tblCellMar>
        </w:tblPrEx>
        <w:trPr>
          <w:trHeight w:val="281" w:hRule="atLeast"/>
        </w:trPr>
        <w:tc>
          <w:tcPr>
            <w:tcW w:w="1403" w:type="dxa"/>
            <w:tcBorders>
              <w:top w:val="single" w:color="000000" w:sz="4" w:space="0"/>
              <w:left w:val="single" w:color="000000" w:sz="4" w:space="0"/>
              <w:bottom w:val="single" w:color="000000" w:sz="4" w:space="0"/>
              <w:right w:val="single" w:color="000000" w:sz="4" w:space="0"/>
            </w:tcBorders>
            <w:noWrap/>
            <w:vAlign w:val="center"/>
          </w:tcPr>
          <w:p w14:paraId="3AD8C52C">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（一）</w:t>
            </w:r>
          </w:p>
        </w:tc>
        <w:tc>
          <w:tcPr>
            <w:tcW w:w="2749" w:type="dxa"/>
            <w:tcBorders>
              <w:top w:val="single" w:color="000000" w:sz="4" w:space="0"/>
              <w:left w:val="single" w:color="000000" w:sz="4" w:space="0"/>
              <w:bottom w:val="single" w:color="000000" w:sz="4" w:space="0"/>
              <w:right w:val="single" w:color="000000" w:sz="4" w:space="0"/>
            </w:tcBorders>
            <w:noWrap/>
            <w:vAlign w:val="center"/>
          </w:tcPr>
          <w:p w14:paraId="29110081">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需求分析</w:t>
            </w:r>
          </w:p>
        </w:tc>
        <w:tc>
          <w:tcPr>
            <w:tcW w:w="10047" w:type="dxa"/>
            <w:tcBorders>
              <w:top w:val="single" w:color="000000" w:sz="4" w:space="0"/>
              <w:left w:val="single" w:color="000000" w:sz="4" w:space="0"/>
              <w:bottom w:val="single" w:color="000000" w:sz="4" w:space="0"/>
              <w:right w:val="single" w:color="000000" w:sz="4" w:space="0"/>
            </w:tcBorders>
            <w:vAlign w:val="center"/>
          </w:tcPr>
          <w:p w14:paraId="0C4D0E56">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对项目总体的需求范围、建设思路和建设要求进行整体的描述，分析整理项目的功能需求，技术需求、性能需求、安全需求等方面。</w:t>
            </w:r>
          </w:p>
        </w:tc>
      </w:tr>
      <w:tr w14:paraId="78179D7C">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noWrap/>
            <w:vAlign w:val="center"/>
          </w:tcPr>
          <w:p w14:paraId="25BEEDA4">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（二）</w:t>
            </w:r>
          </w:p>
        </w:tc>
        <w:tc>
          <w:tcPr>
            <w:tcW w:w="2749" w:type="dxa"/>
            <w:tcBorders>
              <w:top w:val="single" w:color="000000" w:sz="4" w:space="0"/>
              <w:left w:val="single" w:color="000000" w:sz="4" w:space="0"/>
              <w:bottom w:val="single" w:color="000000" w:sz="4" w:space="0"/>
              <w:right w:val="single" w:color="000000" w:sz="4" w:space="0"/>
            </w:tcBorders>
            <w:noWrap/>
            <w:vAlign w:val="center"/>
          </w:tcPr>
          <w:p w14:paraId="28AF8140">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系统设计</w:t>
            </w:r>
          </w:p>
        </w:tc>
        <w:tc>
          <w:tcPr>
            <w:tcW w:w="10047" w:type="dxa"/>
            <w:tcBorders>
              <w:top w:val="single" w:color="000000" w:sz="4" w:space="0"/>
              <w:left w:val="single" w:color="000000" w:sz="4" w:space="0"/>
              <w:bottom w:val="single" w:color="000000" w:sz="4" w:space="0"/>
              <w:right w:val="single" w:color="000000" w:sz="4" w:space="0"/>
            </w:tcBorders>
            <w:vAlign w:val="center"/>
          </w:tcPr>
          <w:p w14:paraId="6FFE3177">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根据需求分析，对功能模块详细设计、数据库详细设计</w:t>
            </w:r>
          </w:p>
        </w:tc>
      </w:tr>
      <w:tr w14:paraId="62C3C8C9">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3D01A5A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I</w:t>
            </w:r>
          </w:p>
        </w:tc>
        <w:tc>
          <w:tcPr>
            <w:tcW w:w="2749" w:type="dxa"/>
            <w:tcBorders>
              <w:top w:val="single" w:color="000000" w:sz="4" w:space="0"/>
              <w:left w:val="single" w:color="000000" w:sz="4" w:space="0"/>
              <w:bottom w:val="single" w:color="000000" w:sz="4" w:space="0"/>
              <w:right w:val="single" w:color="000000" w:sz="4" w:space="0"/>
            </w:tcBorders>
            <w:vAlign w:val="center"/>
          </w:tcPr>
          <w:p w14:paraId="033D6246">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三维模型可视化与应用(一)</w:t>
            </w:r>
          </w:p>
        </w:tc>
        <w:tc>
          <w:tcPr>
            <w:tcW w:w="10047" w:type="dxa"/>
            <w:tcBorders>
              <w:top w:val="single" w:color="000000" w:sz="4" w:space="0"/>
              <w:left w:val="single" w:color="000000" w:sz="4" w:space="0"/>
              <w:bottom w:val="single" w:color="000000" w:sz="4" w:space="0"/>
              <w:right w:val="single" w:color="000000" w:sz="4" w:space="0"/>
            </w:tcBorders>
            <w:vAlign w:val="center"/>
          </w:tcPr>
          <w:p w14:paraId="64EFC00A">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按照三维模型可视化与应用设计完成各个模块的制作、代码编写、加载、测试和优化工作。</w:t>
            </w:r>
          </w:p>
        </w:tc>
      </w:tr>
      <w:tr w14:paraId="67C33ACD">
        <w:tblPrEx>
          <w:tblCellMar>
            <w:top w:w="0" w:type="dxa"/>
            <w:left w:w="108" w:type="dxa"/>
            <w:bottom w:w="0" w:type="dxa"/>
            <w:right w:w="108" w:type="dxa"/>
          </w:tblCellMar>
        </w:tblPrEx>
        <w:trPr>
          <w:trHeight w:val="557"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0BFAB4DE">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1</w:t>
            </w:r>
          </w:p>
        </w:tc>
        <w:tc>
          <w:tcPr>
            <w:tcW w:w="2749" w:type="dxa"/>
            <w:tcBorders>
              <w:top w:val="single" w:color="000000" w:sz="4" w:space="0"/>
              <w:left w:val="single" w:color="000000" w:sz="4" w:space="0"/>
              <w:bottom w:val="single" w:color="000000" w:sz="4" w:space="0"/>
              <w:right w:val="single" w:color="000000" w:sz="4" w:space="0"/>
            </w:tcBorders>
            <w:vAlign w:val="center"/>
          </w:tcPr>
          <w:p w14:paraId="2BF96711">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三维平台下的无人机实景三维模型解译与优化</w:t>
            </w:r>
          </w:p>
        </w:tc>
        <w:tc>
          <w:tcPr>
            <w:tcW w:w="10047" w:type="dxa"/>
            <w:tcBorders>
              <w:top w:val="single" w:color="000000" w:sz="4" w:space="0"/>
              <w:left w:val="single" w:color="000000" w:sz="4" w:space="0"/>
              <w:bottom w:val="single" w:color="000000" w:sz="4" w:space="0"/>
              <w:right w:val="single" w:color="000000" w:sz="4" w:space="0"/>
            </w:tcBorders>
            <w:vAlign w:val="center"/>
          </w:tcPr>
          <w:p w14:paraId="19F3B66B">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雅长保护区已通过无人机采集数据的方式建立了22062公顷的实景三维模型。将该模型置于三维数据平台，进行真实度的调优，包括保护区特征提取、表面重建，解译地形地貌与自然遗迹自然景观、植被等信息，进行精准表达，实现以影像数据格式构建的保护区的三维模型，避免模型漂浮和分层，为后续的保护区保护管理和应用提供基础数据。</w:t>
            </w:r>
          </w:p>
        </w:tc>
      </w:tr>
      <w:tr w14:paraId="6D40A3D8">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47B3C30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w:t>
            </w:r>
          </w:p>
        </w:tc>
        <w:tc>
          <w:tcPr>
            <w:tcW w:w="2749" w:type="dxa"/>
            <w:tcBorders>
              <w:top w:val="single" w:color="000000" w:sz="4" w:space="0"/>
              <w:left w:val="single" w:color="000000" w:sz="4" w:space="0"/>
              <w:bottom w:val="single" w:color="000000" w:sz="4" w:space="0"/>
              <w:right w:val="single" w:color="000000" w:sz="4" w:space="0"/>
            </w:tcBorders>
            <w:vAlign w:val="center"/>
          </w:tcPr>
          <w:p w14:paraId="564DEDB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三维模型设计</w:t>
            </w:r>
          </w:p>
        </w:tc>
        <w:tc>
          <w:tcPr>
            <w:tcW w:w="10047" w:type="dxa"/>
            <w:tcBorders>
              <w:top w:val="single" w:color="000000" w:sz="4" w:space="0"/>
              <w:left w:val="single" w:color="000000" w:sz="4" w:space="0"/>
              <w:bottom w:val="single" w:color="000000" w:sz="4" w:space="0"/>
              <w:right w:val="single" w:color="000000" w:sz="4" w:space="0"/>
            </w:tcBorders>
            <w:vAlign w:val="center"/>
          </w:tcPr>
          <w:p w14:paraId="06A536DD">
            <w:pPr>
              <w:spacing w:line="240" w:lineRule="auto"/>
              <w:ind w:firstLine="0" w:firstLineChars="0"/>
              <w:rPr>
                <w:rFonts w:hint="eastAsia" w:ascii="宋体" w:hAnsi="宋体" w:cs="宋体"/>
                <w:color w:val="auto"/>
                <w:sz w:val="20"/>
                <w:szCs w:val="20"/>
              </w:rPr>
            </w:pPr>
          </w:p>
        </w:tc>
      </w:tr>
      <w:tr w14:paraId="76867B34">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63DA8AA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1.1.1</w:t>
            </w:r>
          </w:p>
        </w:tc>
        <w:tc>
          <w:tcPr>
            <w:tcW w:w="2749" w:type="dxa"/>
            <w:tcBorders>
              <w:top w:val="single" w:color="000000" w:sz="4" w:space="0"/>
              <w:left w:val="single" w:color="000000" w:sz="4" w:space="0"/>
              <w:bottom w:val="single" w:color="000000" w:sz="4" w:space="0"/>
              <w:right w:val="single" w:color="000000" w:sz="4" w:space="0"/>
            </w:tcBorders>
            <w:vAlign w:val="center"/>
          </w:tcPr>
          <w:p w14:paraId="52062C2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三维模型设计</w:t>
            </w:r>
          </w:p>
        </w:tc>
        <w:tc>
          <w:tcPr>
            <w:tcW w:w="10047" w:type="dxa"/>
            <w:tcBorders>
              <w:top w:val="single" w:color="000000" w:sz="4" w:space="0"/>
              <w:left w:val="single" w:color="000000" w:sz="4" w:space="0"/>
              <w:bottom w:val="single" w:color="000000" w:sz="4" w:space="0"/>
              <w:right w:val="single" w:color="000000" w:sz="4" w:space="0"/>
            </w:tcBorders>
            <w:vAlign w:val="center"/>
          </w:tcPr>
          <w:p w14:paraId="51D93EF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LOD分级</w:t>
            </w:r>
          </w:p>
        </w:tc>
      </w:tr>
      <w:tr w14:paraId="6D879ECF">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20316FF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1.1.2</w:t>
            </w:r>
          </w:p>
        </w:tc>
        <w:tc>
          <w:tcPr>
            <w:tcW w:w="2749" w:type="dxa"/>
            <w:tcBorders>
              <w:top w:val="single" w:color="000000" w:sz="4" w:space="0"/>
              <w:left w:val="single" w:color="000000" w:sz="4" w:space="0"/>
              <w:bottom w:val="single" w:color="000000" w:sz="4" w:space="0"/>
              <w:right w:val="single" w:color="000000" w:sz="4" w:space="0"/>
            </w:tcBorders>
            <w:vAlign w:val="center"/>
          </w:tcPr>
          <w:p w14:paraId="23A1ADD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三维模型设计</w:t>
            </w:r>
          </w:p>
        </w:tc>
        <w:tc>
          <w:tcPr>
            <w:tcW w:w="10047" w:type="dxa"/>
            <w:tcBorders>
              <w:top w:val="single" w:color="000000" w:sz="4" w:space="0"/>
              <w:left w:val="single" w:color="000000" w:sz="4" w:space="0"/>
              <w:bottom w:val="single" w:color="000000" w:sz="4" w:space="0"/>
              <w:right w:val="single" w:color="000000" w:sz="4" w:space="0"/>
            </w:tcBorders>
            <w:vAlign w:val="center"/>
          </w:tcPr>
          <w:p w14:paraId="0C974A7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规划三维模型更新内容</w:t>
            </w:r>
          </w:p>
        </w:tc>
      </w:tr>
      <w:tr w14:paraId="4F807F31">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06E45E3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1.1.3</w:t>
            </w:r>
          </w:p>
        </w:tc>
        <w:tc>
          <w:tcPr>
            <w:tcW w:w="2749" w:type="dxa"/>
            <w:tcBorders>
              <w:top w:val="single" w:color="000000" w:sz="4" w:space="0"/>
              <w:left w:val="single" w:color="000000" w:sz="4" w:space="0"/>
              <w:bottom w:val="single" w:color="000000" w:sz="4" w:space="0"/>
              <w:right w:val="single" w:color="000000" w:sz="4" w:space="0"/>
            </w:tcBorders>
            <w:vAlign w:val="center"/>
          </w:tcPr>
          <w:p w14:paraId="01FF36E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三维模型设计</w:t>
            </w:r>
          </w:p>
        </w:tc>
        <w:tc>
          <w:tcPr>
            <w:tcW w:w="10047" w:type="dxa"/>
            <w:tcBorders>
              <w:top w:val="single" w:color="000000" w:sz="4" w:space="0"/>
              <w:left w:val="single" w:color="000000" w:sz="4" w:space="0"/>
              <w:bottom w:val="single" w:color="000000" w:sz="4" w:space="0"/>
              <w:right w:val="single" w:color="000000" w:sz="4" w:space="0"/>
            </w:tcBorders>
            <w:vAlign w:val="center"/>
          </w:tcPr>
          <w:p w14:paraId="36EAFED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虚拟生态环境</w:t>
            </w:r>
          </w:p>
        </w:tc>
      </w:tr>
      <w:tr w14:paraId="13D5DCE7">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0F9C53BE">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1.1.4</w:t>
            </w:r>
          </w:p>
        </w:tc>
        <w:tc>
          <w:tcPr>
            <w:tcW w:w="2749" w:type="dxa"/>
            <w:tcBorders>
              <w:top w:val="single" w:color="000000" w:sz="4" w:space="0"/>
              <w:left w:val="single" w:color="000000" w:sz="4" w:space="0"/>
              <w:bottom w:val="single" w:color="000000" w:sz="4" w:space="0"/>
              <w:right w:val="single" w:color="000000" w:sz="4" w:space="0"/>
            </w:tcBorders>
            <w:vAlign w:val="center"/>
          </w:tcPr>
          <w:p w14:paraId="7B456AC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三维模型设计</w:t>
            </w:r>
          </w:p>
        </w:tc>
        <w:tc>
          <w:tcPr>
            <w:tcW w:w="10047" w:type="dxa"/>
            <w:tcBorders>
              <w:top w:val="single" w:color="000000" w:sz="4" w:space="0"/>
              <w:left w:val="single" w:color="000000" w:sz="4" w:space="0"/>
              <w:bottom w:val="single" w:color="000000" w:sz="4" w:space="0"/>
              <w:right w:val="single" w:color="000000" w:sz="4" w:space="0"/>
            </w:tcBorders>
            <w:vAlign w:val="center"/>
          </w:tcPr>
          <w:p w14:paraId="311F1EF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确定模型更新对交互功能的影响</w:t>
            </w:r>
          </w:p>
        </w:tc>
      </w:tr>
      <w:tr w14:paraId="27498471">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0E883335">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1.1.5</w:t>
            </w:r>
          </w:p>
        </w:tc>
        <w:tc>
          <w:tcPr>
            <w:tcW w:w="2749" w:type="dxa"/>
            <w:tcBorders>
              <w:top w:val="single" w:color="000000" w:sz="4" w:space="0"/>
              <w:left w:val="single" w:color="000000" w:sz="4" w:space="0"/>
              <w:bottom w:val="single" w:color="000000" w:sz="4" w:space="0"/>
              <w:right w:val="single" w:color="000000" w:sz="4" w:space="0"/>
            </w:tcBorders>
            <w:vAlign w:val="center"/>
          </w:tcPr>
          <w:p w14:paraId="1A212EF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三维模型设计</w:t>
            </w:r>
          </w:p>
        </w:tc>
        <w:tc>
          <w:tcPr>
            <w:tcW w:w="10047" w:type="dxa"/>
            <w:tcBorders>
              <w:top w:val="single" w:color="000000" w:sz="4" w:space="0"/>
              <w:left w:val="single" w:color="000000" w:sz="4" w:space="0"/>
              <w:bottom w:val="single" w:color="000000" w:sz="4" w:space="0"/>
              <w:right w:val="single" w:color="000000" w:sz="4" w:space="0"/>
            </w:tcBorders>
            <w:vAlign w:val="center"/>
          </w:tcPr>
          <w:p w14:paraId="0613110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模型用户交互</w:t>
            </w:r>
          </w:p>
        </w:tc>
      </w:tr>
      <w:tr w14:paraId="5ADC288F">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4A6AA656">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1.1.6</w:t>
            </w:r>
          </w:p>
        </w:tc>
        <w:tc>
          <w:tcPr>
            <w:tcW w:w="2749" w:type="dxa"/>
            <w:tcBorders>
              <w:top w:val="single" w:color="000000" w:sz="4" w:space="0"/>
              <w:left w:val="single" w:color="000000" w:sz="4" w:space="0"/>
              <w:bottom w:val="single" w:color="000000" w:sz="4" w:space="0"/>
              <w:right w:val="single" w:color="000000" w:sz="4" w:space="0"/>
            </w:tcBorders>
            <w:vAlign w:val="center"/>
          </w:tcPr>
          <w:p w14:paraId="787C0F6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三维模型设计</w:t>
            </w:r>
          </w:p>
        </w:tc>
        <w:tc>
          <w:tcPr>
            <w:tcW w:w="10047" w:type="dxa"/>
            <w:tcBorders>
              <w:top w:val="single" w:color="000000" w:sz="4" w:space="0"/>
              <w:left w:val="single" w:color="000000" w:sz="4" w:space="0"/>
              <w:bottom w:val="single" w:color="000000" w:sz="4" w:space="0"/>
              <w:right w:val="single" w:color="000000" w:sz="4" w:space="0"/>
            </w:tcBorders>
            <w:vAlign w:val="center"/>
          </w:tcPr>
          <w:p w14:paraId="4A68AEC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模型动画设计</w:t>
            </w:r>
          </w:p>
        </w:tc>
      </w:tr>
      <w:tr w14:paraId="6C023E96">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4B0CD51C">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w:t>
            </w:r>
          </w:p>
        </w:tc>
        <w:tc>
          <w:tcPr>
            <w:tcW w:w="2749" w:type="dxa"/>
            <w:tcBorders>
              <w:top w:val="single" w:color="000000" w:sz="4" w:space="0"/>
              <w:left w:val="single" w:color="000000" w:sz="4" w:space="0"/>
              <w:bottom w:val="single" w:color="000000" w:sz="4" w:space="0"/>
              <w:right w:val="single" w:color="000000" w:sz="4" w:space="0"/>
            </w:tcBorders>
            <w:vAlign w:val="center"/>
          </w:tcPr>
          <w:p w14:paraId="465860D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数据准备和预处理</w:t>
            </w:r>
          </w:p>
        </w:tc>
        <w:tc>
          <w:tcPr>
            <w:tcW w:w="10047" w:type="dxa"/>
            <w:tcBorders>
              <w:top w:val="single" w:color="000000" w:sz="4" w:space="0"/>
              <w:left w:val="single" w:color="000000" w:sz="4" w:space="0"/>
              <w:bottom w:val="single" w:color="000000" w:sz="4" w:space="0"/>
              <w:right w:val="single" w:color="000000" w:sz="4" w:space="0"/>
            </w:tcBorders>
            <w:vAlign w:val="center"/>
          </w:tcPr>
          <w:p w14:paraId="478932B6">
            <w:pPr>
              <w:spacing w:line="240" w:lineRule="auto"/>
              <w:ind w:firstLine="0" w:firstLineChars="0"/>
              <w:rPr>
                <w:rFonts w:hint="eastAsia" w:ascii="宋体" w:hAnsi="宋体" w:cs="宋体"/>
                <w:color w:val="auto"/>
                <w:sz w:val="20"/>
                <w:szCs w:val="20"/>
              </w:rPr>
            </w:pPr>
          </w:p>
        </w:tc>
      </w:tr>
      <w:tr w14:paraId="632105CF">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2D27FEAC">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1.2.1</w:t>
            </w:r>
          </w:p>
        </w:tc>
        <w:tc>
          <w:tcPr>
            <w:tcW w:w="2749" w:type="dxa"/>
            <w:tcBorders>
              <w:top w:val="single" w:color="000000" w:sz="4" w:space="0"/>
              <w:left w:val="single" w:color="000000" w:sz="4" w:space="0"/>
              <w:bottom w:val="single" w:color="000000" w:sz="4" w:space="0"/>
              <w:right w:val="single" w:color="000000" w:sz="4" w:space="0"/>
            </w:tcBorders>
            <w:vAlign w:val="center"/>
          </w:tcPr>
          <w:p w14:paraId="7261E1D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数据准备和预处理</w:t>
            </w:r>
          </w:p>
        </w:tc>
        <w:tc>
          <w:tcPr>
            <w:tcW w:w="10047" w:type="dxa"/>
            <w:tcBorders>
              <w:top w:val="single" w:color="000000" w:sz="4" w:space="0"/>
              <w:left w:val="single" w:color="000000" w:sz="4" w:space="0"/>
              <w:bottom w:val="single" w:color="000000" w:sz="4" w:space="0"/>
              <w:right w:val="single" w:color="000000" w:sz="4" w:space="0"/>
            </w:tcBorders>
            <w:vAlign w:val="center"/>
          </w:tcPr>
          <w:p w14:paraId="30215796">
            <w:pPr>
              <w:spacing w:line="240" w:lineRule="auto"/>
              <w:ind w:firstLine="0" w:firstLineChars="0"/>
              <w:rPr>
                <w:rFonts w:hint="eastAsia" w:ascii="宋体" w:hAnsi="宋体" w:cs="宋体"/>
                <w:color w:val="auto"/>
                <w:sz w:val="20"/>
                <w:szCs w:val="20"/>
              </w:rPr>
            </w:pPr>
          </w:p>
        </w:tc>
      </w:tr>
      <w:tr w14:paraId="4152645E">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04E8B164">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1.2.2</w:t>
            </w:r>
          </w:p>
        </w:tc>
        <w:tc>
          <w:tcPr>
            <w:tcW w:w="2749" w:type="dxa"/>
            <w:tcBorders>
              <w:top w:val="single" w:color="000000" w:sz="4" w:space="0"/>
              <w:left w:val="single" w:color="000000" w:sz="4" w:space="0"/>
              <w:bottom w:val="single" w:color="000000" w:sz="4" w:space="0"/>
              <w:right w:val="single" w:color="000000" w:sz="4" w:space="0"/>
            </w:tcBorders>
            <w:vAlign w:val="center"/>
          </w:tcPr>
          <w:p w14:paraId="6DE9FEF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数据准备和预处理</w:t>
            </w:r>
          </w:p>
        </w:tc>
        <w:tc>
          <w:tcPr>
            <w:tcW w:w="10047" w:type="dxa"/>
            <w:tcBorders>
              <w:top w:val="single" w:color="000000" w:sz="4" w:space="0"/>
              <w:left w:val="single" w:color="000000" w:sz="4" w:space="0"/>
              <w:bottom w:val="single" w:color="000000" w:sz="4" w:space="0"/>
              <w:right w:val="single" w:color="000000" w:sz="4" w:space="0"/>
            </w:tcBorders>
            <w:vAlign w:val="center"/>
          </w:tcPr>
          <w:p w14:paraId="44E798C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数据访问权限设置与管理</w:t>
            </w:r>
          </w:p>
        </w:tc>
      </w:tr>
      <w:tr w14:paraId="33F918CA">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10E1419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1.2.3</w:t>
            </w:r>
          </w:p>
        </w:tc>
        <w:tc>
          <w:tcPr>
            <w:tcW w:w="2749" w:type="dxa"/>
            <w:tcBorders>
              <w:top w:val="single" w:color="000000" w:sz="4" w:space="0"/>
              <w:left w:val="single" w:color="000000" w:sz="4" w:space="0"/>
              <w:bottom w:val="single" w:color="000000" w:sz="4" w:space="0"/>
              <w:right w:val="single" w:color="000000" w:sz="4" w:space="0"/>
            </w:tcBorders>
            <w:vAlign w:val="center"/>
          </w:tcPr>
          <w:p w14:paraId="2C9E16B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数据准备和预处理</w:t>
            </w:r>
          </w:p>
        </w:tc>
        <w:tc>
          <w:tcPr>
            <w:tcW w:w="10047" w:type="dxa"/>
            <w:tcBorders>
              <w:top w:val="single" w:color="000000" w:sz="4" w:space="0"/>
              <w:left w:val="single" w:color="000000" w:sz="4" w:space="0"/>
              <w:bottom w:val="single" w:color="000000" w:sz="4" w:space="0"/>
              <w:right w:val="single" w:color="000000" w:sz="4" w:space="0"/>
            </w:tcBorders>
            <w:vAlign w:val="center"/>
          </w:tcPr>
          <w:p w14:paraId="47DA7B0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数据安全漏洞扫描与修复</w:t>
            </w:r>
          </w:p>
        </w:tc>
      </w:tr>
      <w:tr w14:paraId="0687952E">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7638D066">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1.2.4</w:t>
            </w:r>
          </w:p>
        </w:tc>
        <w:tc>
          <w:tcPr>
            <w:tcW w:w="2749" w:type="dxa"/>
            <w:tcBorders>
              <w:top w:val="single" w:color="000000" w:sz="4" w:space="0"/>
              <w:left w:val="single" w:color="000000" w:sz="4" w:space="0"/>
              <w:bottom w:val="single" w:color="000000" w:sz="4" w:space="0"/>
              <w:right w:val="single" w:color="000000" w:sz="4" w:space="0"/>
            </w:tcBorders>
            <w:vAlign w:val="center"/>
          </w:tcPr>
          <w:p w14:paraId="7C9FE32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数据准备和预处理</w:t>
            </w:r>
          </w:p>
        </w:tc>
        <w:tc>
          <w:tcPr>
            <w:tcW w:w="10047" w:type="dxa"/>
            <w:tcBorders>
              <w:top w:val="single" w:color="000000" w:sz="4" w:space="0"/>
              <w:left w:val="single" w:color="000000" w:sz="4" w:space="0"/>
              <w:bottom w:val="single" w:color="000000" w:sz="4" w:space="0"/>
              <w:right w:val="single" w:color="000000" w:sz="4" w:space="0"/>
            </w:tcBorders>
            <w:vAlign w:val="center"/>
          </w:tcPr>
          <w:p w14:paraId="1CD9F9A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根据新的数据安全法规更新融合数据安全策略</w:t>
            </w:r>
          </w:p>
        </w:tc>
      </w:tr>
      <w:tr w14:paraId="256DD51B">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1A72C002">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1.2.5</w:t>
            </w:r>
          </w:p>
        </w:tc>
        <w:tc>
          <w:tcPr>
            <w:tcW w:w="2749" w:type="dxa"/>
            <w:tcBorders>
              <w:top w:val="single" w:color="000000" w:sz="4" w:space="0"/>
              <w:left w:val="single" w:color="000000" w:sz="4" w:space="0"/>
              <w:bottom w:val="single" w:color="000000" w:sz="4" w:space="0"/>
              <w:right w:val="single" w:color="000000" w:sz="4" w:space="0"/>
            </w:tcBorders>
            <w:vAlign w:val="center"/>
          </w:tcPr>
          <w:p w14:paraId="3F3CCC5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数据准备和预处理</w:t>
            </w:r>
          </w:p>
        </w:tc>
        <w:tc>
          <w:tcPr>
            <w:tcW w:w="10047" w:type="dxa"/>
            <w:tcBorders>
              <w:top w:val="single" w:color="000000" w:sz="4" w:space="0"/>
              <w:left w:val="single" w:color="000000" w:sz="4" w:space="0"/>
              <w:bottom w:val="single" w:color="000000" w:sz="4" w:space="0"/>
              <w:right w:val="single" w:color="000000" w:sz="4" w:space="0"/>
            </w:tcBorders>
            <w:vAlign w:val="center"/>
          </w:tcPr>
          <w:p w14:paraId="1A78079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评估新安全策略对项目的影响并进行调整</w:t>
            </w:r>
          </w:p>
        </w:tc>
      </w:tr>
      <w:tr w14:paraId="1D43DA17">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01954095">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1.2.6</w:t>
            </w:r>
          </w:p>
        </w:tc>
        <w:tc>
          <w:tcPr>
            <w:tcW w:w="2749" w:type="dxa"/>
            <w:tcBorders>
              <w:top w:val="single" w:color="000000" w:sz="4" w:space="0"/>
              <w:left w:val="single" w:color="000000" w:sz="4" w:space="0"/>
              <w:bottom w:val="single" w:color="000000" w:sz="4" w:space="0"/>
              <w:right w:val="single" w:color="000000" w:sz="4" w:space="0"/>
            </w:tcBorders>
            <w:vAlign w:val="center"/>
          </w:tcPr>
          <w:p w14:paraId="55DB4A7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数据准备和预处理</w:t>
            </w:r>
          </w:p>
        </w:tc>
        <w:tc>
          <w:tcPr>
            <w:tcW w:w="10047" w:type="dxa"/>
            <w:tcBorders>
              <w:top w:val="single" w:color="000000" w:sz="4" w:space="0"/>
              <w:left w:val="single" w:color="000000" w:sz="4" w:space="0"/>
              <w:bottom w:val="single" w:color="000000" w:sz="4" w:space="0"/>
              <w:right w:val="single" w:color="000000" w:sz="4" w:space="0"/>
            </w:tcBorders>
            <w:vAlign w:val="center"/>
          </w:tcPr>
          <w:p w14:paraId="58C4121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培训团队成员理解和执行新的安全策略</w:t>
            </w:r>
          </w:p>
        </w:tc>
      </w:tr>
      <w:tr w14:paraId="1F64229D">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4F126039">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1.2.7</w:t>
            </w:r>
          </w:p>
        </w:tc>
        <w:tc>
          <w:tcPr>
            <w:tcW w:w="2749" w:type="dxa"/>
            <w:tcBorders>
              <w:top w:val="single" w:color="000000" w:sz="4" w:space="0"/>
              <w:left w:val="single" w:color="000000" w:sz="4" w:space="0"/>
              <w:bottom w:val="single" w:color="000000" w:sz="4" w:space="0"/>
              <w:right w:val="single" w:color="000000" w:sz="4" w:space="0"/>
            </w:tcBorders>
            <w:vAlign w:val="center"/>
          </w:tcPr>
          <w:p w14:paraId="0F02499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数据准备和预处理</w:t>
            </w:r>
          </w:p>
        </w:tc>
        <w:tc>
          <w:tcPr>
            <w:tcW w:w="10047" w:type="dxa"/>
            <w:tcBorders>
              <w:top w:val="single" w:color="000000" w:sz="4" w:space="0"/>
              <w:left w:val="single" w:color="000000" w:sz="4" w:space="0"/>
              <w:bottom w:val="single" w:color="000000" w:sz="4" w:space="0"/>
              <w:right w:val="single" w:color="000000" w:sz="4" w:space="0"/>
            </w:tcBorders>
            <w:vAlign w:val="center"/>
          </w:tcPr>
          <w:p w14:paraId="65CD17D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定期进行融合数据安全审计工作</w:t>
            </w:r>
          </w:p>
        </w:tc>
      </w:tr>
      <w:tr w14:paraId="0645E57B">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5F90A5D1">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1.2.8</w:t>
            </w:r>
          </w:p>
        </w:tc>
        <w:tc>
          <w:tcPr>
            <w:tcW w:w="2749" w:type="dxa"/>
            <w:tcBorders>
              <w:top w:val="single" w:color="000000" w:sz="4" w:space="0"/>
              <w:left w:val="single" w:color="000000" w:sz="4" w:space="0"/>
              <w:bottom w:val="single" w:color="000000" w:sz="4" w:space="0"/>
              <w:right w:val="single" w:color="000000" w:sz="4" w:space="0"/>
            </w:tcBorders>
            <w:vAlign w:val="center"/>
          </w:tcPr>
          <w:p w14:paraId="4B36396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数据准备和预处理</w:t>
            </w:r>
          </w:p>
        </w:tc>
        <w:tc>
          <w:tcPr>
            <w:tcW w:w="10047" w:type="dxa"/>
            <w:tcBorders>
              <w:top w:val="single" w:color="000000" w:sz="4" w:space="0"/>
              <w:left w:val="single" w:color="000000" w:sz="4" w:space="0"/>
              <w:bottom w:val="single" w:color="000000" w:sz="4" w:space="0"/>
              <w:right w:val="single" w:color="000000" w:sz="4" w:space="0"/>
            </w:tcBorders>
            <w:vAlign w:val="center"/>
          </w:tcPr>
          <w:p w14:paraId="7A446B7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分析安全审计结果并提出改进措施</w:t>
            </w:r>
          </w:p>
        </w:tc>
      </w:tr>
      <w:tr w14:paraId="5FF9CA28">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4281655E">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1.2.9</w:t>
            </w:r>
          </w:p>
        </w:tc>
        <w:tc>
          <w:tcPr>
            <w:tcW w:w="2749" w:type="dxa"/>
            <w:tcBorders>
              <w:top w:val="single" w:color="000000" w:sz="4" w:space="0"/>
              <w:left w:val="single" w:color="000000" w:sz="4" w:space="0"/>
              <w:bottom w:val="single" w:color="000000" w:sz="4" w:space="0"/>
              <w:right w:val="single" w:color="000000" w:sz="4" w:space="0"/>
            </w:tcBorders>
            <w:vAlign w:val="center"/>
          </w:tcPr>
          <w:p w14:paraId="791A9E2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数据准备和预处理</w:t>
            </w:r>
          </w:p>
        </w:tc>
        <w:tc>
          <w:tcPr>
            <w:tcW w:w="10047" w:type="dxa"/>
            <w:tcBorders>
              <w:top w:val="single" w:color="000000" w:sz="4" w:space="0"/>
              <w:left w:val="single" w:color="000000" w:sz="4" w:space="0"/>
              <w:bottom w:val="single" w:color="000000" w:sz="4" w:space="0"/>
              <w:right w:val="single" w:color="000000" w:sz="4" w:space="0"/>
            </w:tcBorders>
            <w:vAlign w:val="center"/>
          </w:tcPr>
          <w:p w14:paraId="0D31A08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完善数据安全审计的标准和规范</w:t>
            </w:r>
          </w:p>
        </w:tc>
      </w:tr>
      <w:tr w14:paraId="75E106CD">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0CCD3F1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1.2.10</w:t>
            </w:r>
          </w:p>
        </w:tc>
        <w:tc>
          <w:tcPr>
            <w:tcW w:w="2749" w:type="dxa"/>
            <w:tcBorders>
              <w:top w:val="single" w:color="000000" w:sz="4" w:space="0"/>
              <w:left w:val="single" w:color="000000" w:sz="4" w:space="0"/>
              <w:bottom w:val="single" w:color="000000" w:sz="4" w:space="0"/>
              <w:right w:val="single" w:color="000000" w:sz="4" w:space="0"/>
            </w:tcBorders>
            <w:vAlign w:val="center"/>
          </w:tcPr>
          <w:p w14:paraId="38FA380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数据准备和预处理</w:t>
            </w:r>
          </w:p>
        </w:tc>
        <w:tc>
          <w:tcPr>
            <w:tcW w:w="10047" w:type="dxa"/>
            <w:tcBorders>
              <w:top w:val="single" w:color="000000" w:sz="4" w:space="0"/>
              <w:left w:val="single" w:color="000000" w:sz="4" w:space="0"/>
              <w:bottom w:val="single" w:color="000000" w:sz="4" w:space="0"/>
              <w:right w:val="single" w:color="000000" w:sz="4" w:space="0"/>
            </w:tcBorders>
            <w:vAlign w:val="center"/>
          </w:tcPr>
          <w:p w14:paraId="7244939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实现融合数据与外部系统接口对接</w:t>
            </w:r>
          </w:p>
        </w:tc>
      </w:tr>
      <w:tr w14:paraId="358B8313">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54CED1E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1.2.11</w:t>
            </w:r>
          </w:p>
        </w:tc>
        <w:tc>
          <w:tcPr>
            <w:tcW w:w="2749" w:type="dxa"/>
            <w:tcBorders>
              <w:top w:val="single" w:color="000000" w:sz="4" w:space="0"/>
              <w:left w:val="single" w:color="000000" w:sz="4" w:space="0"/>
              <w:bottom w:val="single" w:color="000000" w:sz="4" w:space="0"/>
              <w:right w:val="single" w:color="000000" w:sz="4" w:space="0"/>
            </w:tcBorders>
            <w:vAlign w:val="center"/>
          </w:tcPr>
          <w:p w14:paraId="1D58107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数据准备和预处理</w:t>
            </w:r>
          </w:p>
        </w:tc>
        <w:tc>
          <w:tcPr>
            <w:tcW w:w="10047" w:type="dxa"/>
            <w:tcBorders>
              <w:top w:val="single" w:color="000000" w:sz="4" w:space="0"/>
              <w:left w:val="single" w:color="000000" w:sz="4" w:space="0"/>
              <w:bottom w:val="single" w:color="000000" w:sz="4" w:space="0"/>
              <w:right w:val="single" w:color="000000" w:sz="4" w:space="0"/>
            </w:tcBorders>
            <w:vAlign w:val="center"/>
          </w:tcPr>
          <w:p w14:paraId="567D8FB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设计融合数据可视化方案</w:t>
            </w:r>
          </w:p>
        </w:tc>
      </w:tr>
      <w:tr w14:paraId="0C8F848C">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44303B0E">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1.2.12</w:t>
            </w:r>
          </w:p>
        </w:tc>
        <w:tc>
          <w:tcPr>
            <w:tcW w:w="2749" w:type="dxa"/>
            <w:tcBorders>
              <w:top w:val="single" w:color="000000" w:sz="4" w:space="0"/>
              <w:left w:val="single" w:color="000000" w:sz="4" w:space="0"/>
              <w:bottom w:val="single" w:color="000000" w:sz="4" w:space="0"/>
              <w:right w:val="single" w:color="000000" w:sz="4" w:space="0"/>
            </w:tcBorders>
            <w:vAlign w:val="center"/>
          </w:tcPr>
          <w:p w14:paraId="0956690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数据准备和预处理</w:t>
            </w:r>
          </w:p>
        </w:tc>
        <w:tc>
          <w:tcPr>
            <w:tcW w:w="10047" w:type="dxa"/>
            <w:tcBorders>
              <w:top w:val="single" w:color="000000" w:sz="4" w:space="0"/>
              <w:left w:val="single" w:color="000000" w:sz="4" w:space="0"/>
              <w:bottom w:val="single" w:color="000000" w:sz="4" w:space="0"/>
              <w:right w:val="single" w:color="000000" w:sz="4" w:space="0"/>
            </w:tcBorders>
            <w:vAlign w:val="center"/>
          </w:tcPr>
          <w:p w14:paraId="5308A67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开发融合数据可视化界面</w:t>
            </w:r>
          </w:p>
        </w:tc>
      </w:tr>
      <w:tr w14:paraId="6AD78F20">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78DC9944">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1.2.13</w:t>
            </w:r>
          </w:p>
        </w:tc>
        <w:tc>
          <w:tcPr>
            <w:tcW w:w="2749" w:type="dxa"/>
            <w:tcBorders>
              <w:top w:val="single" w:color="000000" w:sz="4" w:space="0"/>
              <w:left w:val="single" w:color="000000" w:sz="4" w:space="0"/>
              <w:bottom w:val="single" w:color="000000" w:sz="4" w:space="0"/>
              <w:right w:val="single" w:color="000000" w:sz="4" w:space="0"/>
            </w:tcBorders>
            <w:vAlign w:val="center"/>
          </w:tcPr>
          <w:p w14:paraId="41F0BE9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数据准备和预处理</w:t>
            </w:r>
          </w:p>
        </w:tc>
        <w:tc>
          <w:tcPr>
            <w:tcW w:w="10047" w:type="dxa"/>
            <w:tcBorders>
              <w:top w:val="single" w:color="000000" w:sz="4" w:space="0"/>
              <w:left w:val="single" w:color="000000" w:sz="4" w:space="0"/>
              <w:bottom w:val="single" w:color="000000" w:sz="4" w:space="0"/>
              <w:right w:val="single" w:color="000000" w:sz="4" w:space="0"/>
            </w:tcBorders>
            <w:vAlign w:val="center"/>
          </w:tcPr>
          <w:p w14:paraId="4BCB73B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优化可视化数据交互功能</w:t>
            </w:r>
          </w:p>
        </w:tc>
      </w:tr>
      <w:tr w14:paraId="6B5702CB">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6A9AB01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1.2.14</w:t>
            </w:r>
          </w:p>
        </w:tc>
        <w:tc>
          <w:tcPr>
            <w:tcW w:w="2749" w:type="dxa"/>
            <w:tcBorders>
              <w:top w:val="single" w:color="000000" w:sz="4" w:space="0"/>
              <w:left w:val="single" w:color="000000" w:sz="4" w:space="0"/>
              <w:bottom w:val="single" w:color="000000" w:sz="4" w:space="0"/>
              <w:right w:val="single" w:color="000000" w:sz="4" w:space="0"/>
            </w:tcBorders>
            <w:vAlign w:val="center"/>
          </w:tcPr>
          <w:p w14:paraId="4B61565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数据准备和预处理</w:t>
            </w:r>
          </w:p>
        </w:tc>
        <w:tc>
          <w:tcPr>
            <w:tcW w:w="10047" w:type="dxa"/>
            <w:tcBorders>
              <w:top w:val="single" w:color="000000" w:sz="4" w:space="0"/>
              <w:left w:val="single" w:color="000000" w:sz="4" w:space="0"/>
              <w:bottom w:val="single" w:color="000000" w:sz="4" w:space="0"/>
              <w:right w:val="single" w:color="000000" w:sz="4" w:space="0"/>
            </w:tcBorders>
            <w:vAlign w:val="center"/>
          </w:tcPr>
          <w:p w14:paraId="7039289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传感与生态数据关联分析</w:t>
            </w:r>
          </w:p>
        </w:tc>
      </w:tr>
      <w:tr w14:paraId="41B8C2C6">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0413171E">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w:t>
            </w:r>
          </w:p>
        </w:tc>
        <w:tc>
          <w:tcPr>
            <w:tcW w:w="2749" w:type="dxa"/>
            <w:tcBorders>
              <w:top w:val="single" w:color="000000" w:sz="4" w:space="0"/>
              <w:left w:val="single" w:color="000000" w:sz="4" w:space="0"/>
              <w:bottom w:val="single" w:color="000000" w:sz="4" w:space="0"/>
              <w:right w:val="single" w:color="000000" w:sz="4" w:space="0"/>
            </w:tcBorders>
            <w:vAlign w:val="center"/>
          </w:tcPr>
          <w:p w14:paraId="6B6A86A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数据特征工程</w:t>
            </w:r>
          </w:p>
        </w:tc>
        <w:tc>
          <w:tcPr>
            <w:tcW w:w="10047" w:type="dxa"/>
            <w:tcBorders>
              <w:top w:val="single" w:color="000000" w:sz="4" w:space="0"/>
              <w:left w:val="single" w:color="000000" w:sz="4" w:space="0"/>
              <w:bottom w:val="single" w:color="000000" w:sz="4" w:space="0"/>
              <w:right w:val="single" w:color="000000" w:sz="4" w:space="0"/>
            </w:tcBorders>
            <w:vAlign w:val="center"/>
          </w:tcPr>
          <w:p w14:paraId="70BBB92F">
            <w:pPr>
              <w:spacing w:line="240" w:lineRule="auto"/>
              <w:ind w:firstLine="0" w:firstLineChars="0"/>
              <w:rPr>
                <w:rFonts w:hint="eastAsia" w:ascii="宋体" w:hAnsi="宋体" w:cs="宋体"/>
                <w:color w:val="auto"/>
                <w:sz w:val="20"/>
                <w:szCs w:val="20"/>
              </w:rPr>
            </w:pPr>
          </w:p>
        </w:tc>
      </w:tr>
      <w:tr w14:paraId="3FF53C8C">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68150CA7">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1.3.1</w:t>
            </w:r>
          </w:p>
        </w:tc>
        <w:tc>
          <w:tcPr>
            <w:tcW w:w="2749" w:type="dxa"/>
            <w:tcBorders>
              <w:top w:val="single" w:color="000000" w:sz="4" w:space="0"/>
              <w:left w:val="single" w:color="000000" w:sz="4" w:space="0"/>
              <w:bottom w:val="single" w:color="000000" w:sz="4" w:space="0"/>
              <w:right w:val="single" w:color="000000" w:sz="4" w:space="0"/>
            </w:tcBorders>
            <w:vAlign w:val="center"/>
          </w:tcPr>
          <w:p w14:paraId="0A9363F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数据特征工程</w:t>
            </w:r>
          </w:p>
        </w:tc>
        <w:tc>
          <w:tcPr>
            <w:tcW w:w="10047" w:type="dxa"/>
            <w:tcBorders>
              <w:top w:val="single" w:color="000000" w:sz="4" w:space="0"/>
              <w:left w:val="single" w:color="000000" w:sz="4" w:space="0"/>
              <w:bottom w:val="single" w:color="000000" w:sz="4" w:space="0"/>
              <w:right w:val="single" w:color="000000" w:sz="4" w:space="0"/>
            </w:tcBorders>
            <w:vAlign w:val="center"/>
          </w:tcPr>
          <w:p w14:paraId="536FF4B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几何特征</w:t>
            </w:r>
          </w:p>
        </w:tc>
      </w:tr>
      <w:tr w14:paraId="1342FD13">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3E2091A3">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1.3.2</w:t>
            </w:r>
          </w:p>
        </w:tc>
        <w:tc>
          <w:tcPr>
            <w:tcW w:w="2749" w:type="dxa"/>
            <w:tcBorders>
              <w:top w:val="single" w:color="000000" w:sz="4" w:space="0"/>
              <w:left w:val="single" w:color="000000" w:sz="4" w:space="0"/>
              <w:bottom w:val="single" w:color="000000" w:sz="4" w:space="0"/>
              <w:right w:val="single" w:color="000000" w:sz="4" w:space="0"/>
            </w:tcBorders>
            <w:vAlign w:val="center"/>
          </w:tcPr>
          <w:p w14:paraId="027FFEB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数据特征工程</w:t>
            </w:r>
          </w:p>
        </w:tc>
        <w:tc>
          <w:tcPr>
            <w:tcW w:w="10047" w:type="dxa"/>
            <w:tcBorders>
              <w:top w:val="single" w:color="000000" w:sz="4" w:space="0"/>
              <w:left w:val="single" w:color="000000" w:sz="4" w:space="0"/>
              <w:bottom w:val="single" w:color="000000" w:sz="4" w:space="0"/>
              <w:right w:val="single" w:color="000000" w:sz="4" w:space="0"/>
            </w:tcBorders>
            <w:vAlign w:val="center"/>
          </w:tcPr>
          <w:p w14:paraId="035ABC6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部件语义特征</w:t>
            </w:r>
          </w:p>
        </w:tc>
      </w:tr>
      <w:tr w14:paraId="42A70B64">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0BF36B6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1.3.3</w:t>
            </w:r>
          </w:p>
        </w:tc>
        <w:tc>
          <w:tcPr>
            <w:tcW w:w="2749" w:type="dxa"/>
            <w:tcBorders>
              <w:top w:val="single" w:color="000000" w:sz="4" w:space="0"/>
              <w:left w:val="single" w:color="000000" w:sz="4" w:space="0"/>
              <w:bottom w:val="single" w:color="000000" w:sz="4" w:space="0"/>
              <w:right w:val="single" w:color="000000" w:sz="4" w:space="0"/>
            </w:tcBorders>
            <w:vAlign w:val="center"/>
          </w:tcPr>
          <w:p w14:paraId="146C8D1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数据特征工程</w:t>
            </w:r>
          </w:p>
        </w:tc>
        <w:tc>
          <w:tcPr>
            <w:tcW w:w="10047" w:type="dxa"/>
            <w:tcBorders>
              <w:top w:val="single" w:color="000000" w:sz="4" w:space="0"/>
              <w:left w:val="single" w:color="000000" w:sz="4" w:space="0"/>
              <w:bottom w:val="single" w:color="000000" w:sz="4" w:space="0"/>
              <w:right w:val="single" w:color="000000" w:sz="4" w:space="0"/>
            </w:tcBorders>
            <w:vAlign w:val="center"/>
          </w:tcPr>
          <w:p w14:paraId="236E4F9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动态特征</w:t>
            </w:r>
          </w:p>
        </w:tc>
      </w:tr>
      <w:tr w14:paraId="78E604B4">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1D6CE1AF">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1.3.4</w:t>
            </w:r>
          </w:p>
        </w:tc>
        <w:tc>
          <w:tcPr>
            <w:tcW w:w="2749" w:type="dxa"/>
            <w:tcBorders>
              <w:top w:val="single" w:color="000000" w:sz="4" w:space="0"/>
              <w:left w:val="single" w:color="000000" w:sz="4" w:space="0"/>
              <w:bottom w:val="single" w:color="000000" w:sz="4" w:space="0"/>
              <w:right w:val="single" w:color="000000" w:sz="4" w:space="0"/>
            </w:tcBorders>
            <w:vAlign w:val="center"/>
          </w:tcPr>
          <w:p w14:paraId="751AAEB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数据特征工程</w:t>
            </w:r>
          </w:p>
        </w:tc>
        <w:tc>
          <w:tcPr>
            <w:tcW w:w="10047" w:type="dxa"/>
            <w:tcBorders>
              <w:top w:val="single" w:color="000000" w:sz="4" w:space="0"/>
              <w:left w:val="single" w:color="000000" w:sz="4" w:space="0"/>
              <w:bottom w:val="single" w:color="000000" w:sz="4" w:space="0"/>
              <w:right w:val="single" w:color="000000" w:sz="4" w:space="0"/>
            </w:tcBorders>
            <w:vAlign w:val="center"/>
          </w:tcPr>
          <w:p w14:paraId="1BACBE6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曲率分析/拓扑优化</w:t>
            </w:r>
          </w:p>
        </w:tc>
      </w:tr>
      <w:tr w14:paraId="210D98CB">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2B4F5611">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1.3.5</w:t>
            </w:r>
          </w:p>
        </w:tc>
        <w:tc>
          <w:tcPr>
            <w:tcW w:w="2749" w:type="dxa"/>
            <w:tcBorders>
              <w:top w:val="single" w:color="000000" w:sz="4" w:space="0"/>
              <w:left w:val="single" w:color="000000" w:sz="4" w:space="0"/>
              <w:bottom w:val="single" w:color="000000" w:sz="4" w:space="0"/>
              <w:right w:val="single" w:color="000000" w:sz="4" w:space="0"/>
            </w:tcBorders>
            <w:vAlign w:val="center"/>
          </w:tcPr>
          <w:p w14:paraId="1DA59A9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数据特征工程</w:t>
            </w:r>
          </w:p>
        </w:tc>
        <w:tc>
          <w:tcPr>
            <w:tcW w:w="10047" w:type="dxa"/>
            <w:tcBorders>
              <w:top w:val="single" w:color="000000" w:sz="4" w:space="0"/>
              <w:left w:val="single" w:color="000000" w:sz="4" w:space="0"/>
              <w:bottom w:val="single" w:color="000000" w:sz="4" w:space="0"/>
              <w:right w:val="single" w:color="000000" w:sz="4" w:space="0"/>
            </w:tcBorders>
            <w:vAlign w:val="center"/>
          </w:tcPr>
          <w:p w14:paraId="7527CF6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 xml:space="preserve"> 部件智能标注</w:t>
            </w:r>
          </w:p>
        </w:tc>
      </w:tr>
      <w:tr w14:paraId="2EAA1B21">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21AB7366">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1.3.6</w:t>
            </w:r>
          </w:p>
        </w:tc>
        <w:tc>
          <w:tcPr>
            <w:tcW w:w="2749" w:type="dxa"/>
            <w:tcBorders>
              <w:top w:val="single" w:color="000000" w:sz="4" w:space="0"/>
              <w:left w:val="single" w:color="000000" w:sz="4" w:space="0"/>
              <w:bottom w:val="single" w:color="000000" w:sz="4" w:space="0"/>
              <w:right w:val="single" w:color="000000" w:sz="4" w:space="0"/>
            </w:tcBorders>
            <w:vAlign w:val="center"/>
          </w:tcPr>
          <w:p w14:paraId="4976C6C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数据特征工程</w:t>
            </w:r>
          </w:p>
        </w:tc>
        <w:tc>
          <w:tcPr>
            <w:tcW w:w="10047" w:type="dxa"/>
            <w:tcBorders>
              <w:top w:val="single" w:color="000000" w:sz="4" w:space="0"/>
              <w:left w:val="single" w:color="000000" w:sz="4" w:space="0"/>
              <w:bottom w:val="single" w:color="000000" w:sz="4" w:space="0"/>
              <w:right w:val="single" w:color="000000" w:sz="4" w:space="0"/>
            </w:tcBorders>
            <w:vAlign w:val="center"/>
          </w:tcPr>
          <w:p w14:paraId="6CB3A48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 xml:space="preserve"> 形变梯度场计算</w:t>
            </w:r>
          </w:p>
        </w:tc>
      </w:tr>
      <w:tr w14:paraId="1A38B6A2">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4EDF8027">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1.3.7</w:t>
            </w:r>
          </w:p>
        </w:tc>
        <w:tc>
          <w:tcPr>
            <w:tcW w:w="2749" w:type="dxa"/>
            <w:tcBorders>
              <w:top w:val="single" w:color="000000" w:sz="4" w:space="0"/>
              <w:left w:val="single" w:color="000000" w:sz="4" w:space="0"/>
              <w:bottom w:val="single" w:color="000000" w:sz="4" w:space="0"/>
              <w:right w:val="single" w:color="000000" w:sz="4" w:space="0"/>
            </w:tcBorders>
            <w:vAlign w:val="center"/>
          </w:tcPr>
          <w:p w14:paraId="6F4436B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数据特征工程</w:t>
            </w:r>
          </w:p>
        </w:tc>
        <w:tc>
          <w:tcPr>
            <w:tcW w:w="10047" w:type="dxa"/>
            <w:tcBorders>
              <w:top w:val="single" w:color="000000" w:sz="4" w:space="0"/>
              <w:left w:val="single" w:color="000000" w:sz="4" w:space="0"/>
              <w:bottom w:val="single" w:color="000000" w:sz="4" w:space="0"/>
              <w:right w:val="single" w:color="000000" w:sz="4" w:space="0"/>
            </w:tcBorders>
            <w:vAlign w:val="center"/>
          </w:tcPr>
          <w:p w14:paraId="26F4604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噪声过滤</w:t>
            </w:r>
          </w:p>
        </w:tc>
      </w:tr>
      <w:tr w14:paraId="411CF3D2">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0CC3351A">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1.3.8</w:t>
            </w:r>
          </w:p>
        </w:tc>
        <w:tc>
          <w:tcPr>
            <w:tcW w:w="2749" w:type="dxa"/>
            <w:tcBorders>
              <w:top w:val="single" w:color="000000" w:sz="4" w:space="0"/>
              <w:left w:val="single" w:color="000000" w:sz="4" w:space="0"/>
              <w:bottom w:val="single" w:color="000000" w:sz="4" w:space="0"/>
              <w:right w:val="single" w:color="000000" w:sz="4" w:space="0"/>
            </w:tcBorders>
            <w:vAlign w:val="center"/>
          </w:tcPr>
          <w:p w14:paraId="37D8EE8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数据特征工程</w:t>
            </w:r>
          </w:p>
        </w:tc>
        <w:tc>
          <w:tcPr>
            <w:tcW w:w="10047" w:type="dxa"/>
            <w:tcBorders>
              <w:top w:val="single" w:color="000000" w:sz="4" w:space="0"/>
              <w:left w:val="single" w:color="000000" w:sz="4" w:space="0"/>
              <w:bottom w:val="single" w:color="000000" w:sz="4" w:space="0"/>
              <w:right w:val="single" w:color="000000" w:sz="4" w:space="0"/>
            </w:tcBorders>
            <w:vAlign w:val="center"/>
          </w:tcPr>
          <w:p w14:paraId="184380D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体素化</w:t>
            </w:r>
          </w:p>
        </w:tc>
      </w:tr>
      <w:tr w14:paraId="75EA75BE">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0EC2A39F">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1.3.9</w:t>
            </w:r>
          </w:p>
        </w:tc>
        <w:tc>
          <w:tcPr>
            <w:tcW w:w="2749" w:type="dxa"/>
            <w:tcBorders>
              <w:top w:val="single" w:color="000000" w:sz="4" w:space="0"/>
              <w:left w:val="single" w:color="000000" w:sz="4" w:space="0"/>
              <w:bottom w:val="single" w:color="000000" w:sz="4" w:space="0"/>
              <w:right w:val="single" w:color="000000" w:sz="4" w:space="0"/>
            </w:tcBorders>
            <w:vAlign w:val="center"/>
          </w:tcPr>
          <w:p w14:paraId="5C0BC68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数据特征工程</w:t>
            </w:r>
          </w:p>
        </w:tc>
        <w:tc>
          <w:tcPr>
            <w:tcW w:w="10047" w:type="dxa"/>
            <w:tcBorders>
              <w:top w:val="single" w:color="000000" w:sz="4" w:space="0"/>
              <w:left w:val="single" w:color="000000" w:sz="4" w:space="0"/>
              <w:bottom w:val="single" w:color="000000" w:sz="4" w:space="0"/>
              <w:right w:val="single" w:color="000000" w:sz="4" w:space="0"/>
            </w:tcBorders>
            <w:vAlign w:val="center"/>
          </w:tcPr>
          <w:p w14:paraId="4ACD0D7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流形修复</w:t>
            </w:r>
          </w:p>
        </w:tc>
      </w:tr>
      <w:tr w14:paraId="0642D2A5">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3EB3EE3D">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1.3.10</w:t>
            </w:r>
          </w:p>
        </w:tc>
        <w:tc>
          <w:tcPr>
            <w:tcW w:w="2749" w:type="dxa"/>
            <w:tcBorders>
              <w:top w:val="single" w:color="000000" w:sz="4" w:space="0"/>
              <w:left w:val="single" w:color="000000" w:sz="4" w:space="0"/>
              <w:bottom w:val="single" w:color="000000" w:sz="4" w:space="0"/>
              <w:right w:val="single" w:color="000000" w:sz="4" w:space="0"/>
            </w:tcBorders>
            <w:vAlign w:val="center"/>
          </w:tcPr>
          <w:p w14:paraId="17C7807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数据特征工程</w:t>
            </w:r>
          </w:p>
        </w:tc>
        <w:tc>
          <w:tcPr>
            <w:tcW w:w="10047" w:type="dxa"/>
            <w:tcBorders>
              <w:top w:val="single" w:color="000000" w:sz="4" w:space="0"/>
              <w:left w:val="single" w:color="000000" w:sz="4" w:space="0"/>
              <w:bottom w:val="single" w:color="000000" w:sz="4" w:space="0"/>
              <w:right w:val="single" w:color="000000" w:sz="4" w:space="0"/>
            </w:tcBorders>
            <w:vAlign w:val="center"/>
          </w:tcPr>
          <w:p w14:paraId="5B97203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NURBS曲面连续性参数化提取</w:t>
            </w:r>
          </w:p>
        </w:tc>
      </w:tr>
      <w:tr w14:paraId="7E81F452">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4C97BADD">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1.3.11</w:t>
            </w:r>
          </w:p>
        </w:tc>
        <w:tc>
          <w:tcPr>
            <w:tcW w:w="2749" w:type="dxa"/>
            <w:tcBorders>
              <w:top w:val="single" w:color="000000" w:sz="4" w:space="0"/>
              <w:left w:val="single" w:color="000000" w:sz="4" w:space="0"/>
              <w:bottom w:val="single" w:color="000000" w:sz="4" w:space="0"/>
              <w:right w:val="single" w:color="000000" w:sz="4" w:space="0"/>
            </w:tcBorders>
            <w:vAlign w:val="center"/>
          </w:tcPr>
          <w:p w14:paraId="73E88F9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数据特征工程</w:t>
            </w:r>
          </w:p>
        </w:tc>
        <w:tc>
          <w:tcPr>
            <w:tcW w:w="10047" w:type="dxa"/>
            <w:tcBorders>
              <w:top w:val="single" w:color="000000" w:sz="4" w:space="0"/>
              <w:left w:val="single" w:color="000000" w:sz="4" w:space="0"/>
              <w:bottom w:val="single" w:color="000000" w:sz="4" w:space="0"/>
              <w:right w:val="single" w:color="000000" w:sz="4" w:space="0"/>
            </w:tcBorders>
            <w:vAlign w:val="center"/>
          </w:tcPr>
          <w:p w14:paraId="3BD995D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几何完整性检查</w:t>
            </w:r>
          </w:p>
        </w:tc>
      </w:tr>
      <w:tr w14:paraId="4AC05EE6">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5A86E9F2">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1.3.12</w:t>
            </w:r>
          </w:p>
        </w:tc>
        <w:tc>
          <w:tcPr>
            <w:tcW w:w="2749" w:type="dxa"/>
            <w:tcBorders>
              <w:top w:val="single" w:color="000000" w:sz="4" w:space="0"/>
              <w:left w:val="single" w:color="000000" w:sz="4" w:space="0"/>
              <w:bottom w:val="single" w:color="000000" w:sz="4" w:space="0"/>
              <w:right w:val="single" w:color="000000" w:sz="4" w:space="0"/>
            </w:tcBorders>
            <w:vAlign w:val="center"/>
          </w:tcPr>
          <w:p w14:paraId="04C9C20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数据特征工程</w:t>
            </w:r>
          </w:p>
        </w:tc>
        <w:tc>
          <w:tcPr>
            <w:tcW w:w="10047" w:type="dxa"/>
            <w:tcBorders>
              <w:top w:val="single" w:color="000000" w:sz="4" w:space="0"/>
              <w:left w:val="single" w:color="000000" w:sz="4" w:space="0"/>
              <w:bottom w:val="single" w:color="000000" w:sz="4" w:space="0"/>
              <w:right w:val="single" w:color="000000" w:sz="4" w:space="0"/>
            </w:tcBorders>
            <w:vAlign w:val="center"/>
          </w:tcPr>
          <w:p w14:paraId="4B24791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UV展开有效性</w:t>
            </w:r>
          </w:p>
        </w:tc>
      </w:tr>
      <w:tr w14:paraId="56F8DE4A">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51056E07">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1.3.13</w:t>
            </w:r>
          </w:p>
        </w:tc>
        <w:tc>
          <w:tcPr>
            <w:tcW w:w="2749" w:type="dxa"/>
            <w:tcBorders>
              <w:top w:val="single" w:color="000000" w:sz="4" w:space="0"/>
              <w:left w:val="single" w:color="000000" w:sz="4" w:space="0"/>
              <w:bottom w:val="single" w:color="000000" w:sz="4" w:space="0"/>
              <w:right w:val="single" w:color="000000" w:sz="4" w:space="0"/>
            </w:tcBorders>
            <w:vAlign w:val="center"/>
          </w:tcPr>
          <w:p w14:paraId="585ADF8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数据特征工程</w:t>
            </w:r>
          </w:p>
        </w:tc>
        <w:tc>
          <w:tcPr>
            <w:tcW w:w="10047" w:type="dxa"/>
            <w:tcBorders>
              <w:top w:val="single" w:color="000000" w:sz="4" w:space="0"/>
              <w:left w:val="single" w:color="000000" w:sz="4" w:space="0"/>
              <w:bottom w:val="single" w:color="000000" w:sz="4" w:space="0"/>
              <w:right w:val="single" w:color="000000" w:sz="4" w:space="0"/>
            </w:tcBorders>
            <w:vAlign w:val="center"/>
          </w:tcPr>
          <w:p w14:paraId="313E27D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物理属性匹配</w:t>
            </w:r>
          </w:p>
        </w:tc>
      </w:tr>
      <w:tr w14:paraId="23BF03F0">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2474A17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1.4</w:t>
            </w:r>
          </w:p>
        </w:tc>
        <w:tc>
          <w:tcPr>
            <w:tcW w:w="2749" w:type="dxa"/>
            <w:tcBorders>
              <w:top w:val="single" w:color="000000" w:sz="4" w:space="0"/>
              <w:left w:val="single" w:color="000000" w:sz="4" w:space="0"/>
              <w:bottom w:val="single" w:color="000000" w:sz="4" w:space="0"/>
              <w:right w:val="single" w:color="000000" w:sz="4" w:space="0"/>
            </w:tcBorders>
            <w:vAlign w:val="center"/>
          </w:tcPr>
          <w:p w14:paraId="2962166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模型选择和工程构建</w:t>
            </w:r>
          </w:p>
        </w:tc>
        <w:tc>
          <w:tcPr>
            <w:tcW w:w="10047" w:type="dxa"/>
            <w:tcBorders>
              <w:top w:val="single" w:color="000000" w:sz="4" w:space="0"/>
              <w:left w:val="single" w:color="000000" w:sz="4" w:space="0"/>
              <w:bottom w:val="single" w:color="000000" w:sz="4" w:space="0"/>
              <w:right w:val="single" w:color="000000" w:sz="4" w:space="0"/>
            </w:tcBorders>
            <w:vAlign w:val="center"/>
          </w:tcPr>
          <w:p w14:paraId="33019F7E">
            <w:pPr>
              <w:spacing w:line="240" w:lineRule="auto"/>
              <w:ind w:firstLine="0" w:firstLineChars="0"/>
              <w:rPr>
                <w:rFonts w:hint="eastAsia" w:ascii="宋体" w:hAnsi="宋体" w:cs="宋体"/>
                <w:color w:val="auto"/>
                <w:sz w:val="20"/>
                <w:szCs w:val="20"/>
              </w:rPr>
            </w:pPr>
          </w:p>
        </w:tc>
      </w:tr>
      <w:tr w14:paraId="489A991B">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7206DCDC">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1.4.1</w:t>
            </w:r>
          </w:p>
        </w:tc>
        <w:tc>
          <w:tcPr>
            <w:tcW w:w="2749" w:type="dxa"/>
            <w:tcBorders>
              <w:top w:val="single" w:color="000000" w:sz="4" w:space="0"/>
              <w:left w:val="single" w:color="000000" w:sz="4" w:space="0"/>
              <w:bottom w:val="single" w:color="000000" w:sz="4" w:space="0"/>
              <w:right w:val="single" w:color="000000" w:sz="4" w:space="0"/>
            </w:tcBorders>
            <w:vAlign w:val="center"/>
          </w:tcPr>
          <w:p w14:paraId="0C53D97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模型选择和工程构建</w:t>
            </w:r>
          </w:p>
        </w:tc>
        <w:tc>
          <w:tcPr>
            <w:tcW w:w="10047" w:type="dxa"/>
            <w:tcBorders>
              <w:top w:val="single" w:color="000000" w:sz="4" w:space="0"/>
              <w:left w:val="single" w:color="000000" w:sz="4" w:space="0"/>
              <w:bottom w:val="single" w:color="000000" w:sz="4" w:space="0"/>
              <w:right w:val="single" w:color="000000" w:sz="4" w:space="0"/>
            </w:tcBorders>
            <w:vAlign w:val="center"/>
          </w:tcPr>
          <w:p w14:paraId="07CB43B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凸包分解 + 层次包围盒</w:t>
            </w:r>
          </w:p>
        </w:tc>
      </w:tr>
      <w:tr w14:paraId="718D47D2">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6DF0722E">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1.4.2</w:t>
            </w:r>
          </w:p>
        </w:tc>
        <w:tc>
          <w:tcPr>
            <w:tcW w:w="2749" w:type="dxa"/>
            <w:tcBorders>
              <w:top w:val="single" w:color="000000" w:sz="4" w:space="0"/>
              <w:left w:val="single" w:color="000000" w:sz="4" w:space="0"/>
              <w:bottom w:val="single" w:color="000000" w:sz="4" w:space="0"/>
              <w:right w:val="single" w:color="000000" w:sz="4" w:space="0"/>
            </w:tcBorders>
            <w:vAlign w:val="center"/>
          </w:tcPr>
          <w:p w14:paraId="3C59329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模型选择和工程构建</w:t>
            </w:r>
          </w:p>
        </w:tc>
        <w:tc>
          <w:tcPr>
            <w:tcW w:w="10047" w:type="dxa"/>
            <w:tcBorders>
              <w:top w:val="single" w:color="000000" w:sz="4" w:space="0"/>
              <w:left w:val="single" w:color="000000" w:sz="4" w:space="0"/>
              <w:bottom w:val="single" w:color="000000" w:sz="4" w:space="0"/>
              <w:right w:val="single" w:color="000000" w:sz="4" w:space="0"/>
            </w:tcBorders>
            <w:vAlign w:val="center"/>
          </w:tcPr>
          <w:p w14:paraId="44F6A9A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SPH粒子系统 + 降噪</w:t>
            </w:r>
          </w:p>
        </w:tc>
      </w:tr>
      <w:tr w14:paraId="70580501">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540932EE">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1.4.3</w:t>
            </w:r>
          </w:p>
        </w:tc>
        <w:tc>
          <w:tcPr>
            <w:tcW w:w="2749" w:type="dxa"/>
            <w:tcBorders>
              <w:top w:val="single" w:color="000000" w:sz="4" w:space="0"/>
              <w:left w:val="single" w:color="000000" w:sz="4" w:space="0"/>
              <w:bottom w:val="single" w:color="000000" w:sz="4" w:space="0"/>
              <w:right w:val="single" w:color="000000" w:sz="4" w:space="0"/>
            </w:tcBorders>
            <w:vAlign w:val="center"/>
          </w:tcPr>
          <w:p w14:paraId="7FF3C72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模型选择和工程构建</w:t>
            </w:r>
          </w:p>
        </w:tc>
        <w:tc>
          <w:tcPr>
            <w:tcW w:w="10047" w:type="dxa"/>
            <w:tcBorders>
              <w:top w:val="single" w:color="000000" w:sz="4" w:space="0"/>
              <w:left w:val="single" w:color="000000" w:sz="4" w:space="0"/>
              <w:bottom w:val="single" w:color="000000" w:sz="4" w:space="0"/>
              <w:right w:val="single" w:color="000000" w:sz="4" w:space="0"/>
            </w:tcBorders>
            <w:vAlign w:val="center"/>
          </w:tcPr>
          <w:p w14:paraId="462CE6B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有限元分析（FEA）</w:t>
            </w:r>
          </w:p>
        </w:tc>
      </w:tr>
      <w:tr w14:paraId="7A685F2C">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7BC4E009">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1.4.4</w:t>
            </w:r>
          </w:p>
        </w:tc>
        <w:tc>
          <w:tcPr>
            <w:tcW w:w="2749" w:type="dxa"/>
            <w:tcBorders>
              <w:top w:val="single" w:color="000000" w:sz="4" w:space="0"/>
              <w:left w:val="single" w:color="000000" w:sz="4" w:space="0"/>
              <w:bottom w:val="single" w:color="000000" w:sz="4" w:space="0"/>
              <w:right w:val="single" w:color="000000" w:sz="4" w:space="0"/>
            </w:tcBorders>
            <w:vAlign w:val="center"/>
          </w:tcPr>
          <w:p w14:paraId="4AD3B00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模型选择和工程构建</w:t>
            </w:r>
          </w:p>
        </w:tc>
        <w:tc>
          <w:tcPr>
            <w:tcW w:w="10047" w:type="dxa"/>
            <w:tcBorders>
              <w:top w:val="single" w:color="000000" w:sz="4" w:space="0"/>
              <w:left w:val="single" w:color="000000" w:sz="4" w:space="0"/>
              <w:bottom w:val="single" w:color="000000" w:sz="4" w:space="0"/>
              <w:right w:val="single" w:color="000000" w:sz="4" w:space="0"/>
            </w:tcBorders>
            <w:vAlign w:val="center"/>
          </w:tcPr>
          <w:p w14:paraId="3614F90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关键区域保留度优化</w:t>
            </w:r>
          </w:p>
        </w:tc>
      </w:tr>
      <w:tr w14:paraId="77B1952E">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111813FF">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1.4.5</w:t>
            </w:r>
          </w:p>
        </w:tc>
        <w:tc>
          <w:tcPr>
            <w:tcW w:w="2749" w:type="dxa"/>
            <w:tcBorders>
              <w:top w:val="single" w:color="000000" w:sz="4" w:space="0"/>
              <w:left w:val="single" w:color="000000" w:sz="4" w:space="0"/>
              <w:bottom w:val="single" w:color="000000" w:sz="4" w:space="0"/>
              <w:right w:val="single" w:color="000000" w:sz="4" w:space="0"/>
            </w:tcBorders>
            <w:vAlign w:val="center"/>
          </w:tcPr>
          <w:p w14:paraId="63C3DE9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模型选择和工程构建</w:t>
            </w:r>
          </w:p>
        </w:tc>
        <w:tc>
          <w:tcPr>
            <w:tcW w:w="10047" w:type="dxa"/>
            <w:tcBorders>
              <w:top w:val="single" w:color="000000" w:sz="4" w:space="0"/>
              <w:left w:val="single" w:color="000000" w:sz="4" w:space="0"/>
              <w:bottom w:val="single" w:color="000000" w:sz="4" w:space="0"/>
              <w:right w:val="single" w:color="000000" w:sz="4" w:space="0"/>
            </w:tcBorders>
            <w:vAlign w:val="center"/>
          </w:tcPr>
          <w:p w14:paraId="6C3F7FE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减重目标: 保持刚度下减少40%面数</w:t>
            </w:r>
          </w:p>
        </w:tc>
      </w:tr>
      <w:tr w14:paraId="0D115570">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72B50011">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w:t>
            </w:r>
          </w:p>
        </w:tc>
        <w:tc>
          <w:tcPr>
            <w:tcW w:w="2749" w:type="dxa"/>
            <w:tcBorders>
              <w:top w:val="single" w:color="000000" w:sz="4" w:space="0"/>
              <w:left w:val="single" w:color="000000" w:sz="4" w:space="0"/>
              <w:bottom w:val="single" w:color="000000" w:sz="4" w:space="0"/>
              <w:right w:val="single" w:color="000000" w:sz="4" w:space="0"/>
            </w:tcBorders>
            <w:vAlign w:val="center"/>
          </w:tcPr>
          <w:p w14:paraId="24D07DD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6D789012">
            <w:pPr>
              <w:spacing w:line="240" w:lineRule="auto"/>
              <w:ind w:firstLine="0" w:firstLineChars="0"/>
              <w:rPr>
                <w:rFonts w:hint="eastAsia" w:ascii="宋体" w:hAnsi="宋体" w:cs="宋体"/>
                <w:color w:val="auto"/>
                <w:sz w:val="20"/>
                <w:szCs w:val="20"/>
              </w:rPr>
            </w:pPr>
          </w:p>
        </w:tc>
      </w:tr>
      <w:tr w14:paraId="23255648">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6D076DA5">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1.5.1</w:t>
            </w:r>
          </w:p>
        </w:tc>
        <w:tc>
          <w:tcPr>
            <w:tcW w:w="2749" w:type="dxa"/>
            <w:tcBorders>
              <w:top w:val="single" w:color="000000" w:sz="4" w:space="0"/>
              <w:left w:val="single" w:color="000000" w:sz="4" w:space="0"/>
              <w:bottom w:val="single" w:color="000000" w:sz="4" w:space="0"/>
              <w:right w:val="single" w:color="000000" w:sz="4" w:space="0"/>
            </w:tcBorders>
            <w:vAlign w:val="center"/>
          </w:tcPr>
          <w:p w14:paraId="5106497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793DB4F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传感数据格式转换</w:t>
            </w:r>
          </w:p>
        </w:tc>
      </w:tr>
      <w:tr w14:paraId="258975CE">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6A6BC452">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1.5.2</w:t>
            </w:r>
          </w:p>
        </w:tc>
        <w:tc>
          <w:tcPr>
            <w:tcW w:w="2749" w:type="dxa"/>
            <w:tcBorders>
              <w:top w:val="single" w:color="000000" w:sz="4" w:space="0"/>
              <w:left w:val="single" w:color="000000" w:sz="4" w:space="0"/>
              <w:bottom w:val="single" w:color="000000" w:sz="4" w:space="0"/>
              <w:right w:val="single" w:color="000000" w:sz="4" w:space="0"/>
            </w:tcBorders>
            <w:vAlign w:val="center"/>
          </w:tcPr>
          <w:p w14:paraId="4357788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0DB7746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添加自然景观元素</w:t>
            </w:r>
          </w:p>
        </w:tc>
      </w:tr>
      <w:tr w14:paraId="081BE6BB">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257913B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1.5.3</w:t>
            </w:r>
          </w:p>
        </w:tc>
        <w:tc>
          <w:tcPr>
            <w:tcW w:w="2749" w:type="dxa"/>
            <w:tcBorders>
              <w:top w:val="single" w:color="000000" w:sz="4" w:space="0"/>
              <w:left w:val="single" w:color="000000" w:sz="4" w:space="0"/>
              <w:bottom w:val="single" w:color="000000" w:sz="4" w:space="0"/>
              <w:right w:val="single" w:color="000000" w:sz="4" w:space="0"/>
            </w:tcBorders>
            <w:vAlign w:val="center"/>
          </w:tcPr>
          <w:p w14:paraId="30F5151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4536D82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添加自然景观元素</w:t>
            </w:r>
          </w:p>
        </w:tc>
      </w:tr>
      <w:tr w14:paraId="78992EA4">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316F411E">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1.5.4</w:t>
            </w:r>
          </w:p>
        </w:tc>
        <w:tc>
          <w:tcPr>
            <w:tcW w:w="2749" w:type="dxa"/>
            <w:tcBorders>
              <w:top w:val="single" w:color="000000" w:sz="4" w:space="0"/>
              <w:left w:val="single" w:color="000000" w:sz="4" w:space="0"/>
              <w:bottom w:val="single" w:color="000000" w:sz="4" w:space="0"/>
              <w:right w:val="single" w:color="000000" w:sz="4" w:space="0"/>
            </w:tcBorders>
            <w:vAlign w:val="center"/>
          </w:tcPr>
          <w:p w14:paraId="1421E3A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7328647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添加人文景观元素</w:t>
            </w:r>
          </w:p>
        </w:tc>
      </w:tr>
      <w:tr w14:paraId="32989DE2">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279F4A62">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1.5.5</w:t>
            </w:r>
          </w:p>
        </w:tc>
        <w:tc>
          <w:tcPr>
            <w:tcW w:w="2749" w:type="dxa"/>
            <w:tcBorders>
              <w:top w:val="single" w:color="000000" w:sz="4" w:space="0"/>
              <w:left w:val="single" w:color="000000" w:sz="4" w:space="0"/>
              <w:bottom w:val="single" w:color="000000" w:sz="4" w:space="0"/>
              <w:right w:val="single" w:color="000000" w:sz="4" w:space="0"/>
            </w:tcBorders>
            <w:vAlign w:val="center"/>
          </w:tcPr>
          <w:p w14:paraId="24F54E5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71CC51E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三维模型更新计划制定</w:t>
            </w:r>
          </w:p>
        </w:tc>
      </w:tr>
      <w:tr w14:paraId="1A021AE7">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23EDA7D7">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1.5.6</w:t>
            </w:r>
          </w:p>
        </w:tc>
        <w:tc>
          <w:tcPr>
            <w:tcW w:w="2749" w:type="dxa"/>
            <w:tcBorders>
              <w:top w:val="single" w:color="000000" w:sz="4" w:space="0"/>
              <w:left w:val="single" w:color="000000" w:sz="4" w:space="0"/>
              <w:bottom w:val="single" w:color="000000" w:sz="4" w:space="0"/>
              <w:right w:val="single" w:color="000000" w:sz="4" w:space="0"/>
            </w:tcBorders>
            <w:vAlign w:val="center"/>
          </w:tcPr>
          <w:p w14:paraId="6F4CBA8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6D9D65B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规划三维模型更新内容</w:t>
            </w:r>
          </w:p>
        </w:tc>
      </w:tr>
      <w:tr w14:paraId="7B4480B6">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5DCED24E">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1.5.7</w:t>
            </w:r>
          </w:p>
        </w:tc>
        <w:tc>
          <w:tcPr>
            <w:tcW w:w="2749" w:type="dxa"/>
            <w:tcBorders>
              <w:top w:val="single" w:color="000000" w:sz="4" w:space="0"/>
              <w:left w:val="single" w:color="000000" w:sz="4" w:space="0"/>
              <w:bottom w:val="single" w:color="000000" w:sz="4" w:space="0"/>
              <w:right w:val="single" w:color="000000" w:sz="4" w:space="0"/>
            </w:tcBorders>
            <w:vAlign w:val="center"/>
          </w:tcPr>
          <w:p w14:paraId="6266D1A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1D84D86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三维模型拓扑结构优化</w:t>
            </w:r>
          </w:p>
        </w:tc>
      </w:tr>
      <w:tr w14:paraId="104EF920">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0E0AB5F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1.5.8</w:t>
            </w:r>
          </w:p>
        </w:tc>
        <w:tc>
          <w:tcPr>
            <w:tcW w:w="2749" w:type="dxa"/>
            <w:tcBorders>
              <w:top w:val="single" w:color="000000" w:sz="4" w:space="0"/>
              <w:left w:val="single" w:color="000000" w:sz="4" w:space="0"/>
              <w:bottom w:val="single" w:color="000000" w:sz="4" w:space="0"/>
              <w:right w:val="single" w:color="000000" w:sz="4" w:space="0"/>
            </w:tcBorders>
            <w:vAlign w:val="center"/>
          </w:tcPr>
          <w:p w14:paraId="4BF3ADB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5E5BBE9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地形地貌建模</w:t>
            </w:r>
          </w:p>
        </w:tc>
      </w:tr>
      <w:tr w14:paraId="3794140D">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40B7F06E">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1.5.9</w:t>
            </w:r>
          </w:p>
        </w:tc>
        <w:tc>
          <w:tcPr>
            <w:tcW w:w="2749" w:type="dxa"/>
            <w:tcBorders>
              <w:top w:val="single" w:color="000000" w:sz="4" w:space="0"/>
              <w:left w:val="single" w:color="000000" w:sz="4" w:space="0"/>
              <w:bottom w:val="single" w:color="000000" w:sz="4" w:space="0"/>
              <w:right w:val="single" w:color="000000" w:sz="4" w:space="0"/>
            </w:tcBorders>
            <w:vAlign w:val="center"/>
          </w:tcPr>
          <w:p w14:paraId="6B8F817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7B6622A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地形地貌建模</w:t>
            </w:r>
          </w:p>
        </w:tc>
      </w:tr>
      <w:tr w14:paraId="0C32458B">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46D214F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1.5.10</w:t>
            </w:r>
          </w:p>
        </w:tc>
        <w:tc>
          <w:tcPr>
            <w:tcW w:w="2749" w:type="dxa"/>
            <w:tcBorders>
              <w:top w:val="single" w:color="000000" w:sz="4" w:space="0"/>
              <w:left w:val="single" w:color="000000" w:sz="4" w:space="0"/>
              <w:bottom w:val="single" w:color="000000" w:sz="4" w:space="0"/>
              <w:right w:val="single" w:color="000000" w:sz="4" w:space="0"/>
            </w:tcBorders>
            <w:vAlign w:val="center"/>
          </w:tcPr>
          <w:p w14:paraId="047BCE5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1CA8457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地形地貌建模</w:t>
            </w:r>
          </w:p>
        </w:tc>
      </w:tr>
      <w:tr w14:paraId="2D93EAF3">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7FA299B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1.5.11</w:t>
            </w:r>
          </w:p>
        </w:tc>
        <w:tc>
          <w:tcPr>
            <w:tcW w:w="2749" w:type="dxa"/>
            <w:tcBorders>
              <w:top w:val="single" w:color="000000" w:sz="4" w:space="0"/>
              <w:left w:val="single" w:color="000000" w:sz="4" w:space="0"/>
              <w:bottom w:val="single" w:color="000000" w:sz="4" w:space="0"/>
              <w:right w:val="single" w:color="000000" w:sz="4" w:space="0"/>
            </w:tcBorders>
            <w:vAlign w:val="center"/>
          </w:tcPr>
          <w:p w14:paraId="1BF018D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64F5A04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模型轻量化处理（减少面数）</w:t>
            </w:r>
          </w:p>
        </w:tc>
      </w:tr>
      <w:tr w14:paraId="329BB942">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1EA924C7">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1.5.12</w:t>
            </w:r>
          </w:p>
        </w:tc>
        <w:tc>
          <w:tcPr>
            <w:tcW w:w="2749" w:type="dxa"/>
            <w:tcBorders>
              <w:top w:val="single" w:color="000000" w:sz="4" w:space="0"/>
              <w:left w:val="single" w:color="000000" w:sz="4" w:space="0"/>
              <w:bottom w:val="single" w:color="000000" w:sz="4" w:space="0"/>
              <w:right w:val="single" w:color="000000" w:sz="4" w:space="0"/>
            </w:tcBorders>
            <w:vAlign w:val="center"/>
          </w:tcPr>
          <w:p w14:paraId="59F4981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177CAF1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植物模型与环境模型整合</w:t>
            </w:r>
          </w:p>
        </w:tc>
      </w:tr>
      <w:tr w14:paraId="2EB00C4B">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1B1EF1E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1.5.13</w:t>
            </w:r>
          </w:p>
        </w:tc>
        <w:tc>
          <w:tcPr>
            <w:tcW w:w="2749" w:type="dxa"/>
            <w:tcBorders>
              <w:top w:val="single" w:color="000000" w:sz="4" w:space="0"/>
              <w:left w:val="single" w:color="000000" w:sz="4" w:space="0"/>
              <w:bottom w:val="single" w:color="000000" w:sz="4" w:space="0"/>
              <w:right w:val="single" w:color="000000" w:sz="4" w:space="0"/>
            </w:tcBorders>
            <w:vAlign w:val="center"/>
          </w:tcPr>
          <w:p w14:paraId="0D338F2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0E07894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模型衔接处优化</w:t>
            </w:r>
          </w:p>
        </w:tc>
      </w:tr>
      <w:tr w14:paraId="75E7C942">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32D46719">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1.5.14</w:t>
            </w:r>
          </w:p>
        </w:tc>
        <w:tc>
          <w:tcPr>
            <w:tcW w:w="2749" w:type="dxa"/>
            <w:tcBorders>
              <w:top w:val="single" w:color="000000" w:sz="4" w:space="0"/>
              <w:left w:val="single" w:color="000000" w:sz="4" w:space="0"/>
              <w:bottom w:val="single" w:color="000000" w:sz="4" w:space="0"/>
              <w:right w:val="single" w:color="000000" w:sz="4" w:space="0"/>
            </w:tcBorders>
            <w:vAlign w:val="center"/>
          </w:tcPr>
          <w:p w14:paraId="1983F95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7701F8A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植物整体外形建模</w:t>
            </w:r>
          </w:p>
        </w:tc>
      </w:tr>
      <w:tr w14:paraId="7A1BF2AB">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5820D4A6">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1.5.15</w:t>
            </w:r>
          </w:p>
        </w:tc>
        <w:tc>
          <w:tcPr>
            <w:tcW w:w="2749" w:type="dxa"/>
            <w:tcBorders>
              <w:top w:val="single" w:color="000000" w:sz="4" w:space="0"/>
              <w:left w:val="single" w:color="000000" w:sz="4" w:space="0"/>
              <w:bottom w:val="single" w:color="000000" w:sz="4" w:space="0"/>
              <w:right w:val="single" w:color="000000" w:sz="4" w:space="0"/>
            </w:tcBorders>
            <w:vAlign w:val="center"/>
          </w:tcPr>
          <w:p w14:paraId="7E8ABEE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2BCA21D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植物叶片建模</w:t>
            </w:r>
          </w:p>
        </w:tc>
      </w:tr>
      <w:tr w14:paraId="07FC4051">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1D398BAD">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1.5.16</w:t>
            </w:r>
          </w:p>
        </w:tc>
        <w:tc>
          <w:tcPr>
            <w:tcW w:w="2749" w:type="dxa"/>
            <w:tcBorders>
              <w:top w:val="single" w:color="000000" w:sz="4" w:space="0"/>
              <w:left w:val="single" w:color="000000" w:sz="4" w:space="0"/>
              <w:bottom w:val="single" w:color="000000" w:sz="4" w:space="0"/>
              <w:right w:val="single" w:color="000000" w:sz="4" w:space="0"/>
            </w:tcBorders>
            <w:vAlign w:val="center"/>
          </w:tcPr>
          <w:p w14:paraId="43B0219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5704C0F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植物花朵建模</w:t>
            </w:r>
          </w:p>
        </w:tc>
      </w:tr>
      <w:tr w14:paraId="59C13574">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733C1C4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1.5.17</w:t>
            </w:r>
          </w:p>
        </w:tc>
        <w:tc>
          <w:tcPr>
            <w:tcW w:w="2749" w:type="dxa"/>
            <w:tcBorders>
              <w:top w:val="single" w:color="000000" w:sz="4" w:space="0"/>
              <w:left w:val="single" w:color="000000" w:sz="4" w:space="0"/>
              <w:bottom w:val="single" w:color="000000" w:sz="4" w:space="0"/>
              <w:right w:val="single" w:color="000000" w:sz="4" w:space="0"/>
            </w:tcBorders>
            <w:vAlign w:val="center"/>
          </w:tcPr>
          <w:p w14:paraId="6416644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4A11DB8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植物根部建模</w:t>
            </w:r>
          </w:p>
        </w:tc>
      </w:tr>
      <w:tr w14:paraId="53439D92">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642C879E">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1.5.18</w:t>
            </w:r>
          </w:p>
        </w:tc>
        <w:tc>
          <w:tcPr>
            <w:tcW w:w="2749" w:type="dxa"/>
            <w:tcBorders>
              <w:top w:val="single" w:color="000000" w:sz="4" w:space="0"/>
              <w:left w:val="single" w:color="000000" w:sz="4" w:space="0"/>
              <w:bottom w:val="single" w:color="000000" w:sz="4" w:space="0"/>
              <w:right w:val="single" w:color="000000" w:sz="4" w:space="0"/>
            </w:tcBorders>
            <w:vAlign w:val="center"/>
          </w:tcPr>
          <w:p w14:paraId="1B5BA87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265BB96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植物模型的拓扑结构优化</w:t>
            </w:r>
          </w:p>
        </w:tc>
      </w:tr>
      <w:tr w14:paraId="2343CCFC">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6400CEBE">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1.5.19</w:t>
            </w:r>
          </w:p>
        </w:tc>
        <w:tc>
          <w:tcPr>
            <w:tcW w:w="2749" w:type="dxa"/>
            <w:tcBorders>
              <w:top w:val="single" w:color="000000" w:sz="4" w:space="0"/>
              <w:left w:val="single" w:color="000000" w:sz="4" w:space="0"/>
              <w:bottom w:val="single" w:color="000000" w:sz="4" w:space="0"/>
              <w:right w:val="single" w:color="000000" w:sz="4" w:space="0"/>
            </w:tcBorders>
            <w:vAlign w:val="center"/>
          </w:tcPr>
          <w:p w14:paraId="0E082DA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6ACC6FA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栖息环境模型的多边形数量优化</w:t>
            </w:r>
          </w:p>
        </w:tc>
      </w:tr>
      <w:tr w14:paraId="782EA49D">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7B1BA56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1.5.20</w:t>
            </w:r>
          </w:p>
        </w:tc>
        <w:tc>
          <w:tcPr>
            <w:tcW w:w="2749" w:type="dxa"/>
            <w:tcBorders>
              <w:top w:val="single" w:color="000000" w:sz="4" w:space="0"/>
              <w:left w:val="single" w:color="000000" w:sz="4" w:space="0"/>
              <w:bottom w:val="single" w:color="000000" w:sz="4" w:space="0"/>
              <w:right w:val="single" w:color="000000" w:sz="4" w:space="0"/>
            </w:tcBorders>
            <w:vAlign w:val="center"/>
          </w:tcPr>
          <w:p w14:paraId="6EA45F2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32E3C1E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溪流、湖泊自然景观</w:t>
            </w:r>
          </w:p>
        </w:tc>
      </w:tr>
      <w:tr w14:paraId="290B2E9A">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306E1C5D">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1.5.21</w:t>
            </w:r>
          </w:p>
        </w:tc>
        <w:tc>
          <w:tcPr>
            <w:tcW w:w="2749" w:type="dxa"/>
            <w:tcBorders>
              <w:top w:val="single" w:color="000000" w:sz="4" w:space="0"/>
              <w:left w:val="single" w:color="000000" w:sz="4" w:space="0"/>
              <w:bottom w:val="single" w:color="000000" w:sz="4" w:space="0"/>
              <w:right w:val="single" w:color="000000" w:sz="4" w:space="0"/>
            </w:tcBorders>
            <w:vAlign w:val="center"/>
          </w:tcPr>
          <w:p w14:paraId="0B42E30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200CECD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观景台、小径添加人造景观</w:t>
            </w:r>
          </w:p>
        </w:tc>
      </w:tr>
      <w:tr w14:paraId="5A15E194">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2D07A03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1.5.22</w:t>
            </w:r>
          </w:p>
        </w:tc>
        <w:tc>
          <w:tcPr>
            <w:tcW w:w="2749" w:type="dxa"/>
            <w:tcBorders>
              <w:top w:val="single" w:color="000000" w:sz="4" w:space="0"/>
              <w:left w:val="single" w:color="000000" w:sz="4" w:space="0"/>
              <w:bottom w:val="single" w:color="000000" w:sz="4" w:space="0"/>
              <w:right w:val="single" w:color="000000" w:sz="4" w:space="0"/>
            </w:tcBorders>
            <w:vAlign w:val="center"/>
          </w:tcPr>
          <w:p w14:paraId="18992DE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4782AFF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地形地貌特征建模</w:t>
            </w:r>
          </w:p>
        </w:tc>
      </w:tr>
      <w:tr w14:paraId="3509DB4F">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147BC056">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1.5.23</w:t>
            </w:r>
          </w:p>
        </w:tc>
        <w:tc>
          <w:tcPr>
            <w:tcW w:w="2749" w:type="dxa"/>
            <w:tcBorders>
              <w:top w:val="single" w:color="000000" w:sz="4" w:space="0"/>
              <w:left w:val="single" w:color="000000" w:sz="4" w:space="0"/>
              <w:bottom w:val="single" w:color="000000" w:sz="4" w:space="0"/>
              <w:right w:val="single" w:color="000000" w:sz="4" w:space="0"/>
            </w:tcBorders>
            <w:vAlign w:val="center"/>
          </w:tcPr>
          <w:p w14:paraId="6A8E675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741FC5C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常见植被建模</w:t>
            </w:r>
          </w:p>
        </w:tc>
      </w:tr>
      <w:tr w14:paraId="2EECB2CB">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562F2649">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1.5.24</w:t>
            </w:r>
          </w:p>
        </w:tc>
        <w:tc>
          <w:tcPr>
            <w:tcW w:w="2749" w:type="dxa"/>
            <w:tcBorders>
              <w:top w:val="single" w:color="000000" w:sz="4" w:space="0"/>
              <w:left w:val="single" w:color="000000" w:sz="4" w:space="0"/>
              <w:bottom w:val="single" w:color="000000" w:sz="4" w:space="0"/>
              <w:right w:val="single" w:color="000000" w:sz="4" w:space="0"/>
            </w:tcBorders>
            <w:vAlign w:val="center"/>
          </w:tcPr>
          <w:p w14:paraId="69DCAE6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521AED1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珍稀植被建模</w:t>
            </w:r>
          </w:p>
        </w:tc>
      </w:tr>
      <w:tr w14:paraId="24499249">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4993DD9A">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1.5.25</w:t>
            </w:r>
          </w:p>
        </w:tc>
        <w:tc>
          <w:tcPr>
            <w:tcW w:w="2749" w:type="dxa"/>
            <w:tcBorders>
              <w:top w:val="single" w:color="000000" w:sz="4" w:space="0"/>
              <w:left w:val="single" w:color="000000" w:sz="4" w:space="0"/>
              <w:bottom w:val="single" w:color="000000" w:sz="4" w:space="0"/>
              <w:right w:val="single" w:color="000000" w:sz="4" w:space="0"/>
            </w:tcBorders>
            <w:vAlign w:val="center"/>
          </w:tcPr>
          <w:p w14:paraId="48A93E3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1FC421E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设计虚拟植物的初始模型和外观</w:t>
            </w:r>
          </w:p>
        </w:tc>
      </w:tr>
      <w:tr w14:paraId="1FE61F5F">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357DAEE5">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1.5.26</w:t>
            </w:r>
          </w:p>
        </w:tc>
        <w:tc>
          <w:tcPr>
            <w:tcW w:w="2749" w:type="dxa"/>
            <w:tcBorders>
              <w:top w:val="single" w:color="000000" w:sz="4" w:space="0"/>
              <w:left w:val="single" w:color="000000" w:sz="4" w:space="0"/>
              <w:bottom w:val="single" w:color="000000" w:sz="4" w:space="0"/>
              <w:right w:val="single" w:color="000000" w:sz="4" w:space="0"/>
            </w:tcBorders>
            <w:vAlign w:val="center"/>
          </w:tcPr>
          <w:p w14:paraId="31AB5FC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168563C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优化虚拟植物的材质和纹理，提高真实感</w:t>
            </w:r>
          </w:p>
        </w:tc>
      </w:tr>
      <w:tr w14:paraId="1E71BF22">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5A4E47E4">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1.5.27</w:t>
            </w:r>
          </w:p>
        </w:tc>
        <w:tc>
          <w:tcPr>
            <w:tcW w:w="2749" w:type="dxa"/>
            <w:tcBorders>
              <w:top w:val="single" w:color="000000" w:sz="4" w:space="0"/>
              <w:left w:val="single" w:color="000000" w:sz="4" w:space="0"/>
              <w:bottom w:val="single" w:color="000000" w:sz="4" w:space="0"/>
              <w:right w:val="single" w:color="000000" w:sz="4" w:space="0"/>
            </w:tcBorders>
            <w:vAlign w:val="center"/>
          </w:tcPr>
          <w:p w14:paraId="0828E18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235FC60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调整虚拟植物的姿态，使其更自然</w:t>
            </w:r>
          </w:p>
        </w:tc>
      </w:tr>
      <w:tr w14:paraId="439BEA6A">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0CBE4AD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1.5.28</w:t>
            </w:r>
          </w:p>
        </w:tc>
        <w:tc>
          <w:tcPr>
            <w:tcW w:w="2749" w:type="dxa"/>
            <w:tcBorders>
              <w:top w:val="single" w:color="000000" w:sz="4" w:space="0"/>
              <w:left w:val="single" w:color="000000" w:sz="4" w:space="0"/>
              <w:bottom w:val="single" w:color="000000" w:sz="4" w:space="0"/>
              <w:right w:val="single" w:color="000000" w:sz="4" w:space="0"/>
            </w:tcBorders>
            <w:vAlign w:val="center"/>
          </w:tcPr>
          <w:p w14:paraId="7B4A5C5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6EC4886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优化虚拟植物模型的细节，提高真实感</w:t>
            </w:r>
          </w:p>
        </w:tc>
      </w:tr>
      <w:tr w14:paraId="4BD90598">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4F7CCF0E">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1.5.29</w:t>
            </w:r>
          </w:p>
        </w:tc>
        <w:tc>
          <w:tcPr>
            <w:tcW w:w="2749" w:type="dxa"/>
            <w:tcBorders>
              <w:top w:val="single" w:color="000000" w:sz="4" w:space="0"/>
              <w:left w:val="single" w:color="000000" w:sz="4" w:space="0"/>
              <w:bottom w:val="single" w:color="000000" w:sz="4" w:space="0"/>
              <w:right w:val="single" w:color="000000" w:sz="4" w:space="0"/>
            </w:tcBorders>
            <w:vAlign w:val="center"/>
          </w:tcPr>
          <w:p w14:paraId="0220312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280AF35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开发高清纹理加载和显示功能，展示细节</w:t>
            </w:r>
          </w:p>
        </w:tc>
      </w:tr>
      <w:tr w14:paraId="505674BF">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5FB8786D">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1.5.30</w:t>
            </w:r>
          </w:p>
        </w:tc>
        <w:tc>
          <w:tcPr>
            <w:tcW w:w="2749" w:type="dxa"/>
            <w:tcBorders>
              <w:top w:val="single" w:color="000000" w:sz="4" w:space="0"/>
              <w:left w:val="single" w:color="000000" w:sz="4" w:space="0"/>
              <w:bottom w:val="single" w:color="000000" w:sz="4" w:space="0"/>
              <w:right w:val="single" w:color="000000" w:sz="4" w:space="0"/>
            </w:tcBorders>
            <w:vAlign w:val="center"/>
          </w:tcPr>
          <w:p w14:paraId="42F0D02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2B6D565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建立旅游场景的三维模型</w:t>
            </w:r>
          </w:p>
        </w:tc>
      </w:tr>
      <w:tr w14:paraId="0DFEB8E4">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1FC9B25C">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1.5.31</w:t>
            </w:r>
          </w:p>
        </w:tc>
        <w:tc>
          <w:tcPr>
            <w:tcW w:w="2749" w:type="dxa"/>
            <w:tcBorders>
              <w:top w:val="single" w:color="000000" w:sz="4" w:space="0"/>
              <w:left w:val="single" w:color="000000" w:sz="4" w:space="0"/>
              <w:bottom w:val="single" w:color="000000" w:sz="4" w:space="0"/>
              <w:right w:val="single" w:color="000000" w:sz="4" w:space="0"/>
            </w:tcBorders>
            <w:vAlign w:val="center"/>
          </w:tcPr>
          <w:p w14:paraId="17CC274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0E0B769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建立三维模型数据目录</w:t>
            </w:r>
          </w:p>
        </w:tc>
      </w:tr>
      <w:tr w14:paraId="4E888A89">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0007C811">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1.5.32</w:t>
            </w:r>
          </w:p>
        </w:tc>
        <w:tc>
          <w:tcPr>
            <w:tcW w:w="2749" w:type="dxa"/>
            <w:tcBorders>
              <w:top w:val="single" w:color="000000" w:sz="4" w:space="0"/>
              <w:left w:val="single" w:color="000000" w:sz="4" w:space="0"/>
              <w:bottom w:val="single" w:color="000000" w:sz="4" w:space="0"/>
              <w:right w:val="single" w:color="000000" w:sz="4" w:space="0"/>
            </w:tcBorders>
            <w:vAlign w:val="center"/>
          </w:tcPr>
          <w:p w14:paraId="4592E15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2EDC4E3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优化虚拟生态环境数据存储结构</w:t>
            </w:r>
          </w:p>
        </w:tc>
      </w:tr>
      <w:tr w14:paraId="07BB2015">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6737918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1.5.33</w:t>
            </w:r>
          </w:p>
        </w:tc>
        <w:tc>
          <w:tcPr>
            <w:tcW w:w="2749" w:type="dxa"/>
            <w:tcBorders>
              <w:top w:val="single" w:color="000000" w:sz="4" w:space="0"/>
              <w:left w:val="single" w:color="000000" w:sz="4" w:space="0"/>
              <w:bottom w:val="single" w:color="000000" w:sz="4" w:space="0"/>
              <w:right w:val="single" w:color="000000" w:sz="4" w:space="0"/>
            </w:tcBorders>
            <w:vAlign w:val="center"/>
          </w:tcPr>
          <w:p w14:paraId="59D7714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3921FE0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备份和恢复模型数据策略完善</w:t>
            </w:r>
          </w:p>
        </w:tc>
      </w:tr>
      <w:tr w14:paraId="4329582C">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30CA8804">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1.5.34</w:t>
            </w:r>
          </w:p>
        </w:tc>
        <w:tc>
          <w:tcPr>
            <w:tcW w:w="2749" w:type="dxa"/>
            <w:tcBorders>
              <w:top w:val="single" w:color="000000" w:sz="4" w:space="0"/>
              <w:left w:val="single" w:color="000000" w:sz="4" w:space="0"/>
              <w:bottom w:val="single" w:color="000000" w:sz="4" w:space="0"/>
              <w:right w:val="single" w:color="000000" w:sz="4" w:space="0"/>
            </w:tcBorders>
            <w:vAlign w:val="center"/>
          </w:tcPr>
          <w:p w14:paraId="64D0D8B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3B17E25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设计三维模型数据的可视化分析方案（如模型结构可视化）</w:t>
            </w:r>
          </w:p>
        </w:tc>
      </w:tr>
      <w:tr w14:paraId="511DE980">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2428717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1.5.35</w:t>
            </w:r>
          </w:p>
        </w:tc>
        <w:tc>
          <w:tcPr>
            <w:tcW w:w="2749" w:type="dxa"/>
            <w:tcBorders>
              <w:top w:val="single" w:color="000000" w:sz="4" w:space="0"/>
              <w:left w:val="single" w:color="000000" w:sz="4" w:space="0"/>
              <w:bottom w:val="single" w:color="000000" w:sz="4" w:space="0"/>
              <w:right w:val="single" w:color="000000" w:sz="4" w:space="0"/>
            </w:tcBorders>
            <w:vAlign w:val="center"/>
          </w:tcPr>
          <w:p w14:paraId="3E95C82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132B9B6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开发模型数据可视化分析工具</w:t>
            </w:r>
          </w:p>
        </w:tc>
      </w:tr>
      <w:tr w14:paraId="4C9AD04E">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0393C133">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1.5.36</w:t>
            </w:r>
          </w:p>
        </w:tc>
        <w:tc>
          <w:tcPr>
            <w:tcW w:w="2749" w:type="dxa"/>
            <w:tcBorders>
              <w:top w:val="single" w:color="000000" w:sz="4" w:space="0"/>
              <w:left w:val="single" w:color="000000" w:sz="4" w:space="0"/>
              <w:bottom w:val="single" w:color="000000" w:sz="4" w:space="0"/>
              <w:right w:val="single" w:color="000000" w:sz="4" w:space="0"/>
            </w:tcBorders>
            <w:vAlign w:val="center"/>
          </w:tcPr>
          <w:p w14:paraId="5667720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598D7E3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利用可视化工具进行数据洞察和决策支持</w:t>
            </w:r>
          </w:p>
        </w:tc>
      </w:tr>
      <w:tr w14:paraId="5BA87B17">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6A361DE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1.5.37</w:t>
            </w:r>
          </w:p>
        </w:tc>
        <w:tc>
          <w:tcPr>
            <w:tcW w:w="2749" w:type="dxa"/>
            <w:tcBorders>
              <w:top w:val="single" w:color="000000" w:sz="4" w:space="0"/>
              <w:left w:val="single" w:color="000000" w:sz="4" w:space="0"/>
              <w:bottom w:val="single" w:color="000000" w:sz="4" w:space="0"/>
              <w:right w:val="single" w:color="000000" w:sz="4" w:space="0"/>
            </w:tcBorders>
            <w:vAlign w:val="center"/>
          </w:tcPr>
          <w:p w14:paraId="3926BB8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1DF601B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挖掘三维模型数据中的潜在价值（如结构分析）</w:t>
            </w:r>
          </w:p>
        </w:tc>
      </w:tr>
      <w:tr w14:paraId="3CA0C94A">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6987029C">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1.5.38</w:t>
            </w:r>
          </w:p>
        </w:tc>
        <w:tc>
          <w:tcPr>
            <w:tcW w:w="2749" w:type="dxa"/>
            <w:tcBorders>
              <w:top w:val="single" w:color="000000" w:sz="4" w:space="0"/>
              <w:left w:val="single" w:color="000000" w:sz="4" w:space="0"/>
              <w:bottom w:val="single" w:color="000000" w:sz="4" w:space="0"/>
              <w:right w:val="single" w:color="000000" w:sz="4" w:space="0"/>
            </w:tcBorders>
            <w:vAlign w:val="center"/>
          </w:tcPr>
          <w:p w14:paraId="7B7C120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61CCA44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分析虚拟生态环境数据以优化模型（如资源分布）</w:t>
            </w:r>
          </w:p>
        </w:tc>
      </w:tr>
      <w:tr w14:paraId="222D825F">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7F56ED67">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1.5.39</w:t>
            </w:r>
          </w:p>
        </w:tc>
        <w:tc>
          <w:tcPr>
            <w:tcW w:w="2749" w:type="dxa"/>
            <w:tcBorders>
              <w:top w:val="single" w:color="000000" w:sz="4" w:space="0"/>
              <w:left w:val="single" w:color="000000" w:sz="4" w:space="0"/>
              <w:bottom w:val="single" w:color="000000" w:sz="4" w:space="0"/>
              <w:right w:val="single" w:color="000000" w:sz="4" w:space="0"/>
            </w:tcBorders>
            <w:vAlign w:val="center"/>
          </w:tcPr>
          <w:p w14:paraId="44DE7A3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2604265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利用数据分析预测模型的发展趋势（如植物生长趋势）</w:t>
            </w:r>
          </w:p>
        </w:tc>
      </w:tr>
      <w:tr w14:paraId="63E4E39C">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46EF37A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1.5.40</w:t>
            </w:r>
          </w:p>
        </w:tc>
        <w:tc>
          <w:tcPr>
            <w:tcW w:w="2749" w:type="dxa"/>
            <w:tcBorders>
              <w:top w:val="single" w:color="000000" w:sz="4" w:space="0"/>
              <w:left w:val="single" w:color="000000" w:sz="4" w:space="0"/>
              <w:bottom w:val="single" w:color="000000" w:sz="4" w:space="0"/>
              <w:right w:val="single" w:color="000000" w:sz="4" w:space="0"/>
            </w:tcBorders>
            <w:vAlign w:val="center"/>
          </w:tcPr>
          <w:p w14:paraId="6235C90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446E959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设置三维模型性能监控指标</w:t>
            </w:r>
          </w:p>
        </w:tc>
      </w:tr>
      <w:tr w14:paraId="53309A5D">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5EFCD5A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1.5.41</w:t>
            </w:r>
          </w:p>
        </w:tc>
        <w:tc>
          <w:tcPr>
            <w:tcW w:w="2749" w:type="dxa"/>
            <w:tcBorders>
              <w:top w:val="single" w:color="000000" w:sz="4" w:space="0"/>
              <w:left w:val="single" w:color="000000" w:sz="4" w:space="0"/>
              <w:bottom w:val="single" w:color="000000" w:sz="4" w:space="0"/>
              <w:right w:val="single" w:color="000000" w:sz="4" w:space="0"/>
            </w:tcBorders>
            <w:vAlign w:val="center"/>
          </w:tcPr>
          <w:p w14:paraId="249C41E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199A030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监控虚拟生态环境运行性能</w:t>
            </w:r>
          </w:p>
        </w:tc>
      </w:tr>
      <w:tr w14:paraId="52DF83ED">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0A9EC6C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1.5.42</w:t>
            </w:r>
          </w:p>
        </w:tc>
        <w:tc>
          <w:tcPr>
            <w:tcW w:w="2749" w:type="dxa"/>
            <w:tcBorders>
              <w:top w:val="single" w:color="000000" w:sz="4" w:space="0"/>
              <w:left w:val="single" w:color="000000" w:sz="4" w:space="0"/>
              <w:bottom w:val="single" w:color="000000" w:sz="4" w:space="0"/>
              <w:right w:val="single" w:color="000000" w:sz="4" w:space="0"/>
            </w:tcBorders>
            <w:vAlign w:val="center"/>
          </w:tcPr>
          <w:p w14:paraId="083D078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28569F3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分析性能数据并提出优化建议</w:t>
            </w:r>
          </w:p>
        </w:tc>
      </w:tr>
      <w:tr w14:paraId="0405FB15">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63D4F4A3">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1.5.43</w:t>
            </w:r>
          </w:p>
        </w:tc>
        <w:tc>
          <w:tcPr>
            <w:tcW w:w="2749" w:type="dxa"/>
            <w:tcBorders>
              <w:top w:val="single" w:color="000000" w:sz="4" w:space="0"/>
              <w:left w:val="single" w:color="000000" w:sz="4" w:space="0"/>
              <w:bottom w:val="single" w:color="000000" w:sz="4" w:space="0"/>
              <w:right w:val="single" w:color="000000" w:sz="4" w:space="0"/>
            </w:tcBorders>
            <w:vAlign w:val="center"/>
          </w:tcPr>
          <w:p w14:paraId="7BB9ED6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26D465C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优化三维模型的算法以提升渲染速度</w:t>
            </w:r>
          </w:p>
        </w:tc>
      </w:tr>
      <w:tr w14:paraId="6B2F8500">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747DFC1D">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1.5.44</w:t>
            </w:r>
          </w:p>
        </w:tc>
        <w:tc>
          <w:tcPr>
            <w:tcW w:w="2749" w:type="dxa"/>
            <w:tcBorders>
              <w:top w:val="single" w:color="000000" w:sz="4" w:space="0"/>
              <w:left w:val="single" w:color="000000" w:sz="4" w:space="0"/>
              <w:bottom w:val="single" w:color="000000" w:sz="4" w:space="0"/>
              <w:right w:val="single" w:color="000000" w:sz="4" w:space="0"/>
            </w:tcBorders>
            <w:vAlign w:val="center"/>
          </w:tcPr>
          <w:p w14:paraId="203DDA2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7FE7AAB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改进虚拟生态环境的物理模拟性能</w:t>
            </w:r>
          </w:p>
        </w:tc>
      </w:tr>
      <w:tr w14:paraId="05103C13">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190E3CD3">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1.5.45</w:t>
            </w:r>
          </w:p>
        </w:tc>
        <w:tc>
          <w:tcPr>
            <w:tcW w:w="2749" w:type="dxa"/>
            <w:tcBorders>
              <w:top w:val="single" w:color="000000" w:sz="4" w:space="0"/>
              <w:left w:val="single" w:color="000000" w:sz="4" w:space="0"/>
              <w:bottom w:val="single" w:color="000000" w:sz="4" w:space="0"/>
              <w:right w:val="single" w:color="000000" w:sz="4" w:space="0"/>
            </w:tcBorders>
            <w:vAlign w:val="center"/>
          </w:tcPr>
          <w:p w14:paraId="52402CD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0304105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降低模型运行时的内存占用</w:t>
            </w:r>
          </w:p>
        </w:tc>
      </w:tr>
      <w:tr w14:paraId="68BF31BA">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5ADD663D">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1.5.46</w:t>
            </w:r>
          </w:p>
        </w:tc>
        <w:tc>
          <w:tcPr>
            <w:tcW w:w="2749" w:type="dxa"/>
            <w:tcBorders>
              <w:top w:val="single" w:color="000000" w:sz="4" w:space="0"/>
              <w:left w:val="single" w:color="000000" w:sz="4" w:space="0"/>
              <w:bottom w:val="single" w:color="000000" w:sz="4" w:space="0"/>
              <w:right w:val="single" w:color="000000" w:sz="4" w:space="0"/>
            </w:tcBorders>
            <w:vAlign w:val="center"/>
          </w:tcPr>
          <w:p w14:paraId="7AA81AF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1E2013C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三维模型拓扑结构优化</w:t>
            </w:r>
          </w:p>
        </w:tc>
      </w:tr>
      <w:tr w14:paraId="5E285278">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09E3A881">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1.5.47</w:t>
            </w:r>
          </w:p>
        </w:tc>
        <w:tc>
          <w:tcPr>
            <w:tcW w:w="2749" w:type="dxa"/>
            <w:tcBorders>
              <w:top w:val="single" w:color="000000" w:sz="4" w:space="0"/>
              <w:left w:val="single" w:color="000000" w:sz="4" w:space="0"/>
              <w:bottom w:val="single" w:color="000000" w:sz="4" w:space="0"/>
              <w:right w:val="single" w:color="000000" w:sz="4" w:space="0"/>
            </w:tcBorders>
            <w:vAlign w:val="center"/>
          </w:tcPr>
          <w:p w14:paraId="7DC420F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6831CE9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虚拟生态环境光照效果优化</w:t>
            </w:r>
          </w:p>
        </w:tc>
      </w:tr>
      <w:tr w14:paraId="766C2721">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4BF0BA42">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1.5.48</w:t>
            </w:r>
          </w:p>
        </w:tc>
        <w:tc>
          <w:tcPr>
            <w:tcW w:w="2749" w:type="dxa"/>
            <w:tcBorders>
              <w:top w:val="single" w:color="000000" w:sz="4" w:space="0"/>
              <w:left w:val="single" w:color="000000" w:sz="4" w:space="0"/>
              <w:bottom w:val="single" w:color="000000" w:sz="4" w:space="0"/>
              <w:right w:val="single" w:color="000000" w:sz="4" w:space="0"/>
            </w:tcBorders>
            <w:vAlign w:val="center"/>
          </w:tcPr>
          <w:p w14:paraId="6D2648B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70BFC2E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动态动画元素（模拟自然风效果）</w:t>
            </w:r>
          </w:p>
        </w:tc>
      </w:tr>
      <w:tr w14:paraId="58587CCF">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2E260B22">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1.5.49</w:t>
            </w:r>
          </w:p>
        </w:tc>
        <w:tc>
          <w:tcPr>
            <w:tcW w:w="2749" w:type="dxa"/>
            <w:tcBorders>
              <w:top w:val="single" w:color="000000" w:sz="4" w:space="0"/>
              <w:left w:val="single" w:color="000000" w:sz="4" w:space="0"/>
              <w:bottom w:val="single" w:color="000000" w:sz="4" w:space="0"/>
              <w:right w:val="single" w:color="000000" w:sz="4" w:space="0"/>
            </w:tcBorders>
            <w:vAlign w:val="center"/>
          </w:tcPr>
          <w:p w14:paraId="0485F1C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2199B57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场景生机动画</w:t>
            </w:r>
          </w:p>
        </w:tc>
      </w:tr>
      <w:tr w14:paraId="159BBBAA">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55B8FA9F">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1.5.50</w:t>
            </w:r>
          </w:p>
        </w:tc>
        <w:tc>
          <w:tcPr>
            <w:tcW w:w="2749" w:type="dxa"/>
            <w:tcBorders>
              <w:top w:val="single" w:color="000000" w:sz="4" w:space="0"/>
              <w:left w:val="single" w:color="000000" w:sz="4" w:space="0"/>
              <w:bottom w:val="single" w:color="000000" w:sz="4" w:space="0"/>
              <w:right w:val="single" w:color="000000" w:sz="4" w:space="0"/>
            </w:tcBorders>
            <w:vAlign w:val="center"/>
          </w:tcPr>
          <w:p w14:paraId="3473956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513782F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第一人称视角切换实现</w:t>
            </w:r>
          </w:p>
        </w:tc>
      </w:tr>
      <w:tr w14:paraId="5A71367C">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127B2B72">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1.5.51</w:t>
            </w:r>
          </w:p>
        </w:tc>
        <w:tc>
          <w:tcPr>
            <w:tcW w:w="2749" w:type="dxa"/>
            <w:tcBorders>
              <w:top w:val="single" w:color="000000" w:sz="4" w:space="0"/>
              <w:left w:val="single" w:color="000000" w:sz="4" w:space="0"/>
              <w:bottom w:val="single" w:color="000000" w:sz="4" w:space="0"/>
              <w:right w:val="single" w:color="000000" w:sz="4" w:space="0"/>
            </w:tcBorders>
            <w:vAlign w:val="center"/>
          </w:tcPr>
          <w:p w14:paraId="1A3E813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6AEFFBC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第三人称视角切换实现</w:t>
            </w:r>
          </w:p>
        </w:tc>
      </w:tr>
      <w:tr w14:paraId="5E4AEF26">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44442563">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1.5.52</w:t>
            </w:r>
          </w:p>
        </w:tc>
        <w:tc>
          <w:tcPr>
            <w:tcW w:w="2749" w:type="dxa"/>
            <w:tcBorders>
              <w:top w:val="single" w:color="000000" w:sz="4" w:space="0"/>
              <w:left w:val="single" w:color="000000" w:sz="4" w:space="0"/>
              <w:bottom w:val="single" w:color="000000" w:sz="4" w:space="0"/>
              <w:right w:val="single" w:color="000000" w:sz="4" w:space="0"/>
            </w:tcBorders>
            <w:vAlign w:val="center"/>
          </w:tcPr>
          <w:p w14:paraId="055B27D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1514845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自由视角切换实现</w:t>
            </w:r>
          </w:p>
        </w:tc>
      </w:tr>
      <w:tr w14:paraId="443DE6B3">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7BC576D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1.5.53</w:t>
            </w:r>
          </w:p>
        </w:tc>
        <w:tc>
          <w:tcPr>
            <w:tcW w:w="2749" w:type="dxa"/>
            <w:tcBorders>
              <w:top w:val="single" w:color="000000" w:sz="4" w:space="0"/>
              <w:left w:val="single" w:color="000000" w:sz="4" w:space="0"/>
              <w:bottom w:val="single" w:color="000000" w:sz="4" w:space="0"/>
              <w:right w:val="single" w:color="000000" w:sz="4" w:space="0"/>
            </w:tcBorders>
            <w:vAlign w:val="center"/>
          </w:tcPr>
          <w:p w14:paraId="616D27D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339E482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视角切换过渡动画的流畅度提升</w:t>
            </w:r>
          </w:p>
        </w:tc>
      </w:tr>
      <w:tr w14:paraId="4E06FDB9">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15C83806">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1.5.54</w:t>
            </w:r>
          </w:p>
        </w:tc>
        <w:tc>
          <w:tcPr>
            <w:tcW w:w="2749" w:type="dxa"/>
            <w:tcBorders>
              <w:top w:val="single" w:color="000000" w:sz="4" w:space="0"/>
              <w:left w:val="single" w:color="000000" w:sz="4" w:space="0"/>
              <w:bottom w:val="single" w:color="000000" w:sz="4" w:space="0"/>
              <w:right w:val="single" w:color="000000" w:sz="4" w:space="0"/>
            </w:tcBorders>
            <w:vAlign w:val="center"/>
          </w:tcPr>
          <w:p w14:paraId="3D19ED3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26AEF35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切换过渡动画设计</w:t>
            </w:r>
          </w:p>
        </w:tc>
      </w:tr>
      <w:tr w14:paraId="224DD306">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7D408901">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1.5.55</w:t>
            </w:r>
          </w:p>
        </w:tc>
        <w:tc>
          <w:tcPr>
            <w:tcW w:w="2749" w:type="dxa"/>
            <w:tcBorders>
              <w:top w:val="single" w:color="000000" w:sz="4" w:space="0"/>
              <w:left w:val="single" w:color="000000" w:sz="4" w:space="0"/>
              <w:bottom w:val="single" w:color="000000" w:sz="4" w:space="0"/>
              <w:right w:val="single" w:color="000000" w:sz="4" w:space="0"/>
            </w:tcBorders>
            <w:vAlign w:val="center"/>
          </w:tcPr>
          <w:p w14:paraId="2FD4F3A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17945D7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过渡时间调整</w:t>
            </w:r>
          </w:p>
        </w:tc>
      </w:tr>
      <w:tr w14:paraId="36EF6509">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1EA562AD">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1.5.56</w:t>
            </w:r>
          </w:p>
        </w:tc>
        <w:tc>
          <w:tcPr>
            <w:tcW w:w="2749" w:type="dxa"/>
            <w:tcBorders>
              <w:top w:val="single" w:color="000000" w:sz="4" w:space="0"/>
              <w:left w:val="single" w:color="000000" w:sz="4" w:space="0"/>
              <w:bottom w:val="single" w:color="000000" w:sz="4" w:space="0"/>
              <w:right w:val="single" w:color="000000" w:sz="4" w:space="0"/>
            </w:tcBorders>
            <w:vAlign w:val="center"/>
          </w:tcPr>
          <w:p w14:paraId="49C743F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7C88232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视角切换时添加视野模糊效果（模拟真实视觉变化）</w:t>
            </w:r>
          </w:p>
        </w:tc>
      </w:tr>
      <w:tr w14:paraId="78A84C1E">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1903CC5C">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1.5.57</w:t>
            </w:r>
          </w:p>
        </w:tc>
        <w:tc>
          <w:tcPr>
            <w:tcW w:w="2749" w:type="dxa"/>
            <w:tcBorders>
              <w:top w:val="single" w:color="000000" w:sz="4" w:space="0"/>
              <w:left w:val="single" w:color="000000" w:sz="4" w:space="0"/>
              <w:bottom w:val="single" w:color="000000" w:sz="4" w:space="0"/>
              <w:right w:val="single" w:color="000000" w:sz="4" w:space="0"/>
            </w:tcBorders>
            <w:vAlign w:val="center"/>
          </w:tcPr>
          <w:p w14:paraId="41C3A0D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08FE338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调整视野模糊效果的参数（模糊程度、持续时间）</w:t>
            </w:r>
          </w:p>
        </w:tc>
      </w:tr>
      <w:tr w14:paraId="24B05597">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6B7D23A4">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1.5.58</w:t>
            </w:r>
          </w:p>
        </w:tc>
        <w:tc>
          <w:tcPr>
            <w:tcW w:w="2749" w:type="dxa"/>
            <w:tcBorders>
              <w:top w:val="single" w:color="000000" w:sz="4" w:space="0"/>
              <w:left w:val="single" w:color="000000" w:sz="4" w:space="0"/>
              <w:bottom w:val="single" w:color="000000" w:sz="4" w:space="0"/>
              <w:right w:val="single" w:color="000000" w:sz="4" w:space="0"/>
            </w:tcBorders>
            <w:vAlign w:val="center"/>
          </w:tcPr>
          <w:p w14:paraId="3ACD377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6DD50DC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视角切换最大角度限制设定</w:t>
            </w:r>
          </w:p>
        </w:tc>
      </w:tr>
      <w:tr w14:paraId="22693A87">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1BD041B2">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1.5.59</w:t>
            </w:r>
          </w:p>
        </w:tc>
        <w:tc>
          <w:tcPr>
            <w:tcW w:w="2749" w:type="dxa"/>
            <w:tcBorders>
              <w:top w:val="single" w:color="000000" w:sz="4" w:space="0"/>
              <w:left w:val="single" w:color="000000" w:sz="4" w:space="0"/>
              <w:bottom w:val="single" w:color="000000" w:sz="4" w:space="0"/>
              <w:right w:val="single" w:color="000000" w:sz="4" w:space="0"/>
            </w:tcBorders>
            <w:vAlign w:val="center"/>
          </w:tcPr>
          <w:p w14:paraId="1F751A3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6A7B6D9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视角切换最小速度限制设定</w:t>
            </w:r>
          </w:p>
        </w:tc>
      </w:tr>
      <w:tr w14:paraId="5DAC3DF0">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39F719EC">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1.5.60</w:t>
            </w:r>
          </w:p>
        </w:tc>
        <w:tc>
          <w:tcPr>
            <w:tcW w:w="2749" w:type="dxa"/>
            <w:tcBorders>
              <w:top w:val="single" w:color="000000" w:sz="4" w:space="0"/>
              <w:left w:val="single" w:color="000000" w:sz="4" w:space="0"/>
              <w:bottom w:val="single" w:color="000000" w:sz="4" w:space="0"/>
              <w:right w:val="single" w:color="000000" w:sz="4" w:space="0"/>
            </w:tcBorders>
            <w:vAlign w:val="center"/>
          </w:tcPr>
          <w:p w14:paraId="57AA342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379F5F3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视角切换的最大旋转角度限制调整</w:t>
            </w:r>
          </w:p>
        </w:tc>
      </w:tr>
      <w:tr w14:paraId="698CF184">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33D10185">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1.5.61</w:t>
            </w:r>
          </w:p>
        </w:tc>
        <w:tc>
          <w:tcPr>
            <w:tcW w:w="2749" w:type="dxa"/>
            <w:tcBorders>
              <w:top w:val="single" w:color="000000" w:sz="4" w:space="0"/>
              <w:left w:val="single" w:color="000000" w:sz="4" w:space="0"/>
              <w:bottom w:val="single" w:color="000000" w:sz="4" w:space="0"/>
              <w:right w:val="single" w:color="000000" w:sz="4" w:space="0"/>
            </w:tcBorders>
            <w:vAlign w:val="center"/>
          </w:tcPr>
          <w:p w14:paraId="7434234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0F3A647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视角切换的最小旋转速度限制调整</w:t>
            </w:r>
          </w:p>
        </w:tc>
      </w:tr>
      <w:tr w14:paraId="7D146201">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5F1A31CA">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1.5.62</w:t>
            </w:r>
          </w:p>
        </w:tc>
        <w:tc>
          <w:tcPr>
            <w:tcW w:w="2749" w:type="dxa"/>
            <w:tcBorders>
              <w:top w:val="single" w:color="000000" w:sz="4" w:space="0"/>
              <w:left w:val="single" w:color="000000" w:sz="4" w:space="0"/>
              <w:bottom w:val="single" w:color="000000" w:sz="4" w:space="0"/>
              <w:right w:val="single" w:color="000000" w:sz="4" w:space="0"/>
            </w:tcBorders>
            <w:vAlign w:val="center"/>
          </w:tcPr>
          <w:p w14:paraId="0AF4EE4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7164B4E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虚拟环境漫游边界的定义与调整</w:t>
            </w:r>
          </w:p>
        </w:tc>
      </w:tr>
      <w:tr w14:paraId="561EDAEB">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1200A8D1">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1.5.63</w:t>
            </w:r>
          </w:p>
        </w:tc>
        <w:tc>
          <w:tcPr>
            <w:tcW w:w="2749" w:type="dxa"/>
            <w:tcBorders>
              <w:top w:val="single" w:color="000000" w:sz="4" w:space="0"/>
              <w:left w:val="single" w:color="000000" w:sz="4" w:space="0"/>
              <w:bottom w:val="single" w:color="000000" w:sz="4" w:space="0"/>
              <w:right w:val="single" w:color="000000" w:sz="4" w:space="0"/>
            </w:tcBorders>
            <w:vAlign w:val="center"/>
          </w:tcPr>
          <w:p w14:paraId="3E59157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7A9A6C1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为漫游操作添加惯性效果（模拟真实移动）</w:t>
            </w:r>
          </w:p>
        </w:tc>
      </w:tr>
      <w:tr w14:paraId="2592DEFE">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78C14F45">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1.5.64</w:t>
            </w:r>
          </w:p>
        </w:tc>
        <w:tc>
          <w:tcPr>
            <w:tcW w:w="2749" w:type="dxa"/>
            <w:tcBorders>
              <w:top w:val="single" w:color="000000" w:sz="4" w:space="0"/>
              <w:left w:val="single" w:color="000000" w:sz="4" w:space="0"/>
              <w:bottom w:val="single" w:color="000000" w:sz="4" w:space="0"/>
              <w:right w:val="single" w:color="000000" w:sz="4" w:space="0"/>
            </w:tcBorders>
            <w:vAlign w:val="center"/>
          </w:tcPr>
          <w:p w14:paraId="2B0B0B7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61C3C8B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平移操作实现（前后移动）</w:t>
            </w:r>
          </w:p>
        </w:tc>
      </w:tr>
      <w:tr w14:paraId="483F4274">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0E817B83">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1.5.65</w:t>
            </w:r>
          </w:p>
        </w:tc>
        <w:tc>
          <w:tcPr>
            <w:tcW w:w="2749" w:type="dxa"/>
            <w:tcBorders>
              <w:top w:val="single" w:color="000000" w:sz="4" w:space="0"/>
              <w:left w:val="single" w:color="000000" w:sz="4" w:space="0"/>
              <w:bottom w:val="single" w:color="000000" w:sz="4" w:space="0"/>
              <w:right w:val="single" w:color="000000" w:sz="4" w:space="0"/>
            </w:tcBorders>
            <w:vAlign w:val="center"/>
          </w:tcPr>
          <w:p w14:paraId="186BFDC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01F35CB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平移操作实现（左右移动）</w:t>
            </w:r>
          </w:p>
        </w:tc>
      </w:tr>
      <w:tr w14:paraId="57D31C7E">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3DE5358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1.5.66</w:t>
            </w:r>
          </w:p>
        </w:tc>
        <w:tc>
          <w:tcPr>
            <w:tcW w:w="2749" w:type="dxa"/>
            <w:tcBorders>
              <w:top w:val="single" w:color="000000" w:sz="4" w:space="0"/>
              <w:left w:val="single" w:color="000000" w:sz="4" w:space="0"/>
              <w:bottom w:val="single" w:color="000000" w:sz="4" w:space="0"/>
              <w:right w:val="single" w:color="000000" w:sz="4" w:space="0"/>
            </w:tcBorders>
            <w:vAlign w:val="center"/>
          </w:tcPr>
          <w:p w14:paraId="1D4370A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3F44C29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缩放操作实现（拉近视角）</w:t>
            </w:r>
          </w:p>
        </w:tc>
      </w:tr>
      <w:tr w14:paraId="4927DC1D">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58F8ED61">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1.5.67</w:t>
            </w:r>
          </w:p>
        </w:tc>
        <w:tc>
          <w:tcPr>
            <w:tcW w:w="2749" w:type="dxa"/>
            <w:tcBorders>
              <w:top w:val="single" w:color="000000" w:sz="4" w:space="0"/>
              <w:left w:val="single" w:color="000000" w:sz="4" w:space="0"/>
              <w:bottom w:val="single" w:color="000000" w:sz="4" w:space="0"/>
              <w:right w:val="single" w:color="000000" w:sz="4" w:space="0"/>
            </w:tcBorders>
            <w:vAlign w:val="center"/>
          </w:tcPr>
          <w:p w14:paraId="60B799B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7E9229B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缩放操作实现（拉远视角）</w:t>
            </w:r>
          </w:p>
        </w:tc>
      </w:tr>
      <w:tr w14:paraId="2901F436">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1934279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1.5.68</w:t>
            </w:r>
          </w:p>
        </w:tc>
        <w:tc>
          <w:tcPr>
            <w:tcW w:w="2749" w:type="dxa"/>
            <w:tcBorders>
              <w:top w:val="single" w:color="000000" w:sz="4" w:space="0"/>
              <w:left w:val="single" w:color="000000" w:sz="4" w:space="0"/>
              <w:bottom w:val="single" w:color="000000" w:sz="4" w:space="0"/>
              <w:right w:val="single" w:color="000000" w:sz="4" w:space="0"/>
            </w:tcBorders>
            <w:vAlign w:val="center"/>
          </w:tcPr>
          <w:p w14:paraId="00DFB90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21CA0DF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漫游速度调整功能实现</w:t>
            </w:r>
          </w:p>
        </w:tc>
      </w:tr>
      <w:tr w14:paraId="162689FC">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4B0273BD">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1.5.69</w:t>
            </w:r>
          </w:p>
        </w:tc>
        <w:tc>
          <w:tcPr>
            <w:tcW w:w="2749" w:type="dxa"/>
            <w:tcBorders>
              <w:top w:val="single" w:color="000000" w:sz="4" w:space="0"/>
              <w:left w:val="single" w:color="000000" w:sz="4" w:space="0"/>
              <w:bottom w:val="single" w:color="000000" w:sz="4" w:space="0"/>
              <w:right w:val="single" w:color="000000" w:sz="4" w:space="0"/>
            </w:tcBorders>
            <w:vAlign w:val="center"/>
          </w:tcPr>
          <w:p w14:paraId="381EF56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16B823F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实现漫游路径动态设置</w:t>
            </w:r>
          </w:p>
        </w:tc>
      </w:tr>
      <w:tr w14:paraId="1F6F9641">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5F8858DE">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1.5.70</w:t>
            </w:r>
          </w:p>
        </w:tc>
        <w:tc>
          <w:tcPr>
            <w:tcW w:w="2749" w:type="dxa"/>
            <w:tcBorders>
              <w:top w:val="single" w:color="000000" w:sz="4" w:space="0"/>
              <w:left w:val="single" w:color="000000" w:sz="4" w:space="0"/>
              <w:bottom w:val="single" w:color="000000" w:sz="4" w:space="0"/>
              <w:right w:val="single" w:color="000000" w:sz="4" w:space="0"/>
            </w:tcBorders>
            <w:vAlign w:val="center"/>
          </w:tcPr>
          <w:p w14:paraId="0CC6321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2A7B5B7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设置特定区域的禁止漫游功能</w:t>
            </w:r>
          </w:p>
        </w:tc>
      </w:tr>
      <w:tr w14:paraId="3ECACF1E">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16E406D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1.5.71</w:t>
            </w:r>
          </w:p>
        </w:tc>
        <w:tc>
          <w:tcPr>
            <w:tcW w:w="2749" w:type="dxa"/>
            <w:tcBorders>
              <w:top w:val="single" w:color="000000" w:sz="4" w:space="0"/>
              <w:left w:val="single" w:color="000000" w:sz="4" w:space="0"/>
              <w:bottom w:val="single" w:color="000000" w:sz="4" w:space="0"/>
              <w:right w:val="single" w:color="000000" w:sz="4" w:space="0"/>
            </w:tcBorders>
            <w:vAlign w:val="center"/>
          </w:tcPr>
          <w:p w14:paraId="44E74E0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78A9604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与植物模型碰撞检测</w:t>
            </w:r>
          </w:p>
        </w:tc>
      </w:tr>
      <w:tr w14:paraId="5FE9F764">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05787A4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1.5.72</w:t>
            </w:r>
          </w:p>
        </w:tc>
        <w:tc>
          <w:tcPr>
            <w:tcW w:w="2749" w:type="dxa"/>
            <w:tcBorders>
              <w:top w:val="single" w:color="000000" w:sz="4" w:space="0"/>
              <w:left w:val="single" w:color="000000" w:sz="4" w:space="0"/>
              <w:bottom w:val="single" w:color="000000" w:sz="4" w:space="0"/>
              <w:right w:val="single" w:color="000000" w:sz="4" w:space="0"/>
            </w:tcBorders>
            <w:vAlign w:val="center"/>
          </w:tcPr>
          <w:p w14:paraId="79F7E17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35916CB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与地形碰撞检测</w:t>
            </w:r>
          </w:p>
        </w:tc>
      </w:tr>
      <w:tr w14:paraId="1E3753C4">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2DC4AD31">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1.5.73</w:t>
            </w:r>
          </w:p>
        </w:tc>
        <w:tc>
          <w:tcPr>
            <w:tcW w:w="2749" w:type="dxa"/>
            <w:tcBorders>
              <w:top w:val="single" w:color="000000" w:sz="4" w:space="0"/>
              <w:left w:val="single" w:color="000000" w:sz="4" w:space="0"/>
              <w:bottom w:val="single" w:color="000000" w:sz="4" w:space="0"/>
              <w:right w:val="single" w:color="000000" w:sz="4" w:space="0"/>
            </w:tcBorders>
            <w:vAlign w:val="center"/>
          </w:tcPr>
          <w:p w14:paraId="6D34FFE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254AF9B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碰撞后的响应处理（反弹、停止等）</w:t>
            </w:r>
          </w:p>
        </w:tc>
      </w:tr>
      <w:tr w14:paraId="4C44CF5F">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4B9538C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1.5.74</w:t>
            </w:r>
          </w:p>
        </w:tc>
        <w:tc>
          <w:tcPr>
            <w:tcW w:w="2749" w:type="dxa"/>
            <w:tcBorders>
              <w:top w:val="single" w:color="000000" w:sz="4" w:space="0"/>
              <w:left w:val="single" w:color="000000" w:sz="4" w:space="0"/>
              <w:bottom w:val="single" w:color="000000" w:sz="4" w:space="0"/>
              <w:right w:val="single" w:color="000000" w:sz="4" w:space="0"/>
            </w:tcBorders>
            <w:vAlign w:val="center"/>
          </w:tcPr>
          <w:p w14:paraId="36B01B7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1D1955C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显示植物群落物种信息</w:t>
            </w:r>
          </w:p>
        </w:tc>
      </w:tr>
      <w:tr w14:paraId="25DC358F">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06D46082">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1.5.75</w:t>
            </w:r>
          </w:p>
        </w:tc>
        <w:tc>
          <w:tcPr>
            <w:tcW w:w="2749" w:type="dxa"/>
            <w:tcBorders>
              <w:top w:val="single" w:color="000000" w:sz="4" w:space="0"/>
              <w:left w:val="single" w:color="000000" w:sz="4" w:space="0"/>
              <w:bottom w:val="single" w:color="000000" w:sz="4" w:space="0"/>
              <w:right w:val="single" w:color="000000" w:sz="4" w:space="0"/>
            </w:tcBorders>
            <w:vAlign w:val="center"/>
          </w:tcPr>
          <w:p w14:paraId="1C870B6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03CD66C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显示生态区域边界信息</w:t>
            </w:r>
          </w:p>
        </w:tc>
      </w:tr>
      <w:tr w14:paraId="09C1C551">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0BFF6487">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1.5.76</w:t>
            </w:r>
          </w:p>
        </w:tc>
        <w:tc>
          <w:tcPr>
            <w:tcW w:w="2749" w:type="dxa"/>
            <w:tcBorders>
              <w:top w:val="single" w:color="000000" w:sz="4" w:space="0"/>
              <w:left w:val="single" w:color="000000" w:sz="4" w:space="0"/>
              <w:bottom w:val="single" w:color="000000" w:sz="4" w:space="0"/>
              <w:right w:val="single" w:color="000000" w:sz="4" w:space="0"/>
            </w:tcBorders>
            <w:vAlign w:val="center"/>
          </w:tcPr>
          <w:p w14:paraId="5FC03DA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6D09E26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漫游时生态数据实时更新</w:t>
            </w:r>
          </w:p>
        </w:tc>
      </w:tr>
      <w:tr w14:paraId="0EFDA9C4">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69BB7935">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1.5.77</w:t>
            </w:r>
          </w:p>
        </w:tc>
        <w:tc>
          <w:tcPr>
            <w:tcW w:w="2749" w:type="dxa"/>
            <w:tcBorders>
              <w:top w:val="single" w:color="000000" w:sz="4" w:space="0"/>
              <w:left w:val="single" w:color="000000" w:sz="4" w:space="0"/>
              <w:bottom w:val="single" w:color="000000" w:sz="4" w:space="0"/>
              <w:right w:val="single" w:color="000000" w:sz="4" w:space="0"/>
            </w:tcBorders>
            <w:vAlign w:val="center"/>
          </w:tcPr>
          <w:p w14:paraId="5825DCB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3F9138F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点击数据查看详细信息功能实现</w:t>
            </w:r>
          </w:p>
        </w:tc>
      </w:tr>
      <w:tr w14:paraId="54FD59C0">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34667462">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1.6</w:t>
            </w:r>
          </w:p>
        </w:tc>
        <w:tc>
          <w:tcPr>
            <w:tcW w:w="2749" w:type="dxa"/>
            <w:tcBorders>
              <w:top w:val="single" w:color="000000" w:sz="4" w:space="0"/>
              <w:left w:val="single" w:color="000000" w:sz="4" w:space="0"/>
              <w:bottom w:val="single" w:color="000000" w:sz="4" w:space="0"/>
              <w:right w:val="single" w:color="000000" w:sz="4" w:space="0"/>
            </w:tcBorders>
            <w:vAlign w:val="center"/>
          </w:tcPr>
          <w:p w14:paraId="598BA59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模型动画制作与绑定</w:t>
            </w:r>
          </w:p>
        </w:tc>
        <w:tc>
          <w:tcPr>
            <w:tcW w:w="10047" w:type="dxa"/>
            <w:tcBorders>
              <w:top w:val="single" w:color="000000" w:sz="4" w:space="0"/>
              <w:left w:val="single" w:color="000000" w:sz="4" w:space="0"/>
              <w:bottom w:val="single" w:color="000000" w:sz="4" w:space="0"/>
              <w:right w:val="single" w:color="000000" w:sz="4" w:space="0"/>
            </w:tcBorders>
            <w:vAlign w:val="center"/>
          </w:tcPr>
          <w:p w14:paraId="5D5BC74D">
            <w:pPr>
              <w:spacing w:line="240" w:lineRule="auto"/>
              <w:ind w:firstLine="0" w:firstLineChars="0"/>
              <w:rPr>
                <w:rFonts w:hint="eastAsia" w:ascii="宋体" w:hAnsi="宋体" w:cs="宋体"/>
                <w:color w:val="auto"/>
                <w:sz w:val="20"/>
                <w:szCs w:val="20"/>
              </w:rPr>
            </w:pPr>
          </w:p>
        </w:tc>
      </w:tr>
      <w:tr w14:paraId="249B106C">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1668EFB9">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1.6.1</w:t>
            </w:r>
          </w:p>
        </w:tc>
        <w:tc>
          <w:tcPr>
            <w:tcW w:w="2749" w:type="dxa"/>
            <w:tcBorders>
              <w:top w:val="single" w:color="000000" w:sz="4" w:space="0"/>
              <w:left w:val="single" w:color="000000" w:sz="4" w:space="0"/>
              <w:bottom w:val="single" w:color="000000" w:sz="4" w:space="0"/>
              <w:right w:val="single" w:color="000000" w:sz="4" w:space="0"/>
            </w:tcBorders>
            <w:vAlign w:val="center"/>
          </w:tcPr>
          <w:p w14:paraId="52C13EE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模型动画制作与绑定</w:t>
            </w:r>
          </w:p>
        </w:tc>
        <w:tc>
          <w:tcPr>
            <w:tcW w:w="10047" w:type="dxa"/>
            <w:tcBorders>
              <w:top w:val="single" w:color="000000" w:sz="4" w:space="0"/>
              <w:left w:val="single" w:color="000000" w:sz="4" w:space="0"/>
              <w:bottom w:val="single" w:color="000000" w:sz="4" w:space="0"/>
              <w:right w:val="single" w:color="000000" w:sz="4" w:space="0"/>
            </w:tcBorders>
            <w:vAlign w:val="center"/>
          </w:tcPr>
          <w:p w14:paraId="5A982F8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骨架生成</w:t>
            </w:r>
          </w:p>
        </w:tc>
      </w:tr>
      <w:tr w14:paraId="0257C5AA">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6BD1CFC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1.6.2</w:t>
            </w:r>
          </w:p>
        </w:tc>
        <w:tc>
          <w:tcPr>
            <w:tcW w:w="2749" w:type="dxa"/>
            <w:tcBorders>
              <w:top w:val="single" w:color="000000" w:sz="4" w:space="0"/>
              <w:left w:val="single" w:color="000000" w:sz="4" w:space="0"/>
              <w:bottom w:val="single" w:color="000000" w:sz="4" w:space="0"/>
              <w:right w:val="single" w:color="000000" w:sz="4" w:space="0"/>
            </w:tcBorders>
            <w:vAlign w:val="center"/>
          </w:tcPr>
          <w:p w14:paraId="6B1D0F9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模型动画制作与绑定</w:t>
            </w:r>
          </w:p>
        </w:tc>
        <w:tc>
          <w:tcPr>
            <w:tcW w:w="10047" w:type="dxa"/>
            <w:tcBorders>
              <w:top w:val="single" w:color="000000" w:sz="4" w:space="0"/>
              <w:left w:val="single" w:color="000000" w:sz="4" w:space="0"/>
              <w:bottom w:val="single" w:color="000000" w:sz="4" w:space="0"/>
              <w:right w:val="single" w:color="000000" w:sz="4" w:space="0"/>
            </w:tcBorders>
            <w:vAlign w:val="center"/>
          </w:tcPr>
          <w:p w14:paraId="54ECB98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控制器系统</w:t>
            </w:r>
          </w:p>
        </w:tc>
      </w:tr>
      <w:tr w14:paraId="1E25A023">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7C46AA0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1.6.3</w:t>
            </w:r>
          </w:p>
        </w:tc>
        <w:tc>
          <w:tcPr>
            <w:tcW w:w="2749" w:type="dxa"/>
            <w:tcBorders>
              <w:top w:val="single" w:color="000000" w:sz="4" w:space="0"/>
              <w:left w:val="single" w:color="000000" w:sz="4" w:space="0"/>
              <w:bottom w:val="single" w:color="000000" w:sz="4" w:space="0"/>
              <w:right w:val="single" w:color="000000" w:sz="4" w:space="0"/>
            </w:tcBorders>
            <w:vAlign w:val="center"/>
          </w:tcPr>
          <w:p w14:paraId="3DF4B86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模型动画制作与绑定</w:t>
            </w:r>
          </w:p>
        </w:tc>
        <w:tc>
          <w:tcPr>
            <w:tcW w:w="10047" w:type="dxa"/>
            <w:tcBorders>
              <w:top w:val="single" w:color="000000" w:sz="4" w:space="0"/>
              <w:left w:val="single" w:color="000000" w:sz="4" w:space="0"/>
              <w:bottom w:val="single" w:color="000000" w:sz="4" w:space="0"/>
              <w:right w:val="single" w:color="000000" w:sz="4" w:space="0"/>
            </w:tcBorders>
            <w:vAlign w:val="center"/>
          </w:tcPr>
          <w:p w14:paraId="70529E9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权重绘制</w:t>
            </w:r>
          </w:p>
        </w:tc>
      </w:tr>
      <w:tr w14:paraId="7776026A">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247D19E9">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1.6.4</w:t>
            </w:r>
          </w:p>
        </w:tc>
        <w:tc>
          <w:tcPr>
            <w:tcW w:w="2749" w:type="dxa"/>
            <w:tcBorders>
              <w:top w:val="single" w:color="000000" w:sz="4" w:space="0"/>
              <w:left w:val="single" w:color="000000" w:sz="4" w:space="0"/>
              <w:bottom w:val="single" w:color="000000" w:sz="4" w:space="0"/>
              <w:right w:val="single" w:color="000000" w:sz="4" w:space="0"/>
            </w:tcBorders>
            <w:vAlign w:val="center"/>
          </w:tcPr>
          <w:p w14:paraId="6E57C62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模型动画制作与绑定</w:t>
            </w:r>
          </w:p>
        </w:tc>
        <w:tc>
          <w:tcPr>
            <w:tcW w:w="10047" w:type="dxa"/>
            <w:tcBorders>
              <w:top w:val="single" w:color="000000" w:sz="4" w:space="0"/>
              <w:left w:val="single" w:color="000000" w:sz="4" w:space="0"/>
              <w:bottom w:val="single" w:color="000000" w:sz="4" w:space="0"/>
              <w:right w:val="single" w:color="000000" w:sz="4" w:space="0"/>
            </w:tcBorders>
            <w:vAlign w:val="center"/>
          </w:tcPr>
          <w:p w14:paraId="38599D1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关键帧动画</w:t>
            </w:r>
          </w:p>
        </w:tc>
      </w:tr>
      <w:tr w14:paraId="66F6ACF4">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05479393">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1.6.5</w:t>
            </w:r>
          </w:p>
        </w:tc>
        <w:tc>
          <w:tcPr>
            <w:tcW w:w="2749" w:type="dxa"/>
            <w:tcBorders>
              <w:top w:val="single" w:color="000000" w:sz="4" w:space="0"/>
              <w:left w:val="single" w:color="000000" w:sz="4" w:space="0"/>
              <w:bottom w:val="single" w:color="000000" w:sz="4" w:space="0"/>
              <w:right w:val="single" w:color="000000" w:sz="4" w:space="0"/>
            </w:tcBorders>
            <w:vAlign w:val="center"/>
          </w:tcPr>
          <w:p w14:paraId="25F513A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模型动画制作与绑定</w:t>
            </w:r>
          </w:p>
        </w:tc>
        <w:tc>
          <w:tcPr>
            <w:tcW w:w="10047" w:type="dxa"/>
            <w:tcBorders>
              <w:top w:val="single" w:color="000000" w:sz="4" w:space="0"/>
              <w:left w:val="single" w:color="000000" w:sz="4" w:space="0"/>
              <w:bottom w:val="single" w:color="000000" w:sz="4" w:space="0"/>
              <w:right w:val="single" w:color="000000" w:sz="4" w:space="0"/>
            </w:tcBorders>
            <w:vAlign w:val="center"/>
          </w:tcPr>
          <w:p w14:paraId="45FF5EF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动作捕捉融合</w:t>
            </w:r>
          </w:p>
        </w:tc>
      </w:tr>
      <w:tr w14:paraId="4F25ECF8">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2055EC07">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1.6.6</w:t>
            </w:r>
          </w:p>
        </w:tc>
        <w:tc>
          <w:tcPr>
            <w:tcW w:w="2749" w:type="dxa"/>
            <w:tcBorders>
              <w:top w:val="single" w:color="000000" w:sz="4" w:space="0"/>
              <w:left w:val="single" w:color="000000" w:sz="4" w:space="0"/>
              <w:bottom w:val="single" w:color="000000" w:sz="4" w:space="0"/>
              <w:right w:val="single" w:color="000000" w:sz="4" w:space="0"/>
            </w:tcBorders>
            <w:vAlign w:val="center"/>
          </w:tcPr>
          <w:p w14:paraId="1B4C84C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模型动画制作与绑定</w:t>
            </w:r>
          </w:p>
        </w:tc>
        <w:tc>
          <w:tcPr>
            <w:tcW w:w="10047" w:type="dxa"/>
            <w:tcBorders>
              <w:top w:val="single" w:color="000000" w:sz="4" w:space="0"/>
              <w:left w:val="single" w:color="000000" w:sz="4" w:space="0"/>
              <w:bottom w:val="single" w:color="000000" w:sz="4" w:space="0"/>
              <w:right w:val="single" w:color="000000" w:sz="4" w:space="0"/>
            </w:tcBorders>
            <w:vAlign w:val="center"/>
          </w:tcPr>
          <w:p w14:paraId="618EEE5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程序化运动</w:t>
            </w:r>
          </w:p>
        </w:tc>
      </w:tr>
      <w:tr w14:paraId="03F9873E">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7D00C1A7">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1.6.7</w:t>
            </w:r>
          </w:p>
        </w:tc>
        <w:tc>
          <w:tcPr>
            <w:tcW w:w="2749" w:type="dxa"/>
            <w:tcBorders>
              <w:top w:val="single" w:color="000000" w:sz="4" w:space="0"/>
              <w:left w:val="single" w:color="000000" w:sz="4" w:space="0"/>
              <w:bottom w:val="single" w:color="000000" w:sz="4" w:space="0"/>
              <w:right w:val="single" w:color="000000" w:sz="4" w:space="0"/>
            </w:tcBorders>
            <w:vAlign w:val="center"/>
          </w:tcPr>
          <w:p w14:paraId="2112228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模型动画制作与绑定</w:t>
            </w:r>
          </w:p>
        </w:tc>
        <w:tc>
          <w:tcPr>
            <w:tcW w:w="10047" w:type="dxa"/>
            <w:tcBorders>
              <w:top w:val="single" w:color="000000" w:sz="4" w:space="0"/>
              <w:left w:val="single" w:color="000000" w:sz="4" w:space="0"/>
              <w:bottom w:val="single" w:color="000000" w:sz="4" w:space="0"/>
              <w:right w:val="single" w:color="000000" w:sz="4" w:space="0"/>
            </w:tcBorders>
            <w:vAlign w:val="center"/>
          </w:tcPr>
          <w:p w14:paraId="4FC3361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量子物理解算</w:t>
            </w:r>
          </w:p>
        </w:tc>
      </w:tr>
      <w:tr w14:paraId="44FFD0F8">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16C6003C">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1.6.8</w:t>
            </w:r>
          </w:p>
        </w:tc>
        <w:tc>
          <w:tcPr>
            <w:tcW w:w="2749" w:type="dxa"/>
            <w:tcBorders>
              <w:top w:val="single" w:color="000000" w:sz="4" w:space="0"/>
              <w:left w:val="single" w:color="000000" w:sz="4" w:space="0"/>
              <w:bottom w:val="single" w:color="000000" w:sz="4" w:space="0"/>
              <w:right w:val="single" w:color="000000" w:sz="4" w:space="0"/>
            </w:tcBorders>
            <w:vAlign w:val="center"/>
          </w:tcPr>
          <w:p w14:paraId="4503C5C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模型动画制作与绑定</w:t>
            </w:r>
          </w:p>
        </w:tc>
        <w:tc>
          <w:tcPr>
            <w:tcW w:w="10047" w:type="dxa"/>
            <w:tcBorders>
              <w:top w:val="single" w:color="000000" w:sz="4" w:space="0"/>
              <w:left w:val="single" w:color="000000" w:sz="4" w:space="0"/>
              <w:bottom w:val="single" w:color="000000" w:sz="4" w:space="0"/>
              <w:right w:val="single" w:color="000000" w:sz="4" w:space="0"/>
            </w:tcBorders>
            <w:vAlign w:val="center"/>
          </w:tcPr>
          <w:p w14:paraId="3CC838A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流体/布料模拟</w:t>
            </w:r>
          </w:p>
        </w:tc>
      </w:tr>
      <w:tr w14:paraId="0290498B">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25009642">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1.6.9</w:t>
            </w:r>
          </w:p>
        </w:tc>
        <w:tc>
          <w:tcPr>
            <w:tcW w:w="2749" w:type="dxa"/>
            <w:tcBorders>
              <w:top w:val="single" w:color="000000" w:sz="4" w:space="0"/>
              <w:left w:val="single" w:color="000000" w:sz="4" w:space="0"/>
              <w:bottom w:val="single" w:color="000000" w:sz="4" w:space="0"/>
              <w:right w:val="single" w:color="000000" w:sz="4" w:space="0"/>
            </w:tcBorders>
            <w:vAlign w:val="center"/>
          </w:tcPr>
          <w:p w14:paraId="2291257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模型动画制作与绑定</w:t>
            </w:r>
          </w:p>
        </w:tc>
        <w:tc>
          <w:tcPr>
            <w:tcW w:w="10047" w:type="dxa"/>
            <w:tcBorders>
              <w:top w:val="single" w:color="000000" w:sz="4" w:space="0"/>
              <w:left w:val="single" w:color="000000" w:sz="4" w:space="0"/>
              <w:bottom w:val="single" w:color="000000" w:sz="4" w:space="0"/>
              <w:right w:val="single" w:color="000000" w:sz="4" w:space="0"/>
            </w:tcBorders>
            <w:vAlign w:val="center"/>
          </w:tcPr>
          <w:p w14:paraId="3557F92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生物运动验证</w:t>
            </w:r>
          </w:p>
        </w:tc>
      </w:tr>
      <w:tr w14:paraId="38FAF3B0">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74621AF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1.7</w:t>
            </w:r>
          </w:p>
        </w:tc>
        <w:tc>
          <w:tcPr>
            <w:tcW w:w="2749" w:type="dxa"/>
            <w:tcBorders>
              <w:top w:val="single" w:color="000000" w:sz="4" w:space="0"/>
              <w:left w:val="single" w:color="000000" w:sz="4" w:space="0"/>
              <w:bottom w:val="single" w:color="000000" w:sz="4" w:space="0"/>
              <w:right w:val="single" w:color="000000" w:sz="4" w:space="0"/>
            </w:tcBorders>
            <w:vAlign w:val="center"/>
          </w:tcPr>
          <w:p w14:paraId="72B205F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三维模型调优</w:t>
            </w:r>
          </w:p>
        </w:tc>
        <w:tc>
          <w:tcPr>
            <w:tcW w:w="10047" w:type="dxa"/>
            <w:tcBorders>
              <w:top w:val="single" w:color="000000" w:sz="4" w:space="0"/>
              <w:left w:val="single" w:color="000000" w:sz="4" w:space="0"/>
              <w:bottom w:val="single" w:color="000000" w:sz="4" w:space="0"/>
              <w:right w:val="single" w:color="000000" w:sz="4" w:space="0"/>
            </w:tcBorders>
            <w:vAlign w:val="center"/>
          </w:tcPr>
          <w:p w14:paraId="329B01F0">
            <w:pPr>
              <w:spacing w:line="240" w:lineRule="auto"/>
              <w:ind w:firstLine="0" w:firstLineChars="0"/>
              <w:rPr>
                <w:rFonts w:hint="eastAsia" w:ascii="宋体" w:hAnsi="宋体" w:cs="宋体"/>
                <w:color w:val="auto"/>
                <w:sz w:val="20"/>
                <w:szCs w:val="20"/>
              </w:rPr>
            </w:pPr>
          </w:p>
        </w:tc>
      </w:tr>
      <w:tr w14:paraId="5FA3235D">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0E63813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1.7.1</w:t>
            </w:r>
          </w:p>
        </w:tc>
        <w:tc>
          <w:tcPr>
            <w:tcW w:w="2749" w:type="dxa"/>
            <w:tcBorders>
              <w:top w:val="single" w:color="000000" w:sz="4" w:space="0"/>
              <w:left w:val="single" w:color="000000" w:sz="4" w:space="0"/>
              <w:bottom w:val="single" w:color="000000" w:sz="4" w:space="0"/>
              <w:right w:val="single" w:color="000000" w:sz="4" w:space="0"/>
            </w:tcBorders>
            <w:vAlign w:val="center"/>
          </w:tcPr>
          <w:p w14:paraId="1A61633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三维模型调优</w:t>
            </w:r>
          </w:p>
        </w:tc>
        <w:tc>
          <w:tcPr>
            <w:tcW w:w="10047" w:type="dxa"/>
            <w:tcBorders>
              <w:top w:val="single" w:color="000000" w:sz="4" w:space="0"/>
              <w:left w:val="single" w:color="000000" w:sz="4" w:space="0"/>
              <w:bottom w:val="single" w:color="000000" w:sz="4" w:space="0"/>
              <w:right w:val="single" w:color="000000" w:sz="4" w:space="0"/>
            </w:tcBorders>
            <w:vAlign w:val="center"/>
          </w:tcPr>
          <w:p w14:paraId="25270F7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几何优化</w:t>
            </w:r>
          </w:p>
        </w:tc>
      </w:tr>
      <w:tr w14:paraId="79D671B5">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1090A0FF">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1.7.2</w:t>
            </w:r>
          </w:p>
        </w:tc>
        <w:tc>
          <w:tcPr>
            <w:tcW w:w="2749" w:type="dxa"/>
            <w:tcBorders>
              <w:top w:val="single" w:color="000000" w:sz="4" w:space="0"/>
              <w:left w:val="single" w:color="000000" w:sz="4" w:space="0"/>
              <w:bottom w:val="single" w:color="000000" w:sz="4" w:space="0"/>
              <w:right w:val="single" w:color="000000" w:sz="4" w:space="0"/>
            </w:tcBorders>
            <w:vAlign w:val="center"/>
          </w:tcPr>
          <w:p w14:paraId="177D13E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三维模型调优</w:t>
            </w:r>
          </w:p>
        </w:tc>
        <w:tc>
          <w:tcPr>
            <w:tcW w:w="10047" w:type="dxa"/>
            <w:tcBorders>
              <w:top w:val="single" w:color="000000" w:sz="4" w:space="0"/>
              <w:left w:val="single" w:color="000000" w:sz="4" w:space="0"/>
              <w:bottom w:val="single" w:color="000000" w:sz="4" w:space="0"/>
              <w:right w:val="single" w:color="000000" w:sz="4" w:space="0"/>
            </w:tcBorders>
            <w:vAlign w:val="center"/>
          </w:tcPr>
          <w:p w14:paraId="34725B4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精度校准</w:t>
            </w:r>
          </w:p>
        </w:tc>
      </w:tr>
      <w:tr w14:paraId="44956CE6">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32D5302E">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1.7.3</w:t>
            </w:r>
          </w:p>
        </w:tc>
        <w:tc>
          <w:tcPr>
            <w:tcW w:w="2749" w:type="dxa"/>
            <w:tcBorders>
              <w:top w:val="single" w:color="000000" w:sz="4" w:space="0"/>
              <w:left w:val="single" w:color="000000" w:sz="4" w:space="0"/>
              <w:bottom w:val="single" w:color="000000" w:sz="4" w:space="0"/>
              <w:right w:val="single" w:color="000000" w:sz="4" w:space="0"/>
            </w:tcBorders>
            <w:vAlign w:val="center"/>
          </w:tcPr>
          <w:p w14:paraId="37A61F4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三维模型调优</w:t>
            </w:r>
          </w:p>
        </w:tc>
        <w:tc>
          <w:tcPr>
            <w:tcW w:w="10047" w:type="dxa"/>
            <w:tcBorders>
              <w:top w:val="single" w:color="000000" w:sz="4" w:space="0"/>
              <w:left w:val="single" w:color="000000" w:sz="4" w:space="0"/>
              <w:bottom w:val="single" w:color="000000" w:sz="4" w:space="0"/>
              <w:right w:val="single" w:color="000000" w:sz="4" w:space="0"/>
            </w:tcBorders>
            <w:vAlign w:val="center"/>
          </w:tcPr>
          <w:p w14:paraId="7B0A434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曲率连续性检测</w:t>
            </w:r>
          </w:p>
        </w:tc>
      </w:tr>
      <w:tr w14:paraId="23137993">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337F9124">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1.7.4</w:t>
            </w:r>
          </w:p>
        </w:tc>
        <w:tc>
          <w:tcPr>
            <w:tcW w:w="2749" w:type="dxa"/>
            <w:tcBorders>
              <w:top w:val="single" w:color="000000" w:sz="4" w:space="0"/>
              <w:left w:val="single" w:color="000000" w:sz="4" w:space="0"/>
              <w:bottom w:val="single" w:color="000000" w:sz="4" w:space="0"/>
              <w:right w:val="single" w:color="000000" w:sz="4" w:space="0"/>
            </w:tcBorders>
            <w:vAlign w:val="center"/>
          </w:tcPr>
          <w:p w14:paraId="3FEFE6E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三维模型调优</w:t>
            </w:r>
          </w:p>
        </w:tc>
        <w:tc>
          <w:tcPr>
            <w:tcW w:w="10047" w:type="dxa"/>
            <w:tcBorders>
              <w:top w:val="single" w:color="000000" w:sz="4" w:space="0"/>
              <w:left w:val="single" w:color="000000" w:sz="4" w:space="0"/>
              <w:bottom w:val="single" w:color="000000" w:sz="4" w:space="0"/>
              <w:right w:val="single" w:color="000000" w:sz="4" w:space="0"/>
            </w:tcBorders>
            <w:vAlign w:val="center"/>
          </w:tcPr>
          <w:p w14:paraId="7179D0B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布尔运算修复</w:t>
            </w:r>
          </w:p>
        </w:tc>
      </w:tr>
      <w:tr w14:paraId="327BEB4C">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3D2BCCA7">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1.7.5</w:t>
            </w:r>
          </w:p>
        </w:tc>
        <w:tc>
          <w:tcPr>
            <w:tcW w:w="2749" w:type="dxa"/>
            <w:tcBorders>
              <w:top w:val="single" w:color="000000" w:sz="4" w:space="0"/>
              <w:left w:val="single" w:color="000000" w:sz="4" w:space="0"/>
              <w:bottom w:val="single" w:color="000000" w:sz="4" w:space="0"/>
              <w:right w:val="single" w:color="000000" w:sz="4" w:space="0"/>
            </w:tcBorders>
            <w:vAlign w:val="center"/>
          </w:tcPr>
          <w:p w14:paraId="5456EAC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三维模型调优</w:t>
            </w:r>
          </w:p>
        </w:tc>
        <w:tc>
          <w:tcPr>
            <w:tcW w:w="10047" w:type="dxa"/>
            <w:tcBorders>
              <w:top w:val="single" w:color="000000" w:sz="4" w:space="0"/>
              <w:left w:val="single" w:color="000000" w:sz="4" w:space="0"/>
              <w:bottom w:val="single" w:color="000000" w:sz="4" w:space="0"/>
              <w:right w:val="single" w:color="000000" w:sz="4" w:space="0"/>
            </w:tcBorders>
            <w:vAlign w:val="center"/>
          </w:tcPr>
          <w:p w14:paraId="2578978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拓扑重构</w:t>
            </w:r>
          </w:p>
        </w:tc>
      </w:tr>
      <w:tr w14:paraId="3BFA9D29">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56FE842C">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1.7.6</w:t>
            </w:r>
          </w:p>
        </w:tc>
        <w:tc>
          <w:tcPr>
            <w:tcW w:w="2749" w:type="dxa"/>
            <w:tcBorders>
              <w:top w:val="single" w:color="000000" w:sz="4" w:space="0"/>
              <w:left w:val="single" w:color="000000" w:sz="4" w:space="0"/>
              <w:bottom w:val="single" w:color="000000" w:sz="4" w:space="0"/>
              <w:right w:val="single" w:color="000000" w:sz="4" w:space="0"/>
            </w:tcBorders>
            <w:vAlign w:val="center"/>
          </w:tcPr>
          <w:p w14:paraId="7D21635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三维模型调优</w:t>
            </w:r>
          </w:p>
        </w:tc>
        <w:tc>
          <w:tcPr>
            <w:tcW w:w="10047" w:type="dxa"/>
            <w:tcBorders>
              <w:top w:val="single" w:color="000000" w:sz="4" w:space="0"/>
              <w:left w:val="single" w:color="000000" w:sz="4" w:space="0"/>
              <w:bottom w:val="single" w:color="000000" w:sz="4" w:space="0"/>
              <w:right w:val="single" w:color="000000" w:sz="4" w:space="0"/>
            </w:tcBorders>
            <w:vAlign w:val="center"/>
          </w:tcPr>
          <w:p w14:paraId="04ED459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四边形占比优化</w:t>
            </w:r>
          </w:p>
        </w:tc>
      </w:tr>
      <w:tr w14:paraId="09BBA625">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186BF6F4">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1.7.7</w:t>
            </w:r>
          </w:p>
        </w:tc>
        <w:tc>
          <w:tcPr>
            <w:tcW w:w="2749" w:type="dxa"/>
            <w:tcBorders>
              <w:top w:val="single" w:color="000000" w:sz="4" w:space="0"/>
              <w:left w:val="single" w:color="000000" w:sz="4" w:space="0"/>
              <w:bottom w:val="single" w:color="000000" w:sz="4" w:space="0"/>
              <w:right w:val="single" w:color="000000" w:sz="4" w:space="0"/>
            </w:tcBorders>
            <w:vAlign w:val="center"/>
          </w:tcPr>
          <w:p w14:paraId="00EDA5F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三维模型调优</w:t>
            </w:r>
          </w:p>
        </w:tc>
        <w:tc>
          <w:tcPr>
            <w:tcW w:w="10047" w:type="dxa"/>
            <w:tcBorders>
              <w:top w:val="single" w:color="000000" w:sz="4" w:space="0"/>
              <w:left w:val="single" w:color="000000" w:sz="4" w:space="0"/>
              <w:bottom w:val="single" w:color="000000" w:sz="4" w:space="0"/>
              <w:right w:val="single" w:color="000000" w:sz="4" w:space="0"/>
            </w:tcBorders>
            <w:vAlign w:val="center"/>
          </w:tcPr>
          <w:p w14:paraId="3803C3F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应力区加密</w:t>
            </w:r>
          </w:p>
        </w:tc>
      </w:tr>
      <w:tr w14:paraId="35D1CC99">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7EE1A19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1.7.8</w:t>
            </w:r>
          </w:p>
        </w:tc>
        <w:tc>
          <w:tcPr>
            <w:tcW w:w="2749" w:type="dxa"/>
            <w:tcBorders>
              <w:top w:val="single" w:color="000000" w:sz="4" w:space="0"/>
              <w:left w:val="single" w:color="000000" w:sz="4" w:space="0"/>
              <w:bottom w:val="single" w:color="000000" w:sz="4" w:space="0"/>
              <w:right w:val="single" w:color="000000" w:sz="4" w:space="0"/>
            </w:tcBorders>
            <w:vAlign w:val="center"/>
          </w:tcPr>
          <w:p w14:paraId="3101415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三维模型调优</w:t>
            </w:r>
          </w:p>
        </w:tc>
        <w:tc>
          <w:tcPr>
            <w:tcW w:w="10047" w:type="dxa"/>
            <w:tcBorders>
              <w:top w:val="single" w:color="000000" w:sz="4" w:space="0"/>
              <w:left w:val="single" w:color="000000" w:sz="4" w:space="0"/>
              <w:bottom w:val="single" w:color="000000" w:sz="4" w:space="0"/>
              <w:right w:val="single" w:color="000000" w:sz="4" w:space="0"/>
            </w:tcBorders>
            <w:vAlign w:val="center"/>
          </w:tcPr>
          <w:p w14:paraId="1834DA5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材质精修</w:t>
            </w:r>
          </w:p>
        </w:tc>
      </w:tr>
      <w:tr w14:paraId="13DC760E">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4CA2E285">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1.7.9</w:t>
            </w:r>
          </w:p>
        </w:tc>
        <w:tc>
          <w:tcPr>
            <w:tcW w:w="2749" w:type="dxa"/>
            <w:tcBorders>
              <w:top w:val="single" w:color="000000" w:sz="4" w:space="0"/>
              <w:left w:val="single" w:color="000000" w:sz="4" w:space="0"/>
              <w:bottom w:val="single" w:color="000000" w:sz="4" w:space="0"/>
              <w:right w:val="single" w:color="000000" w:sz="4" w:space="0"/>
            </w:tcBorders>
            <w:vAlign w:val="center"/>
          </w:tcPr>
          <w:p w14:paraId="1FD8F97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三维模型调优</w:t>
            </w:r>
          </w:p>
        </w:tc>
        <w:tc>
          <w:tcPr>
            <w:tcW w:w="10047" w:type="dxa"/>
            <w:tcBorders>
              <w:top w:val="single" w:color="000000" w:sz="4" w:space="0"/>
              <w:left w:val="single" w:color="000000" w:sz="4" w:space="0"/>
              <w:bottom w:val="single" w:color="000000" w:sz="4" w:space="0"/>
              <w:right w:val="single" w:color="000000" w:sz="4" w:space="0"/>
            </w:tcBorders>
            <w:vAlign w:val="center"/>
          </w:tcPr>
          <w:p w14:paraId="61E6E1F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PBR物理校准</w:t>
            </w:r>
          </w:p>
        </w:tc>
      </w:tr>
      <w:tr w14:paraId="35FD4E3D">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0BA9A1F3">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1.7.10</w:t>
            </w:r>
          </w:p>
        </w:tc>
        <w:tc>
          <w:tcPr>
            <w:tcW w:w="2749" w:type="dxa"/>
            <w:tcBorders>
              <w:top w:val="single" w:color="000000" w:sz="4" w:space="0"/>
              <w:left w:val="single" w:color="000000" w:sz="4" w:space="0"/>
              <w:bottom w:val="single" w:color="000000" w:sz="4" w:space="0"/>
              <w:right w:val="single" w:color="000000" w:sz="4" w:space="0"/>
            </w:tcBorders>
            <w:vAlign w:val="center"/>
          </w:tcPr>
          <w:p w14:paraId="05B696D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三维模型调优</w:t>
            </w:r>
          </w:p>
        </w:tc>
        <w:tc>
          <w:tcPr>
            <w:tcW w:w="10047" w:type="dxa"/>
            <w:tcBorders>
              <w:top w:val="single" w:color="000000" w:sz="4" w:space="0"/>
              <w:left w:val="single" w:color="000000" w:sz="4" w:space="0"/>
              <w:bottom w:val="single" w:color="000000" w:sz="4" w:space="0"/>
              <w:right w:val="single" w:color="000000" w:sz="4" w:space="0"/>
            </w:tcBorders>
            <w:vAlign w:val="center"/>
          </w:tcPr>
          <w:p w14:paraId="48C6368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超分辨率纹理</w:t>
            </w:r>
          </w:p>
        </w:tc>
      </w:tr>
      <w:tr w14:paraId="7A8AC022">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51AF4251">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1.7.11</w:t>
            </w:r>
          </w:p>
        </w:tc>
        <w:tc>
          <w:tcPr>
            <w:tcW w:w="2749" w:type="dxa"/>
            <w:tcBorders>
              <w:top w:val="single" w:color="000000" w:sz="4" w:space="0"/>
              <w:left w:val="single" w:color="000000" w:sz="4" w:space="0"/>
              <w:bottom w:val="single" w:color="000000" w:sz="4" w:space="0"/>
              <w:right w:val="single" w:color="000000" w:sz="4" w:space="0"/>
            </w:tcBorders>
            <w:vAlign w:val="center"/>
          </w:tcPr>
          <w:p w14:paraId="4B8FF43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三维模型调优</w:t>
            </w:r>
          </w:p>
        </w:tc>
        <w:tc>
          <w:tcPr>
            <w:tcW w:w="10047" w:type="dxa"/>
            <w:tcBorders>
              <w:top w:val="single" w:color="000000" w:sz="4" w:space="0"/>
              <w:left w:val="single" w:color="000000" w:sz="4" w:space="0"/>
              <w:bottom w:val="single" w:color="000000" w:sz="4" w:space="0"/>
              <w:right w:val="single" w:color="000000" w:sz="4" w:space="0"/>
            </w:tcBorders>
            <w:vAlign w:val="center"/>
          </w:tcPr>
          <w:p w14:paraId="6C97E2A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动态材质响应</w:t>
            </w:r>
          </w:p>
        </w:tc>
      </w:tr>
      <w:tr w14:paraId="37573265">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37F9D88E">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1.7.12</w:t>
            </w:r>
          </w:p>
        </w:tc>
        <w:tc>
          <w:tcPr>
            <w:tcW w:w="2749" w:type="dxa"/>
            <w:tcBorders>
              <w:top w:val="single" w:color="000000" w:sz="4" w:space="0"/>
              <w:left w:val="single" w:color="000000" w:sz="4" w:space="0"/>
              <w:bottom w:val="single" w:color="000000" w:sz="4" w:space="0"/>
              <w:right w:val="single" w:color="000000" w:sz="4" w:space="0"/>
            </w:tcBorders>
            <w:vAlign w:val="center"/>
          </w:tcPr>
          <w:p w14:paraId="06F5915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三维模型调优</w:t>
            </w:r>
          </w:p>
        </w:tc>
        <w:tc>
          <w:tcPr>
            <w:tcW w:w="10047" w:type="dxa"/>
            <w:tcBorders>
              <w:top w:val="single" w:color="000000" w:sz="4" w:space="0"/>
              <w:left w:val="single" w:color="000000" w:sz="4" w:space="0"/>
              <w:bottom w:val="single" w:color="000000" w:sz="4" w:space="0"/>
              <w:right w:val="single" w:color="000000" w:sz="4" w:space="0"/>
            </w:tcBorders>
            <w:vAlign w:val="center"/>
          </w:tcPr>
          <w:p w14:paraId="15D54A3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性能优化</w:t>
            </w:r>
          </w:p>
        </w:tc>
      </w:tr>
      <w:tr w14:paraId="6747B178">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27351B9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1.7.13</w:t>
            </w:r>
          </w:p>
        </w:tc>
        <w:tc>
          <w:tcPr>
            <w:tcW w:w="2749" w:type="dxa"/>
            <w:tcBorders>
              <w:top w:val="single" w:color="000000" w:sz="4" w:space="0"/>
              <w:left w:val="single" w:color="000000" w:sz="4" w:space="0"/>
              <w:bottom w:val="single" w:color="000000" w:sz="4" w:space="0"/>
              <w:right w:val="single" w:color="000000" w:sz="4" w:space="0"/>
            </w:tcBorders>
            <w:vAlign w:val="center"/>
          </w:tcPr>
          <w:p w14:paraId="3B7053F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三维模型调优</w:t>
            </w:r>
          </w:p>
        </w:tc>
        <w:tc>
          <w:tcPr>
            <w:tcW w:w="10047" w:type="dxa"/>
            <w:tcBorders>
              <w:top w:val="single" w:color="000000" w:sz="4" w:space="0"/>
              <w:left w:val="single" w:color="000000" w:sz="4" w:space="0"/>
              <w:bottom w:val="single" w:color="000000" w:sz="4" w:space="0"/>
              <w:right w:val="single" w:color="000000" w:sz="4" w:space="0"/>
            </w:tcBorders>
            <w:vAlign w:val="center"/>
          </w:tcPr>
          <w:p w14:paraId="5F51D19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LOD生成优化</w:t>
            </w:r>
          </w:p>
        </w:tc>
      </w:tr>
      <w:tr w14:paraId="4B8F35C1">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447047AC">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1.7.14</w:t>
            </w:r>
          </w:p>
        </w:tc>
        <w:tc>
          <w:tcPr>
            <w:tcW w:w="2749" w:type="dxa"/>
            <w:tcBorders>
              <w:top w:val="single" w:color="000000" w:sz="4" w:space="0"/>
              <w:left w:val="single" w:color="000000" w:sz="4" w:space="0"/>
              <w:bottom w:val="single" w:color="000000" w:sz="4" w:space="0"/>
              <w:right w:val="single" w:color="000000" w:sz="4" w:space="0"/>
            </w:tcBorders>
            <w:vAlign w:val="center"/>
          </w:tcPr>
          <w:p w14:paraId="227A6DB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三维模型调优</w:t>
            </w:r>
          </w:p>
        </w:tc>
        <w:tc>
          <w:tcPr>
            <w:tcW w:w="10047" w:type="dxa"/>
            <w:tcBorders>
              <w:top w:val="single" w:color="000000" w:sz="4" w:space="0"/>
              <w:left w:val="single" w:color="000000" w:sz="4" w:space="0"/>
              <w:bottom w:val="single" w:color="000000" w:sz="4" w:space="0"/>
              <w:right w:val="single" w:color="000000" w:sz="4" w:space="0"/>
            </w:tcBorders>
            <w:vAlign w:val="center"/>
          </w:tcPr>
          <w:p w14:paraId="4DD01CA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实例化优化</w:t>
            </w:r>
          </w:p>
        </w:tc>
      </w:tr>
      <w:tr w14:paraId="4AD978BB">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500E0527">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1.8</w:t>
            </w:r>
          </w:p>
        </w:tc>
        <w:tc>
          <w:tcPr>
            <w:tcW w:w="2749" w:type="dxa"/>
            <w:tcBorders>
              <w:top w:val="single" w:color="000000" w:sz="4" w:space="0"/>
              <w:left w:val="single" w:color="000000" w:sz="4" w:space="0"/>
              <w:bottom w:val="single" w:color="000000" w:sz="4" w:space="0"/>
              <w:right w:val="single" w:color="000000" w:sz="4" w:space="0"/>
            </w:tcBorders>
            <w:vAlign w:val="center"/>
          </w:tcPr>
          <w:p w14:paraId="44E8936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三维模型评估和验证</w:t>
            </w:r>
          </w:p>
        </w:tc>
        <w:tc>
          <w:tcPr>
            <w:tcW w:w="10047" w:type="dxa"/>
            <w:tcBorders>
              <w:top w:val="single" w:color="000000" w:sz="4" w:space="0"/>
              <w:left w:val="single" w:color="000000" w:sz="4" w:space="0"/>
              <w:bottom w:val="single" w:color="000000" w:sz="4" w:space="0"/>
              <w:right w:val="single" w:color="000000" w:sz="4" w:space="0"/>
            </w:tcBorders>
            <w:vAlign w:val="center"/>
          </w:tcPr>
          <w:p w14:paraId="296C3914">
            <w:pPr>
              <w:spacing w:line="240" w:lineRule="auto"/>
              <w:ind w:firstLine="0" w:firstLineChars="0"/>
              <w:rPr>
                <w:rFonts w:hint="eastAsia" w:ascii="宋体" w:hAnsi="宋体" w:cs="宋体"/>
                <w:color w:val="auto"/>
                <w:sz w:val="20"/>
                <w:szCs w:val="20"/>
              </w:rPr>
            </w:pPr>
          </w:p>
        </w:tc>
      </w:tr>
      <w:tr w14:paraId="21BE5D1D">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13F96E69">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1.8.1</w:t>
            </w:r>
          </w:p>
        </w:tc>
        <w:tc>
          <w:tcPr>
            <w:tcW w:w="2749" w:type="dxa"/>
            <w:tcBorders>
              <w:top w:val="single" w:color="000000" w:sz="4" w:space="0"/>
              <w:left w:val="single" w:color="000000" w:sz="4" w:space="0"/>
              <w:bottom w:val="single" w:color="000000" w:sz="4" w:space="0"/>
              <w:right w:val="single" w:color="000000" w:sz="4" w:space="0"/>
            </w:tcBorders>
            <w:vAlign w:val="center"/>
          </w:tcPr>
          <w:p w14:paraId="630D68C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三维模型评估和验证</w:t>
            </w:r>
          </w:p>
        </w:tc>
        <w:tc>
          <w:tcPr>
            <w:tcW w:w="10047" w:type="dxa"/>
            <w:tcBorders>
              <w:top w:val="single" w:color="000000" w:sz="4" w:space="0"/>
              <w:left w:val="single" w:color="000000" w:sz="4" w:space="0"/>
              <w:bottom w:val="single" w:color="000000" w:sz="4" w:space="0"/>
              <w:right w:val="single" w:color="000000" w:sz="4" w:space="0"/>
            </w:tcBorders>
            <w:vAlign w:val="center"/>
          </w:tcPr>
          <w:p w14:paraId="1479110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几何验证</w:t>
            </w:r>
          </w:p>
        </w:tc>
      </w:tr>
      <w:tr w14:paraId="747167DB">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1F06D936">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1.8.2</w:t>
            </w:r>
          </w:p>
        </w:tc>
        <w:tc>
          <w:tcPr>
            <w:tcW w:w="2749" w:type="dxa"/>
            <w:tcBorders>
              <w:top w:val="single" w:color="000000" w:sz="4" w:space="0"/>
              <w:left w:val="single" w:color="000000" w:sz="4" w:space="0"/>
              <w:bottom w:val="single" w:color="000000" w:sz="4" w:space="0"/>
              <w:right w:val="single" w:color="000000" w:sz="4" w:space="0"/>
            </w:tcBorders>
            <w:vAlign w:val="center"/>
          </w:tcPr>
          <w:p w14:paraId="64C79E8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三维模型评估和验证</w:t>
            </w:r>
          </w:p>
        </w:tc>
        <w:tc>
          <w:tcPr>
            <w:tcW w:w="10047" w:type="dxa"/>
            <w:tcBorders>
              <w:top w:val="single" w:color="000000" w:sz="4" w:space="0"/>
              <w:left w:val="single" w:color="000000" w:sz="4" w:space="0"/>
              <w:bottom w:val="single" w:color="000000" w:sz="4" w:space="0"/>
              <w:right w:val="single" w:color="000000" w:sz="4" w:space="0"/>
            </w:tcBorders>
            <w:vAlign w:val="center"/>
          </w:tcPr>
          <w:p w14:paraId="59192D1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尺寸公差检测</w:t>
            </w:r>
          </w:p>
        </w:tc>
      </w:tr>
      <w:tr w14:paraId="229CC576">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3DAA43A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1.8.3</w:t>
            </w:r>
          </w:p>
        </w:tc>
        <w:tc>
          <w:tcPr>
            <w:tcW w:w="2749" w:type="dxa"/>
            <w:tcBorders>
              <w:top w:val="single" w:color="000000" w:sz="4" w:space="0"/>
              <w:left w:val="single" w:color="000000" w:sz="4" w:space="0"/>
              <w:bottom w:val="single" w:color="000000" w:sz="4" w:space="0"/>
              <w:right w:val="single" w:color="000000" w:sz="4" w:space="0"/>
            </w:tcBorders>
            <w:vAlign w:val="center"/>
          </w:tcPr>
          <w:p w14:paraId="47F24AB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三维模型评估和验证</w:t>
            </w:r>
          </w:p>
        </w:tc>
        <w:tc>
          <w:tcPr>
            <w:tcW w:w="10047" w:type="dxa"/>
            <w:tcBorders>
              <w:top w:val="single" w:color="000000" w:sz="4" w:space="0"/>
              <w:left w:val="single" w:color="000000" w:sz="4" w:space="0"/>
              <w:bottom w:val="single" w:color="000000" w:sz="4" w:space="0"/>
              <w:right w:val="single" w:color="000000" w:sz="4" w:space="0"/>
            </w:tcBorders>
            <w:vAlign w:val="center"/>
          </w:tcPr>
          <w:p w14:paraId="352826C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曲面连续性分析</w:t>
            </w:r>
          </w:p>
        </w:tc>
      </w:tr>
      <w:tr w14:paraId="0685F13D">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7350094C">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1.8.4</w:t>
            </w:r>
          </w:p>
        </w:tc>
        <w:tc>
          <w:tcPr>
            <w:tcW w:w="2749" w:type="dxa"/>
            <w:tcBorders>
              <w:top w:val="single" w:color="000000" w:sz="4" w:space="0"/>
              <w:left w:val="single" w:color="000000" w:sz="4" w:space="0"/>
              <w:bottom w:val="single" w:color="000000" w:sz="4" w:space="0"/>
              <w:right w:val="single" w:color="000000" w:sz="4" w:space="0"/>
            </w:tcBorders>
            <w:vAlign w:val="center"/>
          </w:tcPr>
          <w:p w14:paraId="608199C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三维模型评估和验证</w:t>
            </w:r>
          </w:p>
        </w:tc>
        <w:tc>
          <w:tcPr>
            <w:tcW w:w="10047" w:type="dxa"/>
            <w:tcBorders>
              <w:top w:val="single" w:color="000000" w:sz="4" w:space="0"/>
              <w:left w:val="single" w:color="000000" w:sz="4" w:space="0"/>
              <w:bottom w:val="single" w:color="000000" w:sz="4" w:space="0"/>
              <w:right w:val="single" w:color="000000" w:sz="4" w:space="0"/>
            </w:tcBorders>
            <w:vAlign w:val="center"/>
          </w:tcPr>
          <w:p w14:paraId="66F43F6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布尔运算完整性</w:t>
            </w:r>
          </w:p>
        </w:tc>
      </w:tr>
      <w:tr w14:paraId="2F21222D">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5B845BB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1.8.5</w:t>
            </w:r>
          </w:p>
        </w:tc>
        <w:tc>
          <w:tcPr>
            <w:tcW w:w="2749" w:type="dxa"/>
            <w:tcBorders>
              <w:top w:val="single" w:color="000000" w:sz="4" w:space="0"/>
              <w:left w:val="single" w:color="000000" w:sz="4" w:space="0"/>
              <w:bottom w:val="single" w:color="000000" w:sz="4" w:space="0"/>
              <w:right w:val="single" w:color="000000" w:sz="4" w:space="0"/>
            </w:tcBorders>
            <w:vAlign w:val="center"/>
          </w:tcPr>
          <w:p w14:paraId="7FBF824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三维模型评估和验证</w:t>
            </w:r>
          </w:p>
        </w:tc>
        <w:tc>
          <w:tcPr>
            <w:tcW w:w="10047" w:type="dxa"/>
            <w:tcBorders>
              <w:top w:val="single" w:color="000000" w:sz="4" w:space="0"/>
              <w:left w:val="single" w:color="000000" w:sz="4" w:space="0"/>
              <w:bottom w:val="single" w:color="000000" w:sz="4" w:space="0"/>
              <w:right w:val="single" w:color="000000" w:sz="4" w:space="0"/>
            </w:tcBorders>
            <w:vAlign w:val="center"/>
          </w:tcPr>
          <w:p w14:paraId="70F5AED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拓扑验证</w:t>
            </w:r>
          </w:p>
        </w:tc>
      </w:tr>
      <w:tr w14:paraId="4F373012">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2528F6E9">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1.8.6</w:t>
            </w:r>
          </w:p>
        </w:tc>
        <w:tc>
          <w:tcPr>
            <w:tcW w:w="2749" w:type="dxa"/>
            <w:tcBorders>
              <w:top w:val="single" w:color="000000" w:sz="4" w:space="0"/>
              <w:left w:val="single" w:color="000000" w:sz="4" w:space="0"/>
              <w:bottom w:val="single" w:color="000000" w:sz="4" w:space="0"/>
              <w:right w:val="single" w:color="000000" w:sz="4" w:space="0"/>
            </w:tcBorders>
            <w:vAlign w:val="center"/>
          </w:tcPr>
          <w:p w14:paraId="2F9504F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三维模型评估和验证</w:t>
            </w:r>
          </w:p>
        </w:tc>
        <w:tc>
          <w:tcPr>
            <w:tcW w:w="10047" w:type="dxa"/>
            <w:tcBorders>
              <w:top w:val="single" w:color="000000" w:sz="4" w:space="0"/>
              <w:left w:val="single" w:color="000000" w:sz="4" w:space="0"/>
              <w:bottom w:val="single" w:color="000000" w:sz="4" w:space="0"/>
              <w:right w:val="single" w:color="000000" w:sz="4" w:space="0"/>
            </w:tcBorders>
            <w:vAlign w:val="center"/>
          </w:tcPr>
          <w:p w14:paraId="02EC33A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四边形占比核查</w:t>
            </w:r>
          </w:p>
        </w:tc>
      </w:tr>
      <w:tr w14:paraId="33C02AF4">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133BF81C">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1.8.7</w:t>
            </w:r>
          </w:p>
        </w:tc>
        <w:tc>
          <w:tcPr>
            <w:tcW w:w="2749" w:type="dxa"/>
            <w:tcBorders>
              <w:top w:val="single" w:color="000000" w:sz="4" w:space="0"/>
              <w:left w:val="single" w:color="000000" w:sz="4" w:space="0"/>
              <w:bottom w:val="single" w:color="000000" w:sz="4" w:space="0"/>
              <w:right w:val="single" w:color="000000" w:sz="4" w:space="0"/>
            </w:tcBorders>
            <w:vAlign w:val="center"/>
          </w:tcPr>
          <w:p w14:paraId="7EAA0E4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三维模型评估和验证</w:t>
            </w:r>
          </w:p>
        </w:tc>
        <w:tc>
          <w:tcPr>
            <w:tcW w:w="10047" w:type="dxa"/>
            <w:tcBorders>
              <w:top w:val="single" w:color="000000" w:sz="4" w:space="0"/>
              <w:left w:val="single" w:color="000000" w:sz="4" w:space="0"/>
              <w:bottom w:val="single" w:color="000000" w:sz="4" w:space="0"/>
              <w:right w:val="single" w:color="000000" w:sz="4" w:space="0"/>
            </w:tcBorders>
            <w:vAlign w:val="center"/>
          </w:tcPr>
          <w:p w14:paraId="5CF2BE4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动态拓扑稳定性</w:t>
            </w:r>
          </w:p>
        </w:tc>
      </w:tr>
      <w:tr w14:paraId="4E81F4B0">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6E3CA117">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1.8.8</w:t>
            </w:r>
          </w:p>
        </w:tc>
        <w:tc>
          <w:tcPr>
            <w:tcW w:w="2749" w:type="dxa"/>
            <w:tcBorders>
              <w:top w:val="single" w:color="000000" w:sz="4" w:space="0"/>
              <w:left w:val="single" w:color="000000" w:sz="4" w:space="0"/>
              <w:bottom w:val="single" w:color="000000" w:sz="4" w:space="0"/>
              <w:right w:val="single" w:color="000000" w:sz="4" w:space="0"/>
            </w:tcBorders>
            <w:vAlign w:val="center"/>
          </w:tcPr>
          <w:p w14:paraId="26FCD00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三维模型评估和验证</w:t>
            </w:r>
          </w:p>
        </w:tc>
        <w:tc>
          <w:tcPr>
            <w:tcW w:w="10047" w:type="dxa"/>
            <w:tcBorders>
              <w:top w:val="single" w:color="000000" w:sz="4" w:space="0"/>
              <w:left w:val="single" w:color="000000" w:sz="4" w:space="0"/>
              <w:bottom w:val="single" w:color="000000" w:sz="4" w:space="0"/>
              <w:right w:val="single" w:color="000000" w:sz="4" w:space="0"/>
            </w:tcBorders>
            <w:vAlign w:val="center"/>
          </w:tcPr>
          <w:p w14:paraId="4BC4E93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生物力学拓扑验证</w:t>
            </w:r>
          </w:p>
        </w:tc>
      </w:tr>
      <w:tr w14:paraId="3415382F">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6A94F035">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1.8.9</w:t>
            </w:r>
          </w:p>
        </w:tc>
        <w:tc>
          <w:tcPr>
            <w:tcW w:w="2749" w:type="dxa"/>
            <w:tcBorders>
              <w:top w:val="single" w:color="000000" w:sz="4" w:space="0"/>
              <w:left w:val="single" w:color="000000" w:sz="4" w:space="0"/>
              <w:bottom w:val="single" w:color="000000" w:sz="4" w:space="0"/>
              <w:right w:val="single" w:color="000000" w:sz="4" w:space="0"/>
            </w:tcBorders>
            <w:vAlign w:val="center"/>
          </w:tcPr>
          <w:p w14:paraId="6ED00D2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三维模型评估和验证</w:t>
            </w:r>
          </w:p>
        </w:tc>
        <w:tc>
          <w:tcPr>
            <w:tcW w:w="10047" w:type="dxa"/>
            <w:tcBorders>
              <w:top w:val="single" w:color="000000" w:sz="4" w:space="0"/>
              <w:left w:val="single" w:color="000000" w:sz="4" w:space="0"/>
              <w:bottom w:val="single" w:color="000000" w:sz="4" w:space="0"/>
              <w:right w:val="single" w:color="000000" w:sz="4" w:space="0"/>
            </w:tcBorders>
            <w:vAlign w:val="center"/>
          </w:tcPr>
          <w:p w14:paraId="3E955A3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PBR物理属性检测</w:t>
            </w:r>
          </w:p>
        </w:tc>
      </w:tr>
      <w:tr w14:paraId="16220C73">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2D193246">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1.8.10</w:t>
            </w:r>
          </w:p>
        </w:tc>
        <w:tc>
          <w:tcPr>
            <w:tcW w:w="2749" w:type="dxa"/>
            <w:tcBorders>
              <w:top w:val="single" w:color="000000" w:sz="4" w:space="0"/>
              <w:left w:val="single" w:color="000000" w:sz="4" w:space="0"/>
              <w:bottom w:val="single" w:color="000000" w:sz="4" w:space="0"/>
              <w:right w:val="single" w:color="000000" w:sz="4" w:space="0"/>
            </w:tcBorders>
            <w:vAlign w:val="center"/>
          </w:tcPr>
          <w:p w14:paraId="3AAA810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三维模型评估和验证</w:t>
            </w:r>
          </w:p>
        </w:tc>
        <w:tc>
          <w:tcPr>
            <w:tcW w:w="10047" w:type="dxa"/>
            <w:tcBorders>
              <w:top w:val="single" w:color="000000" w:sz="4" w:space="0"/>
              <w:left w:val="single" w:color="000000" w:sz="4" w:space="0"/>
              <w:bottom w:val="single" w:color="000000" w:sz="4" w:space="0"/>
              <w:right w:val="single" w:color="000000" w:sz="4" w:space="0"/>
            </w:tcBorders>
            <w:vAlign w:val="center"/>
          </w:tcPr>
          <w:p w14:paraId="3A25662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超分辨率纹理校验</w:t>
            </w:r>
          </w:p>
        </w:tc>
      </w:tr>
      <w:tr w14:paraId="75C8AA28">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3344572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1.8.11</w:t>
            </w:r>
          </w:p>
        </w:tc>
        <w:tc>
          <w:tcPr>
            <w:tcW w:w="2749" w:type="dxa"/>
            <w:tcBorders>
              <w:top w:val="single" w:color="000000" w:sz="4" w:space="0"/>
              <w:left w:val="single" w:color="000000" w:sz="4" w:space="0"/>
              <w:bottom w:val="single" w:color="000000" w:sz="4" w:space="0"/>
              <w:right w:val="single" w:color="000000" w:sz="4" w:space="0"/>
            </w:tcBorders>
            <w:vAlign w:val="center"/>
          </w:tcPr>
          <w:p w14:paraId="5FD0D9B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三维模型评估和验证</w:t>
            </w:r>
          </w:p>
        </w:tc>
        <w:tc>
          <w:tcPr>
            <w:tcW w:w="10047" w:type="dxa"/>
            <w:tcBorders>
              <w:top w:val="single" w:color="000000" w:sz="4" w:space="0"/>
              <w:left w:val="single" w:color="000000" w:sz="4" w:space="0"/>
              <w:bottom w:val="single" w:color="000000" w:sz="4" w:space="0"/>
              <w:right w:val="single" w:color="000000" w:sz="4" w:space="0"/>
            </w:tcBorders>
            <w:vAlign w:val="center"/>
          </w:tcPr>
          <w:p w14:paraId="6A3D648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环境响应验证</w:t>
            </w:r>
          </w:p>
        </w:tc>
      </w:tr>
      <w:tr w14:paraId="51A0B9F1">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2E34B67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1.8.12</w:t>
            </w:r>
          </w:p>
        </w:tc>
        <w:tc>
          <w:tcPr>
            <w:tcW w:w="2749" w:type="dxa"/>
            <w:tcBorders>
              <w:top w:val="single" w:color="000000" w:sz="4" w:space="0"/>
              <w:left w:val="single" w:color="000000" w:sz="4" w:space="0"/>
              <w:bottom w:val="single" w:color="000000" w:sz="4" w:space="0"/>
              <w:right w:val="single" w:color="000000" w:sz="4" w:space="0"/>
            </w:tcBorders>
            <w:vAlign w:val="center"/>
          </w:tcPr>
          <w:p w14:paraId="3748EFD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三维模型评估和验证</w:t>
            </w:r>
          </w:p>
        </w:tc>
        <w:tc>
          <w:tcPr>
            <w:tcW w:w="10047" w:type="dxa"/>
            <w:tcBorders>
              <w:top w:val="single" w:color="000000" w:sz="4" w:space="0"/>
              <w:left w:val="single" w:color="000000" w:sz="4" w:space="0"/>
              <w:bottom w:val="single" w:color="000000" w:sz="4" w:space="0"/>
              <w:right w:val="single" w:color="000000" w:sz="4" w:space="0"/>
            </w:tcBorders>
            <w:vAlign w:val="center"/>
          </w:tcPr>
          <w:p w14:paraId="0425C13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LOD过渡平滑度</w:t>
            </w:r>
          </w:p>
        </w:tc>
      </w:tr>
      <w:tr w14:paraId="5218DF45">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1E0A42B9">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1.8.13</w:t>
            </w:r>
          </w:p>
        </w:tc>
        <w:tc>
          <w:tcPr>
            <w:tcW w:w="2749" w:type="dxa"/>
            <w:tcBorders>
              <w:top w:val="single" w:color="000000" w:sz="4" w:space="0"/>
              <w:left w:val="single" w:color="000000" w:sz="4" w:space="0"/>
              <w:bottom w:val="single" w:color="000000" w:sz="4" w:space="0"/>
              <w:right w:val="single" w:color="000000" w:sz="4" w:space="0"/>
            </w:tcBorders>
            <w:vAlign w:val="center"/>
          </w:tcPr>
          <w:p w14:paraId="0AAE637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三维模型评估和验证</w:t>
            </w:r>
          </w:p>
        </w:tc>
        <w:tc>
          <w:tcPr>
            <w:tcW w:w="10047" w:type="dxa"/>
            <w:tcBorders>
              <w:top w:val="single" w:color="000000" w:sz="4" w:space="0"/>
              <w:left w:val="single" w:color="000000" w:sz="4" w:space="0"/>
              <w:bottom w:val="single" w:color="000000" w:sz="4" w:space="0"/>
              <w:right w:val="single" w:color="000000" w:sz="4" w:space="0"/>
            </w:tcBorders>
            <w:vAlign w:val="center"/>
          </w:tcPr>
          <w:p w14:paraId="5F2A7EC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实时渲染压力测试</w:t>
            </w:r>
          </w:p>
        </w:tc>
      </w:tr>
      <w:tr w14:paraId="76F0062E">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1F3A3EB3">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1.8.14</w:t>
            </w:r>
          </w:p>
        </w:tc>
        <w:tc>
          <w:tcPr>
            <w:tcW w:w="2749" w:type="dxa"/>
            <w:tcBorders>
              <w:top w:val="single" w:color="000000" w:sz="4" w:space="0"/>
              <w:left w:val="single" w:color="000000" w:sz="4" w:space="0"/>
              <w:bottom w:val="single" w:color="000000" w:sz="4" w:space="0"/>
              <w:right w:val="single" w:color="000000" w:sz="4" w:space="0"/>
            </w:tcBorders>
            <w:vAlign w:val="center"/>
          </w:tcPr>
          <w:p w14:paraId="18840A5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三维模型评估和验证</w:t>
            </w:r>
          </w:p>
        </w:tc>
        <w:tc>
          <w:tcPr>
            <w:tcW w:w="10047" w:type="dxa"/>
            <w:tcBorders>
              <w:top w:val="single" w:color="000000" w:sz="4" w:space="0"/>
              <w:left w:val="single" w:color="000000" w:sz="4" w:space="0"/>
              <w:bottom w:val="single" w:color="000000" w:sz="4" w:space="0"/>
              <w:right w:val="single" w:color="000000" w:sz="4" w:space="0"/>
            </w:tcBorders>
            <w:vAlign w:val="center"/>
          </w:tcPr>
          <w:p w14:paraId="1C8D264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量子压缩兼容性</w:t>
            </w:r>
          </w:p>
        </w:tc>
      </w:tr>
      <w:tr w14:paraId="33B2B0D7">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712A02E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1.8.15</w:t>
            </w:r>
          </w:p>
        </w:tc>
        <w:tc>
          <w:tcPr>
            <w:tcW w:w="2749" w:type="dxa"/>
            <w:tcBorders>
              <w:top w:val="single" w:color="000000" w:sz="4" w:space="0"/>
              <w:left w:val="single" w:color="000000" w:sz="4" w:space="0"/>
              <w:bottom w:val="single" w:color="000000" w:sz="4" w:space="0"/>
              <w:right w:val="single" w:color="000000" w:sz="4" w:space="0"/>
            </w:tcBorders>
            <w:vAlign w:val="center"/>
          </w:tcPr>
          <w:p w14:paraId="73BD486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三维模型评估和验证</w:t>
            </w:r>
          </w:p>
        </w:tc>
        <w:tc>
          <w:tcPr>
            <w:tcW w:w="10047" w:type="dxa"/>
            <w:tcBorders>
              <w:top w:val="single" w:color="000000" w:sz="4" w:space="0"/>
              <w:left w:val="single" w:color="000000" w:sz="4" w:space="0"/>
              <w:bottom w:val="single" w:color="000000" w:sz="4" w:space="0"/>
              <w:right w:val="single" w:color="000000" w:sz="4" w:space="0"/>
            </w:tcBorders>
            <w:vAlign w:val="center"/>
          </w:tcPr>
          <w:p w14:paraId="3F9083F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行业标准合规</w:t>
            </w:r>
          </w:p>
        </w:tc>
      </w:tr>
      <w:tr w14:paraId="66725B1A">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6936E612">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1.8.16</w:t>
            </w:r>
          </w:p>
        </w:tc>
        <w:tc>
          <w:tcPr>
            <w:tcW w:w="2749" w:type="dxa"/>
            <w:tcBorders>
              <w:top w:val="single" w:color="000000" w:sz="4" w:space="0"/>
              <w:left w:val="single" w:color="000000" w:sz="4" w:space="0"/>
              <w:bottom w:val="single" w:color="000000" w:sz="4" w:space="0"/>
              <w:right w:val="single" w:color="000000" w:sz="4" w:space="0"/>
            </w:tcBorders>
            <w:vAlign w:val="center"/>
          </w:tcPr>
          <w:p w14:paraId="7A2522B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三维模型评估和验证</w:t>
            </w:r>
          </w:p>
        </w:tc>
        <w:tc>
          <w:tcPr>
            <w:tcW w:w="10047" w:type="dxa"/>
            <w:tcBorders>
              <w:top w:val="single" w:color="000000" w:sz="4" w:space="0"/>
              <w:left w:val="single" w:color="000000" w:sz="4" w:space="0"/>
              <w:bottom w:val="single" w:color="000000" w:sz="4" w:space="0"/>
              <w:right w:val="single" w:color="000000" w:sz="4" w:space="0"/>
            </w:tcBorders>
            <w:vAlign w:val="center"/>
          </w:tcPr>
          <w:p w14:paraId="7DB0DE8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数据安全认证</w:t>
            </w:r>
          </w:p>
        </w:tc>
      </w:tr>
      <w:tr w14:paraId="72310697">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4C1DDA0C">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1.8.17</w:t>
            </w:r>
          </w:p>
        </w:tc>
        <w:tc>
          <w:tcPr>
            <w:tcW w:w="2749" w:type="dxa"/>
            <w:tcBorders>
              <w:top w:val="single" w:color="000000" w:sz="4" w:space="0"/>
              <w:left w:val="single" w:color="000000" w:sz="4" w:space="0"/>
              <w:bottom w:val="single" w:color="000000" w:sz="4" w:space="0"/>
              <w:right w:val="single" w:color="000000" w:sz="4" w:space="0"/>
            </w:tcBorders>
            <w:vAlign w:val="center"/>
          </w:tcPr>
          <w:p w14:paraId="3042E3E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三维模型评估和验证</w:t>
            </w:r>
          </w:p>
        </w:tc>
        <w:tc>
          <w:tcPr>
            <w:tcW w:w="10047" w:type="dxa"/>
            <w:tcBorders>
              <w:top w:val="single" w:color="000000" w:sz="4" w:space="0"/>
              <w:left w:val="single" w:color="000000" w:sz="4" w:space="0"/>
              <w:bottom w:val="single" w:color="000000" w:sz="4" w:space="0"/>
              <w:right w:val="single" w:color="000000" w:sz="4" w:space="0"/>
            </w:tcBorders>
            <w:vAlign w:val="center"/>
          </w:tcPr>
          <w:p w14:paraId="112D5A0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跨平台兼容性</w:t>
            </w:r>
          </w:p>
        </w:tc>
      </w:tr>
      <w:tr w14:paraId="1EF52F72">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5DD6CCF5">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1.9</w:t>
            </w:r>
          </w:p>
        </w:tc>
        <w:tc>
          <w:tcPr>
            <w:tcW w:w="2749" w:type="dxa"/>
            <w:tcBorders>
              <w:top w:val="single" w:color="000000" w:sz="4" w:space="0"/>
              <w:left w:val="single" w:color="000000" w:sz="4" w:space="0"/>
              <w:bottom w:val="single" w:color="000000" w:sz="4" w:space="0"/>
              <w:right w:val="single" w:color="000000" w:sz="4" w:space="0"/>
            </w:tcBorders>
            <w:vAlign w:val="center"/>
          </w:tcPr>
          <w:p w14:paraId="1481C7D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模型部署应用</w:t>
            </w:r>
          </w:p>
        </w:tc>
        <w:tc>
          <w:tcPr>
            <w:tcW w:w="10047" w:type="dxa"/>
            <w:tcBorders>
              <w:top w:val="single" w:color="000000" w:sz="4" w:space="0"/>
              <w:left w:val="single" w:color="000000" w:sz="4" w:space="0"/>
              <w:bottom w:val="single" w:color="000000" w:sz="4" w:space="0"/>
              <w:right w:val="single" w:color="000000" w:sz="4" w:space="0"/>
            </w:tcBorders>
            <w:vAlign w:val="center"/>
          </w:tcPr>
          <w:p w14:paraId="51DB7D95">
            <w:pPr>
              <w:spacing w:line="240" w:lineRule="auto"/>
              <w:ind w:firstLine="0" w:firstLineChars="0"/>
              <w:rPr>
                <w:rFonts w:hint="eastAsia" w:ascii="宋体" w:hAnsi="宋体" w:cs="宋体"/>
                <w:color w:val="auto"/>
                <w:sz w:val="20"/>
                <w:szCs w:val="20"/>
              </w:rPr>
            </w:pPr>
          </w:p>
        </w:tc>
      </w:tr>
      <w:tr w14:paraId="18959094">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3F29DF7D">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1.9.1</w:t>
            </w:r>
          </w:p>
        </w:tc>
        <w:tc>
          <w:tcPr>
            <w:tcW w:w="2749" w:type="dxa"/>
            <w:tcBorders>
              <w:top w:val="single" w:color="000000" w:sz="4" w:space="0"/>
              <w:left w:val="single" w:color="000000" w:sz="4" w:space="0"/>
              <w:bottom w:val="single" w:color="000000" w:sz="4" w:space="0"/>
              <w:right w:val="single" w:color="000000" w:sz="4" w:space="0"/>
            </w:tcBorders>
            <w:vAlign w:val="center"/>
          </w:tcPr>
          <w:p w14:paraId="446F854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模型部署应用</w:t>
            </w:r>
          </w:p>
        </w:tc>
        <w:tc>
          <w:tcPr>
            <w:tcW w:w="10047" w:type="dxa"/>
            <w:tcBorders>
              <w:top w:val="single" w:color="000000" w:sz="4" w:space="0"/>
              <w:left w:val="single" w:color="000000" w:sz="4" w:space="0"/>
              <w:bottom w:val="single" w:color="000000" w:sz="4" w:space="0"/>
              <w:right w:val="single" w:color="000000" w:sz="4" w:space="0"/>
            </w:tcBorders>
            <w:vAlign w:val="center"/>
          </w:tcPr>
          <w:p w14:paraId="055961A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环境配置</w:t>
            </w:r>
          </w:p>
        </w:tc>
      </w:tr>
      <w:tr w14:paraId="53557F7A">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3CD8360A">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1.9.2</w:t>
            </w:r>
          </w:p>
        </w:tc>
        <w:tc>
          <w:tcPr>
            <w:tcW w:w="2749" w:type="dxa"/>
            <w:tcBorders>
              <w:top w:val="single" w:color="000000" w:sz="4" w:space="0"/>
              <w:left w:val="single" w:color="000000" w:sz="4" w:space="0"/>
              <w:bottom w:val="single" w:color="000000" w:sz="4" w:space="0"/>
              <w:right w:val="single" w:color="000000" w:sz="4" w:space="0"/>
            </w:tcBorders>
            <w:vAlign w:val="center"/>
          </w:tcPr>
          <w:p w14:paraId="4D9DE0E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模型部署应用</w:t>
            </w:r>
          </w:p>
        </w:tc>
        <w:tc>
          <w:tcPr>
            <w:tcW w:w="10047" w:type="dxa"/>
            <w:tcBorders>
              <w:top w:val="single" w:color="000000" w:sz="4" w:space="0"/>
              <w:left w:val="single" w:color="000000" w:sz="4" w:space="0"/>
              <w:bottom w:val="single" w:color="000000" w:sz="4" w:space="0"/>
              <w:right w:val="single" w:color="000000" w:sz="4" w:space="0"/>
            </w:tcBorders>
            <w:vAlign w:val="center"/>
          </w:tcPr>
          <w:p w14:paraId="3CCA758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边缘设备适配</w:t>
            </w:r>
          </w:p>
        </w:tc>
      </w:tr>
      <w:tr w14:paraId="59A9EF7E">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12084E61">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1.9.3</w:t>
            </w:r>
          </w:p>
        </w:tc>
        <w:tc>
          <w:tcPr>
            <w:tcW w:w="2749" w:type="dxa"/>
            <w:tcBorders>
              <w:top w:val="single" w:color="000000" w:sz="4" w:space="0"/>
              <w:left w:val="single" w:color="000000" w:sz="4" w:space="0"/>
              <w:bottom w:val="single" w:color="000000" w:sz="4" w:space="0"/>
              <w:right w:val="single" w:color="000000" w:sz="4" w:space="0"/>
            </w:tcBorders>
            <w:vAlign w:val="center"/>
          </w:tcPr>
          <w:p w14:paraId="63B397A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模型部署应用</w:t>
            </w:r>
          </w:p>
        </w:tc>
        <w:tc>
          <w:tcPr>
            <w:tcW w:w="10047" w:type="dxa"/>
            <w:tcBorders>
              <w:top w:val="single" w:color="000000" w:sz="4" w:space="0"/>
              <w:left w:val="single" w:color="000000" w:sz="4" w:space="0"/>
              <w:bottom w:val="single" w:color="000000" w:sz="4" w:space="0"/>
              <w:right w:val="single" w:color="000000" w:sz="4" w:space="0"/>
            </w:tcBorders>
            <w:vAlign w:val="center"/>
          </w:tcPr>
          <w:p w14:paraId="7BCDFF9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API网关集成</w:t>
            </w:r>
          </w:p>
        </w:tc>
      </w:tr>
      <w:tr w14:paraId="509FAFE9">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6755937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1.9.4</w:t>
            </w:r>
          </w:p>
        </w:tc>
        <w:tc>
          <w:tcPr>
            <w:tcW w:w="2749" w:type="dxa"/>
            <w:tcBorders>
              <w:top w:val="single" w:color="000000" w:sz="4" w:space="0"/>
              <w:left w:val="single" w:color="000000" w:sz="4" w:space="0"/>
              <w:bottom w:val="single" w:color="000000" w:sz="4" w:space="0"/>
              <w:right w:val="single" w:color="000000" w:sz="4" w:space="0"/>
            </w:tcBorders>
            <w:vAlign w:val="center"/>
          </w:tcPr>
          <w:p w14:paraId="5907C64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模型部署应用</w:t>
            </w:r>
          </w:p>
        </w:tc>
        <w:tc>
          <w:tcPr>
            <w:tcW w:w="10047" w:type="dxa"/>
            <w:tcBorders>
              <w:top w:val="single" w:color="000000" w:sz="4" w:space="0"/>
              <w:left w:val="single" w:color="000000" w:sz="4" w:space="0"/>
              <w:bottom w:val="single" w:color="000000" w:sz="4" w:space="0"/>
              <w:right w:val="single" w:color="000000" w:sz="4" w:space="0"/>
            </w:tcBorders>
            <w:vAlign w:val="center"/>
          </w:tcPr>
          <w:p w14:paraId="1A4F520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性能健康度监控</w:t>
            </w:r>
          </w:p>
        </w:tc>
      </w:tr>
      <w:tr w14:paraId="2EA98443">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192C6A71">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1.9.5</w:t>
            </w:r>
          </w:p>
        </w:tc>
        <w:tc>
          <w:tcPr>
            <w:tcW w:w="2749" w:type="dxa"/>
            <w:tcBorders>
              <w:top w:val="single" w:color="000000" w:sz="4" w:space="0"/>
              <w:left w:val="single" w:color="000000" w:sz="4" w:space="0"/>
              <w:bottom w:val="single" w:color="000000" w:sz="4" w:space="0"/>
              <w:right w:val="single" w:color="000000" w:sz="4" w:space="0"/>
            </w:tcBorders>
            <w:vAlign w:val="center"/>
          </w:tcPr>
          <w:p w14:paraId="57FC410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模型部署应用</w:t>
            </w:r>
          </w:p>
        </w:tc>
        <w:tc>
          <w:tcPr>
            <w:tcW w:w="10047" w:type="dxa"/>
            <w:tcBorders>
              <w:top w:val="single" w:color="000000" w:sz="4" w:space="0"/>
              <w:left w:val="single" w:color="000000" w:sz="4" w:space="0"/>
              <w:bottom w:val="single" w:color="000000" w:sz="4" w:space="0"/>
              <w:right w:val="single" w:color="000000" w:sz="4" w:space="0"/>
            </w:tcBorders>
            <w:vAlign w:val="center"/>
          </w:tcPr>
          <w:p w14:paraId="03566F9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自愈式更新</w:t>
            </w:r>
          </w:p>
        </w:tc>
      </w:tr>
      <w:tr w14:paraId="366EE13E">
        <w:tblPrEx>
          <w:tblCellMar>
            <w:top w:w="0" w:type="dxa"/>
            <w:left w:w="108" w:type="dxa"/>
            <w:bottom w:w="0" w:type="dxa"/>
            <w:right w:w="108" w:type="dxa"/>
          </w:tblCellMar>
        </w:tblPrEx>
        <w:trPr>
          <w:trHeight w:val="323"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3843C081">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2</w:t>
            </w:r>
          </w:p>
        </w:tc>
        <w:tc>
          <w:tcPr>
            <w:tcW w:w="2749" w:type="dxa"/>
            <w:tcBorders>
              <w:top w:val="single" w:color="000000" w:sz="4" w:space="0"/>
              <w:left w:val="single" w:color="000000" w:sz="4" w:space="0"/>
              <w:bottom w:val="single" w:color="000000" w:sz="4" w:space="0"/>
              <w:right w:val="single" w:color="000000" w:sz="4" w:space="0"/>
            </w:tcBorders>
            <w:vAlign w:val="center"/>
          </w:tcPr>
          <w:p w14:paraId="1A3CD741">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三维场景空间规划</w:t>
            </w:r>
          </w:p>
        </w:tc>
        <w:tc>
          <w:tcPr>
            <w:tcW w:w="10047" w:type="dxa"/>
            <w:tcBorders>
              <w:top w:val="single" w:color="000000" w:sz="4" w:space="0"/>
              <w:left w:val="single" w:color="000000" w:sz="4" w:space="0"/>
              <w:bottom w:val="single" w:color="000000" w:sz="4" w:space="0"/>
              <w:right w:val="single" w:color="000000" w:sz="4" w:space="0"/>
            </w:tcBorders>
            <w:vAlign w:val="center"/>
          </w:tcPr>
          <w:p w14:paraId="2B1A898B">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依托雅长保护区实景三维模型和地理信息系统，借助先进的大场景复刻技术，实现将功能区、道路、步道、河流、天坑等典型的自然景观等多种要素合展示在三维场景中，且确保场景中的各个要素相互协调，形成一个整体感强的三维环境，构建出线上可视化的自然保护区全景场景。增强三维模型可视化场景的真实感与表现力，进行场景氛围设计，主要包括保护区地形地貌、河流、社区与管理站点建筑等的材质与纹理表达；调节模型中的光照、阴影、色彩等要素，符合自然状态；对可视化场景下的动态要素进行特效制作，包括但不限于植物摇曳、风雨等自然天气等。</w:t>
            </w:r>
          </w:p>
        </w:tc>
      </w:tr>
      <w:tr w14:paraId="6D46C079">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56C3CCE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w:t>
            </w:r>
          </w:p>
        </w:tc>
        <w:tc>
          <w:tcPr>
            <w:tcW w:w="2749" w:type="dxa"/>
            <w:tcBorders>
              <w:top w:val="single" w:color="000000" w:sz="4" w:space="0"/>
              <w:left w:val="single" w:color="000000" w:sz="4" w:space="0"/>
              <w:bottom w:val="single" w:color="000000" w:sz="4" w:space="0"/>
              <w:right w:val="single" w:color="000000" w:sz="4" w:space="0"/>
            </w:tcBorders>
            <w:vAlign w:val="center"/>
          </w:tcPr>
          <w:p w14:paraId="3098C1C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三维场景空间设计</w:t>
            </w:r>
          </w:p>
        </w:tc>
        <w:tc>
          <w:tcPr>
            <w:tcW w:w="10047" w:type="dxa"/>
            <w:tcBorders>
              <w:top w:val="single" w:color="000000" w:sz="4" w:space="0"/>
              <w:left w:val="single" w:color="000000" w:sz="4" w:space="0"/>
              <w:bottom w:val="single" w:color="000000" w:sz="4" w:space="0"/>
              <w:right w:val="single" w:color="000000" w:sz="4" w:space="0"/>
            </w:tcBorders>
            <w:vAlign w:val="center"/>
          </w:tcPr>
          <w:p w14:paraId="6F4E3BBD">
            <w:pPr>
              <w:spacing w:line="240" w:lineRule="auto"/>
              <w:ind w:firstLine="0" w:firstLineChars="0"/>
              <w:rPr>
                <w:rFonts w:hint="eastAsia" w:ascii="宋体" w:hAnsi="宋体" w:cs="宋体"/>
                <w:color w:val="auto"/>
                <w:sz w:val="20"/>
                <w:szCs w:val="20"/>
              </w:rPr>
            </w:pPr>
          </w:p>
        </w:tc>
      </w:tr>
      <w:tr w14:paraId="3758282B">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4E52CC4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2.1.1</w:t>
            </w:r>
          </w:p>
        </w:tc>
        <w:tc>
          <w:tcPr>
            <w:tcW w:w="2749" w:type="dxa"/>
            <w:tcBorders>
              <w:top w:val="single" w:color="000000" w:sz="4" w:space="0"/>
              <w:left w:val="single" w:color="000000" w:sz="4" w:space="0"/>
              <w:bottom w:val="single" w:color="000000" w:sz="4" w:space="0"/>
              <w:right w:val="single" w:color="000000" w:sz="4" w:space="0"/>
            </w:tcBorders>
            <w:vAlign w:val="center"/>
          </w:tcPr>
          <w:p w14:paraId="5973B66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三维场景空间设计</w:t>
            </w:r>
          </w:p>
        </w:tc>
        <w:tc>
          <w:tcPr>
            <w:tcW w:w="10047" w:type="dxa"/>
            <w:tcBorders>
              <w:top w:val="single" w:color="000000" w:sz="4" w:space="0"/>
              <w:left w:val="single" w:color="000000" w:sz="4" w:space="0"/>
              <w:bottom w:val="single" w:color="000000" w:sz="4" w:space="0"/>
              <w:right w:val="single" w:color="000000" w:sz="4" w:space="0"/>
            </w:tcBorders>
            <w:vAlign w:val="center"/>
          </w:tcPr>
          <w:p w14:paraId="47297BD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概念设计</w:t>
            </w:r>
          </w:p>
        </w:tc>
      </w:tr>
      <w:tr w14:paraId="5931770A">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4C09C5AC">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2.1.2</w:t>
            </w:r>
          </w:p>
        </w:tc>
        <w:tc>
          <w:tcPr>
            <w:tcW w:w="2749" w:type="dxa"/>
            <w:tcBorders>
              <w:top w:val="single" w:color="000000" w:sz="4" w:space="0"/>
              <w:left w:val="single" w:color="000000" w:sz="4" w:space="0"/>
              <w:bottom w:val="single" w:color="000000" w:sz="4" w:space="0"/>
              <w:right w:val="single" w:color="000000" w:sz="4" w:space="0"/>
            </w:tcBorders>
            <w:vAlign w:val="center"/>
          </w:tcPr>
          <w:p w14:paraId="2DF13F5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三维场景空间设计</w:t>
            </w:r>
          </w:p>
        </w:tc>
        <w:tc>
          <w:tcPr>
            <w:tcW w:w="10047" w:type="dxa"/>
            <w:tcBorders>
              <w:top w:val="single" w:color="000000" w:sz="4" w:space="0"/>
              <w:left w:val="single" w:color="000000" w:sz="4" w:space="0"/>
              <w:bottom w:val="single" w:color="000000" w:sz="4" w:space="0"/>
              <w:right w:val="single" w:color="000000" w:sz="4" w:space="0"/>
            </w:tcBorders>
            <w:vAlign w:val="center"/>
          </w:tcPr>
          <w:p w14:paraId="1B1796A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量子蒙特卡洛模拟</w:t>
            </w:r>
          </w:p>
        </w:tc>
      </w:tr>
      <w:tr w14:paraId="65CFB1C5">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59B09C3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2.1.3</w:t>
            </w:r>
          </w:p>
        </w:tc>
        <w:tc>
          <w:tcPr>
            <w:tcW w:w="2749" w:type="dxa"/>
            <w:tcBorders>
              <w:top w:val="single" w:color="000000" w:sz="4" w:space="0"/>
              <w:left w:val="single" w:color="000000" w:sz="4" w:space="0"/>
              <w:bottom w:val="single" w:color="000000" w:sz="4" w:space="0"/>
              <w:right w:val="single" w:color="000000" w:sz="4" w:space="0"/>
            </w:tcBorders>
            <w:vAlign w:val="center"/>
          </w:tcPr>
          <w:p w14:paraId="6764CA4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三维场景空间设计</w:t>
            </w:r>
          </w:p>
        </w:tc>
        <w:tc>
          <w:tcPr>
            <w:tcW w:w="10047" w:type="dxa"/>
            <w:tcBorders>
              <w:top w:val="single" w:color="000000" w:sz="4" w:space="0"/>
              <w:left w:val="single" w:color="000000" w:sz="4" w:space="0"/>
              <w:bottom w:val="single" w:color="000000" w:sz="4" w:space="0"/>
              <w:right w:val="single" w:color="000000" w:sz="4" w:space="0"/>
            </w:tcBorders>
            <w:vAlign w:val="center"/>
          </w:tcPr>
          <w:p w14:paraId="20B20F9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波长选择性透射</w:t>
            </w:r>
          </w:p>
        </w:tc>
      </w:tr>
      <w:tr w14:paraId="1AA53EC6">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6BE3D09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2.1.4</w:t>
            </w:r>
          </w:p>
        </w:tc>
        <w:tc>
          <w:tcPr>
            <w:tcW w:w="2749" w:type="dxa"/>
            <w:tcBorders>
              <w:top w:val="single" w:color="000000" w:sz="4" w:space="0"/>
              <w:left w:val="single" w:color="000000" w:sz="4" w:space="0"/>
              <w:bottom w:val="single" w:color="000000" w:sz="4" w:space="0"/>
              <w:right w:val="single" w:color="000000" w:sz="4" w:space="0"/>
            </w:tcBorders>
            <w:vAlign w:val="center"/>
          </w:tcPr>
          <w:p w14:paraId="1DC644F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三维场景空间设计</w:t>
            </w:r>
          </w:p>
        </w:tc>
        <w:tc>
          <w:tcPr>
            <w:tcW w:w="10047" w:type="dxa"/>
            <w:tcBorders>
              <w:top w:val="single" w:color="000000" w:sz="4" w:space="0"/>
              <w:left w:val="single" w:color="000000" w:sz="4" w:space="0"/>
              <w:bottom w:val="single" w:color="000000" w:sz="4" w:space="0"/>
              <w:right w:val="single" w:color="000000" w:sz="4" w:space="0"/>
            </w:tcBorders>
            <w:vAlign w:val="center"/>
          </w:tcPr>
          <w:p w14:paraId="5A517BC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温湿度响应</w:t>
            </w:r>
          </w:p>
        </w:tc>
      </w:tr>
      <w:tr w14:paraId="3DA0CA76">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5065E841">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2.1.5</w:t>
            </w:r>
          </w:p>
        </w:tc>
        <w:tc>
          <w:tcPr>
            <w:tcW w:w="2749" w:type="dxa"/>
            <w:tcBorders>
              <w:top w:val="single" w:color="000000" w:sz="4" w:space="0"/>
              <w:left w:val="single" w:color="000000" w:sz="4" w:space="0"/>
              <w:bottom w:val="single" w:color="000000" w:sz="4" w:space="0"/>
              <w:right w:val="single" w:color="000000" w:sz="4" w:space="0"/>
            </w:tcBorders>
            <w:vAlign w:val="center"/>
          </w:tcPr>
          <w:p w14:paraId="708BD38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三维场景空间设计</w:t>
            </w:r>
          </w:p>
        </w:tc>
        <w:tc>
          <w:tcPr>
            <w:tcW w:w="10047" w:type="dxa"/>
            <w:tcBorders>
              <w:top w:val="single" w:color="000000" w:sz="4" w:space="0"/>
              <w:left w:val="single" w:color="000000" w:sz="4" w:space="0"/>
              <w:bottom w:val="single" w:color="000000" w:sz="4" w:space="0"/>
              <w:right w:val="single" w:color="000000" w:sz="4" w:space="0"/>
            </w:tcBorders>
            <w:vAlign w:val="center"/>
          </w:tcPr>
          <w:p w14:paraId="3F3F2B6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生物行为模拟矩阵</w:t>
            </w:r>
          </w:p>
        </w:tc>
      </w:tr>
      <w:tr w14:paraId="21F7C954">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5C83E16A">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2.1.6</w:t>
            </w:r>
          </w:p>
        </w:tc>
        <w:tc>
          <w:tcPr>
            <w:tcW w:w="2749" w:type="dxa"/>
            <w:tcBorders>
              <w:top w:val="single" w:color="000000" w:sz="4" w:space="0"/>
              <w:left w:val="single" w:color="000000" w:sz="4" w:space="0"/>
              <w:bottom w:val="single" w:color="000000" w:sz="4" w:space="0"/>
              <w:right w:val="single" w:color="000000" w:sz="4" w:space="0"/>
            </w:tcBorders>
            <w:vAlign w:val="center"/>
          </w:tcPr>
          <w:p w14:paraId="4A6B837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三维场景空间设计</w:t>
            </w:r>
          </w:p>
        </w:tc>
        <w:tc>
          <w:tcPr>
            <w:tcW w:w="10047" w:type="dxa"/>
            <w:tcBorders>
              <w:top w:val="single" w:color="000000" w:sz="4" w:space="0"/>
              <w:left w:val="single" w:color="000000" w:sz="4" w:space="0"/>
              <w:bottom w:val="single" w:color="000000" w:sz="4" w:space="0"/>
              <w:right w:val="single" w:color="000000" w:sz="4" w:space="0"/>
            </w:tcBorders>
            <w:vAlign w:val="center"/>
          </w:tcPr>
          <w:p w14:paraId="199F2B8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环境建模</w:t>
            </w:r>
          </w:p>
        </w:tc>
      </w:tr>
      <w:tr w14:paraId="0A84D8CA">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39F35C1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2.1.7</w:t>
            </w:r>
          </w:p>
        </w:tc>
        <w:tc>
          <w:tcPr>
            <w:tcW w:w="2749" w:type="dxa"/>
            <w:tcBorders>
              <w:top w:val="single" w:color="000000" w:sz="4" w:space="0"/>
              <w:left w:val="single" w:color="000000" w:sz="4" w:space="0"/>
              <w:bottom w:val="single" w:color="000000" w:sz="4" w:space="0"/>
              <w:right w:val="single" w:color="000000" w:sz="4" w:space="0"/>
            </w:tcBorders>
            <w:vAlign w:val="center"/>
          </w:tcPr>
          <w:p w14:paraId="4821415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三维场景空间设计</w:t>
            </w:r>
          </w:p>
        </w:tc>
        <w:tc>
          <w:tcPr>
            <w:tcW w:w="10047" w:type="dxa"/>
            <w:tcBorders>
              <w:top w:val="single" w:color="000000" w:sz="4" w:space="0"/>
              <w:left w:val="single" w:color="000000" w:sz="4" w:space="0"/>
              <w:bottom w:val="single" w:color="000000" w:sz="4" w:space="0"/>
              <w:right w:val="single" w:color="000000" w:sz="4" w:space="0"/>
            </w:tcBorders>
            <w:vAlign w:val="center"/>
          </w:tcPr>
          <w:p w14:paraId="3ED37B2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材质光照</w:t>
            </w:r>
          </w:p>
        </w:tc>
      </w:tr>
      <w:tr w14:paraId="48CB6F7A">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257D7DE6">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2.2</w:t>
            </w:r>
          </w:p>
        </w:tc>
        <w:tc>
          <w:tcPr>
            <w:tcW w:w="2749" w:type="dxa"/>
            <w:tcBorders>
              <w:top w:val="single" w:color="000000" w:sz="4" w:space="0"/>
              <w:left w:val="single" w:color="000000" w:sz="4" w:space="0"/>
              <w:bottom w:val="single" w:color="000000" w:sz="4" w:space="0"/>
              <w:right w:val="single" w:color="000000" w:sz="4" w:space="0"/>
            </w:tcBorders>
            <w:vAlign w:val="center"/>
          </w:tcPr>
          <w:p w14:paraId="5A53A31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场景动画设计</w:t>
            </w:r>
          </w:p>
        </w:tc>
        <w:tc>
          <w:tcPr>
            <w:tcW w:w="10047" w:type="dxa"/>
            <w:tcBorders>
              <w:top w:val="single" w:color="000000" w:sz="4" w:space="0"/>
              <w:left w:val="single" w:color="000000" w:sz="4" w:space="0"/>
              <w:bottom w:val="single" w:color="000000" w:sz="4" w:space="0"/>
              <w:right w:val="single" w:color="000000" w:sz="4" w:space="0"/>
            </w:tcBorders>
            <w:vAlign w:val="center"/>
          </w:tcPr>
          <w:p w14:paraId="55A48E95">
            <w:pPr>
              <w:spacing w:line="240" w:lineRule="auto"/>
              <w:ind w:firstLine="0" w:firstLineChars="0"/>
              <w:rPr>
                <w:rFonts w:hint="eastAsia" w:ascii="宋体" w:hAnsi="宋体" w:cs="宋体"/>
                <w:color w:val="auto"/>
                <w:sz w:val="20"/>
                <w:szCs w:val="20"/>
              </w:rPr>
            </w:pPr>
          </w:p>
        </w:tc>
      </w:tr>
      <w:tr w14:paraId="60C2A86C">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3F8074B6">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2.2.1</w:t>
            </w:r>
          </w:p>
        </w:tc>
        <w:tc>
          <w:tcPr>
            <w:tcW w:w="2749" w:type="dxa"/>
            <w:tcBorders>
              <w:top w:val="single" w:color="000000" w:sz="4" w:space="0"/>
              <w:left w:val="single" w:color="000000" w:sz="4" w:space="0"/>
              <w:bottom w:val="single" w:color="000000" w:sz="4" w:space="0"/>
              <w:right w:val="single" w:color="000000" w:sz="4" w:space="0"/>
            </w:tcBorders>
            <w:vAlign w:val="center"/>
          </w:tcPr>
          <w:p w14:paraId="3E0A385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场景动画设计</w:t>
            </w:r>
          </w:p>
        </w:tc>
        <w:tc>
          <w:tcPr>
            <w:tcW w:w="10047" w:type="dxa"/>
            <w:tcBorders>
              <w:top w:val="single" w:color="000000" w:sz="4" w:space="0"/>
              <w:left w:val="single" w:color="000000" w:sz="4" w:space="0"/>
              <w:bottom w:val="single" w:color="000000" w:sz="4" w:space="0"/>
              <w:right w:val="single" w:color="000000" w:sz="4" w:space="0"/>
            </w:tcBorders>
            <w:vAlign w:val="center"/>
          </w:tcPr>
          <w:p w14:paraId="292053B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光子场景雕刻</w:t>
            </w:r>
          </w:p>
        </w:tc>
      </w:tr>
      <w:tr w14:paraId="4E53678C">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26C416D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2.2.2</w:t>
            </w:r>
          </w:p>
        </w:tc>
        <w:tc>
          <w:tcPr>
            <w:tcW w:w="2749" w:type="dxa"/>
            <w:tcBorders>
              <w:top w:val="single" w:color="000000" w:sz="4" w:space="0"/>
              <w:left w:val="single" w:color="000000" w:sz="4" w:space="0"/>
              <w:bottom w:val="single" w:color="000000" w:sz="4" w:space="0"/>
              <w:right w:val="single" w:color="000000" w:sz="4" w:space="0"/>
            </w:tcBorders>
            <w:vAlign w:val="center"/>
          </w:tcPr>
          <w:p w14:paraId="4BAD2D9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场景动画设计</w:t>
            </w:r>
          </w:p>
        </w:tc>
        <w:tc>
          <w:tcPr>
            <w:tcW w:w="10047" w:type="dxa"/>
            <w:tcBorders>
              <w:top w:val="single" w:color="000000" w:sz="4" w:space="0"/>
              <w:left w:val="single" w:color="000000" w:sz="4" w:space="0"/>
              <w:bottom w:val="single" w:color="000000" w:sz="4" w:space="0"/>
              <w:right w:val="single" w:color="000000" w:sz="4" w:space="0"/>
            </w:tcBorders>
            <w:vAlign w:val="center"/>
          </w:tcPr>
          <w:p w14:paraId="4DBBD55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拓扑动画适配</w:t>
            </w:r>
          </w:p>
        </w:tc>
      </w:tr>
      <w:tr w14:paraId="4EE86B60">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70B84757">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2.2.3</w:t>
            </w:r>
          </w:p>
        </w:tc>
        <w:tc>
          <w:tcPr>
            <w:tcW w:w="2749" w:type="dxa"/>
            <w:tcBorders>
              <w:top w:val="single" w:color="000000" w:sz="4" w:space="0"/>
              <w:left w:val="single" w:color="000000" w:sz="4" w:space="0"/>
              <w:bottom w:val="single" w:color="000000" w:sz="4" w:space="0"/>
              <w:right w:val="single" w:color="000000" w:sz="4" w:space="0"/>
            </w:tcBorders>
            <w:vAlign w:val="center"/>
          </w:tcPr>
          <w:p w14:paraId="6895BA8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场景动画设计</w:t>
            </w:r>
          </w:p>
        </w:tc>
        <w:tc>
          <w:tcPr>
            <w:tcW w:w="10047" w:type="dxa"/>
            <w:tcBorders>
              <w:top w:val="single" w:color="000000" w:sz="4" w:space="0"/>
              <w:left w:val="single" w:color="000000" w:sz="4" w:space="0"/>
              <w:bottom w:val="single" w:color="000000" w:sz="4" w:space="0"/>
              <w:right w:val="single" w:color="000000" w:sz="4" w:space="0"/>
            </w:tcBorders>
            <w:vAlign w:val="center"/>
          </w:tcPr>
          <w:p w14:paraId="5320E84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关键帧量子插值</w:t>
            </w:r>
          </w:p>
        </w:tc>
      </w:tr>
      <w:tr w14:paraId="52337B03">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456C2F92">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2.2.4</w:t>
            </w:r>
          </w:p>
        </w:tc>
        <w:tc>
          <w:tcPr>
            <w:tcW w:w="2749" w:type="dxa"/>
            <w:tcBorders>
              <w:top w:val="single" w:color="000000" w:sz="4" w:space="0"/>
              <w:left w:val="single" w:color="000000" w:sz="4" w:space="0"/>
              <w:bottom w:val="single" w:color="000000" w:sz="4" w:space="0"/>
              <w:right w:val="single" w:color="000000" w:sz="4" w:space="0"/>
            </w:tcBorders>
            <w:vAlign w:val="center"/>
          </w:tcPr>
          <w:p w14:paraId="6269CAE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场景动画设计</w:t>
            </w:r>
          </w:p>
        </w:tc>
        <w:tc>
          <w:tcPr>
            <w:tcW w:w="10047" w:type="dxa"/>
            <w:tcBorders>
              <w:top w:val="single" w:color="000000" w:sz="4" w:space="0"/>
              <w:left w:val="single" w:color="000000" w:sz="4" w:space="0"/>
              <w:bottom w:val="single" w:color="000000" w:sz="4" w:space="0"/>
              <w:right w:val="single" w:color="000000" w:sz="4" w:space="0"/>
            </w:tcBorders>
            <w:vAlign w:val="center"/>
          </w:tcPr>
          <w:p w14:paraId="0F99079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时空扭曲修正</w:t>
            </w:r>
          </w:p>
        </w:tc>
      </w:tr>
      <w:tr w14:paraId="0C091FF6">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1C030EE3">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2.2.5</w:t>
            </w:r>
          </w:p>
        </w:tc>
        <w:tc>
          <w:tcPr>
            <w:tcW w:w="2749" w:type="dxa"/>
            <w:tcBorders>
              <w:top w:val="single" w:color="000000" w:sz="4" w:space="0"/>
              <w:left w:val="single" w:color="000000" w:sz="4" w:space="0"/>
              <w:bottom w:val="single" w:color="000000" w:sz="4" w:space="0"/>
              <w:right w:val="single" w:color="000000" w:sz="4" w:space="0"/>
            </w:tcBorders>
            <w:vAlign w:val="center"/>
          </w:tcPr>
          <w:p w14:paraId="3C5EEA6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场景动画设计</w:t>
            </w:r>
          </w:p>
        </w:tc>
        <w:tc>
          <w:tcPr>
            <w:tcW w:w="10047" w:type="dxa"/>
            <w:tcBorders>
              <w:top w:val="single" w:color="000000" w:sz="4" w:space="0"/>
              <w:left w:val="single" w:color="000000" w:sz="4" w:space="0"/>
              <w:bottom w:val="single" w:color="000000" w:sz="4" w:space="0"/>
              <w:right w:val="single" w:color="000000" w:sz="4" w:space="0"/>
            </w:tcBorders>
            <w:vAlign w:val="center"/>
          </w:tcPr>
          <w:p w14:paraId="2053B71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分子级破碎模拟</w:t>
            </w:r>
          </w:p>
        </w:tc>
      </w:tr>
      <w:tr w14:paraId="621D2B29">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551BD32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2.2.6</w:t>
            </w:r>
          </w:p>
        </w:tc>
        <w:tc>
          <w:tcPr>
            <w:tcW w:w="2749" w:type="dxa"/>
            <w:tcBorders>
              <w:top w:val="single" w:color="000000" w:sz="4" w:space="0"/>
              <w:left w:val="single" w:color="000000" w:sz="4" w:space="0"/>
              <w:bottom w:val="single" w:color="000000" w:sz="4" w:space="0"/>
              <w:right w:val="single" w:color="000000" w:sz="4" w:space="0"/>
            </w:tcBorders>
            <w:vAlign w:val="center"/>
          </w:tcPr>
          <w:p w14:paraId="2780F84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场景动画设计</w:t>
            </w:r>
          </w:p>
        </w:tc>
        <w:tc>
          <w:tcPr>
            <w:tcW w:w="10047" w:type="dxa"/>
            <w:tcBorders>
              <w:top w:val="single" w:color="000000" w:sz="4" w:space="0"/>
              <w:left w:val="single" w:color="000000" w:sz="4" w:space="0"/>
              <w:bottom w:val="single" w:color="000000" w:sz="4" w:space="0"/>
              <w:right w:val="single" w:color="000000" w:sz="4" w:space="0"/>
            </w:tcBorders>
            <w:vAlign w:val="center"/>
          </w:tcPr>
          <w:p w14:paraId="19C2A07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流体智能缓存</w:t>
            </w:r>
          </w:p>
        </w:tc>
      </w:tr>
      <w:tr w14:paraId="59752B97">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140DB4BD">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2.2.7</w:t>
            </w:r>
          </w:p>
        </w:tc>
        <w:tc>
          <w:tcPr>
            <w:tcW w:w="2749" w:type="dxa"/>
            <w:tcBorders>
              <w:top w:val="single" w:color="000000" w:sz="4" w:space="0"/>
              <w:left w:val="single" w:color="000000" w:sz="4" w:space="0"/>
              <w:bottom w:val="single" w:color="000000" w:sz="4" w:space="0"/>
              <w:right w:val="single" w:color="000000" w:sz="4" w:space="0"/>
            </w:tcBorders>
            <w:vAlign w:val="center"/>
          </w:tcPr>
          <w:p w14:paraId="6CDB7F4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场景动画设计</w:t>
            </w:r>
          </w:p>
        </w:tc>
        <w:tc>
          <w:tcPr>
            <w:tcW w:w="10047" w:type="dxa"/>
            <w:tcBorders>
              <w:top w:val="single" w:color="000000" w:sz="4" w:space="0"/>
              <w:left w:val="single" w:color="000000" w:sz="4" w:space="0"/>
              <w:bottom w:val="single" w:color="000000" w:sz="4" w:space="0"/>
              <w:right w:val="single" w:color="000000" w:sz="4" w:space="0"/>
            </w:tcBorders>
            <w:vAlign w:val="center"/>
          </w:tcPr>
          <w:p w14:paraId="3BAE2DE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光电效应渲染</w:t>
            </w:r>
          </w:p>
        </w:tc>
      </w:tr>
      <w:tr w14:paraId="0F595DC4">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7F162F6C">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2.3</w:t>
            </w:r>
          </w:p>
        </w:tc>
        <w:tc>
          <w:tcPr>
            <w:tcW w:w="2749" w:type="dxa"/>
            <w:tcBorders>
              <w:top w:val="single" w:color="000000" w:sz="4" w:space="0"/>
              <w:left w:val="single" w:color="000000" w:sz="4" w:space="0"/>
              <w:bottom w:val="single" w:color="000000" w:sz="4" w:space="0"/>
              <w:right w:val="single" w:color="000000" w:sz="4" w:space="0"/>
            </w:tcBorders>
            <w:vAlign w:val="center"/>
          </w:tcPr>
          <w:p w14:paraId="11262DD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GIS图层制作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00B917EE">
            <w:pPr>
              <w:spacing w:line="240" w:lineRule="auto"/>
              <w:ind w:firstLine="0" w:firstLineChars="0"/>
              <w:rPr>
                <w:rFonts w:hint="eastAsia" w:ascii="宋体" w:hAnsi="宋体" w:cs="宋体"/>
                <w:color w:val="auto"/>
                <w:sz w:val="20"/>
                <w:szCs w:val="20"/>
              </w:rPr>
            </w:pPr>
          </w:p>
        </w:tc>
      </w:tr>
      <w:tr w14:paraId="75912A4F">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726EE9EA">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2.3.1</w:t>
            </w:r>
          </w:p>
        </w:tc>
        <w:tc>
          <w:tcPr>
            <w:tcW w:w="2749" w:type="dxa"/>
            <w:tcBorders>
              <w:top w:val="single" w:color="000000" w:sz="4" w:space="0"/>
              <w:left w:val="single" w:color="000000" w:sz="4" w:space="0"/>
              <w:bottom w:val="single" w:color="000000" w:sz="4" w:space="0"/>
              <w:right w:val="single" w:color="000000" w:sz="4" w:space="0"/>
            </w:tcBorders>
            <w:vAlign w:val="center"/>
          </w:tcPr>
          <w:p w14:paraId="24109B5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GIS图层制作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2C2315B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GIS多源数据获取</w:t>
            </w:r>
          </w:p>
        </w:tc>
      </w:tr>
      <w:tr w14:paraId="2B94899E">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5D1114D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2.3.2</w:t>
            </w:r>
          </w:p>
        </w:tc>
        <w:tc>
          <w:tcPr>
            <w:tcW w:w="2749" w:type="dxa"/>
            <w:tcBorders>
              <w:top w:val="single" w:color="000000" w:sz="4" w:space="0"/>
              <w:left w:val="single" w:color="000000" w:sz="4" w:space="0"/>
              <w:bottom w:val="single" w:color="000000" w:sz="4" w:space="0"/>
              <w:right w:val="single" w:color="000000" w:sz="4" w:space="0"/>
            </w:tcBorders>
            <w:vAlign w:val="center"/>
          </w:tcPr>
          <w:p w14:paraId="7359EEA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GIS图层制作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5C252F0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GIS数据清洗</w:t>
            </w:r>
          </w:p>
        </w:tc>
      </w:tr>
      <w:tr w14:paraId="1340FB55">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7C704976">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2.3.3</w:t>
            </w:r>
          </w:p>
        </w:tc>
        <w:tc>
          <w:tcPr>
            <w:tcW w:w="2749" w:type="dxa"/>
            <w:tcBorders>
              <w:top w:val="single" w:color="000000" w:sz="4" w:space="0"/>
              <w:left w:val="single" w:color="000000" w:sz="4" w:space="0"/>
              <w:bottom w:val="single" w:color="000000" w:sz="4" w:space="0"/>
              <w:right w:val="single" w:color="000000" w:sz="4" w:space="0"/>
            </w:tcBorders>
            <w:vAlign w:val="center"/>
          </w:tcPr>
          <w:p w14:paraId="7ABF369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GIS图层制作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149F23E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坐标纠偏</w:t>
            </w:r>
          </w:p>
        </w:tc>
      </w:tr>
      <w:tr w14:paraId="6C781310">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3EF6A5F3">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2.3.4</w:t>
            </w:r>
          </w:p>
        </w:tc>
        <w:tc>
          <w:tcPr>
            <w:tcW w:w="2749" w:type="dxa"/>
            <w:tcBorders>
              <w:top w:val="single" w:color="000000" w:sz="4" w:space="0"/>
              <w:left w:val="single" w:color="000000" w:sz="4" w:space="0"/>
              <w:bottom w:val="single" w:color="000000" w:sz="4" w:space="0"/>
              <w:right w:val="single" w:color="000000" w:sz="4" w:space="0"/>
            </w:tcBorders>
            <w:vAlign w:val="center"/>
          </w:tcPr>
          <w:p w14:paraId="17492C5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GIS图层制作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6D3740B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拓扑重构</w:t>
            </w:r>
          </w:p>
        </w:tc>
      </w:tr>
      <w:tr w14:paraId="6A3EAF6C">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55804D5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2.3.5</w:t>
            </w:r>
          </w:p>
        </w:tc>
        <w:tc>
          <w:tcPr>
            <w:tcW w:w="2749" w:type="dxa"/>
            <w:tcBorders>
              <w:top w:val="single" w:color="000000" w:sz="4" w:space="0"/>
              <w:left w:val="single" w:color="000000" w:sz="4" w:space="0"/>
              <w:bottom w:val="single" w:color="000000" w:sz="4" w:space="0"/>
              <w:right w:val="single" w:color="000000" w:sz="4" w:space="0"/>
            </w:tcBorders>
            <w:vAlign w:val="center"/>
          </w:tcPr>
          <w:p w14:paraId="3622E3A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GIS图层制作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7385807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空间关系建模</w:t>
            </w:r>
          </w:p>
        </w:tc>
      </w:tr>
      <w:tr w14:paraId="50C2BF50">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01DCAA3D">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2.3.6</w:t>
            </w:r>
          </w:p>
        </w:tc>
        <w:tc>
          <w:tcPr>
            <w:tcW w:w="2749" w:type="dxa"/>
            <w:tcBorders>
              <w:top w:val="single" w:color="000000" w:sz="4" w:space="0"/>
              <w:left w:val="single" w:color="000000" w:sz="4" w:space="0"/>
              <w:bottom w:val="single" w:color="000000" w:sz="4" w:space="0"/>
              <w:right w:val="single" w:color="000000" w:sz="4" w:space="0"/>
            </w:tcBorders>
            <w:vAlign w:val="center"/>
          </w:tcPr>
          <w:p w14:paraId="097B9E2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GIS图层制作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666E4C2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时空模式挖掘</w:t>
            </w:r>
          </w:p>
        </w:tc>
      </w:tr>
      <w:tr w14:paraId="2C8A0828">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5A32461D">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2.3.7</w:t>
            </w:r>
          </w:p>
        </w:tc>
        <w:tc>
          <w:tcPr>
            <w:tcW w:w="2749" w:type="dxa"/>
            <w:tcBorders>
              <w:top w:val="single" w:color="000000" w:sz="4" w:space="0"/>
              <w:left w:val="single" w:color="000000" w:sz="4" w:space="0"/>
              <w:bottom w:val="single" w:color="000000" w:sz="4" w:space="0"/>
              <w:right w:val="single" w:color="000000" w:sz="4" w:space="0"/>
            </w:tcBorders>
            <w:vAlign w:val="center"/>
          </w:tcPr>
          <w:p w14:paraId="55B8AF8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GIS图层制作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2931FA6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叠加分析</w:t>
            </w:r>
          </w:p>
        </w:tc>
      </w:tr>
      <w:tr w14:paraId="66729E7A">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4667A2B3">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2.3.8</w:t>
            </w:r>
          </w:p>
        </w:tc>
        <w:tc>
          <w:tcPr>
            <w:tcW w:w="2749" w:type="dxa"/>
            <w:tcBorders>
              <w:top w:val="single" w:color="000000" w:sz="4" w:space="0"/>
              <w:left w:val="single" w:color="000000" w:sz="4" w:space="0"/>
              <w:bottom w:val="single" w:color="000000" w:sz="4" w:space="0"/>
              <w:right w:val="single" w:color="000000" w:sz="4" w:space="0"/>
            </w:tcBorders>
            <w:vAlign w:val="center"/>
          </w:tcPr>
          <w:p w14:paraId="10D9816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GIS图层制作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0345EDC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智能符号化</w:t>
            </w:r>
          </w:p>
        </w:tc>
      </w:tr>
      <w:tr w14:paraId="3FCE2AE9">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5636A515">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2.3.9</w:t>
            </w:r>
          </w:p>
        </w:tc>
        <w:tc>
          <w:tcPr>
            <w:tcW w:w="2749" w:type="dxa"/>
            <w:tcBorders>
              <w:top w:val="single" w:color="000000" w:sz="4" w:space="0"/>
              <w:left w:val="single" w:color="000000" w:sz="4" w:space="0"/>
              <w:bottom w:val="single" w:color="000000" w:sz="4" w:space="0"/>
              <w:right w:val="single" w:color="000000" w:sz="4" w:space="0"/>
            </w:tcBorders>
            <w:vAlign w:val="center"/>
          </w:tcPr>
          <w:p w14:paraId="0967ECA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GIS图层制作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72EE63D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动态标注优化</w:t>
            </w:r>
          </w:p>
        </w:tc>
      </w:tr>
      <w:tr w14:paraId="45930941">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6350FE04">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2.3.10</w:t>
            </w:r>
          </w:p>
        </w:tc>
        <w:tc>
          <w:tcPr>
            <w:tcW w:w="2749" w:type="dxa"/>
            <w:tcBorders>
              <w:top w:val="single" w:color="000000" w:sz="4" w:space="0"/>
              <w:left w:val="single" w:color="000000" w:sz="4" w:space="0"/>
              <w:bottom w:val="single" w:color="000000" w:sz="4" w:space="0"/>
              <w:right w:val="single" w:color="000000" w:sz="4" w:space="0"/>
            </w:tcBorders>
            <w:vAlign w:val="center"/>
          </w:tcPr>
          <w:p w14:paraId="352DC35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GIS图层制作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37AB729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交互规则配置</w:t>
            </w:r>
          </w:p>
        </w:tc>
      </w:tr>
      <w:tr w14:paraId="294FA625">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34D6DDA7">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2.3.11</w:t>
            </w:r>
          </w:p>
        </w:tc>
        <w:tc>
          <w:tcPr>
            <w:tcW w:w="2749" w:type="dxa"/>
            <w:tcBorders>
              <w:top w:val="single" w:color="000000" w:sz="4" w:space="0"/>
              <w:left w:val="single" w:color="000000" w:sz="4" w:space="0"/>
              <w:bottom w:val="single" w:color="000000" w:sz="4" w:space="0"/>
              <w:right w:val="single" w:color="000000" w:sz="4" w:space="0"/>
            </w:tcBorders>
            <w:vAlign w:val="center"/>
          </w:tcPr>
          <w:p w14:paraId="32021DB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GIS图层制作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163BE63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光子LiDAR+量子重力场反演</w:t>
            </w:r>
          </w:p>
        </w:tc>
      </w:tr>
      <w:tr w14:paraId="41780E9F">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6FA5A0FF">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2.3.12</w:t>
            </w:r>
          </w:p>
        </w:tc>
        <w:tc>
          <w:tcPr>
            <w:tcW w:w="2749" w:type="dxa"/>
            <w:tcBorders>
              <w:top w:val="single" w:color="000000" w:sz="4" w:space="0"/>
              <w:left w:val="single" w:color="000000" w:sz="4" w:space="0"/>
              <w:bottom w:val="single" w:color="000000" w:sz="4" w:space="0"/>
              <w:right w:val="single" w:color="000000" w:sz="4" w:space="0"/>
            </w:tcBorders>
            <w:vAlign w:val="center"/>
          </w:tcPr>
          <w:p w14:paraId="401E426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GIS图层制作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63E58B3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能效比验证</w:t>
            </w:r>
          </w:p>
        </w:tc>
      </w:tr>
      <w:tr w14:paraId="5D565BD5">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35D5CBE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2.3.13</w:t>
            </w:r>
          </w:p>
        </w:tc>
        <w:tc>
          <w:tcPr>
            <w:tcW w:w="2749" w:type="dxa"/>
            <w:tcBorders>
              <w:top w:val="single" w:color="000000" w:sz="4" w:space="0"/>
              <w:left w:val="single" w:color="000000" w:sz="4" w:space="0"/>
              <w:bottom w:val="single" w:color="000000" w:sz="4" w:space="0"/>
              <w:right w:val="single" w:color="000000" w:sz="4" w:space="0"/>
            </w:tcBorders>
            <w:vAlign w:val="center"/>
          </w:tcPr>
          <w:p w14:paraId="65FCCE4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GIS图层制作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2E81BCA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数字孪生坐标系对齐</w:t>
            </w:r>
          </w:p>
        </w:tc>
      </w:tr>
      <w:tr w14:paraId="7B1505A5">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550DEFA4">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2.4</w:t>
            </w:r>
          </w:p>
        </w:tc>
        <w:tc>
          <w:tcPr>
            <w:tcW w:w="2749" w:type="dxa"/>
            <w:tcBorders>
              <w:top w:val="single" w:color="000000" w:sz="4" w:space="0"/>
              <w:left w:val="single" w:color="000000" w:sz="4" w:space="0"/>
              <w:bottom w:val="single" w:color="000000" w:sz="4" w:space="0"/>
              <w:right w:val="single" w:color="000000" w:sz="4" w:space="0"/>
            </w:tcBorders>
            <w:vAlign w:val="center"/>
          </w:tcPr>
          <w:p w14:paraId="12AF4AA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GIS图层与三维场景融合</w:t>
            </w:r>
          </w:p>
        </w:tc>
        <w:tc>
          <w:tcPr>
            <w:tcW w:w="10047" w:type="dxa"/>
            <w:tcBorders>
              <w:top w:val="single" w:color="000000" w:sz="4" w:space="0"/>
              <w:left w:val="single" w:color="000000" w:sz="4" w:space="0"/>
              <w:bottom w:val="single" w:color="000000" w:sz="4" w:space="0"/>
              <w:right w:val="single" w:color="000000" w:sz="4" w:space="0"/>
            </w:tcBorders>
            <w:vAlign w:val="center"/>
          </w:tcPr>
          <w:p w14:paraId="69D0E8D3">
            <w:pPr>
              <w:spacing w:line="240" w:lineRule="auto"/>
              <w:ind w:firstLine="0" w:firstLineChars="0"/>
              <w:rPr>
                <w:rFonts w:hint="eastAsia" w:ascii="宋体" w:hAnsi="宋体" w:cs="宋体"/>
                <w:color w:val="auto"/>
                <w:sz w:val="20"/>
                <w:szCs w:val="20"/>
              </w:rPr>
            </w:pPr>
          </w:p>
        </w:tc>
      </w:tr>
      <w:tr w14:paraId="4C629D82">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70868A1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2.4.1</w:t>
            </w:r>
          </w:p>
        </w:tc>
        <w:tc>
          <w:tcPr>
            <w:tcW w:w="2749" w:type="dxa"/>
            <w:tcBorders>
              <w:top w:val="single" w:color="000000" w:sz="4" w:space="0"/>
              <w:left w:val="single" w:color="000000" w:sz="4" w:space="0"/>
              <w:bottom w:val="single" w:color="000000" w:sz="4" w:space="0"/>
              <w:right w:val="single" w:color="000000" w:sz="4" w:space="0"/>
            </w:tcBorders>
            <w:vAlign w:val="center"/>
          </w:tcPr>
          <w:p w14:paraId="746C9DF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GIS图层与三维场景融合</w:t>
            </w:r>
          </w:p>
        </w:tc>
        <w:tc>
          <w:tcPr>
            <w:tcW w:w="10047" w:type="dxa"/>
            <w:tcBorders>
              <w:top w:val="single" w:color="000000" w:sz="4" w:space="0"/>
              <w:left w:val="single" w:color="000000" w:sz="4" w:space="0"/>
              <w:bottom w:val="single" w:color="000000" w:sz="4" w:space="0"/>
              <w:right w:val="single" w:color="000000" w:sz="4" w:space="0"/>
            </w:tcBorders>
            <w:vAlign w:val="center"/>
          </w:tcPr>
          <w:p w14:paraId="05F6336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数据融合</w:t>
            </w:r>
          </w:p>
        </w:tc>
      </w:tr>
      <w:tr w14:paraId="287672EA">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7E4161F5">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2.4.2</w:t>
            </w:r>
          </w:p>
        </w:tc>
        <w:tc>
          <w:tcPr>
            <w:tcW w:w="2749" w:type="dxa"/>
            <w:tcBorders>
              <w:top w:val="single" w:color="000000" w:sz="4" w:space="0"/>
              <w:left w:val="single" w:color="000000" w:sz="4" w:space="0"/>
              <w:bottom w:val="single" w:color="000000" w:sz="4" w:space="0"/>
              <w:right w:val="single" w:color="000000" w:sz="4" w:space="0"/>
            </w:tcBorders>
            <w:vAlign w:val="center"/>
          </w:tcPr>
          <w:p w14:paraId="2D57FD2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GIS图层与三维场景融合</w:t>
            </w:r>
          </w:p>
        </w:tc>
        <w:tc>
          <w:tcPr>
            <w:tcW w:w="10047" w:type="dxa"/>
            <w:tcBorders>
              <w:top w:val="single" w:color="000000" w:sz="4" w:space="0"/>
              <w:left w:val="single" w:color="000000" w:sz="4" w:space="0"/>
              <w:bottom w:val="single" w:color="000000" w:sz="4" w:space="0"/>
              <w:right w:val="single" w:color="000000" w:sz="4" w:space="0"/>
            </w:tcBorders>
            <w:vAlign w:val="center"/>
          </w:tcPr>
          <w:p w14:paraId="239677B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三维模型轻量化</w:t>
            </w:r>
          </w:p>
        </w:tc>
      </w:tr>
      <w:tr w14:paraId="601943C5">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63233D9E">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2.4.3</w:t>
            </w:r>
          </w:p>
        </w:tc>
        <w:tc>
          <w:tcPr>
            <w:tcW w:w="2749" w:type="dxa"/>
            <w:tcBorders>
              <w:top w:val="single" w:color="000000" w:sz="4" w:space="0"/>
              <w:left w:val="single" w:color="000000" w:sz="4" w:space="0"/>
              <w:bottom w:val="single" w:color="000000" w:sz="4" w:space="0"/>
              <w:right w:val="single" w:color="000000" w:sz="4" w:space="0"/>
            </w:tcBorders>
            <w:vAlign w:val="center"/>
          </w:tcPr>
          <w:p w14:paraId="59FFC29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GIS图层与三维场景融合</w:t>
            </w:r>
          </w:p>
        </w:tc>
        <w:tc>
          <w:tcPr>
            <w:tcW w:w="10047" w:type="dxa"/>
            <w:tcBorders>
              <w:top w:val="single" w:color="000000" w:sz="4" w:space="0"/>
              <w:left w:val="single" w:color="000000" w:sz="4" w:space="0"/>
              <w:bottom w:val="single" w:color="000000" w:sz="4" w:space="0"/>
              <w:right w:val="single" w:color="000000" w:sz="4" w:space="0"/>
            </w:tcBorders>
            <w:vAlign w:val="center"/>
          </w:tcPr>
          <w:p w14:paraId="43D9262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GIS数据格式转换</w:t>
            </w:r>
          </w:p>
        </w:tc>
      </w:tr>
      <w:tr w14:paraId="008038E7">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4449D6A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2.4.4</w:t>
            </w:r>
          </w:p>
        </w:tc>
        <w:tc>
          <w:tcPr>
            <w:tcW w:w="2749" w:type="dxa"/>
            <w:tcBorders>
              <w:top w:val="single" w:color="000000" w:sz="4" w:space="0"/>
              <w:left w:val="single" w:color="000000" w:sz="4" w:space="0"/>
              <w:bottom w:val="single" w:color="000000" w:sz="4" w:space="0"/>
              <w:right w:val="single" w:color="000000" w:sz="4" w:space="0"/>
            </w:tcBorders>
            <w:vAlign w:val="center"/>
          </w:tcPr>
          <w:p w14:paraId="5FBB8DD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GIS图层与三维场景融合</w:t>
            </w:r>
          </w:p>
        </w:tc>
        <w:tc>
          <w:tcPr>
            <w:tcW w:w="10047" w:type="dxa"/>
            <w:tcBorders>
              <w:top w:val="single" w:color="000000" w:sz="4" w:space="0"/>
              <w:left w:val="single" w:color="000000" w:sz="4" w:space="0"/>
              <w:bottom w:val="single" w:color="000000" w:sz="4" w:space="0"/>
              <w:right w:val="single" w:color="000000" w:sz="4" w:space="0"/>
            </w:tcBorders>
            <w:vAlign w:val="center"/>
          </w:tcPr>
          <w:p w14:paraId="393D698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地理坐标系转换</w:t>
            </w:r>
          </w:p>
        </w:tc>
      </w:tr>
      <w:tr w14:paraId="1D92D534">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521399E2">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2.4.5</w:t>
            </w:r>
          </w:p>
        </w:tc>
        <w:tc>
          <w:tcPr>
            <w:tcW w:w="2749" w:type="dxa"/>
            <w:tcBorders>
              <w:top w:val="single" w:color="000000" w:sz="4" w:space="0"/>
              <w:left w:val="single" w:color="000000" w:sz="4" w:space="0"/>
              <w:bottom w:val="single" w:color="000000" w:sz="4" w:space="0"/>
              <w:right w:val="single" w:color="000000" w:sz="4" w:space="0"/>
            </w:tcBorders>
            <w:vAlign w:val="center"/>
          </w:tcPr>
          <w:p w14:paraId="5503542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GIS图层与三维场景融合</w:t>
            </w:r>
          </w:p>
        </w:tc>
        <w:tc>
          <w:tcPr>
            <w:tcW w:w="10047" w:type="dxa"/>
            <w:tcBorders>
              <w:top w:val="single" w:color="000000" w:sz="4" w:space="0"/>
              <w:left w:val="single" w:color="000000" w:sz="4" w:space="0"/>
              <w:bottom w:val="single" w:color="000000" w:sz="4" w:space="0"/>
              <w:right w:val="single" w:color="000000" w:sz="4" w:space="0"/>
            </w:tcBorders>
            <w:vAlign w:val="center"/>
          </w:tcPr>
          <w:p w14:paraId="7BBF8A4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场景空间对齐</w:t>
            </w:r>
          </w:p>
        </w:tc>
      </w:tr>
      <w:tr w14:paraId="1D028A94">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2509FCF7">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2.4.6</w:t>
            </w:r>
          </w:p>
        </w:tc>
        <w:tc>
          <w:tcPr>
            <w:tcW w:w="2749" w:type="dxa"/>
            <w:tcBorders>
              <w:top w:val="single" w:color="000000" w:sz="4" w:space="0"/>
              <w:left w:val="single" w:color="000000" w:sz="4" w:space="0"/>
              <w:bottom w:val="single" w:color="000000" w:sz="4" w:space="0"/>
              <w:right w:val="single" w:color="000000" w:sz="4" w:space="0"/>
            </w:tcBorders>
            <w:vAlign w:val="center"/>
          </w:tcPr>
          <w:p w14:paraId="0B3A57B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GIS图层与三维场景融合</w:t>
            </w:r>
          </w:p>
        </w:tc>
        <w:tc>
          <w:tcPr>
            <w:tcW w:w="10047" w:type="dxa"/>
            <w:tcBorders>
              <w:top w:val="single" w:color="000000" w:sz="4" w:space="0"/>
              <w:left w:val="single" w:color="000000" w:sz="4" w:space="0"/>
              <w:bottom w:val="single" w:color="000000" w:sz="4" w:space="0"/>
              <w:right w:val="single" w:color="000000" w:sz="4" w:space="0"/>
            </w:tcBorders>
            <w:vAlign w:val="center"/>
          </w:tcPr>
          <w:p w14:paraId="5844B67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高程基准校正</w:t>
            </w:r>
          </w:p>
        </w:tc>
      </w:tr>
      <w:tr w14:paraId="635ED7F2">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058B05A5">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2.4.7</w:t>
            </w:r>
          </w:p>
        </w:tc>
        <w:tc>
          <w:tcPr>
            <w:tcW w:w="2749" w:type="dxa"/>
            <w:tcBorders>
              <w:top w:val="single" w:color="000000" w:sz="4" w:space="0"/>
              <w:left w:val="single" w:color="000000" w:sz="4" w:space="0"/>
              <w:bottom w:val="single" w:color="000000" w:sz="4" w:space="0"/>
              <w:right w:val="single" w:color="000000" w:sz="4" w:space="0"/>
            </w:tcBorders>
            <w:vAlign w:val="center"/>
          </w:tcPr>
          <w:p w14:paraId="41642F0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GIS图层与三维场景融合</w:t>
            </w:r>
          </w:p>
        </w:tc>
        <w:tc>
          <w:tcPr>
            <w:tcW w:w="10047" w:type="dxa"/>
            <w:tcBorders>
              <w:top w:val="single" w:color="000000" w:sz="4" w:space="0"/>
              <w:left w:val="single" w:color="000000" w:sz="4" w:space="0"/>
              <w:bottom w:val="single" w:color="000000" w:sz="4" w:space="0"/>
              <w:right w:val="single" w:color="000000" w:sz="4" w:space="0"/>
            </w:tcBorders>
            <w:vAlign w:val="center"/>
          </w:tcPr>
          <w:p w14:paraId="3B6E1B0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语义映射</w:t>
            </w:r>
          </w:p>
        </w:tc>
      </w:tr>
      <w:tr w14:paraId="6032BAE5">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488F492A">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2.4.8</w:t>
            </w:r>
          </w:p>
        </w:tc>
        <w:tc>
          <w:tcPr>
            <w:tcW w:w="2749" w:type="dxa"/>
            <w:tcBorders>
              <w:top w:val="single" w:color="000000" w:sz="4" w:space="0"/>
              <w:left w:val="single" w:color="000000" w:sz="4" w:space="0"/>
              <w:bottom w:val="single" w:color="000000" w:sz="4" w:space="0"/>
              <w:right w:val="single" w:color="000000" w:sz="4" w:space="0"/>
            </w:tcBorders>
            <w:vAlign w:val="center"/>
          </w:tcPr>
          <w:p w14:paraId="3BF6997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GIS图层与三维场景融合</w:t>
            </w:r>
          </w:p>
        </w:tc>
        <w:tc>
          <w:tcPr>
            <w:tcW w:w="10047" w:type="dxa"/>
            <w:tcBorders>
              <w:top w:val="single" w:color="000000" w:sz="4" w:space="0"/>
              <w:left w:val="single" w:color="000000" w:sz="4" w:space="0"/>
              <w:bottom w:val="single" w:color="000000" w:sz="4" w:space="0"/>
              <w:right w:val="single" w:color="000000" w:sz="4" w:space="0"/>
            </w:tcBorders>
            <w:vAlign w:val="center"/>
          </w:tcPr>
          <w:p w14:paraId="7E6A2F7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几何拓扑融合</w:t>
            </w:r>
          </w:p>
        </w:tc>
      </w:tr>
      <w:tr w14:paraId="633ED80C">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1538D1F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2.4.9</w:t>
            </w:r>
          </w:p>
        </w:tc>
        <w:tc>
          <w:tcPr>
            <w:tcW w:w="2749" w:type="dxa"/>
            <w:tcBorders>
              <w:top w:val="single" w:color="000000" w:sz="4" w:space="0"/>
              <w:left w:val="single" w:color="000000" w:sz="4" w:space="0"/>
              <w:bottom w:val="single" w:color="000000" w:sz="4" w:space="0"/>
              <w:right w:val="single" w:color="000000" w:sz="4" w:space="0"/>
            </w:tcBorders>
            <w:vAlign w:val="center"/>
          </w:tcPr>
          <w:p w14:paraId="3FDAA97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GIS图层与三维场景融合</w:t>
            </w:r>
          </w:p>
        </w:tc>
        <w:tc>
          <w:tcPr>
            <w:tcW w:w="10047" w:type="dxa"/>
            <w:tcBorders>
              <w:top w:val="single" w:color="000000" w:sz="4" w:space="0"/>
              <w:left w:val="single" w:color="000000" w:sz="4" w:space="0"/>
              <w:bottom w:val="single" w:color="000000" w:sz="4" w:space="0"/>
              <w:right w:val="single" w:color="000000" w:sz="4" w:space="0"/>
            </w:tcBorders>
            <w:vAlign w:val="center"/>
          </w:tcPr>
          <w:p w14:paraId="42A547A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光照一致性处理</w:t>
            </w:r>
          </w:p>
        </w:tc>
      </w:tr>
      <w:tr w14:paraId="68DE82E2">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7CF33A3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2.4.10</w:t>
            </w:r>
          </w:p>
        </w:tc>
        <w:tc>
          <w:tcPr>
            <w:tcW w:w="2749" w:type="dxa"/>
            <w:tcBorders>
              <w:top w:val="single" w:color="000000" w:sz="4" w:space="0"/>
              <w:left w:val="single" w:color="000000" w:sz="4" w:space="0"/>
              <w:bottom w:val="single" w:color="000000" w:sz="4" w:space="0"/>
              <w:right w:val="single" w:color="000000" w:sz="4" w:space="0"/>
            </w:tcBorders>
            <w:vAlign w:val="center"/>
          </w:tcPr>
          <w:p w14:paraId="1A0D6BD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GIS图层与三维场景融合</w:t>
            </w:r>
          </w:p>
        </w:tc>
        <w:tc>
          <w:tcPr>
            <w:tcW w:w="10047" w:type="dxa"/>
            <w:tcBorders>
              <w:top w:val="single" w:color="000000" w:sz="4" w:space="0"/>
              <w:left w:val="single" w:color="000000" w:sz="4" w:space="0"/>
              <w:bottom w:val="single" w:color="000000" w:sz="4" w:space="0"/>
              <w:right w:val="single" w:color="000000" w:sz="4" w:space="0"/>
            </w:tcBorders>
            <w:vAlign w:val="center"/>
          </w:tcPr>
          <w:p w14:paraId="0FEE9D0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LOD分级管理</w:t>
            </w:r>
          </w:p>
        </w:tc>
      </w:tr>
      <w:tr w14:paraId="7EE2DB5C">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3B501562">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2.4.11</w:t>
            </w:r>
          </w:p>
        </w:tc>
        <w:tc>
          <w:tcPr>
            <w:tcW w:w="2749" w:type="dxa"/>
            <w:tcBorders>
              <w:top w:val="single" w:color="000000" w:sz="4" w:space="0"/>
              <w:left w:val="single" w:color="000000" w:sz="4" w:space="0"/>
              <w:bottom w:val="single" w:color="000000" w:sz="4" w:space="0"/>
              <w:right w:val="single" w:color="000000" w:sz="4" w:space="0"/>
            </w:tcBorders>
            <w:vAlign w:val="center"/>
          </w:tcPr>
          <w:p w14:paraId="0A511F0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GIS图层与三维场景融合</w:t>
            </w:r>
          </w:p>
        </w:tc>
        <w:tc>
          <w:tcPr>
            <w:tcW w:w="10047" w:type="dxa"/>
            <w:tcBorders>
              <w:top w:val="single" w:color="000000" w:sz="4" w:space="0"/>
              <w:left w:val="single" w:color="000000" w:sz="4" w:space="0"/>
              <w:bottom w:val="single" w:color="000000" w:sz="4" w:space="0"/>
              <w:right w:val="single" w:color="000000" w:sz="4" w:space="0"/>
            </w:tcBorders>
            <w:vAlign w:val="center"/>
          </w:tcPr>
          <w:p w14:paraId="6521166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空间雾效融合</w:t>
            </w:r>
          </w:p>
        </w:tc>
      </w:tr>
      <w:tr w14:paraId="49B6CA15">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60065C3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2.4.12</w:t>
            </w:r>
          </w:p>
        </w:tc>
        <w:tc>
          <w:tcPr>
            <w:tcW w:w="2749" w:type="dxa"/>
            <w:tcBorders>
              <w:top w:val="single" w:color="000000" w:sz="4" w:space="0"/>
              <w:left w:val="single" w:color="000000" w:sz="4" w:space="0"/>
              <w:bottom w:val="single" w:color="000000" w:sz="4" w:space="0"/>
              <w:right w:val="single" w:color="000000" w:sz="4" w:space="0"/>
            </w:tcBorders>
            <w:vAlign w:val="center"/>
          </w:tcPr>
          <w:p w14:paraId="6F0CBDA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GIS图层与三维场景融合</w:t>
            </w:r>
          </w:p>
        </w:tc>
        <w:tc>
          <w:tcPr>
            <w:tcW w:w="10047" w:type="dxa"/>
            <w:tcBorders>
              <w:top w:val="single" w:color="000000" w:sz="4" w:space="0"/>
              <w:left w:val="single" w:color="000000" w:sz="4" w:space="0"/>
              <w:bottom w:val="single" w:color="000000" w:sz="4" w:space="0"/>
              <w:right w:val="single" w:color="000000" w:sz="4" w:space="0"/>
            </w:tcBorders>
            <w:vAlign w:val="center"/>
          </w:tcPr>
          <w:p w14:paraId="56D4FD1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交互热点绑定</w:t>
            </w:r>
          </w:p>
        </w:tc>
      </w:tr>
      <w:tr w14:paraId="20639F2D">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047357B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2.4.13</w:t>
            </w:r>
          </w:p>
        </w:tc>
        <w:tc>
          <w:tcPr>
            <w:tcW w:w="2749" w:type="dxa"/>
            <w:tcBorders>
              <w:top w:val="single" w:color="000000" w:sz="4" w:space="0"/>
              <w:left w:val="single" w:color="000000" w:sz="4" w:space="0"/>
              <w:bottom w:val="single" w:color="000000" w:sz="4" w:space="0"/>
              <w:right w:val="single" w:color="000000" w:sz="4" w:space="0"/>
            </w:tcBorders>
            <w:vAlign w:val="center"/>
          </w:tcPr>
          <w:p w14:paraId="57F95B1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GIS图层与三维场景融合</w:t>
            </w:r>
          </w:p>
        </w:tc>
        <w:tc>
          <w:tcPr>
            <w:tcW w:w="10047" w:type="dxa"/>
            <w:tcBorders>
              <w:top w:val="single" w:color="000000" w:sz="4" w:space="0"/>
              <w:left w:val="single" w:color="000000" w:sz="4" w:space="0"/>
              <w:bottom w:val="single" w:color="000000" w:sz="4" w:space="0"/>
              <w:right w:val="single" w:color="000000" w:sz="4" w:space="0"/>
            </w:tcBorders>
            <w:vAlign w:val="center"/>
          </w:tcPr>
          <w:p w14:paraId="1427E64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渲染性能优化</w:t>
            </w:r>
          </w:p>
        </w:tc>
      </w:tr>
      <w:tr w14:paraId="5E5FBDBB">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28DE567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2.4.14</w:t>
            </w:r>
          </w:p>
        </w:tc>
        <w:tc>
          <w:tcPr>
            <w:tcW w:w="2749" w:type="dxa"/>
            <w:tcBorders>
              <w:top w:val="single" w:color="000000" w:sz="4" w:space="0"/>
              <w:left w:val="single" w:color="000000" w:sz="4" w:space="0"/>
              <w:bottom w:val="single" w:color="000000" w:sz="4" w:space="0"/>
              <w:right w:val="single" w:color="000000" w:sz="4" w:space="0"/>
            </w:tcBorders>
            <w:vAlign w:val="center"/>
          </w:tcPr>
          <w:p w14:paraId="74A7FA4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GIS图层与三维场景融合</w:t>
            </w:r>
          </w:p>
        </w:tc>
        <w:tc>
          <w:tcPr>
            <w:tcW w:w="10047" w:type="dxa"/>
            <w:tcBorders>
              <w:top w:val="single" w:color="000000" w:sz="4" w:space="0"/>
              <w:left w:val="single" w:color="000000" w:sz="4" w:space="0"/>
              <w:bottom w:val="single" w:color="000000" w:sz="4" w:space="0"/>
              <w:right w:val="single" w:color="000000" w:sz="4" w:space="0"/>
            </w:tcBorders>
            <w:vAlign w:val="center"/>
          </w:tcPr>
          <w:p w14:paraId="6B38867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内存智能分配</w:t>
            </w:r>
          </w:p>
        </w:tc>
      </w:tr>
      <w:tr w14:paraId="53FF002A">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19FEA3C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2.4.15</w:t>
            </w:r>
          </w:p>
        </w:tc>
        <w:tc>
          <w:tcPr>
            <w:tcW w:w="2749" w:type="dxa"/>
            <w:tcBorders>
              <w:top w:val="single" w:color="000000" w:sz="4" w:space="0"/>
              <w:left w:val="single" w:color="000000" w:sz="4" w:space="0"/>
              <w:bottom w:val="single" w:color="000000" w:sz="4" w:space="0"/>
              <w:right w:val="single" w:color="000000" w:sz="4" w:space="0"/>
            </w:tcBorders>
            <w:vAlign w:val="center"/>
          </w:tcPr>
          <w:p w14:paraId="58DCB70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GIS图层与三维场景融合</w:t>
            </w:r>
          </w:p>
        </w:tc>
        <w:tc>
          <w:tcPr>
            <w:tcW w:w="10047" w:type="dxa"/>
            <w:tcBorders>
              <w:top w:val="single" w:color="000000" w:sz="4" w:space="0"/>
              <w:left w:val="single" w:color="000000" w:sz="4" w:space="0"/>
              <w:bottom w:val="single" w:color="000000" w:sz="4" w:space="0"/>
              <w:right w:val="single" w:color="000000" w:sz="4" w:space="0"/>
            </w:tcBorders>
            <w:vAlign w:val="center"/>
          </w:tcPr>
          <w:p w14:paraId="266706F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场景及模型分布式加载</w:t>
            </w:r>
          </w:p>
        </w:tc>
      </w:tr>
      <w:tr w14:paraId="0BC82666">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78B6388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2.5</w:t>
            </w:r>
          </w:p>
        </w:tc>
        <w:tc>
          <w:tcPr>
            <w:tcW w:w="2749" w:type="dxa"/>
            <w:tcBorders>
              <w:top w:val="single" w:color="000000" w:sz="4" w:space="0"/>
              <w:left w:val="single" w:color="000000" w:sz="4" w:space="0"/>
              <w:bottom w:val="single" w:color="000000" w:sz="4" w:space="0"/>
              <w:right w:val="single" w:color="000000" w:sz="4" w:space="0"/>
            </w:tcBorders>
            <w:vAlign w:val="center"/>
          </w:tcPr>
          <w:p w14:paraId="01A2804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场景动画制作与绑定</w:t>
            </w:r>
          </w:p>
        </w:tc>
        <w:tc>
          <w:tcPr>
            <w:tcW w:w="10047" w:type="dxa"/>
            <w:tcBorders>
              <w:top w:val="single" w:color="000000" w:sz="4" w:space="0"/>
              <w:left w:val="single" w:color="000000" w:sz="4" w:space="0"/>
              <w:bottom w:val="single" w:color="000000" w:sz="4" w:space="0"/>
              <w:right w:val="single" w:color="000000" w:sz="4" w:space="0"/>
            </w:tcBorders>
            <w:vAlign w:val="center"/>
          </w:tcPr>
          <w:p w14:paraId="521F4442">
            <w:pPr>
              <w:spacing w:line="240" w:lineRule="auto"/>
              <w:ind w:firstLine="0" w:firstLineChars="0"/>
              <w:rPr>
                <w:rFonts w:hint="eastAsia" w:ascii="宋体" w:hAnsi="宋体" w:cs="宋体"/>
                <w:color w:val="auto"/>
                <w:sz w:val="20"/>
                <w:szCs w:val="20"/>
              </w:rPr>
            </w:pPr>
          </w:p>
        </w:tc>
      </w:tr>
      <w:tr w14:paraId="23E11908">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1875D2A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2.5</w:t>
            </w:r>
            <w:r>
              <w:rPr>
                <w:rFonts w:hint="eastAsia" w:ascii="宋体" w:hAnsi="宋体" w:cs="宋体"/>
                <w:i/>
                <w:iCs/>
                <w:color w:val="auto"/>
                <w:kern w:val="0"/>
                <w:sz w:val="20"/>
                <w:szCs w:val="20"/>
                <w:lang w:bidi="ar"/>
              </w:rPr>
              <w:t>.1</w:t>
            </w:r>
          </w:p>
        </w:tc>
        <w:tc>
          <w:tcPr>
            <w:tcW w:w="2749" w:type="dxa"/>
            <w:tcBorders>
              <w:top w:val="single" w:color="000000" w:sz="4" w:space="0"/>
              <w:left w:val="single" w:color="000000" w:sz="4" w:space="0"/>
              <w:bottom w:val="single" w:color="000000" w:sz="4" w:space="0"/>
              <w:right w:val="single" w:color="000000" w:sz="4" w:space="0"/>
            </w:tcBorders>
            <w:vAlign w:val="center"/>
          </w:tcPr>
          <w:p w14:paraId="7B1E071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场景动画制作与绑定</w:t>
            </w:r>
          </w:p>
        </w:tc>
        <w:tc>
          <w:tcPr>
            <w:tcW w:w="10047" w:type="dxa"/>
            <w:tcBorders>
              <w:top w:val="single" w:color="000000" w:sz="4" w:space="0"/>
              <w:left w:val="single" w:color="000000" w:sz="4" w:space="0"/>
              <w:bottom w:val="single" w:color="000000" w:sz="4" w:space="0"/>
              <w:right w:val="single" w:color="000000" w:sz="4" w:space="0"/>
            </w:tcBorders>
            <w:vAlign w:val="center"/>
          </w:tcPr>
          <w:p w14:paraId="4A03A5D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控制器系统</w:t>
            </w:r>
          </w:p>
        </w:tc>
      </w:tr>
      <w:tr w14:paraId="19AF471C">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0D89FC96">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2.5</w:t>
            </w:r>
            <w:r>
              <w:rPr>
                <w:rFonts w:hint="eastAsia" w:ascii="宋体" w:hAnsi="宋体" w:cs="宋体"/>
                <w:i/>
                <w:iCs/>
                <w:color w:val="auto"/>
                <w:kern w:val="0"/>
                <w:sz w:val="20"/>
                <w:szCs w:val="20"/>
                <w:lang w:bidi="ar"/>
              </w:rPr>
              <w:t>.2</w:t>
            </w:r>
          </w:p>
        </w:tc>
        <w:tc>
          <w:tcPr>
            <w:tcW w:w="2749" w:type="dxa"/>
            <w:tcBorders>
              <w:top w:val="single" w:color="000000" w:sz="4" w:space="0"/>
              <w:left w:val="single" w:color="000000" w:sz="4" w:space="0"/>
              <w:bottom w:val="single" w:color="000000" w:sz="4" w:space="0"/>
              <w:right w:val="single" w:color="000000" w:sz="4" w:space="0"/>
            </w:tcBorders>
            <w:vAlign w:val="center"/>
          </w:tcPr>
          <w:p w14:paraId="01ABAE3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场景动画制作与绑定</w:t>
            </w:r>
          </w:p>
        </w:tc>
        <w:tc>
          <w:tcPr>
            <w:tcW w:w="10047" w:type="dxa"/>
            <w:tcBorders>
              <w:top w:val="single" w:color="000000" w:sz="4" w:space="0"/>
              <w:left w:val="single" w:color="000000" w:sz="4" w:space="0"/>
              <w:bottom w:val="single" w:color="000000" w:sz="4" w:space="0"/>
              <w:right w:val="single" w:color="000000" w:sz="4" w:space="0"/>
            </w:tcBorders>
            <w:vAlign w:val="center"/>
          </w:tcPr>
          <w:p w14:paraId="3246E51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权重绘制</w:t>
            </w:r>
          </w:p>
        </w:tc>
      </w:tr>
      <w:tr w14:paraId="76079965">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7447BFB5">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2.5</w:t>
            </w:r>
            <w:r>
              <w:rPr>
                <w:rFonts w:hint="eastAsia" w:ascii="宋体" w:hAnsi="宋体" w:cs="宋体"/>
                <w:i/>
                <w:iCs/>
                <w:color w:val="auto"/>
                <w:kern w:val="0"/>
                <w:sz w:val="20"/>
                <w:szCs w:val="20"/>
                <w:lang w:bidi="ar"/>
              </w:rPr>
              <w:t>.3</w:t>
            </w:r>
          </w:p>
        </w:tc>
        <w:tc>
          <w:tcPr>
            <w:tcW w:w="2749" w:type="dxa"/>
            <w:tcBorders>
              <w:top w:val="single" w:color="000000" w:sz="4" w:space="0"/>
              <w:left w:val="single" w:color="000000" w:sz="4" w:space="0"/>
              <w:bottom w:val="single" w:color="000000" w:sz="4" w:space="0"/>
              <w:right w:val="single" w:color="000000" w:sz="4" w:space="0"/>
            </w:tcBorders>
            <w:vAlign w:val="center"/>
          </w:tcPr>
          <w:p w14:paraId="7F9267F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场景动画制作与绑定</w:t>
            </w:r>
          </w:p>
        </w:tc>
        <w:tc>
          <w:tcPr>
            <w:tcW w:w="10047" w:type="dxa"/>
            <w:tcBorders>
              <w:top w:val="single" w:color="000000" w:sz="4" w:space="0"/>
              <w:left w:val="single" w:color="000000" w:sz="4" w:space="0"/>
              <w:bottom w:val="single" w:color="000000" w:sz="4" w:space="0"/>
              <w:right w:val="single" w:color="000000" w:sz="4" w:space="0"/>
            </w:tcBorders>
            <w:vAlign w:val="center"/>
          </w:tcPr>
          <w:p w14:paraId="2EABF14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关键帧动画</w:t>
            </w:r>
          </w:p>
        </w:tc>
      </w:tr>
      <w:tr w14:paraId="7FA693C4">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1C94B396">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2.5</w:t>
            </w:r>
            <w:r>
              <w:rPr>
                <w:rFonts w:hint="eastAsia" w:ascii="宋体" w:hAnsi="宋体" w:cs="宋体"/>
                <w:i/>
                <w:iCs/>
                <w:color w:val="auto"/>
                <w:kern w:val="0"/>
                <w:sz w:val="20"/>
                <w:szCs w:val="20"/>
                <w:lang w:bidi="ar"/>
              </w:rPr>
              <w:t>.4</w:t>
            </w:r>
          </w:p>
        </w:tc>
        <w:tc>
          <w:tcPr>
            <w:tcW w:w="2749" w:type="dxa"/>
            <w:tcBorders>
              <w:top w:val="single" w:color="000000" w:sz="4" w:space="0"/>
              <w:left w:val="single" w:color="000000" w:sz="4" w:space="0"/>
              <w:bottom w:val="single" w:color="000000" w:sz="4" w:space="0"/>
              <w:right w:val="single" w:color="000000" w:sz="4" w:space="0"/>
            </w:tcBorders>
            <w:vAlign w:val="center"/>
          </w:tcPr>
          <w:p w14:paraId="0FBA555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场景动画制作与绑定</w:t>
            </w:r>
          </w:p>
        </w:tc>
        <w:tc>
          <w:tcPr>
            <w:tcW w:w="10047" w:type="dxa"/>
            <w:tcBorders>
              <w:top w:val="single" w:color="000000" w:sz="4" w:space="0"/>
              <w:left w:val="single" w:color="000000" w:sz="4" w:space="0"/>
              <w:bottom w:val="single" w:color="000000" w:sz="4" w:space="0"/>
              <w:right w:val="single" w:color="000000" w:sz="4" w:space="0"/>
            </w:tcBorders>
            <w:vAlign w:val="center"/>
          </w:tcPr>
          <w:p w14:paraId="7A68A7E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动作捕捉融合</w:t>
            </w:r>
          </w:p>
        </w:tc>
      </w:tr>
      <w:tr w14:paraId="7FB74386">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347FC9DA">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2.5</w:t>
            </w:r>
            <w:r>
              <w:rPr>
                <w:rFonts w:hint="eastAsia" w:ascii="宋体" w:hAnsi="宋体" w:cs="宋体"/>
                <w:i/>
                <w:iCs/>
                <w:color w:val="auto"/>
                <w:kern w:val="0"/>
                <w:sz w:val="20"/>
                <w:szCs w:val="20"/>
                <w:lang w:bidi="ar"/>
              </w:rPr>
              <w:t>.5</w:t>
            </w:r>
          </w:p>
        </w:tc>
        <w:tc>
          <w:tcPr>
            <w:tcW w:w="2749" w:type="dxa"/>
            <w:tcBorders>
              <w:top w:val="single" w:color="000000" w:sz="4" w:space="0"/>
              <w:left w:val="single" w:color="000000" w:sz="4" w:space="0"/>
              <w:bottom w:val="single" w:color="000000" w:sz="4" w:space="0"/>
              <w:right w:val="single" w:color="000000" w:sz="4" w:space="0"/>
            </w:tcBorders>
            <w:vAlign w:val="center"/>
          </w:tcPr>
          <w:p w14:paraId="256F8F9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场景动画制作与绑定</w:t>
            </w:r>
          </w:p>
        </w:tc>
        <w:tc>
          <w:tcPr>
            <w:tcW w:w="10047" w:type="dxa"/>
            <w:tcBorders>
              <w:top w:val="single" w:color="000000" w:sz="4" w:space="0"/>
              <w:left w:val="single" w:color="000000" w:sz="4" w:space="0"/>
              <w:bottom w:val="single" w:color="000000" w:sz="4" w:space="0"/>
              <w:right w:val="single" w:color="000000" w:sz="4" w:space="0"/>
            </w:tcBorders>
            <w:vAlign w:val="center"/>
          </w:tcPr>
          <w:p w14:paraId="43E4035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程序化运动</w:t>
            </w:r>
          </w:p>
        </w:tc>
      </w:tr>
      <w:tr w14:paraId="622E2024">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34A678FF">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2.5</w:t>
            </w:r>
            <w:r>
              <w:rPr>
                <w:rFonts w:hint="eastAsia" w:ascii="宋体" w:hAnsi="宋体" w:cs="宋体"/>
                <w:i/>
                <w:iCs/>
                <w:color w:val="auto"/>
                <w:kern w:val="0"/>
                <w:sz w:val="20"/>
                <w:szCs w:val="20"/>
                <w:lang w:bidi="ar"/>
              </w:rPr>
              <w:t>.6</w:t>
            </w:r>
          </w:p>
        </w:tc>
        <w:tc>
          <w:tcPr>
            <w:tcW w:w="2749" w:type="dxa"/>
            <w:tcBorders>
              <w:top w:val="single" w:color="000000" w:sz="4" w:space="0"/>
              <w:left w:val="single" w:color="000000" w:sz="4" w:space="0"/>
              <w:bottom w:val="single" w:color="000000" w:sz="4" w:space="0"/>
              <w:right w:val="single" w:color="000000" w:sz="4" w:space="0"/>
            </w:tcBorders>
            <w:vAlign w:val="center"/>
          </w:tcPr>
          <w:p w14:paraId="717C984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场景动画制作与绑定</w:t>
            </w:r>
          </w:p>
        </w:tc>
        <w:tc>
          <w:tcPr>
            <w:tcW w:w="10047" w:type="dxa"/>
            <w:tcBorders>
              <w:top w:val="single" w:color="000000" w:sz="4" w:space="0"/>
              <w:left w:val="single" w:color="000000" w:sz="4" w:space="0"/>
              <w:bottom w:val="single" w:color="000000" w:sz="4" w:space="0"/>
              <w:right w:val="single" w:color="000000" w:sz="4" w:space="0"/>
            </w:tcBorders>
            <w:vAlign w:val="center"/>
          </w:tcPr>
          <w:p w14:paraId="53EB3DE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量子物理解算</w:t>
            </w:r>
          </w:p>
        </w:tc>
      </w:tr>
      <w:tr w14:paraId="2CD6AF46">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1E93DD46">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2.5</w:t>
            </w:r>
            <w:r>
              <w:rPr>
                <w:rFonts w:hint="eastAsia" w:ascii="宋体" w:hAnsi="宋体" w:cs="宋体"/>
                <w:i/>
                <w:iCs/>
                <w:color w:val="auto"/>
                <w:kern w:val="0"/>
                <w:sz w:val="20"/>
                <w:szCs w:val="20"/>
                <w:lang w:bidi="ar"/>
              </w:rPr>
              <w:t>.7</w:t>
            </w:r>
          </w:p>
        </w:tc>
        <w:tc>
          <w:tcPr>
            <w:tcW w:w="2749" w:type="dxa"/>
            <w:tcBorders>
              <w:top w:val="single" w:color="000000" w:sz="4" w:space="0"/>
              <w:left w:val="single" w:color="000000" w:sz="4" w:space="0"/>
              <w:bottom w:val="single" w:color="000000" w:sz="4" w:space="0"/>
              <w:right w:val="single" w:color="000000" w:sz="4" w:space="0"/>
            </w:tcBorders>
            <w:vAlign w:val="center"/>
          </w:tcPr>
          <w:p w14:paraId="299C7D5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场景动画制作与绑定</w:t>
            </w:r>
          </w:p>
        </w:tc>
        <w:tc>
          <w:tcPr>
            <w:tcW w:w="10047" w:type="dxa"/>
            <w:tcBorders>
              <w:top w:val="single" w:color="000000" w:sz="4" w:space="0"/>
              <w:left w:val="single" w:color="000000" w:sz="4" w:space="0"/>
              <w:bottom w:val="single" w:color="000000" w:sz="4" w:space="0"/>
              <w:right w:val="single" w:color="000000" w:sz="4" w:space="0"/>
            </w:tcBorders>
            <w:vAlign w:val="center"/>
          </w:tcPr>
          <w:p w14:paraId="7381C50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流体/布料模拟</w:t>
            </w:r>
          </w:p>
        </w:tc>
      </w:tr>
      <w:tr w14:paraId="790D9532">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430EC867">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2.5</w:t>
            </w:r>
            <w:r>
              <w:rPr>
                <w:rFonts w:hint="eastAsia" w:ascii="宋体" w:hAnsi="宋体" w:cs="宋体"/>
                <w:i/>
                <w:iCs/>
                <w:color w:val="auto"/>
                <w:kern w:val="0"/>
                <w:sz w:val="20"/>
                <w:szCs w:val="20"/>
                <w:lang w:bidi="ar"/>
              </w:rPr>
              <w:t>.8</w:t>
            </w:r>
          </w:p>
        </w:tc>
        <w:tc>
          <w:tcPr>
            <w:tcW w:w="2749" w:type="dxa"/>
            <w:tcBorders>
              <w:top w:val="single" w:color="000000" w:sz="4" w:space="0"/>
              <w:left w:val="single" w:color="000000" w:sz="4" w:space="0"/>
              <w:bottom w:val="single" w:color="000000" w:sz="4" w:space="0"/>
              <w:right w:val="single" w:color="000000" w:sz="4" w:space="0"/>
            </w:tcBorders>
            <w:vAlign w:val="center"/>
          </w:tcPr>
          <w:p w14:paraId="292AE53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场景动画制作与绑定</w:t>
            </w:r>
          </w:p>
        </w:tc>
        <w:tc>
          <w:tcPr>
            <w:tcW w:w="10047" w:type="dxa"/>
            <w:tcBorders>
              <w:top w:val="single" w:color="000000" w:sz="4" w:space="0"/>
              <w:left w:val="single" w:color="000000" w:sz="4" w:space="0"/>
              <w:bottom w:val="single" w:color="000000" w:sz="4" w:space="0"/>
              <w:right w:val="single" w:color="000000" w:sz="4" w:space="0"/>
            </w:tcBorders>
            <w:vAlign w:val="center"/>
          </w:tcPr>
          <w:p w14:paraId="6DA7777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生物运动验证</w:t>
            </w:r>
          </w:p>
        </w:tc>
      </w:tr>
      <w:tr w14:paraId="5371D718">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1921A97C">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2.6</w:t>
            </w:r>
          </w:p>
        </w:tc>
        <w:tc>
          <w:tcPr>
            <w:tcW w:w="2749" w:type="dxa"/>
            <w:tcBorders>
              <w:top w:val="single" w:color="000000" w:sz="4" w:space="0"/>
              <w:left w:val="single" w:color="000000" w:sz="4" w:space="0"/>
              <w:bottom w:val="single" w:color="000000" w:sz="4" w:space="0"/>
              <w:right w:val="single" w:color="000000" w:sz="4" w:space="0"/>
            </w:tcBorders>
            <w:vAlign w:val="center"/>
          </w:tcPr>
          <w:p w14:paraId="3B6FB98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三维场景调节优化</w:t>
            </w:r>
          </w:p>
        </w:tc>
        <w:tc>
          <w:tcPr>
            <w:tcW w:w="10047" w:type="dxa"/>
            <w:tcBorders>
              <w:top w:val="single" w:color="000000" w:sz="4" w:space="0"/>
              <w:left w:val="single" w:color="000000" w:sz="4" w:space="0"/>
              <w:bottom w:val="single" w:color="000000" w:sz="4" w:space="0"/>
              <w:right w:val="single" w:color="000000" w:sz="4" w:space="0"/>
            </w:tcBorders>
            <w:vAlign w:val="center"/>
          </w:tcPr>
          <w:p w14:paraId="482CAAA9">
            <w:pPr>
              <w:spacing w:line="240" w:lineRule="auto"/>
              <w:ind w:firstLine="0" w:firstLineChars="0"/>
              <w:rPr>
                <w:rFonts w:hint="eastAsia" w:ascii="宋体" w:hAnsi="宋体" w:cs="宋体"/>
                <w:color w:val="auto"/>
                <w:sz w:val="20"/>
                <w:szCs w:val="20"/>
              </w:rPr>
            </w:pPr>
          </w:p>
        </w:tc>
      </w:tr>
      <w:tr w14:paraId="350FDE47">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51559559">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2.6.1</w:t>
            </w:r>
          </w:p>
        </w:tc>
        <w:tc>
          <w:tcPr>
            <w:tcW w:w="2749" w:type="dxa"/>
            <w:tcBorders>
              <w:top w:val="single" w:color="000000" w:sz="4" w:space="0"/>
              <w:left w:val="single" w:color="000000" w:sz="4" w:space="0"/>
              <w:bottom w:val="single" w:color="000000" w:sz="4" w:space="0"/>
              <w:right w:val="single" w:color="000000" w:sz="4" w:space="0"/>
            </w:tcBorders>
            <w:vAlign w:val="center"/>
          </w:tcPr>
          <w:p w14:paraId="5B4F6B2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三维场景调节优化</w:t>
            </w:r>
          </w:p>
        </w:tc>
        <w:tc>
          <w:tcPr>
            <w:tcW w:w="10047" w:type="dxa"/>
            <w:tcBorders>
              <w:top w:val="single" w:color="000000" w:sz="4" w:space="0"/>
              <w:left w:val="single" w:color="000000" w:sz="4" w:space="0"/>
              <w:bottom w:val="single" w:color="000000" w:sz="4" w:space="0"/>
              <w:right w:val="single" w:color="000000" w:sz="4" w:space="0"/>
            </w:tcBorders>
            <w:vAlign w:val="center"/>
          </w:tcPr>
          <w:p w14:paraId="10CF49C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资源占用诊断</w:t>
            </w:r>
          </w:p>
        </w:tc>
      </w:tr>
      <w:tr w14:paraId="1AD7D1CC">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3CCF181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2.6.2</w:t>
            </w:r>
          </w:p>
        </w:tc>
        <w:tc>
          <w:tcPr>
            <w:tcW w:w="2749" w:type="dxa"/>
            <w:tcBorders>
              <w:top w:val="single" w:color="000000" w:sz="4" w:space="0"/>
              <w:left w:val="single" w:color="000000" w:sz="4" w:space="0"/>
              <w:bottom w:val="single" w:color="000000" w:sz="4" w:space="0"/>
              <w:right w:val="single" w:color="000000" w:sz="4" w:space="0"/>
            </w:tcBorders>
            <w:vAlign w:val="center"/>
          </w:tcPr>
          <w:p w14:paraId="6FDC237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三维场景调节优化</w:t>
            </w:r>
          </w:p>
        </w:tc>
        <w:tc>
          <w:tcPr>
            <w:tcW w:w="10047" w:type="dxa"/>
            <w:tcBorders>
              <w:top w:val="single" w:color="000000" w:sz="4" w:space="0"/>
              <w:left w:val="single" w:color="000000" w:sz="4" w:space="0"/>
              <w:bottom w:val="single" w:color="000000" w:sz="4" w:space="0"/>
              <w:right w:val="single" w:color="000000" w:sz="4" w:space="0"/>
            </w:tcBorders>
            <w:vAlign w:val="center"/>
          </w:tcPr>
          <w:p w14:paraId="6B486DE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性能瓶颈定位</w:t>
            </w:r>
          </w:p>
        </w:tc>
      </w:tr>
      <w:tr w14:paraId="6B0E8F64">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649844CA">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2.6.3</w:t>
            </w:r>
          </w:p>
        </w:tc>
        <w:tc>
          <w:tcPr>
            <w:tcW w:w="2749" w:type="dxa"/>
            <w:tcBorders>
              <w:top w:val="single" w:color="000000" w:sz="4" w:space="0"/>
              <w:left w:val="single" w:color="000000" w:sz="4" w:space="0"/>
              <w:bottom w:val="single" w:color="000000" w:sz="4" w:space="0"/>
              <w:right w:val="single" w:color="000000" w:sz="4" w:space="0"/>
            </w:tcBorders>
            <w:vAlign w:val="center"/>
          </w:tcPr>
          <w:p w14:paraId="4093F6B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三维场景调节优化</w:t>
            </w:r>
          </w:p>
        </w:tc>
        <w:tc>
          <w:tcPr>
            <w:tcW w:w="10047" w:type="dxa"/>
            <w:tcBorders>
              <w:top w:val="single" w:color="000000" w:sz="4" w:space="0"/>
              <w:left w:val="single" w:color="000000" w:sz="4" w:space="0"/>
              <w:bottom w:val="single" w:color="000000" w:sz="4" w:space="0"/>
              <w:right w:val="single" w:color="000000" w:sz="4" w:space="0"/>
            </w:tcBorders>
            <w:vAlign w:val="center"/>
          </w:tcPr>
          <w:p w14:paraId="076D861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力图分析</w:t>
            </w:r>
          </w:p>
        </w:tc>
      </w:tr>
      <w:tr w14:paraId="590B060D">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289FE98A">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2.6.4</w:t>
            </w:r>
          </w:p>
        </w:tc>
        <w:tc>
          <w:tcPr>
            <w:tcW w:w="2749" w:type="dxa"/>
            <w:tcBorders>
              <w:top w:val="single" w:color="000000" w:sz="4" w:space="0"/>
              <w:left w:val="single" w:color="000000" w:sz="4" w:space="0"/>
              <w:bottom w:val="single" w:color="000000" w:sz="4" w:space="0"/>
              <w:right w:val="single" w:color="000000" w:sz="4" w:space="0"/>
            </w:tcBorders>
            <w:vAlign w:val="center"/>
          </w:tcPr>
          <w:p w14:paraId="19CF108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三维场景调节优化</w:t>
            </w:r>
          </w:p>
        </w:tc>
        <w:tc>
          <w:tcPr>
            <w:tcW w:w="10047" w:type="dxa"/>
            <w:tcBorders>
              <w:top w:val="single" w:color="000000" w:sz="4" w:space="0"/>
              <w:left w:val="single" w:color="000000" w:sz="4" w:space="0"/>
              <w:bottom w:val="single" w:color="000000" w:sz="4" w:space="0"/>
              <w:right w:val="single" w:color="000000" w:sz="4" w:space="0"/>
            </w:tcBorders>
            <w:vAlign w:val="center"/>
          </w:tcPr>
          <w:p w14:paraId="37B8CF4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PBR材质压缩</w:t>
            </w:r>
          </w:p>
        </w:tc>
      </w:tr>
      <w:tr w14:paraId="2EFBF7BF">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16F409DA">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2.6.5</w:t>
            </w:r>
          </w:p>
        </w:tc>
        <w:tc>
          <w:tcPr>
            <w:tcW w:w="2749" w:type="dxa"/>
            <w:tcBorders>
              <w:top w:val="single" w:color="000000" w:sz="4" w:space="0"/>
              <w:left w:val="single" w:color="000000" w:sz="4" w:space="0"/>
              <w:bottom w:val="single" w:color="000000" w:sz="4" w:space="0"/>
              <w:right w:val="single" w:color="000000" w:sz="4" w:space="0"/>
            </w:tcBorders>
            <w:vAlign w:val="center"/>
          </w:tcPr>
          <w:p w14:paraId="2B2A9D9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三维场景调节优化</w:t>
            </w:r>
          </w:p>
        </w:tc>
        <w:tc>
          <w:tcPr>
            <w:tcW w:w="10047" w:type="dxa"/>
            <w:tcBorders>
              <w:top w:val="single" w:color="000000" w:sz="4" w:space="0"/>
              <w:left w:val="single" w:color="000000" w:sz="4" w:space="0"/>
              <w:bottom w:val="single" w:color="000000" w:sz="4" w:space="0"/>
              <w:right w:val="single" w:color="000000" w:sz="4" w:space="0"/>
            </w:tcBorders>
            <w:vAlign w:val="center"/>
          </w:tcPr>
          <w:p w14:paraId="1CECF9A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LOD动态分级</w:t>
            </w:r>
          </w:p>
        </w:tc>
      </w:tr>
      <w:tr w14:paraId="3FC25CD6">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135C1DFA">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2.6.6</w:t>
            </w:r>
          </w:p>
        </w:tc>
        <w:tc>
          <w:tcPr>
            <w:tcW w:w="2749" w:type="dxa"/>
            <w:tcBorders>
              <w:top w:val="single" w:color="000000" w:sz="4" w:space="0"/>
              <w:left w:val="single" w:color="000000" w:sz="4" w:space="0"/>
              <w:bottom w:val="single" w:color="000000" w:sz="4" w:space="0"/>
              <w:right w:val="single" w:color="000000" w:sz="4" w:space="0"/>
            </w:tcBorders>
            <w:vAlign w:val="center"/>
          </w:tcPr>
          <w:p w14:paraId="4FF6AD2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三维场景调节优化</w:t>
            </w:r>
          </w:p>
        </w:tc>
        <w:tc>
          <w:tcPr>
            <w:tcW w:w="10047" w:type="dxa"/>
            <w:tcBorders>
              <w:top w:val="single" w:color="000000" w:sz="4" w:space="0"/>
              <w:left w:val="single" w:color="000000" w:sz="4" w:space="0"/>
              <w:bottom w:val="single" w:color="000000" w:sz="4" w:space="0"/>
              <w:right w:val="single" w:color="000000" w:sz="4" w:space="0"/>
            </w:tcBorders>
            <w:vAlign w:val="center"/>
          </w:tcPr>
          <w:p w14:paraId="455D86E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交互延迟优化</w:t>
            </w:r>
          </w:p>
        </w:tc>
      </w:tr>
      <w:tr w14:paraId="77CD8733">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1E705C01">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2.6.7</w:t>
            </w:r>
          </w:p>
        </w:tc>
        <w:tc>
          <w:tcPr>
            <w:tcW w:w="2749" w:type="dxa"/>
            <w:tcBorders>
              <w:top w:val="single" w:color="000000" w:sz="4" w:space="0"/>
              <w:left w:val="single" w:color="000000" w:sz="4" w:space="0"/>
              <w:bottom w:val="single" w:color="000000" w:sz="4" w:space="0"/>
              <w:right w:val="single" w:color="000000" w:sz="4" w:space="0"/>
            </w:tcBorders>
            <w:vAlign w:val="center"/>
          </w:tcPr>
          <w:p w14:paraId="5786592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三维场景调节优化</w:t>
            </w:r>
          </w:p>
        </w:tc>
        <w:tc>
          <w:tcPr>
            <w:tcW w:w="10047" w:type="dxa"/>
            <w:tcBorders>
              <w:top w:val="single" w:color="000000" w:sz="4" w:space="0"/>
              <w:left w:val="single" w:color="000000" w:sz="4" w:space="0"/>
              <w:bottom w:val="single" w:color="000000" w:sz="4" w:space="0"/>
              <w:right w:val="single" w:color="000000" w:sz="4" w:space="0"/>
            </w:tcBorders>
            <w:vAlign w:val="center"/>
          </w:tcPr>
          <w:p w14:paraId="5817B96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视锥体剔除</w:t>
            </w:r>
          </w:p>
        </w:tc>
      </w:tr>
      <w:tr w14:paraId="3D3AED91">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22C8B0A2">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2.6.8</w:t>
            </w:r>
          </w:p>
        </w:tc>
        <w:tc>
          <w:tcPr>
            <w:tcW w:w="2749" w:type="dxa"/>
            <w:tcBorders>
              <w:top w:val="single" w:color="000000" w:sz="4" w:space="0"/>
              <w:left w:val="single" w:color="000000" w:sz="4" w:space="0"/>
              <w:bottom w:val="single" w:color="000000" w:sz="4" w:space="0"/>
              <w:right w:val="single" w:color="000000" w:sz="4" w:space="0"/>
            </w:tcBorders>
            <w:vAlign w:val="center"/>
          </w:tcPr>
          <w:p w14:paraId="082CE92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三维场景调节优化</w:t>
            </w:r>
          </w:p>
        </w:tc>
        <w:tc>
          <w:tcPr>
            <w:tcW w:w="10047" w:type="dxa"/>
            <w:tcBorders>
              <w:top w:val="single" w:color="000000" w:sz="4" w:space="0"/>
              <w:left w:val="single" w:color="000000" w:sz="4" w:space="0"/>
              <w:bottom w:val="single" w:color="000000" w:sz="4" w:space="0"/>
              <w:right w:val="single" w:color="000000" w:sz="4" w:space="0"/>
            </w:tcBorders>
            <w:vAlign w:val="center"/>
          </w:tcPr>
          <w:p w14:paraId="3DF86C4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运动模糊自适应</w:t>
            </w:r>
          </w:p>
        </w:tc>
      </w:tr>
      <w:tr w14:paraId="7D27B3A2">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18B8B682">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2.6.9</w:t>
            </w:r>
          </w:p>
        </w:tc>
        <w:tc>
          <w:tcPr>
            <w:tcW w:w="2749" w:type="dxa"/>
            <w:tcBorders>
              <w:top w:val="single" w:color="000000" w:sz="4" w:space="0"/>
              <w:left w:val="single" w:color="000000" w:sz="4" w:space="0"/>
              <w:bottom w:val="single" w:color="000000" w:sz="4" w:space="0"/>
              <w:right w:val="single" w:color="000000" w:sz="4" w:space="0"/>
            </w:tcBorders>
            <w:vAlign w:val="center"/>
          </w:tcPr>
          <w:p w14:paraId="013E631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三维场景调节优化</w:t>
            </w:r>
          </w:p>
        </w:tc>
        <w:tc>
          <w:tcPr>
            <w:tcW w:w="10047" w:type="dxa"/>
            <w:tcBorders>
              <w:top w:val="single" w:color="000000" w:sz="4" w:space="0"/>
              <w:left w:val="single" w:color="000000" w:sz="4" w:space="0"/>
              <w:bottom w:val="single" w:color="000000" w:sz="4" w:space="0"/>
              <w:right w:val="single" w:color="000000" w:sz="4" w:space="0"/>
            </w:tcBorders>
            <w:vAlign w:val="center"/>
          </w:tcPr>
          <w:p w14:paraId="516CE06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物理精度调节</w:t>
            </w:r>
          </w:p>
        </w:tc>
      </w:tr>
      <w:tr w14:paraId="4EC303CD">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772343DC">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2.6.10</w:t>
            </w:r>
          </w:p>
        </w:tc>
        <w:tc>
          <w:tcPr>
            <w:tcW w:w="2749" w:type="dxa"/>
            <w:tcBorders>
              <w:top w:val="single" w:color="000000" w:sz="4" w:space="0"/>
              <w:left w:val="single" w:color="000000" w:sz="4" w:space="0"/>
              <w:bottom w:val="single" w:color="000000" w:sz="4" w:space="0"/>
              <w:right w:val="single" w:color="000000" w:sz="4" w:space="0"/>
            </w:tcBorders>
            <w:vAlign w:val="center"/>
          </w:tcPr>
          <w:p w14:paraId="1EEF526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三维场景调节优化</w:t>
            </w:r>
          </w:p>
        </w:tc>
        <w:tc>
          <w:tcPr>
            <w:tcW w:w="10047" w:type="dxa"/>
            <w:tcBorders>
              <w:top w:val="single" w:color="000000" w:sz="4" w:space="0"/>
              <w:left w:val="single" w:color="000000" w:sz="4" w:space="0"/>
              <w:bottom w:val="single" w:color="000000" w:sz="4" w:space="0"/>
              <w:right w:val="single" w:color="000000" w:sz="4" w:space="0"/>
            </w:tcBorders>
            <w:vAlign w:val="center"/>
          </w:tcPr>
          <w:p w14:paraId="5E39CAA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粒子系统优化</w:t>
            </w:r>
          </w:p>
        </w:tc>
      </w:tr>
      <w:tr w14:paraId="5F5BF403">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2A75B394">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2.6.11</w:t>
            </w:r>
          </w:p>
        </w:tc>
        <w:tc>
          <w:tcPr>
            <w:tcW w:w="2749" w:type="dxa"/>
            <w:tcBorders>
              <w:top w:val="single" w:color="000000" w:sz="4" w:space="0"/>
              <w:left w:val="single" w:color="000000" w:sz="4" w:space="0"/>
              <w:bottom w:val="single" w:color="000000" w:sz="4" w:space="0"/>
              <w:right w:val="single" w:color="000000" w:sz="4" w:space="0"/>
            </w:tcBorders>
            <w:vAlign w:val="center"/>
          </w:tcPr>
          <w:p w14:paraId="0077020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三维场景调节优化</w:t>
            </w:r>
          </w:p>
        </w:tc>
        <w:tc>
          <w:tcPr>
            <w:tcW w:w="10047" w:type="dxa"/>
            <w:tcBorders>
              <w:top w:val="single" w:color="000000" w:sz="4" w:space="0"/>
              <w:left w:val="single" w:color="000000" w:sz="4" w:space="0"/>
              <w:bottom w:val="single" w:color="000000" w:sz="4" w:space="0"/>
              <w:right w:val="single" w:color="000000" w:sz="4" w:space="0"/>
            </w:tcBorders>
            <w:vAlign w:val="center"/>
          </w:tcPr>
          <w:p w14:paraId="709537B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帧率稳定性测试</w:t>
            </w:r>
          </w:p>
        </w:tc>
      </w:tr>
      <w:tr w14:paraId="520E9A2E">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65AD10C5">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2.6.12</w:t>
            </w:r>
          </w:p>
        </w:tc>
        <w:tc>
          <w:tcPr>
            <w:tcW w:w="2749" w:type="dxa"/>
            <w:tcBorders>
              <w:top w:val="single" w:color="000000" w:sz="4" w:space="0"/>
              <w:left w:val="single" w:color="000000" w:sz="4" w:space="0"/>
              <w:bottom w:val="single" w:color="000000" w:sz="4" w:space="0"/>
              <w:right w:val="single" w:color="000000" w:sz="4" w:space="0"/>
            </w:tcBorders>
            <w:vAlign w:val="center"/>
          </w:tcPr>
          <w:p w14:paraId="3B69552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三维场景调节优化</w:t>
            </w:r>
          </w:p>
        </w:tc>
        <w:tc>
          <w:tcPr>
            <w:tcW w:w="10047" w:type="dxa"/>
            <w:tcBorders>
              <w:top w:val="single" w:color="000000" w:sz="4" w:space="0"/>
              <w:left w:val="single" w:color="000000" w:sz="4" w:space="0"/>
              <w:bottom w:val="single" w:color="000000" w:sz="4" w:space="0"/>
              <w:right w:val="single" w:color="000000" w:sz="4" w:space="0"/>
            </w:tcBorders>
            <w:vAlign w:val="center"/>
          </w:tcPr>
          <w:p w14:paraId="52F5394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融合精度验证</w:t>
            </w:r>
          </w:p>
        </w:tc>
      </w:tr>
      <w:tr w14:paraId="58E56130">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153DBEF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2.7</w:t>
            </w:r>
          </w:p>
        </w:tc>
        <w:tc>
          <w:tcPr>
            <w:tcW w:w="2749" w:type="dxa"/>
            <w:tcBorders>
              <w:top w:val="single" w:color="000000" w:sz="4" w:space="0"/>
              <w:left w:val="single" w:color="000000" w:sz="4" w:space="0"/>
              <w:bottom w:val="single" w:color="000000" w:sz="4" w:space="0"/>
              <w:right w:val="single" w:color="000000" w:sz="4" w:space="0"/>
            </w:tcBorders>
            <w:vAlign w:val="center"/>
          </w:tcPr>
          <w:p w14:paraId="7CD2CA0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三维场景部署应用</w:t>
            </w:r>
          </w:p>
        </w:tc>
        <w:tc>
          <w:tcPr>
            <w:tcW w:w="10047" w:type="dxa"/>
            <w:tcBorders>
              <w:top w:val="single" w:color="000000" w:sz="4" w:space="0"/>
              <w:left w:val="single" w:color="000000" w:sz="4" w:space="0"/>
              <w:bottom w:val="single" w:color="000000" w:sz="4" w:space="0"/>
              <w:right w:val="single" w:color="000000" w:sz="4" w:space="0"/>
            </w:tcBorders>
            <w:vAlign w:val="center"/>
          </w:tcPr>
          <w:p w14:paraId="3D9EAF97">
            <w:pPr>
              <w:spacing w:line="240" w:lineRule="auto"/>
              <w:ind w:firstLine="0" w:firstLineChars="0"/>
              <w:rPr>
                <w:rFonts w:hint="eastAsia" w:ascii="宋体" w:hAnsi="宋体" w:cs="宋体"/>
                <w:color w:val="auto"/>
                <w:sz w:val="20"/>
                <w:szCs w:val="20"/>
              </w:rPr>
            </w:pPr>
          </w:p>
        </w:tc>
      </w:tr>
      <w:tr w14:paraId="71C97BDC">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72CE5CF4">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2.7.1</w:t>
            </w:r>
          </w:p>
        </w:tc>
        <w:tc>
          <w:tcPr>
            <w:tcW w:w="2749" w:type="dxa"/>
            <w:tcBorders>
              <w:top w:val="single" w:color="000000" w:sz="4" w:space="0"/>
              <w:left w:val="single" w:color="000000" w:sz="4" w:space="0"/>
              <w:bottom w:val="single" w:color="000000" w:sz="4" w:space="0"/>
              <w:right w:val="single" w:color="000000" w:sz="4" w:space="0"/>
            </w:tcBorders>
            <w:vAlign w:val="center"/>
          </w:tcPr>
          <w:p w14:paraId="71D0F9C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三维场景部署应用</w:t>
            </w:r>
          </w:p>
        </w:tc>
        <w:tc>
          <w:tcPr>
            <w:tcW w:w="10047" w:type="dxa"/>
            <w:tcBorders>
              <w:top w:val="single" w:color="000000" w:sz="4" w:space="0"/>
              <w:left w:val="single" w:color="000000" w:sz="4" w:space="0"/>
              <w:bottom w:val="single" w:color="000000" w:sz="4" w:space="0"/>
              <w:right w:val="single" w:color="000000" w:sz="4" w:space="0"/>
            </w:tcBorders>
            <w:vAlign w:val="center"/>
          </w:tcPr>
          <w:p w14:paraId="790AE19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环境配置</w:t>
            </w:r>
          </w:p>
        </w:tc>
      </w:tr>
      <w:tr w14:paraId="19B6204A">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59A1978A">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2.7.2</w:t>
            </w:r>
          </w:p>
        </w:tc>
        <w:tc>
          <w:tcPr>
            <w:tcW w:w="2749" w:type="dxa"/>
            <w:tcBorders>
              <w:top w:val="single" w:color="000000" w:sz="4" w:space="0"/>
              <w:left w:val="single" w:color="000000" w:sz="4" w:space="0"/>
              <w:bottom w:val="single" w:color="000000" w:sz="4" w:space="0"/>
              <w:right w:val="single" w:color="000000" w:sz="4" w:space="0"/>
            </w:tcBorders>
            <w:vAlign w:val="center"/>
          </w:tcPr>
          <w:p w14:paraId="273F634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三维场景部署应用</w:t>
            </w:r>
          </w:p>
        </w:tc>
        <w:tc>
          <w:tcPr>
            <w:tcW w:w="10047" w:type="dxa"/>
            <w:tcBorders>
              <w:top w:val="single" w:color="000000" w:sz="4" w:space="0"/>
              <w:left w:val="single" w:color="000000" w:sz="4" w:space="0"/>
              <w:bottom w:val="single" w:color="000000" w:sz="4" w:space="0"/>
              <w:right w:val="single" w:color="000000" w:sz="4" w:space="0"/>
            </w:tcBorders>
            <w:vAlign w:val="center"/>
          </w:tcPr>
          <w:p w14:paraId="45D03B9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边缘设备适配</w:t>
            </w:r>
          </w:p>
        </w:tc>
      </w:tr>
      <w:tr w14:paraId="0938567D">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7B016C4E">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2.7.3</w:t>
            </w:r>
          </w:p>
        </w:tc>
        <w:tc>
          <w:tcPr>
            <w:tcW w:w="2749" w:type="dxa"/>
            <w:tcBorders>
              <w:top w:val="single" w:color="000000" w:sz="4" w:space="0"/>
              <w:left w:val="single" w:color="000000" w:sz="4" w:space="0"/>
              <w:bottom w:val="single" w:color="000000" w:sz="4" w:space="0"/>
              <w:right w:val="single" w:color="000000" w:sz="4" w:space="0"/>
            </w:tcBorders>
            <w:vAlign w:val="center"/>
          </w:tcPr>
          <w:p w14:paraId="00A4D9B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三维场景部署应用</w:t>
            </w:r>
          </w:p>
        </w:tc>
        <w:tc>
          <w:tcPr>
            <w:tcW w:w="10047" w:type="dxa"/>
            <w:tcBorders>
              <w:top w:val="single" w:color="000000" w:sz="4" w:space="0"/>
              <w:left w:val="single" w:color="000000" w:sz="4" w:space="0"/>
              <w:bottom w:val="single" w:color="000000" w:sz="4" w:space="0"/>
              <w:right w:val="single" w:color="000000" w:sz="4" w:space="0"/>
            </w:tcBorders>
            <w:vAlign w:val="center"/>
          </w:tcPr>
          <w:p w14:paraId="4F41BC4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API网关集成</w:t>
            </w:r>
          </w:p>
        </w:tc>
      </w:tr>
      <w:tr w14:paraId="3D3D99A1">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515AA4A5">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2.7.4</w:t>
            </w:r>
          </w:p>
        </w:tc>
        <w:tc>
          <w:tcPr>
            <w:tcW w:w="2749" w:type="dxa"/>
            <w:tcBorders>
              <w:top w:val="single" w:color="000000" w:sz="4" w:space="0"/>
              <w:left w:val="single" w:color="000000" w:sz="4" w:space="0"/>
              <w:bottom w:val="single" w:color="000000" w:sz="4" w:space="0"/>
              <w:right w:val="single" w:color="000000" w:sz="4" w:space="0"/>
            </w:tcBorders>
            <w:vAlign w:val="center"/>
          </w:tcPr>
          <w:p w14:paraId="1D6B205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三维场景部署应用</w:t>
            </w:r>
          </w:p>
        </w:tc>
        <w:tc>
          <w:tcPr>
            <w:tcW w:w="10047" w:type="dxa"/>
            <w:tcBorders>
              <w:top w:val="single" w:color="000000" w:sz="4" w:space="0"/>
              <w:left w:val="single" w:color="000000" w:sz="4" w:space="0"/>
              <w:bottom w:val="single" w:color="000000" w:sz="4" w:space="0"/>
              <w:right w:val="single" w:color="000000" w:sz="4" w:space="0"/>
            </w:tcBorders>
            <w:vAlign w:val="center"/>
          </w:tcPr>
          <w:p w14:paraId="31C5622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性能健康度监控</w:t>
            </w:r>
          </w:p>
        </w:tc>
      </w:tr>
      <w:tr w14:paraId="2CD57A87">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7F3B82BC">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2.7.5</w:t>
            </w:r>
          </w:p>
        </w:tc>
        <w:tc>
          <w:tcPr>
            <w:tcW w:w="2749" w:type="dxa"/>
            <w:tcBorders>
              <w:top w:val="single" w:color="000000" w:sz="4" w:space="0"/>
              <w:left w:val="single" w:color="000000" w:sz="4" w:space="0"/>
              <w:bottom w:val="single" w:color="000000" w:sz="4" w:space="0"/>
              <w:right w:val="single" w:color="000000" w:sz="4" w:space="0"/>
            </w:tcBorders>
            <w:vAlign w:val="center"/>
          </w:tcPr>
          <w:p w14:paraId="291370E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三维场景部署应用</w:t>
            </w:r>
          </w:p>
        </w:tc>
        <w:tc>
          <w:tcPr>
            <w:tcW w:w="10047" w:type="dxa"/>
            <w:tcBorders>
              <w:top w:val="single" w:color="000000" w:sz="4" w:space="0"/>
              <w:left w:val="single" w:color="000000" w:sz="4" w:space="0"/>
              <w:bottom w:val="single" w:color="000000" w:sz="4" w:space="0"/>
              <w:right w:val="single" w:color="000000" w:sz="4" w:space="0"/>
            </w:tcBorders>
            <w:vAlign w:val="center"/>
          </w:tcPr>
          <w:p w14:paraId="69DF9C5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自愈式更新</w:t>
            </w:r>
          </w:p>
        </w:tc>
      </w:tr>
      <w:tr w14:paraId="67959740">
        <w:tblPrEx>
          <w:tblCellMar>
            <w:top w:w="0" w:type="dxa"/>
            <w:left w:w="108" w:type="dxa"/>
            <w:bottom w:w="0" w:type="dxa"/>
            <w:right w:w="108" w:type="dxa"/>
          </w:tblCellMar>
        </w:tblPrEx>
        <w:trPr>
          <w:trHeight w:val="281"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14CA5AAC">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3</w:t>
            </w:r>
          </w:p>
        </w:tc>
        <w:tc>
          <w:tcPr>
            <w:tcW w:w="2749" w:type="dxa"/>
            <w:tcBorders>
              <w:top w:val="single" w:color="000000" w:sz="4" w:space="0"/>
              <w:left w:val="single" w:color="000000" w:sz="4" w:space="0"/>
              <w:bottom w:val="single" w:color="000000" w:sz="4" w:space="0"/>
              <w:right w:val="single" w:color="000000" w:sz="4" w:space="0"/>
            </w:tcBorders>
            <w:vAlign w:val="center"/>
          </w:tcPr>
          <w:p w14:paraId="320532DB">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全景数据素材采集及制作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0C7CC225">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雅长保护区重点物种栖息地区域、地质地貌、天然溶洞实景全景数据采集及制作。生成全景数据并支撑在三维场景中进行加载。</w:t>
            </w:r>
          </w:p>
        </w:tc>
      </w:tr>
      <w:tr w14:paraId="23C34C38">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70D8635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3.1</w:t>
            </w:r>
          </w:p>
        </w:tc>
        <w:tc>
          <w:tcPr>
            <w:tcW w:w="2749" w:type="dxa"/>
            <w:tcBorders>
              <w:top w:val="single" w:color="000000" w:sz="4" w:space="0"/>
              <w:left w:val="single" w:color="000000" w:sz="4" w:space="0"/>
              <w:bottom w:val="single" w:color="000000" w:sz="4" w:space="0"/>
              <w:right w:val="single" w:color="000000" w:sz="4" w:space="0"/>
            </w:tcBorders>
            <w:vAlign w:val="center"/>
          </w:tcPr>
          <w:p w14:paraId="3866F7F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全景数据采集</w:t>
            </w:r>
          </w:p>
        </w:tc>
        <w:tc>
          <w:tcPr>
            <w:tcW w:w="10047" w:type="dxa"/>
            <w:tcBorders>
              <w:top w:val="single" w:color="000000" w:sz="4" w:space="0"/>
              <w:left w:val="single" w:color="000000" w:sz="4" w:space="0"/>
              <w:bottom w:val="single" w:color="000000" w:sz="4" w:space="0"/>
              <w:right w:val="single" w:color="000000" w:sz="4" w:space="0"/>
            </w:tcBorders>
            <w:vAlign w:val="center"/>
          </w:tcPr>
          <w:p w14:paraId="61428009">
            <w:pPr>
              <w:spacing w:line="240" w:lineRule="auto"/>
              <w:ind w:firstLine="0" w:firstLineChars="0"/>
              <w:rPr>
                <w:rFonts w:hint="eastAsia" w:ascii="宋体" w:hAnsi="宋体" w:cs="宋体"/>
                <w:color w:val="auto"/>
                <w:sz w:val="20"/>
                <w:szCs w:val="20"/>
              </w:rPr>
            </w:pPr>
          </w:p>
        </w:tc>
      </w:tr>
      <w:tr w14:paraId="4FC8485C">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164FBF5C">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3.1.1</w:t>
            </w:r>
          </w:p>
        </w:tc>
        <w:tc>
          <w:tcPr>
            <w:tcW w:w="2749" w:type="dxa"/>
            <w:tcBorders>
              <w:top w:val="single" w:color="000000" w:sz="4" w:space="0"/>
              <w:left w:val="single" w:color="000000" w:sz="4" w:space="0"/>
              <w:bottom w:val="single" w:color="000000" w:sz="4" w:space="0"/>
              <w:right w:val="single" w:color="000000" w:sz="4" w:space="0"/>
            </w:tcBorders>
            <w:vAlign w:val="center"/>
          </w:tcPr>
          <w:p w14:paraId="0C6CFD0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全景数据采集</w:t>
            </w:r>
          </w:p>
        </w:tc>
        <w:tc>
          <w:tcPr>
            <w:tcW w:w="10047" w:type="dxa"/>
            <w:tcBorders>
              <w:top w:val="single" w:color="000000" w:sz="4" w:space="0"/>
              <w:left w:val="single" w:color="000000" w:sz="4" w:space="0"/>
              <w:bottom w:val="single" w:color="000000" w:sz="4" w:space="0"/>
              <w:right w:val="single" w:color="000000" w:sz="4" w:space="0"/>
            </w:tcBorders>
            <w:vAlign w:val="center"/>
          </w:tcPr>
          <w:p w14:paraId="4C3479E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采集目标收集</w:t>
            </w:r>
          </w:p>
        </w:tc>
      </w:tr>
      <w:tr w14:paraId="424CDF53">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518CD381">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3.1.2</w:t>
            </w:r>
          </w:p>
        </w:tc>
        <w:tc>
          <w:tcPr>
            <w:tcW w:w="2749" w:type="dxa"/>
            <w:tcBorders>
              <w:top w:val="single" w:color="000000" w:sz="4" w:space="0"/>
              <w:left w:val="single" w:color="000000" w:sz="4" w:space="0"/>
              <w:bottom w:val="single" w:color="000000" w:sz="4" w:space="0"/>
              <w:right w:val="single" w:color="000000" w:sz="4" w:space="0"/>
            </w:tcBorders>
            <w:vAlign w:val="center"/>
          </w:tcPr>
          <w:p w14:paraId="229ACCC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全景数据采集</w:t>
            </w:r>
          </w:p>
        </w:tc>
        <w:tc>
          <w:tcPr>
            <w:tcW w:w="10047" w:type="dxa"/>
            <w:tcBorders>
              <w:top w:val="single" w:color="000000" w:sz="4" w:space="0"/>
              <w:left w:val="single" w:color="000000" w:sz="4" w:space="0"/>
              <w:bottom w:val="single" w:color="000000" w:sz="4" w:space="0"/>
              <w:right w:val="single" w:color="000000" w:sz="4" w:space="0"/>
            </w:tcBorders>
            <w:vAlign w:val="center"/>
          </w:tcPr>
          <w:p w14:paraId="27AF1B7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空间路径规划</w:t>
            </w:r>
          </w:p>
        </w:tc>
      </w:tr>
      <w:tr w14:paraId="594DFCB2">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1A2038B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3.1.3</w:t>
            </w:r>
          </w:p>
        </w:tc>
        <w:tc>
          <w:tcPr>
            <w:tcW w:w="2749" w:type="dxa"/>
            <w:tcBorders>
              <w:top w:val="single" w:color="000000" w:sz="4" w:space="0"/>
              <w:left w:val="single" w:color="000000" w:sz="4" w:space="0"/>
              <w:bottom w:val="single" w:color="000000" w:sz="4" w:space="0"/>
              <w:right w:val="single" w:color="000000" w:sz="4" w:space="0"/>
            </w:tcBorders>
            <w:vAlign w:val="center"/>
          </w:tcPr>
          <w:p w14:paraId="612B80F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全景数据采集</w:t>
            </w:r>
          </w:p>
        </w:tc>
        <w:tc>
          <w:tcPr>
            <w:tcW w:w="10047" w:type="dxa"/>
            <w:tcBorders>
              <w:top w:val="single" w:color="000000" w:sz="4" w:space="0"/>
              <w:left w:val="single" w:color="000000" w:sz="4" w:space="0"/>
              <w:bottom w:val="single" w:color="000000" w:sz="4" w:space="0"/>
              <w:right w:val="single" w:color="000000" w:sz="4" w:space="0"/>
            </w:tcBorders>
            <w:vAlign w:val="center"/>
          </w:tcPr>
          <w:p w14:paraId="5D006DE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时效性分级</w:t>
            </w:r>
          </w:p>
        </w:tc>
      </w:tr>
      <w:tr w14:paraId="54A6BF52">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1FE41BA6">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3.1.4</w:t>
            </w:r>
          </w:p>
        </w:tc>
        <w:tc>
          <w:tcPr>
            <w:tcW w:w="2749" w:type="dxa"/>
            <w:tcBorders>
              <w:top w:val="single" w:color="000000" w:sz="4" w:space="0"/>
              <w:left w:val="single" w:color="000000" w:sz="4" w:space="0"/>
              <w:bottom w:val="single" w:color="000000" w:sz="4" w:space="0"/>
              <w:right w:val="single" w:color="000000" w:sz="4" w:space="0"/>
            </w:tcBorders>
            <w:vAlign w:val="center"/>
          </w:tcPr>
          <w:p w14:paraId="0D0560C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全景数据采集</w:t>
            </w:r>
          </w:p>
        </w:tc>
        <w:tc>
          <w:tcPr>
            <w:tcW w:w="10047" w:type="dxa"/>
            <w:tcBorders>
              <w:top w:val="single" w:color="000000" w:sz="4" w:space="0"/>
              <w:left w:val="single" w:color="000000" w:sz="4" w:space="0"/>
              <w:bottom w:val="single" w:color="000000" w:sz="4" w:space="0"/>
              <w:right w:val="single" w:color="000000" w:sz="4" w:space="0"/>
            </w:tcBorders>
            <w:vAlign w:val="center"/>
          </w:tcPr>
          <w:p w14:paraId="225DC7D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静态场景扫描</w:t>
            </w:r>
          </w:p>
        </w:tc>
      </w:tr>
      <w:tr w14:paraId="46BD666F">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1C0695EA">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3.2</w:t>
            </w:r>
          </w:p>
        </w:tc>
        <w:tc>
          <w:tcPr>
            <w:tcW w:w="2749" w:type="dxa"/>
            <w:tcBorders>
              <w:top w:val="single" w:color="000000" w:sz="4" w:space="0"/>
              <w:left w:val="single" w:color="000000" w:sz="4" w:space="0"/>
              <w:bottom w:val="single" w:color="000000" w:sz="4" w:space="0"/>
              <w:right w:val="single" w:color="000000" w:sz="4" w:space="0"/>
            </w:tcBorders>
            <w:vAlign w:val="center"/>
          </w:tcPr>
          <w:p w14:paraId="43B205C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全景素材制作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1F947FFB">
            <w:pPr>
              <w:spacing w:line="240" w:lineRule="auto"/>
              <w:ind w:firstLine="0" w:firstLineChars="0"/>
              <w:rPr>
                <w:rFonts w:hint="eastAsia" w:ascii="宋体" w:hAnsi="宋体" w:cs="宋体"/>
                <w:color w:val="auto"/>
                <w:sz w:val="20"/>
                <w:szCs w:val="20"/>
              </w:rPr>
            </w:pPr>
          </w:p>
        </w:tc>
      </w:tr>
      <w:tr w14:paraId="6F17D786">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6B0F9A45">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3.2.1</w:t>
            </w:r>
          </w:p>
        </w:tc>
        <w:tc>
          <w:tcPr>
            <w:tcW w:w="2749" w:type="dxa"/>
            <w:tcBorders>
              <w:top w:val="single" w:color="000000" w:sz="4" w:space="0"/>
              <w:left w:val="single" w:color="000000" w:sz="4" w:space="0"/>
              <w:bottom w:val="single" w:color="000000" w:sz="4" w:space="0"/>
              <w:right w:val="single" w:color="000000" w:sz="4" w:space="0"/>
            </w:tcBorders>
            <w:vAlign w:val="center"/>
          </w:tcPr>
          <w:p w14:paraId="509E432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全景素材制作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6281F86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全景拼接</w:t>
            </w:r>
          </w:p>
        </w:tc>
      </w:tr>
      <w:tr w14:paraId="6F716808">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00B42253">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3.2.2</w:t>
            </w:r>
          </w:p>
        </w:tc>
        <w:tc>
          <w:tcPr>
            <w:tcW w:w="2749" w:type="dxa"/>
            <w:tcBorders>
              <w:top w:val="single" w:color="000000" w:sz="4" w:space="0"/>
              <w:left w:val="single" w:color="000000" w:sz="4" w:space="0"/>
              <w:bottom w:val="single" w:color="000000" w:sz="4" w:space="0"/>
              <w:right w:val="single" w:color="000000" w:sz="4" w:space="0"/>
            </w:tcBorders>
            <w:vAlign w:val="center"/>
          </w:tcPr>
          <w:p w14:paraId="19957A5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全景素材制作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1682E0D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时空基准对齐</w:t>
            </w:r>
          </w:p>
        </w:tc>
      </w:tr>
      <w:tr w14:paraId="15EB410A">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6CB0EB99">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3.2.3</w:t>
            </w:r>
          </w:p>
        </w:tc>
        <w:tc>
          <w:tcPr>
            <w:tcW w:w="2749" w:type="dxa"/>
            <w:tcBorders>
              <w:top w:val="single" w:color="000000" w:sz="4" w:space="0"/>
              <w:left w:val="single" w:color="000000" w:sz="4" w:space="0"/>
              <w:bottom w:val="single" w:color="000000" w:sz="4" w:space="0"/>
              <w:right w:val="single" w:color="000000" w:sz="4" w:space="0"/>
            </w:tcBorders>
            <w:vAlign w:val="center"/>
          </w:tcPr>
          <w:p w14:paraId="5A4B2D9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全景素材制作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1121C29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光照一致性融合</w:t>
            </w:r>
          </w:p>
        </w:tc>
      </w:tr>
      <w:tr w14:paraId="70AFF68D">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7D2AE7DC">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3.2.4</w:t>
            </w:r>
          </w:p>
        </w:tc>
        <w:tc>
          <w:tcPr>
            <w:tcW w:w="2749" w:type="dxa"/>
            <w:tcBorders>
              <w:top w:val="single" w:color="000000" w:sz="4" w:space="0"/>
              <w:left w:val="single" w:color="000000" w:sz="4" w:space="0"/>
              <w:bottom w:val="single" w:color="000000" w:sz="4" w:space="0"/>
              <w:right w:val="single" w:color="000000" w:sz="4" w:space="0"/>
            </w:tcBorders>
            <w:vAlign w:val="center"/>
          </w:tcPr>
          <w:p w14:paraId="720DE1D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全景素材制作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199E36A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精度核验</w:t>
            </w:r>
          </w:p>
        </w:tc>
      </w:tr>
      <w:tr w14:paraId="76F1C2BD">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299272FE">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3.2.5</w:t>
            </w:r>
          </w:p>
        </w:tc>
        <w:tc>
          <w:tcPr>
            <w:tcW w:w="2749" w:type="dxa"/>
            <w:tcBorders>
              <w:top w:val="single" w:color="000000" w:sz="4" w:space="0"/>
              <w:left w:val="single" w:color="000000" w:sz="4" w:space="0"/>
              <w:bottom w:val="single" w:color="000000" w:sz="4" w:space="0"/>
              <w:right w:val="single" w:color="000000" w:sz="4" w:space="0"/>
            </w:tcBorders>
            <w:vAlign w:val="center"/>
          </w:tcPr>
          <w:p w14:paraId="725236B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全景素材制作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570AE0E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实时纠偏</w:t>
            </w:r>
          </w:p>
        </w:tc>
      </w:tr>
      <w:tr w14:paraId="2F8B491F">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33C8C239">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3.2.6</w:t>
            </w:r>
          </w:p>
        </w:tc>
        <w:tc>
          <w:tcPr>
            <w:tcW w:w="2749" w:type="dxa"/>
            <w:tcBorders>
              <w:top w:val="single" w:color="000000" w:sz="4" w:space="0"/>
              <w:left w:val="single" w:color="000000" w:sz="4" w:space="0"/>
              <w:bottom w:val="single" w:color="000000" w:sz="4" w:space="0"/>
              <w:right w:val="single" w:color="000000" w:sz="4" w:space="0"/>
            </w:tcBorders>
            <w:vAlign w:val="center"/>
          </w:tcPr>
          <w:p w14:paraId="37CFDE6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全景素材制作</w:t>
            </w:r>
          </w:p>
        </w:tc>
        <w:tc>
          <w:tcPr>
            <w:tcW w:w="10047" w:type="dxa"/>
            <w:tcBorders>
              <w:top w:val="single" w:color="000000" w:sz="4" w:space="0"/>
              <w:left w:val="single" w:color="000000" w:sz="4" w:space="0"/>
              <w:bottom w:val="single" w:color="000000" w:sz="4" w:space="0"/>
              <w:right w:val="single" w:color="000000" w:sz="4" w:space="0"/>
            </w:tcBorders>
            <w:vAlign w:val="center"/>
          </w:tcPr>
          <w:p w14:paraId="3C93B2C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元数据补全</w:t>
            </w:r>
          </w:p>
        </w:tc>
      </w:tr>
      <w:tr w14:paraId="41E34BC4">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0D80EEC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3.3</w:t>
            </w:r>
          </w:p>
        </w:tc>
        <w:tc>
          <w:tcPr>
            <w:tcW w:w="2749" w:type="dxa"/>
            <w:tcBorders>
              <w:top w:val="single" w:color="000000" w:sz="4" w:space="0"/>
              <w:left w:val="single" w:color="000000" w:sz="4" w:space="0"/>
              <w:bottom w:val="single" w:color="000000" w:sz="4" w:space="0"/>
              <w:right w:val="single" w:color="000000" w:sz="4" w:space="0"/>
            </w:tcBorders>
            <w:vAlign w:val="center"/>
          </w:tcPr>
          <w:p w14:paraId="2653EFF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三维场景全景融合</w:t>
            </w:r>
          </w:p>
        </w:tc>
        <w:tc>
          <w:tcPr>
            <w:tcW w:w="10047" w:type="dxa"/>
            <w:tcBorders>
              <w:top w:val="single" w:color="000000" w:sz="4" w:space="0"/>
              <w:left w:val="single" w:color="000000" w:sz="4" w:space="0"/>
              <w:bottom w:val="single" w:color="000000" w:sz="4" w:space="0"/>
              <w:right w:val="single" w:color="000000" w:sz="4" w:space="0"/>
            </w:tcBorders>
            <w:vAlign w:val="center"/>
          </w:tcPr>
          <w:p w14:paraId="7D2A1472">
            <w:pPr>
              <w:spacing w:line="240" w:lineRule="auto"/>
              <w:ind w:firstLine="0" w:firstLineChars="0"/>
              <w:rPr>
                <w:rFonts w:hint="eastAsia" w:ascii="宋体" w:hAnsi="宋体" w:cs="宋体"/>
                <w:color w:val="auto"/>
                <w:sz w:val="20"/>
                <w:szCs w:val="20"/>
              </w:rPr>
            </w:pPr>
          </w:p>
        </w:tc>
      </w:tr>
      <w:tr w14:paraId="7EAEED59">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47DE64DC">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3.3.1</w:t>
            </w:r>
          </w:p>
        </w:tc>
        <w:tc>
          <w:tcPr>
            <w:tcW w:w="2749" w:type="dxa"/>
            <w:tcBorders>
              <w:top w:val="single" w:color="000000" w:sz="4" w:space="0"/>
              <w:left w:val="single" w:color="000000" w:sz="4" w:space="0"/>
              <w:bottom w:val="single" w:color="000000" w:sz="4" w:space="0"/>
              <w:right w:val="single" w:color="000000" w:sz="4" w:space="0"/>
            </w:tcBorders>
            <w:vAlign w:val="center"/>
          </w:tcPr>
          <w:p w14:paraId="39D030C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三维场景全景融合</w:t>
            </w:r>
          </w:p>
        </w:tc>
        <w:tc>
          <w:tcPr>
            <w:tcW w:w="10047" w:type="dxa"/>
            <w:tcBorders>
              <w:top w:val="single" w:color="000000" w:sz="4" w:space="0"/>
              <w:left w:val="single" w:color="000000" w:sz="4" w:space="0"/>
              <w:bottom w:val="single" w:color="000000" w:sz="4" w:space="0"/>
              <w:right w:val="single" w:color="000000" w:sz="4" w:space="0"/>
            </w:tcBorders>
            <w:vAlign w:val="center"/>
          </w:tcPr>
          <w:p w14:paraId="02EC088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光照融合</w:t>
            </w:r>
          </w:p>
        </w:tc>
      </w:tr>
      <w:tr w14:paraId="35F041AA">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17D45DA1">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3.3.2</w:t>
            </w:r>
          </w:p>
        </w:tc>
        <w:tc>
          <w:tcPr>
            <w:tcW w:w="2749" w:type="dxa"/>
            <w:tcBorders>
              <w:top w:val="single" w:color="000000" w:sz="4" w:space="0"/>
              <w:left w:val="single" w:color="000000" w:sz="4" w:space="0"/>
              <w:bottom w:val="single" w:color="000000" w:sz="4" w:space="0"/>
              <w:right w:val="single" w:color="000000" w:sz="4" w:space="0"/>
            </w:tcBorders>
            <w:vAlign w:val="center"/>
          </w:tcPr>
          <w:p w14:paraId="4918AB5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三维场景全景融合</w:t>
            </w:r>
          </w:p>
        </w:tc>
        <w:tc>
          <w:tcPr>
            <w:tcW w:w="10047" w:type="dxa"/>
            <w:tcBorders>
              <w:top w:val="single" w:color="000000" w:sz="4" w:space="0"/>
              <w:left w:val="single" w:color="000000" w:sz="4" w:space="0"/>
              <w:bottom w:val="single" w:color="000000" w:sz="4" w:space="0"/>
              <w:right w:val="single" w:color="000000" w:sz="4" w:space="0"/>
            </w:tcBorders>
            <w:vAlign w:val="center"/>
          </w:tcPr>
          <w:p w14:paraId="5272689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动态融合</w:t>
            </w:r>
          </w:p>
        </w:tc>
      </w:tr>
      <w:tr w14:paraId="56B90ABA">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5D13F73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3.3.3</w:t>
            </w:r>
          </w:p>
        </w:tc>
        <w:tc>
          <w:tcPr>
            <w:tcW w:w="2749" w:type="dxa"/>
            <w:tcBorders>
              <w:top w:val="single" w:color="000000" w:sz="4" w:space="0"/>
              <w:left w:val="single" w:color="000000" w:sz="4" w:space="0"/>
              <w:bottom w:val="single" w:color="000000" w:sz="4" w:space="0"/>
              <w:right w:val="single" w:color="000000" w:sz="4" w:space="0"/>
            </w:tcBorders>
            <w:vAlign w:val="center"/>
          </w:tcPr>
          <w:p w14:paraId="61FEE3D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三维场景全景融合</w:t>
            </w:r>
          </w:p>
        </w:tc>
        <w:tc>
          <w:tcPr>
            <w:tcW w:w="10047" w:type="dxa"/>
            <w:tcBorders>
              <w:top w:val="single" w:color="000000" w:sz="4" w:space="0"/>
              <w:left w:val="single" w:color="000000" w:sz="4" w:space="0"/>
              <w:bottom w:val="single" w:color="000000" w:sz="4" w:space="0"/>
              <w:right w:val="single" w:color="000000" w:sz="4" w:space="0"/>
            </w:tcBorders>
            <w:vAlign w:val="center"/>
          </w:tcPr>
          <w:p w14:paraId="0A78D06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质控优化</w:t>
            </w:r>
          </w:p>
        </w:tc>
      </w:tr>
      <w:tr w14:paraId="4E722223">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13DD5B1D">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3.3.4</w:t>
            </w:r>
          </w:p>
        </w:tc>
        <w:tc>
          <w:tcPr>
            <w:tcW w:w="2749" w:type="dxa"/>
            <w:tcBorders>
              <w:top w:val="single" w:color="000000" w:sz="4" w:space="0"/>
              <w:left w:val="single" w:color="000000" w:sz="4" w:space="0"/>
              <w:bottom w:val="single" w:color="000000" w:sz="4" w:space="0"/>
              <w:right w:val="single" w:color="000000" w:sz="4" w:space="0"/>
            </w:tcBorders>
            <w:vAlign w:val="center"/>
          </w:tcPr>
          <w:p w14:paraId="2DFD1D5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三维场景全景融合</w:t>
            </w:r>
          </w:p>
        </w:tc>
        <w:tc>
          <w:tcPr>
            <w:tcW w:w="10047" w:type="dxa"/>
            <w:tcBorders>
              <w:top w:val="single" w:color="000000" w:sz="4" w:space="0"/>
              <w:left w:val="single" w:color="000000" w:sz="4" w:space="0"/>
              <w:bottom w:val="single" w:color="000000" w:sz="4" w:space="0"/>
              <w:right w:val="single" w:color="000000" w:sz="4" w:space="0"/>
            </w:tcBorders>
            <w:vAlign w:val="center"/>
          </w:tcPr>
          <w:p w14:paraId="625B2FC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渲染性能测试</w:t>
            </w:r>
          </w:p>
        </w:tc>
      </w:tr>
      <w:tr w14:paraId="5F23A89C">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vAlign w:val="center"/>
          </w:tcPr>
          <w:p w14:paraId="0B9486F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3.3.5</w:t>
            </w:r>
          </w:p>
        </w:tc>
        <w:tc>
          <w:tcPr>
            <w:tcW w:w="2749" w:type="dxa"/>
            <w:tcBorders>
              <w:top w:val="single" w:color="000000" w:sz="4" w:space="0"/>
              <w:left w:val="single" w:color="000000" w:sz="4" w:space="0"/>
              <w:bottom w:val="single" w:color="000000" w:sz="4" w:space="0"/>
              <w:right w:val="single" w:color="000000" w:sz="4" w:space="0"/>
            </w:tcBorders>
            <w:vAlign w:val="center"/>
          </w:tcPr>
          <w:p w14:paraId="5C09601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三维场景全景融合</w:t>
            </w:r>
          </w:p>
        </w:tc>
        <w:tc>
          <w:tcPr>
            <w:tcW w:w="10047" w:type="dxa"/>
            <w:tcBorders>
              <w:top w:val="single" w:color="000000" w:sz="4" w:space="0"/>
              <w:left w:val="single" w:color="000000" w:sz="4" w:space="0"/>
              <w:bottom w:val="single" w:color="000000" w:sz="4" w:space="0"/>
              <w:right w:val="single" w:color="000000" w:sz="4" w:space="0"/>
            </w:tcBorders>
            <w:vAlign w:val="center"/>
          </w:tcPr>
          <w:p w14:paraId="6EB7D6A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视觉一致性审核</w:t>
            </w:r>
          </w:p>
        </w:tc>
      </w:tr>
      <w:tr w14:paraId="67647237">
        <w:tblPrEx>
          <w:tblCellMar>
            <w:top w:w="0" w:type="dxa"/>
            <w:left w:w="108" w:type="dxa"/>
            <w:bottom w:w="0" w:type="dxa"/>
            <w:right w:w="108" w:type="dxa"/>
          </w:tblCellMar>
        </w:tblPrEx>
        <w:trPr>
          <w:trHeight w:val="230" w:hRule="atLeast"/>
        </w:trPr>
        <w:tc>
          <w:tcPr>
            <w:tcW w:w="1403" w:type="dxa"/>
            <w:tcBorders>
              <w:top w:val="single" w:color="000000" w:sz="4" w:space="0"/>
              <w:left w:val="single" w:color="000000" w:sz="4" w:space="0"/>
              <w:bottom w:val="single" w:color="000000" w:sz="4" w:space="0"/>
              <w:right w:val="single" w:color="000000" w:sz="4" w:space="0"/>
            </w:tcBorders>
            <w:noWrap/>
            <w:vAlign w:val="center"/>
          </w:tcPr>
          <w:p w14:paraId="76083F36">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(四）</w:t>
            </w:r>
          </w:p>
        </w:tc>
        <w:tc>
          <w:tcPr>
            <w:tcW w:w="2749" w:type="dxa"/>
            <w:tcBorders>
              <w:top w:val="single" w:color="000000" w:sz="4" w:space="0"/>
              <w:left w:val="single" w:color="000000" w:sz="4" w:space="0"/>
              <w:bottom w:val="single" w:color="000000" w:sz="4" w:space="0"/>
              <w:right w:val="single" w:color="000000" w:sz="4" w:space="0"/>
            </w:tcBorders>
            <w:noWrap/>
            <w:vAlign w:val="center"/>
          </w:tcPr>
          <w:p w14:paraId="356DF2F4">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系统测试</w:t>
            </w:r>
          </w:p>
        </w:tc>
        <w:tc>
          <w:tcPr>
            <w:tcW w:w="10047" w:type="dxa"/>
            <w:tcBorders>
              <w:top w:val="single" w:color="000000" w:sz="4" w:space="0"/>
              <w:left w:val="single" w:color="000000" w:sz="4" w:space="0"/>
              <w:bottom w:val="single" w:color="000000" w:sz="4" w:space="0"/>
              <w:right w:val="single" w:color="000000" w:sz="4" w:space="0"/>
            </w:tcBorders>
            <w:vAlign w:val="center"/>
          </w:tcPr>
          <w:p w14:paraId="560E49B0">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系统各个功能模块测试</w:t>
            </w:r>
          </w:p>
        </w:tc>
      </w:tr>
      <w:tr w14:paraId="56F09F0A">
        <w:tblPrEx>
          <w:tblCellMar>
            <w:top w:w="0" w:type="dxa"/>
            <w:left w:w="108" w:type="dxa"/>
            <w:bottom w:w="0" w:type="dxa"/>
            <w:right w:w="108" w:type="dxa"/>
          </w:tblCellMar>
        </w:tblPrEx>
        <w:trPr>
          <w:trHeight w:val="281" w:hRule="atLeast"/>
        </w:trPr>
        <w:tc>
          <w:tcPr>
            <w:tcW w:w="1403" w:type="dxa"/>
            <w:tcBorders>
              <w:top w:val="single" w:color="000000" w:sz="4" w:space="0"/>
              <w:left w:val="single" w:color="000000" w:sz="4" w:space="0"/>
              <w:bottom w:val="single" w:color="000000" w:sz="4" w:space="0"/>
              <w:right w:val="single" w:color="000000" w:sz="4" w:space="0"/>
            </w:tcBorders>
            <w:noWrap/>
            <w:vAlign w:val="center"/>
          </w:tcPr>
          <w:p w14:paraId="137EA2F1">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（五）</w:t>
            </w:r>
          </w:p>
        </w:tc>
        <w:tc>
          <w:tcPr>
            <w:tcW w:w="2749" w:type="dxa"/>
            <w:tcBorders>
              <w:top w:val="single" w:color="000000" w:sz="4" w:space="0"/>
              <w:left w:val="single" w:color="000000" w:sz="4" w:space="0"/>
              <w:bottom w:val="single" w:color="000000" w:sz="4" w:space="0"/>
              <w:right w:val="single" w:color="000000" w:sz="4" w:space="0"/>
            </w:tcBorders>
            <w:noWrap/>
            <w:vAlign w:val="center"/>
          </w:tcPr>
          <w:p w14:paraId="7C3DADCC">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实施部署</w:t>
            </w:r>
          </w:p>
        </w:tc>
        <w:tc>
          <w:tcPr>
            <w:tcW w:w="10047" w:type="dxa"/>
            <w:tcBorders>
              <w:top w:val="single" w:color="000000" w:sz="4" w:space="0"/>
              <w:left w:val="single" w:color="000000" w:sz="4" w:space="0"/>
              <w:bottom w:val="single" w:color="000000" w:sz="4" w:space="0"/>
              <w:right w:val="single" w:color="000000" w:sz="4" w:space="0"/>
            </w:tcBorders>
            <w:vAlign w:val="center"/>
          </w:tcPr>
          <w:p w14:paraId="6541586E">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系统软、硬件的安装、调试部署工作、对国产化环境进行适配，包括服务器、数据库、中间件、流式版式软件、电子签章适配</w:t>
            </w:r>
          </w:p>
        </w:tc>
      </w:tr>
    </w:tbl>
    <w:p w14:paraId="070AD9E2">
      <w:pPr>
        <w:pStyle w:val="6"/>
        <w:numPr>
          <w:ilvl w:val="-1"/>
          <w:numId w:val="0"/>
        </w:numPr>
        <w:spacing w:before="78" w:after="78"/>
        <w:rPr>
          <w:color w:val="auto"/>
        </w:rPr>
      </w:pPr>
      <w:r>
        <w:rPr>
          <w:rFonts w:hint="eastAsia"/>
          <w:color w:val="auto"/>
          <w:lang w:val="en-US" w:eastAsia="zh-CN"/>
        </w:rPr>
        <w:t>1.3.2</w:t>
      </w:r>
      <w:r>
        <w:rPr>
          <w:rFonts w:hint="eastAsia"/>
          <w:color w:val="auto"/>
        </w:rPr>
        <w:t>兰科植物空间场景精细化应用软件开发</w:t>
      </w:r>
    </w:p>
    <w:tbl>
      <w:tblPr>
        <w:tblStyle w:val="17"/>
        <w:tblW w:w="14318"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2940"/>
        <w:gridCol w:w="10334"/>
      </w:tblGrid>
      <w:tr w14:paraId="4165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1044" w:type="dxa"/>
            <w:vAlign w:val="center"/>
          </w:tcPr>
          <w:p w14:paraId="640D7523">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序号</w:t>
            </w:r>
          </w:p>
        </w:tc>
        <w:tc>
          <w:tcPr>
            <w:tcW w:w="2940" w:type="dxa"/>
            <w:vAlign w:val="center"/>
          </w:tcPr>
          <w:p w14:paraId="7353B726">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功能/模块名称</w:t>
            </w:r>
          </w:p>
        </w:tc>
        <w:tc>
          <w:tcPr>
            <w:tcW w:w="10334" w:type="dxa"/>
            <w:vAlign w:val="center"/>
          </w:tcPr>
          <w:p w14:paraId="6DA61B2C">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需求描述</w:t>
            </w:r>
          </w:p>
        </w:tc>
      </w:tr>
      <w:tr w14:paraId="3223B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6E5DBBEE">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II</w:t>
            </w:r>
          </w:p>
        </w:tc>
        <w:tc>
          <w:tcPr>
            <w:tcW w:w="2940" w:type="dxa"/>
            <w:vAlign w:val="center"/>
          </w:tcPr>
          <w:p w14:paraId="1CFF8BE1">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兰科植物空间场景精细化应用软件</w:t>
            </w:r>
          </w:p>
        </w:tc>
        <w:tc>
          <w:tcPr>
            <w:tcW w:w="10334" w:type="dxa"/>
            <w:vAlign w:val="center"/>
          </w:tcPr>
          <w:p w14:paraId="12A5F84E">
            <w:pPr>
              <w:spacing w:line="240" w:lineRule="auto"/>
              <w:ind w:firstLine="0" w:firstLineChars="0"/>
              <w:jc w:val="left"/>
              <w:rPr>
                <w:rFonts w:hint="eastAsia" w:ascii="宋体" w:hAnsi="宋体" w:cs="宋体"/>
                <w:b/>
                <w:bCs/>
                <w:color w:val="auto"/>
                <w:sz w:val="20"/>
                <w:szCs w:val="20"/>
              </w:rPr>
            </w:pPr>
          </w:p>
        </w:tc>
      </w:tr>
      <w:tr w14:paraId="0E1E8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1ED65A77">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(一)</w:t>
            </w:r>
          </w:p>
        </w:tc>
        <w:tc>
          <w:tcPr>
            <w:tcW w:w="2940" w:type="dxa"/>
            <w:vAlign w:val="center"/>
          </w:tcPr>
          <w:p w14:paraId="20593B02">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需求分析</w:t>
            </w:r>
          </w:p>
        </w:tc>
        <w:tc>
          <w:tcPr>
            <w:tcW w:w="10334" w:type="dxa"/>
            <w:vAlign w:val="center"/>
          </w:tcPr>
          <w:p w14:paraId="1A3982E9">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对项目进行全面需求调研，涵盖功能、技术、性能、安全等方面，整理形成详细的需求文档</w:t>
            </w:r>
            <w:r>
              <w:rPr>
                <w:rFonts w:ascii="Arial" w:hAnsi="Arial" w:cs="Arial"/>
                <w:b/>
                <w:bCs/>
                <w:color w:val="auto"/>
                <w:kern w:val="0"/>
                <w:sz w:val="20"/>
                <w:szCs w:val="20"/>
                <w:lang w:bidi="ar"/>
              </w:rPr>
              <w:t xml:space="preserve"> </w:t>
            </w:r>
          </w:p>
        </w:tc>
      </w:tr>
      <w:tr w14:paraId="77C0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4511FF73">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(二)</w:t>
            </w:r>
          </w:p>
        </w:tc>
        <w:tc>
          <w:tcPr>
            <w:tcW w:w="2940" w:type="dxa"/>
            <w:vAlign w:val="center"/>
          </w:tcPr>
          <w:p w14:paraId="5E81A8F4">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系统设计</w:t>
            </w:r>
          </w:p>
        </w:tc>
        <w:tc>
          <w:tcPr>
            <w:tcW w:w="10334" w:type="dxa"/>
            <w:vAlign w:val="center"/>
          </w:tcPr>
          <w:p w14:paraId="2F3B921A">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根据需求分析结果，进行功能模块、数据库等方面的详细设计，规划系统架构</w:t>
            </w:r>
            <w:r>
              <w:rPr>
                <w:rFonts w:ascii="Arial" w:hAnsi="Arial" w:cs="Arial"/>
                <w:b/>
                <w:bCs/>
                <w:color w:val="auto"/>
                <w:kern w:val="0"/>
                <w:sz w:val="20"/>
                <w:szCs w:val="20"/>
                <w:lang w:bidi="ar"/>
              </w:rPr>
              <w:t xml:space="preserve"> </w:t>
            </w:r>
          </w:p>
        </w:tc>
      </w:tr>
      <w:tr w14:paraId="63C92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3E7B940C">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(三)</w:t>
            </w:r>
          </w:p>
        </w:tc>
        <w:tc>
          <w:tcPr>
            <w:tcW w:w="2940" w:type="dxa"/>
            <w:vAlign w:val="center"/>
          </w:tcPr>
          <w:p w14:paraId="25EB5A9D">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系统开发（编码）</w:t>
            </w:r>
          </w:p>
        </w:tc>
        <w:tc>
          <w:tcPr>
            <w:tcW w:w="10334" w:type="dxa"/>
            <w:vAlign w:val="center"/>
          </w:tcPr>
          <w:p w14:paraId="51001319">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按照系统设计完成各个功能模块的代码编写、测试和优化工作</w:t>
            </w:r>
          </w:p>
        </w:tc>
      </w:tr>
      <w:tr w14:paraId="52B13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35F3E08D">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w:t>
            </w:r>
          </w:p>
        </w:tc>
        <w:tc>
          <w:tcPr>
            <w:tcW w:w="2940" w:type="dxa"/>
            <w:vAlign w:val="center"/>
          </w:tcPr>
          <w:p w14:paraId="67FA54B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数据中台</w:t>
            </w:r>
          </w:p>
        </w:tc>
        <w:tc>
          <w:tcPr>
            <w:tcW w:w="10334" w:type="dxa"/>
            <w:vAlign w:val="center"/>
          </w:tcPr>
          <w:p w14:paraId="098FF17B">
            <w:pPr>
              <w:spacing w:line="240" w:lineRule="auto"/>
              <w:ind w:firstLine="0" w:firstLineChars="0"/>
              <w:jc w:val="left"/>
              <w:rPr>
                <w:rFonts w:hint="eastAsia" w:ascii="宋体" w:hAnsi="宋体" w:cs="宋体"/>
                <w:color w:val="auto"/>
                <w:sz w:val="20"/>
                <w:szCs w:val="20"/>
              </w:rPr>
            </w:pPr>
          </w:p>
        </w:tc>
      </w:tr>
      <w:tr w14:paraId="6AF2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7438E7D2">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w:t>
            </w:r>
          </w:p>
        </w:tc>
        <w:tc>
          <w:tcPr>
            <w:tcW w:w="2940" w:type="dxa"/>
            <w:vAlign w:val="center"/>
          </w:tcPr>
          <w:p w14:paraId="46224A6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数据采集与建模融合</w:t>
            </w:r>
          </w:p>
        </w:tc>
        <w:tc>
          <w:tcPr>
            <w:tcW w:w="10334" w:type="dxa"/>
            <w:vAlign w:val="center"/>
          </w:tcPr>
          <w:p w14:paraId="2C8CB5C5">
            <w:pPr>
              <w:spacing w:line="240" w:lineRule="auto"/>
              <w:ind w:firstLine="0" w:firstLineChars="0"/>
              <w:rPr>
                <w:rFonts w:hint="eastAsia" w:ascii="宋体" w:hAnsi="宋体" w:cs="宋体"/>
                <w:color w:val="auto"/>
                <w:sz w:val="20"/>
                <w:szCs w:val="20"/>
              </w:rPr>
            </w:pPr>
          </w:p>
        </w:tc>
      </w:tr>
      <w:tr w14:paraId="5821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04E0B037">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1.1.1</w:t>
            </w:r>
          </w:p>
        </w:tc>
        <w:tc>
          <w:tcPr>
            <w:tcW w:w="2940" w:type="dxa"/>
            <w:vAlign w:val="center"/>
          </w:tcPr>
          <w:p w14:paraId="3AD4D9A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多维度数据整理</w:t>
            </w:r>
          </w:p>
        </w:tc>
        <w:tc>
          <w:tcPr>
            <w:tcW w:w="10334" w:type="dxa"/>
            <w:vAlign w:val="center"/>
          </w:tcPr>
          <w:p w14:paraId="12AF24A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传感数据收集与筛选和格式转换</w:t>
            </w:r>
          </w:p>
        </w:tc>
      </w:tr>
      <w:tr w14:paraId="6981F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0FA3BFD1">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1.1.2</w:t>
            </w:r>
          </w:p>
        </w:tc>
        <w:tc>
          <w:tcPr>
            <w:tcW w:w="2940" w:type="dxa"/>
            <w:vAlign w:val="center"/>
          </w:tcPr>
          <w:p w14:paraId="180271C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多维度数据整理</w:t>
            </w:r>
          </w:p>
        </w:tc>
        <w:tc>
          <w:tcPr>
            <w:tcW w:w="10334" w:type="dxa"/>
            <w:vAlign w:val="center"/>
          </w:tcPr>
          <w:p w14:paraId="30D358E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生态数据收集与筛选和格式转换</w:t>
            </w:r>
          </w:p>
        </w:tc>
      </w:tr>
      <w:tr w14:paraId="6A26E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39D089EE">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1.1.3</w:t>
            </w:r>
          </w:p>
        </w:tc>
        <w:tc>
          <w:tcPr>
            <w:tcW w:w="2940" w:type="dxa"/>
            <w:vAlign w:val="center"/>
          </w:tcPr>
          <w:p w14:paraId="10484E6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数据安全保障</w:t>
            </w:r>
          </w:p>
        </w:tc>
        <w:tc>
          <w:tcPr>
            <w:tcW w:w="10334" w:type="dxa"/>
            <w:vAlign w:val="center"/>
          </w:tcPr>
          <w:p w14:paraId="40F457D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融合数据安全方式接入</w:t>
            </w:r>
          </w:p>
        </w:tc>
      </w:tr>
      <w:tr w14:paraId="16BC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70CBE01A">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1.1.4</w:t>
            </w:r>
          </w:p>
        </w:tc>
        <w:tc>
          <w:tcPr>
            <w:tcW w:w="2940" w:type="dxa"/>
            <w:vAlign w:val="center"/>
          </w:tcPr>
          <w:p w14:paraId="5861279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数据安全保障</w:t>
            </w:r>
          </w:p>
        </w:tc>
        <w:tc>
          <w:tcPr>
            <w:tcW w:w="10334" w:type="dxa"/>
            <w:vAlign w:val="center"/>
          </w:tcPr>
          <w:p w14:paraId="223916F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数据访问权限设置与管理</w:t>
            </w:r>
          </w:p>
        </w:tc>
      </w:tr>
      <w:tr w14:paraId="5B87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4B1D8531">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1.1.5</w:t>
            </w:r>
          </w:p>
        </w:tc>
        <w:tc>
          <w:tcPr>
            <w:tcW w:w="2940" w:type="dxa"/>
            <w:noWrap/>
            <w:vAlign w:val="center"/>
          </w:tcPr>
          <w:p w14:paraId="468B855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三维模型交互策略制定</w:t>
            </w:r>
          </w:p>
        </w:tc>
        <w:tc>
          <w:tcPr>
            <w:tcW w:w="10334" w:type="dxa"/>
            <w:vAlign w:val="center"/>
          </w:tcPr>
          <w:p w14:paraId="71871A9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制定用户与三维兰科植物模型交互的操作策略和交互逻辑规范，包括触摸、点击、拖拽等多种交互方式的响应机制设计</w:t>
            </w:r>
          </w:p>
        </w:tc>
      </w:tr>
      <w:tr w14:paraId="0894D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7E7CE131">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1.1.6</w:t>
            </w:r>
          </w:p>
        </w:tc>
        <w:tc>
          <w:tcPr>
            <w:tcW w:w="2940" w:type="dxa"/>
            <w:vAlign w:val="center"/>
          </w:tcPr>
          <w:p w14:paraId="17D8000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数据标准更新</w:t>
            </w:r>
          </w:p>
        </w:tc>
        <w:tc>
          <w:tcPr>
            <w:tcW w:w="10334" w:type="dxa"/>
            <w:vAlign w:val="center"/>
          </w:tcPr>
          <w:p w14:paraId="5485BD5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根据业务需求更新传感数据标准</w:t>
            </w:r>
          </w:p>
        </w:tc>
      </w:tr>
      <w:tr w14:paraId="7B319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507BE766">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1.1.7</w:t>
            </w:r>
          </w:p>
        </w:tc>
        <w:tc>
          <w:tcPr>
            <w:tcW w:w="2940" w:type="dxa"/>
            <w:noWrap/>
            <w:vAlign w:val="center"/>
          </w:tcPr>
          <w:p w14:paraId="3C69228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模型展示标准制定</w:t>
            </w:r>
          </w:p>
        </w:tc>
        <w:tc>
          <w:tcPr>
            <w:tcW w:w="10334" w:type="dxa"/>
            <w:vAlign w:val="center"/>
          </w:tcPr>
          <w:p w14:paraId="285D584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建立三维兰科植物模型在不同设备和平台上的展示标准规范，确保模型在PC端、移动端上的一致性表现</w:t>
            </w:r>
          </w:p>
        </w:tc>
      </w:tr>
      <w:tr w14:paraId="5ECE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3983FDBD">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1.1.8</w:t>
            </w:r>
          </w:p>
        </w:tc>
        <w:tc>
          <w:tcPr>
            <w:tcW w:w="2940" w:type="dxa"/>
            <w:noWrap/>
            <w:vAlign w:val="center"/>
          </w:tcPr>
          <w:p w14:paraId="17AA0C8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场景构建标准制定</w:t>
            </w:r>
          </w:p>
        </w:tc>
        <w:tc>
          <w:tcPr>
            <w:tcW w:w="10334" w:type="dxa"/>
            <w:vAlign w:val="center"/>
          </w:tcPr>
          <w:p w14:paraId="71AEB0B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制定虚拟生态环境场景的构建标准和规范，包括地形、植被等环境要素的建模标准</w:t>
            </w:r>
          </w:p>
        </w:tc>
      </w:tr>
      <w:tr w14:paraId="256FF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2880D51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1.1.9</w:t>
            </w:r>
          </w:p>
        </w:tc>
        <w:tc>
          <w:tcPr>
            <w:tcW w:w="2940" w:type="dxa"/>
            <w:noWrap/>
            <w:vAlign w:val="center"/>
          </w:tcPr>
          <w:p w14:paraId="717BBB4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模型资源管理</w:t>
            </w:r>
          </w:p>
        </w:tc>
        <w:tc>
          <w:tcPr>
            <w:tcW w:w="10334" w:type="dxa"/>
            <w:vAlign w:val="center"/>
          </w:tcPr>
          <w:p w14:paraId="32CC908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建立三维模型资源的分类管理体系，包括模型文件的命名规范、存储结构、访问权限和调用机制</w:t>
            </w:r>
          </w:p>
        </w:tc>
      </w:tr>
      <w:tr w14:paraId="57F8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52FAD1E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1.1.10</w:t>
            </w:r>
          </w:p>
        </w:tc>
        <w:tc>
          <w:tcPr>
            <w:tcW w:w="2940" w:type="dxa"/>
            <w:vAlign w:val="center"/>
          </w:tcPr>
          <w:p w14:paraId="7B539F1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数据接口开发</w:t>
            </w:r>
          </w:p>
        </w:tc>
        <w:tc>
          <w:tcPr>
            <w:tcW w:w="10334" w:type="dxa"/>
            <w:vAlign w:val="center"/>
          </w:tcPr>
          <w:p w14:paraId="520C736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开发传感数据接入接口</w:t>
            </w:r>
          </w:p>
        </w:tc>
      </w:tr>
      <w:tr w14:paraId="3BAB4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7DB6D717">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1.1.11</w:t>
            </w:r>
          </w:p>
        </w:tc>
        <w:tc>
          <w:tcPr>
            <w:tcW w:w="2940" w:type="dxa"/>
            <w:vAlign w:val="center"/>
          </w:tcPr>
          <w:p w14:paraId="6A669AA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数据接口开发</w:t>
            </w:r>
          </w:p>
        </w:tc>
        <w:tc>
          <w:tcPr>
            <w:tcW w:w="10334" w:type="dxa"/>
            <w:vAlign w:val="center"/>
          </w:tcPr>
          <w:p w14:paraId="7D48822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开发生态数据输出接口</w:t>
            </w:r>
          </w:p>
        </w:tc>
      </w:tr>
      <w:tr w14:paraId="0B51F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361E69A3">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1.1.12</w:t>
            </w:r>
          </w:p>
        </w:tc>
        <w:tc>
          <w:tcPr>
            <w:tcW w:w="2940" w:type="dxa"/>
            <w:vAlign w:val="center"/>
          </w:tcPr>
          <w:p w14:paraId="47C76E9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数据接口开发</w:t>
            </w:r>
          </w:p>
        </w:tc>
        <w:tc>
          <w:tcPr>
            <w:tcW w:w="10334" w:type="dxa"/>
            <w:vAlign w:val="center"/>
          </w:tcPr>
          <w:p w14:paraId="48EAE25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实现融合数据与外部系统接口对接</w:t>
            </w:r>
          </w:p>
        </w:tc>
      </w:tr>
      <w:tr w14:paraId="0196B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6217BD17">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1.1.13</w:t>
            </w:r>
          </w:p>
        </w:tc>
        <w:tc>
          <w:tcPr>
            <w:tcW w:w="2940" w:type="dxa"/>
            <w:noWrap/>
            <w:vAlign w:val="center"/>
          </w:tcPr>
          <w:p w14:paraId="43BE157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空间场景可视化设计</w:t>
            </w:r>
          </w:p>
        </w:tc>
        <w:tc>
          <w:tcPr>
            <w:tcW w:w="10334" w:type="dxa"/>
            <w:vAlign w:val="center"/>
          </w:tcPr>
          <w:p w14:paraId="6E4B391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设计兰科植物在自然栖息环境中的空间布局可视化方案，包括植物分布密度等视觉表现</w:t>
            </w:r>
          </w:p>
        </w:tc>
      </w:tr>
      <w:tr w14:paraId="3E4D6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0E7375A1">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1.1.14</w:t>
            </w:r>
          </w:p>
        </w:tc>
        <w:tc>
          <w:tcPr>
            <w:tcW w:w="2940" w:type="dxa"/>
            <w:vAlign w:val="center"/>
          </w:tcPr>
          <w:p w14:paraId="7E744F3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数据可视化展示</w:t>
            </w:r>
          </w:p>
        </w:tc>
        <w:tc>
          <w:tcPr>
            <w:tcW w:w="10334" w:type="dxa"/>
            <w:vAlign w:val="center"/>
          </w:tcPr>
          <w:p w14:paraId="4F0F0ED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开发融合数据可视化界面</w:t>
            </w:r>
          </w:p>
        </w:tc>
      </w:tr>
      <w:tr w14:paraId="07FB7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39A41D8A">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1.1.15</w:t>
            </w:r>
          </w:p>
        </w:tc>
        <w:tc>
          <w:tcPr>
            <w:tcW w:w="2940" w:type="dxa"/>
            <w:vAlign w:val="center"/>
          </w:tcPr>
          <w:p w14:paraId="680DFD4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数据融合处理</w:t>
            </w:r>
          </w:p>
        </w:tc>
        <w:tc>
          <w:tcPr>
            <w:tcW w:w="10334" w:type="dxa"/>
            <w:vAlign w:val="center"/>
          </w:tcPr>
          <w:p w14:paraId="7BB9F42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传感与生态数据关联分析</w:t>
            </w:r>
          </w:p>
        </w:tc>
      </w:tr>
      <w:tr w14:paraId="74ABC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5422FA01">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1.1.16</w:t>
            </w:r>
          </w:p>
        </w:tc>
        <w:tc>
          <w:tcPr>
            <w:tcW w:w="2940" w:type="dxa"/>
            <w:noWrap/>
            <w:vAlign w:val="center"/>
          </w:tcPr>
          <w:p w14:paraId="5CDDE58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模型精细度检测</w:t>
            </w:r>
          </w:p>
        </w:tc>
        <w:tc>
          <w:tcPr>
            <w:tcW w:w="10334" w:type="dxa"/>
            <w:vAlign w:val="center"/>
          </w:tcPr>
          <w:p w14:paraId="47BB853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建立三维模型精度检测机制，确保兰科植物模型的形态特征、比例尺寸、纹理细节等符合真实植物特征</w:t>
            </w:r>
          </w:p>
        </w:tc>
      </w:tr>
      <w:tr w14:paraId="05F5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7D296DE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1.1.17</w:t>
            </w:r>
          </w:p>
        </w:tc>
        <w:tc>
          <w:tcPr>
            <w:tcW w:w="2940" w:type="dxa"/>
            <w:vAlign w:val="center"/>
          </w:tcPr>
          <w:p w14:paraId="396A47E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数据融合的实时性提升</w:t>
            </w:r>
          </w:p>
        </w:tc>
        <w:tc>
          <w:tcPr>
            <w:tcW w:w="10334" w:type="dxa"/>
            <w:vAlign w:val="center"/>
          </w:tcPr>
          <w:p w14:paraId="3D55550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开发提升数据融合实时性的功能（如实时数据处理框架）</w:t>
            </w:r>
          </w:p>
        </w:tc>
      </w:tr>
      <w:tr w14:paraId="10C61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2F79568F">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1.1.18</w:t>
            </w:r>
          </w:p>
        </w:tc>
        <w:tc>
          <w:tcPr>
            <w:tcW w:w="2940" w:type="dxa"/>
            <w:vAlign w:val="center"/>
          </w:tcPr>
          <w:p w14:paraId="5CFA771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数据融合的实时性提升</w:t>
            </w:r>
          </w:p>
        </w:tc>
        <w:tc>
          <w:tcPr>
            <w:tcW w:w="10334" w:type="dxa"/>
            <w:vAlign w:val="center"/>
          </w:tcPr>
          <w:p w14:paraId="0FB8016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开发实时数据融合的算法和程序</w:t>
            </w:r>
          </w:p>
        </w:tc>
      </w:tr>
      <w:tr w14:paraId="60C43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1A956817">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1.1.19</w:t>
            </w:r>
          </w:p>
        </w:tc>
        <w:tc>
          <w:tcPr>
            <w:tcW w:w="2940" w:type="dxa"/>
            <w:vAlign w:val="center"/>
          </w:tcPr>
          <w:p w14:paraId="70C70B2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数据融合算法优化</w:t>
            </w:r>
          </w:p>
        </w:tc>
        <w:tc>
          <w:tcPr>
            <w:tcW w:w="10334" w:type="dxa"/>
            <w:vAlign w:val="center"/>
          </w:tcPr>
          <w:p w14:paraId="1F02C37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融合算法参数调整</w:t>
            </w:r>
          </w:p>
        </w:tc>
      </w:tr>
      <w:tr w14:paraId="76B53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62231AB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1.1.20</w:t>
            </w:r>
          </w:p>
        </w:tc>
        <w:tc>
          <w:tcPr>
            <w:tcW w:w="2940" w:type="dxa"/>
            <w:noWrap/>
            <w:vAlign w:val="center"/>
          </w:tcPr>
          <w:p w14:paraId="77C3BFD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场景渲染算法改进</w:t>
            </w:r>
          </w:p>
        </w:tc>
        <w:tc>
          <w:tcPr>
            <w:tcW w:w="10334" w:type="dxa"/>
            <w:vAlign w:val="center"/>
          </w:tcPr>
          <w:p w14:paraId="2BA4204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改进虚拟生态环境的实时渲染算法，提升场景渲染效率和视觉效果，减少渲染延迟和资源消耗</w:t>
            </w:r>
          </w:p>
        </w:tc>
      </w:tr>
      <w:tr w14:paraId="1D5CD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21A2C6B5">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1.1.21</w:t>
            </w:r>
          </w:p>
        </w:tc>
        <w:tc>
          <w:tcPr>
            <w:tcW w:w="2940" w:type="dxa"/>
            <w:vAlign w:val="center"/>
          </w:tcPr>
          <w:p w14:paraId="7CADC62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数据预处理优化</w:t>
            </w:r>
          </w:p>
        </w:tc>
        <w:tc>
          <w:tcPr>
            <w:tcW w:w="10334" w:type="dxa"/>
            <w:vAlign w:val="center"/>
          </w:tcPr>
          <w:p w14:paraId="31987D9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优化传感数据预处理流程</w:t>
            </w:r>
          </w:p>
        </w:tc>
      </w:tr>
      <w:tr w14:paraId="654AB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0CD15131">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1.1.22</w:t>
            </w:r>
          </w:p>
        </w:tc>
        <w:tc>
          <w:tcPr>
            <w:tcW w:w="2940" w:type="dxa"/>
            <w:vAlign w:val="center"/>
          </w:tcPr>
          <w:p w14:paraId="55246DD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数据质量持续改进</w:t>
            </w:r>
          </w:p>
        </w:tc>
        <w:tc>
          <w:tcPr>
            <w:tcW w:w="10334" w:type="dxa"/>
            <w:vAlign w:val="center"/>
          </w:tcPr>
          <w:p w14:paraId="71977F7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根据效果调整质量改进策略</w:t>
            </w:r>
          </w:p>
        </w:tc>
      </w:tr>
      <w:tr w14:paraId="2433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7F8110FD">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1.1.23</w:t>
            </w:r>
          </w:p>
        </w:tc>
        <w:tc>
          <w:tcPr>
            <w:tcW w:w="2940" w:type="dxa"/>
            <w:noWrap/>
            <w:vAlign w:val="center"/>
          </w:tcPr>
          <w:p w14:paraId="1575B19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模型状态监控界面</w:t>
            </w:r>
          </w:p>
        </w:tc>
        <w:tc>
          <w:tcPr>
            <w:tcW w:w="10334" w:type="dxa"/>
            <w:vAlign w:val="center"/>
          </w:tcPr>
          <w:p w14:paraId="5F2A0B0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设计三维模型运行状态的可视化监控界面，实时显示模型加载进度、渲染性能、用户交互响应等状态信息</w:t>
            </w:r>
          </w:p>
        </w:tc>
      </w:tr>
      <w:tr w14:paraId="43CC0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74D0C834">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1.1.24</w:t>
            </w:r>
          </w:p>
        </w:tc>
        <w:tc>
          <w:tcPr>
            <w:tcW w:w="2940" w:type="dxa"/>
            <w:vAlign w:val="center"/>
          </w:tcPr>
          <w:p w14:paraId="089D5EB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数据质量的可视化监控</w:t>
            </w:r>
          </w:p>
        </w:tc>
        <w:tc>
          <w:tcPr>
            <w:tcW w:w="10334" w:type="dxa"/>
            <w:vAlign w:val="center"/>
          </w:tcPr>
          <w:p w14:paraId="184754A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开发数据质量可视化监控系统</w:t>
            </w:r>
          </w:p>
        </w:tc>
      </w:tr>
      <w:tr w14:paraId="7ACA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05DFEA7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1.1.25</w:t>
            </w:r>
          </w:p>
        </w:tc>
        <w:tc>
          <w:tcPr>
            <w:tcW w:w="2940" w:type="dxa"/>
            <w:vAlign w:val="center"/>
          </w:tcPr>
          <w:p w14:paraId="7A316BE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数据质量的可视化监控</w:t>
            </w:r>
          </w:p>
        </w:tc>
        <w:tc>
          <w:tcPr>
            <w:tcW w:w="10334" w:type="dxa"/>
            <w:vAlign w:val="center"/>
          </w:tcPr>
          <w:p w14:paraId="5504827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利用监控系统实时监测数据质量并预警</w:t>
            </w:r>
          </w:p>
        </w:tc>
      </w:tr>
      <w:tr w14:paraId="11DDF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39D7067A">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1.1.26</w:t>
            </w:r>
          </w:p>
        </w:tc>
        <w:tc>
          <w:tcPr>
            <w:tcW w:w="2940" w:type="dxa"/>
            <w:vAlign w:val="center"/>
          </w:tcPr>
          <w:p w14:paraId="0920551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数据质量监控</w:t>
            </w:r>
          </w:p>
        </w:tc>
        <w:tc>
          <w:tcPr>
            <w:tcW w:w="10334" w:type="dxa"/>
            <w:vAlign w:val="center"/>
          </w:tcPr>
          <w:p w14:paraId="386DBE0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质量问题预警与处理</w:t>
            </w:r>
          </w:p>
        </w:tc>
      </w:tr>
      <w:tr w14:paraId="4634E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0C3404DF">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1.1.27</w:t>
            </w:r>
          </w:p>
        </w:tc>
        <w:tc>
          <w:tcPr>
            <w:tcW w:w="2940" w:type="dxa"/>
            <w:noWrap/>
            <w:vAlign w:val="center"/>
          </w:tcPr>
          <w:p w14:paraId="42AB881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模型质量评估体系</w:t>
            </w:r>
          </w:p>
        </w:tc>
        <w:tc>
          <w:tcPr>
            <w:tcW w:w="10334" w:type="dxa"/>
            <w:vAlign w:val="center"/>
          </w:tcPr>
          <w:p w14:paraId="4990090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建立三维模型质量评估指标体系，包括模型精度、纹理清晰度、动画流畅度、交互响应速度等评估标准</w:t>
            </w:r>
          </w:p>
        </w:tc>
      </w:tr>
      <w:tr w14:paraId="6461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758F9736">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1.1.28</w:t>
            </w:r>
          </w:p>
        </w:tc>
        <w:tc>
          <w:tcPr>
            <w:tcW w:w="2940" w:type="dxa"/>
            <w:noWrap/>
            <w:vAlign w:val="center"/>
          </w:tcPr>
          <w:p w14:paraId="20A8ED8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场景质量评估流程</w:t>
            </w:r>
          </w:p>
        </w:tc>
        <w:tc>
          <w:tcPr>
            <w:tcW w:w="10334" w:type="dxa"/>
            <w:vAlign w:val="center"/>
          </w:tcPr>
          <w:p w14:paraId="0BAC1D2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建立虚拟生态环境场景质量评估的标准流程和方法，包括场景真实度、沉浸感、用户体验等多维度评估</w:t>
            </w:r>
          </w:p>
        </w:tc>
      </w:tr>
      <w:tr w14:paraId="5A5B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1C70AEA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1.1.29</w:t>
            </w:r>
          </w:p>
        </w:tc>
        <w:tc>
          <w:tcPr>
            <w:tcW w:w="2940" w:type="dxa"/>
            <w:noWrap/>
            <w:vAlign w:val="center"/>
          </w:tcPr>
          <w:p w14:paraId="29E9931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模型细节完善</w:t>
            </w:r>
          </w:p>
        </w:tc>
        <w:tc>
          <w:tcPr>
            <w:tcW w:w="10334" w:type="dxa"/>
            <w:vAlign w:val="center"/>
          </w:tcPr>
          <w:p w14:paraId="00BD93D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完善三维兰科植物模型的细节表现，包括叶脉纹理、花瓣质感、根系结构等微观特征的精细化建模</w:t>
            </w:r>
          </w:p>
        </w:tc>
      </w:tr>
      <w:tr w14:paraId="31CF8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09A29E7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1.1.30</w:t>
            </w:r>
          </w:p>
        </w:tc>
        <w:tc>
          <w:tcPr>
            <w:tcW w:w="2940" w:type="dxa"/>
            <w:noWrap/>
            <w:vAlign w:val="center"/>
          </w:tcPr>
          <w:p w14:paraId="3EA6841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场景要素补充</w:t>
            </w:r>
          </w:p>
        </w:tc>
        <w:tc>
          <w:tcPr>
            <w:tcW w:w="10334" w:type="dxa"/>
            <w:vAlign w:val="center"/>
          </w:tcPr>
          <w:p w14:paraId="1527258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补充虚拟生态环境中缺失的场景要素，如昆虫动画、风吹效果、水流声音等增强沉浸感的环境元素</w:t>
            </w:r>
          </w:p>
        </w:tc>
      </w:tr>
      <w:tr w14:paraId="11816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01518521">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w:t>
            </w:r>
          </w:p>
        </w:tc>
        <w:tc>
          <w:tcPr>
            <w:tcW w:w="2940" w:type="dxa"/>
            <w:vAlign w:val="center"/>
          </w:tcPr>
          <w:p w14:paraId="2F6D070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数字孪生建模</w:t>
            </w:r>
          </w:p>
        </w:tc>
        <w:tc>
          <w:tcPr>
            <w:tcW w:w="10334" w:type="dxa"/>
            <w:vAlign w:val="center"/>
          </w:tcPr>
          <w:p w14:paraId="04B34854">
            <w:pPr>
              <w:spacing w:line="240" w:lineRule="auto"/>
              <w:ind w:firstLine="0" w:firstLineChars="0"/>
              <w:rPr>
                <w:rFonts w:hint="eastAsia" w:ascii="宋体" w:hAnsi="宋体" w:cs="宋体"/>
                <w:color w:val="auto"/>
                <w:sz w:val="20"/>
                <w:szCs w:val="20"/>
              </w:rPr>
            </w:pPr>
          </w:p>
        </w:tc>
      </w:tr>
      <w:tr w14:paraId="7BCDB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2C46598D">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1.2.1.1</w:t>
            </w:r>
          </w:p>
        </w:tc>
        <w:tc>
          <w:tcPr>
            <w:tcW w:w="2940" w:type="dxa"/>
            <w:noWrap/>
            <w:vAlign w:val="center"/>
          </w:tcPr>
          <w:p w14:paraId="21E6454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自然水景建模</w:t>
            </w:r>
          </w:p>
        </w:tc>
        <w:tc>
          <w:tcPr>
            <w:tcW w:w="10334" w:type="dxa"/>
            <w:vAlign w:val="center"/>
          </w:tcPr>
          <w:p w14:paraId="19FC5A1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构建兰科植物栖息地的自然水景元素，包括溪流、水潭、水滴等水体效果的三维建模和动态模拟</w:t>
            </w:r>
          </w:p>
        </w:tc>
      </w:tr>
      <w:tr w14:paraId="3E145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1D5B4AA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1.2.1.2</w:t>
            </w:r>
          </w:p>
        </w:tc>
        <w:tc>
          <w:tcPr>
            <w:tcW w:w="2940" w:type="dxa"/>
            <w:noWrap/>
            <w:vAlign w:val="center"/>
          </w:tcPr>
          <w:p w14:paraId="524A9F7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湿地环境建模</w:t>
            </w:r>
          </w:p>
        </w:tc>
        <w:tc>
          <w:tcPr>
            <w:tcW w:w="10334" w:type="dxa"/>
            <w:vAlign w:val="center"/>
          </w:tcPr>
          <w:p w14:paraId="13D53D3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创建兰科植物生长的湿地生态环境模型，包括沼泽地形、湿润土壤、水生植被等环境要素的精细建模</w:t>
            </w:r>
          </w:p>
        </w:tc>
      </w:tr>
      <w:tr w14:paraId="76B10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2DEFE473">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1.2.1.3</w:t>
            </w:r>
          </w:p>
        </w:tc>
        <w:tc>
          <w:tcPr>
            <w:tcW w:w="2940" w:type="dxa"/>
            <w:noWrap/>
            <w:vAlign w:val="center"/>
          </w:tcPr>
          <w:p w14:paraId="671BE0C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保护区场景建模</w:t>
            </w:r>
          </w:p>
        </w:tc>
        <w:tc>
          <w:tcPr>
            <w:tcW w:w="10334" w:type="dxa"/>
            <w:vAlign w:val="center"/>
          </w:tcPr>
          <w:p w14:paraId="338AF35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构建兰科植物自然保护区的人文景观元素，包括科研设施、保护标识等人工设施的三维建模</w:t>
            </w:r>
          </w:p>
        </w:tc>
      </w:tr>
      <w:tr w14:paraId="303CD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0013C364">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1.2.1.4</w:t>
            </w:r>
          </w:p>
        </w:tc>
        <w:tc>
          <w:tcPr>
            <w:tcW w:w="2940" w:type="dxa"/>
            <w:vAlign w:val="center"/>
          </w:tcPr>
          <w:p w14:paraId="113B7C9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数字孪生建模</w:t>
            </w:r>
          </w:p>
        </w:tc>
        <w:tc>
          <w:tcPr>
            <w:tcW w:w="10334" w:type="dxa"/>
            <w:vAlign w:val="center"/>
          </w:tcPr>
          <w:p w14:paraId="3228701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虚拟生态环境场景数据构建</w:t>
            </w:r>
          </w:p>
        </w:tc>
      </w:tr>
      <w:tr w14:paraId="41835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29E882E6">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1.2.1.5</w:t>
            </w:r>
          </w:p>
        </w:tc>
        <w:tc>
          <w:tcPr>
            <w:tcW w:w="2940" w:type="dxa"/>
            <w:vAlign w:val="center"/>
          </w:tcPr>
          <w:p w14:paraId="57F281C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数字孪生建模</w:t>
            </w:r>
          </w:p>
        </w:tc>
        <w:tc>
          <w:tcPr>
            <w:tcW w:w="10334" w:type="dxa"/>
            <w:vAlign w:val="center"/>
          </w:tcPr>
          <w:p w14:paraId="0D6A83E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模型访问控制权限细化</w:t>
            </w:r>
          </w:p>
        </w:tc>
      </w:tr>
      <w:tr w14:paraId="29122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65DBC0D2">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1.2.1.6</w:t>
            </w:r>
          </w:p>
        </w:tc>
        <w:tc>
          <w:tcPr>
            <w:tcW w:w="2940" w:type="dxa"/>
            <w:noWrap/>
            <w:vAlign w:val="center"/>
          </w:tcPr>
          <w:p w14:paraId="3A81202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模型访问控制</w:t>
            </w:r>
          </w:p>
        </w:tc>
        <w:tc>
          <w:tcPr>
            <w:tcW w:w="10334" w:type="dxa"/>
            <w:vAlign w:val="center"/>
          </w:tcPr>
          <w:p w14:paraId="06BAD57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建立三维模型的访问控制机制，确保模型资源的合理使用和知识产权保护</w:t>
            </w:r>
          </w:p>
        </w:tc>
      </w:tr>
      <w:tr w14:paraId="676D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38D7DF5F">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1.2.1.7</w:t>
            </w:r>
          </w:p>
        </w:tc>
        <w:tc>
          <w:tcPr>
            <w:tcW w:w="2940" w:type="dxa"/>
            <w:noWrap/>
            <w:vAlign w:val="center"/>
          </w:tcPr>
          <w:p w14:paraId="4CA123B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数字孪生建模</w:t>
            </w:r>
          </w:p>
        </w:tc>
        <w:tc>
          <w:tcPr>
            <w:tcW w:w="10334" w:type="dxa"/>
            <w:noWrap/>
            <w:vAlign w:val="center"/>
          </w:tcPr>
          <w:p w14:paraId="5CE3118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建立三维模型版本管理机制</w:t>
            </w:r>
          </w:p>
        </w:tc>
      </w:tr>
      <w:tr w14:paraId="2CA1C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651D862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1.2.1.8</w:t>
            </w:r>
          </w:p>
        </w:tc>
        <w:tc>
          <w:tcPr>
            <w:tcW w:w="2940" w:type="dxa"/>
            <w:noWrap/>
            <w:vAlign w:val="center"/>
          </w:tcPr>
          <w:p w14:paraId="38AF5F3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模型更新管理</w:t>
            </w:r>
          </w:p>
        </w:tc>
        <w:tc>
          <w:tcPr>
            <w:tcW w:w="10334" w:type="dxa"/>
            <w:vAlign w:val="center"/>
          </w:tcPr>
          <w:p w14:paraId="3AE5199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建立三维模型的更新管理机制，包括模型版本控制、更新日志记录等功能实现</w:t>
            </w:r>
          </w:p>
        </w:tc>
      </w:tr>
      <w:tr w14:paraId="4E5C1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5599A6A4">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1.2.1.9</w:t>
            </w:r>
          </w:p>
        </w:tc>
        <w:tc>
          <w:tcPr>
            <w:tcW w:w="2940" w:type="dxa"/>
            <w:noWrap/>
            <w:vAlign w:val="center"/>
          </w:tcPr>
          <w:p w14:paraId="029AD49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数字孪生建模</w:t>
            </w:r>
          </w:p>
        </w:tc>
        <w:tc>
          <w:tcPr>
            <w:tcW w:w="10334" w:type="dxa"/>
            <w:noWrap/>
            <w:vAlign w:val="center"/>
          </w:tcPr>
          <w:p w14:paraId="08DA9E1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记录和追溯模型版本变更历史</w:t>
            </w:r>
          </w:p>
        </w:tc>
      </w:tr>
      <w:tr w14:paraId="7A2EC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3DB6A9F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1.2.1.10</w:t>
            </w:r>
          </w:p>
        </w:tc>
        <w:tc>
          <w:tcPr>
            <w:tcW w:w="2940" w:type="dxa"/>
            <w:noWrap/>
            <w:vAlign w:val="center"/>
          </w:tcPr>
          <w:p w14:paraId="23A23DF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模型迭代规划</w:t>
            </w:r>
          </w:p>
        </w:tc>
        <w:tc>
          <w:tcPr>
            <w:tcW w:w="10334" w:type="dxa"/>
            <w:vAlign w:val="center"/>
          </w:tcPr>
          <w:p w14:paraId="22302E8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制定三维兰科植物模型的迭代更新规划，包括新物种模型添加、现有模型精度提升、季节变化效果等更新计划</w:t>
            </w:r>
          </w:p>
        </w:tc>
      </w:tr>
      <w:tr w14:paraId="03FC5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6FD71D99">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1.2.1.11</w:t>
            </w:r>
          </w:p>
        </w:tc>
        <w:tc>
          <w:tcPr>
            <w:tcW w:w="2940" w:type="dxa"/>
            <w:noWrap/>
            <w:vAlign w:val="center"/>
          </w:tcPr>
          <w:p w14:paraId="2A97600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环境动态更新</w:t>
            </w:r>
          </w:p>
        </w:tc>
        <w:tc>
          <w:tcPr>
            <w:tcW w:w="10334" w:type="dxa"/>
            <w:vAlign w:val="center"/>
          </w:tcPr>
          <w:p w14:paraId="0C4AF61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建立虚拟生态环境的动态更新机制，实现环境要素的实时变化</w:t>
            </w:r>
          </w:p>
        </w:tc>
      </w:tr>
      <w:tr w14:paraId="3ED41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0325DB39">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1.2.1.12</w:t>
            </w:r>
          </w:p>
        </w:tc>
        <w:tc>
          <w:tcPr>
            <w:tcW w:w="2940" w:type="dxa"/>
            <w:noWrap/>
            <w:vAlign w:val="center"/>
          </w:tcPr>
          <w:p w14:paraId="5E57C21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数字孪生建模</w:t>
            </w:r>
          </w:p>
        </w:tc>
        <w:tc>
          <w:tcPr>
            <w:tcW w:w="10334" w:type="dxa"/>
            <w:noWrap/>
            <w:vAlign w:val="center"/>
          </w:tcPr>
          <w:p w14:paraId="67BDE8E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模型更新内容审核与发布</w:t>
            </w:r>
          </w:p>
        </w:tc>
      </w:tr>
      <w:tr w14:paraId="15B59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6987E3B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1.2.1.13</w:t>
            </w:r>
          </w:p>
        </w:tc>
        <w:tc>
          <w:tcPr>
            <w:tcW w:w="2940" w:type="dxa"/>
            <w:noWrap/>
            <w:vAlign w:val="center"/>
          </w:tcPr>
          <w:p w14:paraId="1D36D89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物种模型扩展</w:t>
            </w:r>
          </w:p>
        </w:tc>
        <w:tc>
          <w:tcPr>
            <w:tcW w:w="10334" w:type="dxa"/>
            <w:vAlign w:val="center"/>
          </w:tcPr>
          <w:p w14:paraId="5C1EEF4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规划新兰科植物物种的三维模型开发内容，包括形态特征分析、纹理制作等详细规划</w:t>
            </w:r>
          </w:p>
        </w:tc>
      </w:tr>
      <w:tr w14:paraId="54C2F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718FA95D">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1.2.1.14</w:t>
            </w:r>
          </w:p>
        </w:tc>
        <w:tc>
          <w:tcPr>
            <w:tcW w:w="2940" w:type="dxa"/>
            <w:noWrap/>
            <w:vAlign w:val="center"/>
          </w:tcPr>
          <w:p w14:paraId="2F61473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交互功能适配</w:t>
            </w:r>
          </w:p>
        </w:tc>
        <w:tc>
          <w:tcPr>
            <w:tcW w:w="10334" w:type="dxa"/>
            <w:vAlign w:val="center"/>
          </w:tcPr>
          <w:p w14:paraId="41F5577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评估和调整模型更新对现有交互功能的影响，确保新模型与交互系统的兼容性和稳定性</w:t>
            </w:r>
          </w:p>
        </w:tc>
      </w:tr>
      <w:tr w14:paraId="06C9F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57D70907">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1.2.1.15</w:t>
            </w:r>
          </w:p>
        </w:tc>
        <w:tc>
          <w:tcPr>
            <w:tcW w:w="2940" w:type="dxa"/>
            <w:vAlign w:val="center"/>
          </w:tcPr>
          <w:p w14:paraId="6F823D7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数字孪生建模</w:t>
            </w:r>
          </w:p>
        </w:tc>
        <w:tc>
          <w:tcPr>
            <w:tcW w:w="10334" w:type="dxa"/>
            <w:vAlign w:val="center"/>
          </w:tcPr>
          <w:p w14:paraId="727BE11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优化模型交互中的操作互动体验</w:t>
            </w:r>
          </w:p>
        </w:tc>
      </w:tr>
      <w:tr w14:paraId="742E7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0CF68DB2">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1.2.1.16</w:t>
            </w:r>
          </w:p>
        </w:tc>
        <w:tc>
          <w:tcPr>
            <w:tcW w:w="2940" w:type="dxa"/>
            <w:vAlign w:val="center"/>
          </w:tcPr>
          <w:p w14:paraId="69A69B9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数字孪生建模</w:t>
            </w:r>
          </w:p>
        </w:tc>
        <w:tc>
          <w:tcPr>
            <w:tcW w:w="10334" w:type="dxa"/>
            <w:vAlign w:val="center"/>
          </w:tcPr>
          <w:p w14:paraId="37ACA77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改进模型交互功能以满足无障碍需求（大图标模式）</w:t>
            </w:r>
          </w:p>
        </w:tc>
      </w:tr>
      <w:tr w14:paraId="0FB8D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3525EAC3">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1.2.1.17</w:t>
            </w:r>
          </w:p>
        </w:tc>
        <w:tc>
          <w:tcPr>
            <w:tcW w:w="2940" w:type="dxa"/>
            <w:vAlign w:val="center"/>
          </w:tcPr>
          <w:p w14:paraId="0AAC19E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数字孪生建模</w:t>
            </w:r>
          </w:p>
        </w:tc>
        <w:tc>
          <w:tcPr>
            <w:tcW w:w="10334" w:type="dxa"/>
            <w:vAlign w:val="center"/>
          </w:tcPr>
          <w:p w14:paraId="076B5FD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开发基于增强现实（AR）的交互功能</w:t>
            </w:r>
          </w:p>
        </w:tc>
      </w:tr>
      <w:tr w14:paraId="3A2E1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419B6BB4">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1.2.1.18</w:t>
            </w:r>
          </w:p>
        </w:tc>
        <w:tc>
          <w:tcPr>
            <w:tcW w:w="2940" w:type="dxa"/>
            <w:vAlign w:val="center"/>
          </w:tcPr>
          <w:p w14:paraId="027FA6E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数字孪生建模</w:t>
            </w:r>
          </w:p>
        </w:tc>
        <w:tc>
          <w:tcPr>
            <w:tcW w:w="10334" w:type="dxa"/>
            <w:vAlign w:val="center"/>
          </w:tcPr>
          <w:p w14:paraId="763346A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改进虚拟生态环境交互逻辑</w:t>
            </w:r>
          </w:p>
        </w:tc>
      </w:tr>
      <w:tr w14:paraId="3AFEE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167B973F">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1.2.1.19</w:t>
            </w:r>
          </w:p>
        </w:tc>
        <w:tc>
          <w:tcPr>
            <w:tcW w:w="2940" w:type="dxa"/>
            <w:vAlign w:val="center"/>
          </w:tcPr>
          <w:p w14:paraId="1E65F74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数字孪生建模</w:t>
            </w:r>
          </w:p>
        </w:tc>
        <w:tc>
          <w:tcPr>
            <w:tcW w:w="10334" w:type="dxa"/>
            <w:vAlign w:val="center"/>
          </w:tcPr>
          <w:p w14:paraId="48CBF26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增强用户与虚拟角色的交互体验（对话互动）</w:t>
            </w:r>
          </w:p>
        </w:tc>
      </w:tr>
      <w:tr w14:paraId="70C4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60841FD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1.2.1.20</w:t>
            </w:r>
          </w:p>
        </w:tc>
        <w:tc>
          <w:tcPr>
            <w:tcW w:w="2940" w:type="dxa"/>
            <w:vAlign w:val="center"/>
          </w:tcPr>
          <w:p w14:paraId="47C7080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数字孪生建模</w:t>
            </w:r>
          </w:p>
        </w:tc>
        <w:tc>
          <w:tcPr>
            <w:tcW w:w="10334" w:type="dxa"/>
            <w:vAlign w:val="center"/>
          </w:tcPr>
          <w:p w14:paraId="398BA47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增强模型交互的沉浸感和真实感</w:t>
            </w:r>
          </w:p>
        </w:tc>
      </w:tr>
      <w:tr w14:paraId="0E706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32DDC16E">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1.2.1.21</w:t>
            </w:r>
          </w:p>
        </w:tc>
        <w:tc>
          <w:tcPr>
            <w:tcW w:w="2940" w:type="dxa"/>
            <w:vAlign w:val="center"/>
          </w:tcPr>
          <w:p w14:paraId="0052772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数字孪生建模</w:t>
            </w:r>
          </w:p>
        </w:tc>
        <w:tc>
          <w:tcPr>
            <w:tcW w:w="10334" w:type="dxa"/>
            <w:vAlign w:val="center"/>
          </w:tcPr>
          <w:p w14:paraId="76B1ACA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增强用户与植物的交互行为逻辑</w:t>
            </w:r>
          </w:p>
        </w:tc>
      </w:tr>
      <w:tr w14:paraId="72989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092B7092">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1.2.1.22</w:t>
            </w:r>
          </w:p>
        </w:tc>
        <w:tc>
          <w:tcPr>
            <w:tcW w:w="2940" w:type="dxa"/>
            <w:vAlign w:val="center"/>
          </w:tcPr>
          <w:p w14:paraId="628A4C2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数字孪生建模</w:t>
            </w:r>
          </w:p>
        </w:tc>
        <w:tc>
          <w:tcPr>
            <w:tcW w:w="10334" w:type="dxa"/>
            <w:vAlign w:val="center"/>
          </w:tcPr>
          <w:p w14:paraId="6E98806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建立三维模型数据目录</w:t>
            </w:r>
          </w:p>
        </w:tc>
      </w:tr>
      <w:tr w14:paraId="00E7E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62C0C4F6">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1.2.1.23</w:t>
            </w:r>
          </w:p>
        </w:tc>
        <w:tc>
          <w:tcPr>
            <w:tcW w:w="2940" w:type="dxa"/>
            <w:vAlign w:val="center"/>
          </w:tcPr>
          <w:p w14:paraId="18510E9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数字孪生建模</w:t>
            </w:r>
          </w:p>
        </w:tc>
        <w:tc>
          <w:tcPr>
            <w:tcW w:w="10334" w:type="dxa"/>
            <w:vAlign w:val="center"/>
          </w:tcPr>
          <w:p w14:paraId="78A8E4E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备份和恢复模型数据策略</w:t>
            </w:r>
          </w:p>
        </w:tc>
      </w:tr>
      <w:tr w14:paraId="5EDB2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5B4EDAB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1.2.1.24</w:t>
            </w:r>
          </w:p>
        </w:tc>
        <w:tc>
          <w:tcPr>
            <w:tcW w:w="2940" w:type="dxa"/>
            <w:vAlign w:val="center"/>
          </w:tcPr>
          <w:p w14:paraId="7B2883C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数字孪生建模</w:t>
            </w:r>
          </w:p>
        </w:tc>
        <w:tc>
          <w:tcPr>
            <w:tcW w:w="10334" w:type="dxa"/>
            <w:vAlign w:val="center"/>
          </w:tcPr>
          <w:p w14:paraId="5C53650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使用数据分析预测模型的发展趋势（如植物生长趋势）</w:t>
            </w:r>
          </w:p>
        </w:tc>
      </w:tr>
      <w:tr w14:paraId="5FBE5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1898C9B5">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1.2.1.25</w:t>
            </w:r>
          </w:p>
        </w:tc>
        <w:tc>
          <w:tcPr>
            <w:tcW w:w="2940" w:type="dxa"/>
            <w:vAlign w:val="center"/>
          </w:tcPr>
          <w:p w14:paraId="387EE73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数字孪生建模</w:t>
            </w:r>
          </w:p>
        </w:tc>
        <w:tc>
          <w:tcPr>
            <w:tcW w:w="10334" w:type="dxa"/>
            <w:vAlign w:val="center"/>
          </w:tcPr>
          <w:p w14:paraId="7779073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设置三维模型性能监控指标</w:t>
            </w:r>
          </w:p>
        </w:tc>
      </w:tr>
      <w:tr w14:paraId="1DAE9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25602B5F">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1.2.1.26</w:t>
            </w:r>
          </w:p>
        </w:tc>
        <w:tc>
          <w:tcPr>
            <w:tcW w:w="2940" w:type="dxa"/>
            <w:vAlign w:val="center"/>
          </w:tcPr>
          <w:p w14:paraId="756CB3A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数字孪生建模</w:t>
            </w:r>
          </w:p>
        </w:tc>
        <w:tc>
          <w:tcPr>
            <w:tcW w:w="10334" w:type="dxa"/>
            <w:vAlign w:val="center"/>
          </w:tcPr>
          <w:p w14:paraId="6633F25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三维模型拓扑结构开发</w:t>
            </w:r>
          </w:p>
        </w:tc>
      </w:tr>
      <w:tr w14:paraId="39EE8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4E00DBC5">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1.2.1.27</w:t>
            </w:r>
          </w:p>
        </w:tc>
        <w:tc>
          <w:tcPr>
            <w:tcW w:w="2940" w:type="dxa"/>
            <w:vAlign w:val="center"/>
          </w:tcPr>
          <w:p w14:paraId="11FBFCC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数字孪生建模</w:t>
            </w:r>
          </w:p>
        </w:tc>
        <w:tc>
          <w:tcPr>
            <w:tcW w:w="10334" w:type="dxa"/>
            <w:vAlign w:val="center"/>
          </w:tcPr>
          <w:p w14:paraId="0B1DC4A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虚拟生态环境光照效果开发</w:t>
            </w:r>
          </w:p>
        </w:tc>
      </w:tr>
      <w:tr w14:paraId="4D73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0E77CD04">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1.2.1.28</w:t>
            </w:r>
          </w:p>
        </w:tc>
        <w:tc>
          <w:tcPr>
            <w:tcW w:w="2940" w:type="dxa"/>
            <w:vAlign w:val="center"/>
          </w:tcPr>
          <w:p w14:paraId="2500D8B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数字孪生建模</w:t>
            </w:r>
          </w:p>
        </w:tc>
        <w:tc>
          <w:tcPr>
            <w:tcW w:w="10334" w:type="dxa"/>
            <w:vAlign w:val="center"/>
          </w:tcPr>
          <w:p w14:paraId="2C878CA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模型材质细节优化</w:t>
            </w:r>
          </w:p>
        </w:tc>
      </w:tr>
      <w:tr w14:paraId="1078E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5F5B5E5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1.2.1.29</w:t>
            </w:r>
          </w:p>
        </w:tc>
        <w:tc>
          <w:tcPr>
            <w:tcW w:w="2940" w:type="dxa"/>
            <w:vAlign w:val="center"/>
          </w:tcPr>
          <w:p w14:paraId="4F3FC53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数字孪生建模</w:t>
            </w:r>
          </w:p>
        </w:tc>
        <w:tc>
          <w:tcPr>
            <w:tcW w:w="10334" w:type="dxa"/>
            <w:vAlign w:val="center"/>
          </w:tcPr>
          <w:p w14:paraId="5C7DA7F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地形地貌建模（山脉部分）</w:t>
            </w:r>
          </w:p>
        </w:tc>
      </w:tr>
      <w:tr w14:paraId="28EE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08AB667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1.2.1.30</w:t>
            </w:r>
          </w:p>
        </w:tc>
        <w:tc>
          <w:tcPr>
            <w:tcW w:w="2940" w:type="dxa"/>
            <w:vAlign w:val="center"/>
          </w:tcPr>
          <w:p w14:paraId="328740B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数字孪生建模</w:t>
            </w:r>
          </w:p>
        </w:tc>
        <w:tc>
          <w:tcPr>
            <w:tcW w:w="10334" w:type="dxa"/>
            <w:vAlign w:val="center"/>
          </w:tcPr>
          <w:p w14:paraId="09CAA9F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地形地貌建模（河流部分）</w:t>
            </w:r>
          </w:p>
        </w:tc>
      </w:tr>
      <w:tr w14:paraId="32B7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716C716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1.2.1.31</w:t>
            </w:r>
          </w:p>
        </w:tc>
        <w:tc>
          <w:tcPr>
            <w:tcW w:w="2940" w:type="dxa"/>
            <w:vAlign w:val="center"/>
          </w:tcPr>
          <w:p w14:paraId="684805F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数字孪生建模</w:t>
            </w:r>
          </w:p>
        </w:tc>
        <w:tc>
          <w:tcPr>
            <w:tcW w:w="10334" w:type="dxa"/>
            <w:vAlign w:val="center"/>
          </w:tcPr>
          <w:p w14:paraId="2E19A46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地形地貌建模（平原部分）</w:t>
            </w:r>
          </w:p>
        </w:tc>
      </w:tr>
      <w:tr w14:paraId="049A1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41ABF91D">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1.2.1.32</w:t>
            </w:r>
          </w:p>
        </w:tc>
        <w:tc>
          <w:tcPr>
            <w:tcW w:w="2940" w:type="dxa"/>
            <w:vAlign w:val="center"/>
          </w:tcPr>
          <w:p w14:paraId="7D8098C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数字孪生建模</w:t>
            </w:r>
          </w:p>
        </w:tc>
        <w:tc>
          <w:tcPr>
            <w:tcW w:w="10334" w:type="dxa"/>
            <w:vAlign w:val="center"/>
          </w:tcPr>
          <w:p w14:paraId="497158C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植被分布模拟（乔木层）</w:t>
            </w:r>
          </w:p>
        </w:tc>
      </w:tr>
      <w:tr w14:paraId="47909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25DEBD61">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1.2.1.33</w:t>
            </w:r>
          </w:p>
        </w:tc>
        <w:tc>
          <w:tcPr>
            <w:tcW w:w="2940" w:type="dxa"/>
            <w:vAlign w:val="center"/>
          </w:tcPr>
          <w:p w14:paraId="6D13FAC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数字孪生建模</w:t>
            </w:r>
          </w:p>
        </w:tc>
        <w:tc>
          <w:tcPr>
            <w:tcW w:w="10334" w:type="dxa"/>
            <w:vAlign w:val="center"/>
          </w:tcPr>
          <w:p w14:paraId="32882AD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植被分布模拟（灌木层）</w:t>
            </w:r>
          </w:p>
        </w:tc>
      </w:tr>
      <w:tr w14:paraId="7D2ED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100CA1DD">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1.2.1.34</w:t>
            </w:r>
          </w:p>
        </w:tc>
        <w:tc>
          <w:tcPr>
            <w:tcW w:w="2940" w:type="dxa"/>
            <w:vAlign w:val="center"/>
          </w:tcPr>
          <w:p w14:paraId="4FAA458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数字孪生建模</w:t>
            </w:r>
          </w:p>
        </w:tc>
        <w:tc>
          <w:tcPr>
            <w:tcW w:w="10334" w:type="dxa"/>
            <w:vAlign w:val="center"/>
          </w:tcPr>
          <w:p w14:paraId="523AD06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动物栖息地模拟</w:t>
            </w:r>
          </w:p>
        </w:tc>
      </w:tr>
      <w:tr w14:paraId="02F14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0838C42D">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1.2.2.1</w:t>
            </w:r>
          </w:p>
        </w:tc>
        <w:tc>
          <w:tcPr>
            <w:tcW w:w="2940" w:type="dxa"/>
            <w:vAlign w:val="center"/>
          </w:tcPr>
          <w:p w14:paraId="04CA99B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三维建模与渲染</w:t>
            </w:r>
          </w:p>
        </w:tc>
        <w:tc>
          <w:tcPr>
            <w:tcW w:w="10334" w:type="dxa"/>
            <w:vAlign w:val="center"/>
          </w:tcPr>
          <w:p w14:paraId="6B76B64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兰科植物根部建模</w:t>
            </w:r>
          </w:p>
        </w:tc>
      </w:tr>
      <w:tr w14:paraId="0144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7E5EEDC7">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1.2.2.2</w:t>
            </w:r>
          </w:p>
        </w:tc>
        <w:tc>
          <w:tcPr>
            <w:tcW w:w="2940" w:type="dxa"/>
            <w:vAlign w:val="center"/>
          </w:tcPr>
          <w:p w14:paraId="1AD4EFD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三维建模与渲染</w:t>
            </w:r>
          </w:p>
        </w:tc>
        <w:tc>
          <w:tcPr>
            <w:tcW w:w="10334" w:type="dxa"/>
            <w:vAlign w:val="center"/>
          </w:tcPr>
          <w:p w14:paraId="7602084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兰科植物茎部建模</w:t>
            </w:r>
          </w:p>
        </w:tc>
      </w:tr>
      <w:tr w14:paraId="67138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4E71FCC6">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1.2.2.3</w:t>
            </w:r>
          </w:p>
        </w:tc>
        <w:tc>
          <w:tcPr>
            <w:tcW w:w="2940" w:type="dxa"/>
            <w:vAlign w:val="center"/>
          </w:tcPr>
          <w:p w14:paraId="05FB218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三维建模与渲染</w:t>
            </w:r>
          </w:p>
        </w:tc>
        <w:tc>
          <w:tcPr>
            <w:tcW w:w="10334" w:type="dxa"/>
            <w:vAlign w:val="center"/>
          </w:tcPr>
          <w:p w14:paraId="0E41348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兰科植物叶片建模</w:t>
            </w:r>
          </w:p>
        </w:tc>
      </w:tr>
      <w:tr w14:paraId="2A186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731253C3">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1.2.2.4</w:t>
            </w:r>
          </w:p>
        </w:tc>
        <w:tc>
          <w:tcPr>
            <w:tcW w:w="2940" w:type="dxa"/>
            <w:vAlign w:val="center"/>
          </w:tcPr>
          <w:p w14:paraId="21244C1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三维建模与渲染</w:t>
            </w:r>
          </w:p>
        </w:tc>
        <w:tc>
          <w:tcPr>
            <w:tcW w:w="10334" w:type="dxa"/>
            <w:vAlign w:val="center"/>
          </w:tcPr>
          <w:p w14:paraId="0888BA2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兰科植物花朵建模</w:t>
            </w:r>
          </w:p>
        </w:tc>
      </w:tr>
      <w:tr w14:paraId="76445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0471F11C">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1.2.2.5</w:t>
            </w:r>
          </w:p>
        </w:tc>
        <w:tc>
          <w:tcPr>
            <w:tcW w:w="2940" w:type="dxa"/>
            <w:vAlign w:val="center"/>
          </w:tcPr>
          <w:p w14:paraId="223B662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三维建模与渲染</w:t>
            </w:r>
          </w:p>
        </w:tc>
        <w:tc>
          <w:tcPr>
            <w:tcW w:w="10334" w:type="dxa"/>
            <w:vAlign w:val="center"/>
          </w:tcPr>
          <w:p w14:paraId="5BCA119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调整兰科植物材质的反射和折射效果</w:t>
            </w:r>
          </w:p>
        </w:tc>
      </w:tr>
      <w:tr w14:paraId="2550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35E6DDF5">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1.2.2.6</w:t>
            </w:r>
          </w:p>
        </w:tc>
        <w:tc>
          <w:tcPr>
            <w:tcW w:w="2940" w:type="dxa"/>
            <w:vAlign w:val="center"/>
          </w:tcPr>
          <w:p w14:paraId="74DDBF5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三维建模与渲染</w:t>
            </w:r>
          </w:p>
        </w:tc>
        <w:tc>
          <w:tcPr>
            <w:tcW w:w="10334" w:type="dxa"/>
            <w:vAlign w:val="center"/>
          </w:tcPr>
          <w:p w14:paraId="7A0172E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调整环境材质的透明度和光泽度表现</w:t>
            </w:r>
          </w:p>
        </w:tc>
      </w:tr>
      <w:tr w14:paraId="61DFB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196783D2">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1.2.2.7</w:t>
            </w:r>
          </w:p>
        </w:tc>
        <w:tc>
          <w:tcPr>
            <w:tcW w:w="2940" w:type="dxa"/>
            <w:vAlign w:val="center"/>
          </w:tcPr>
          <w:p w14:paraId="3338D2E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三维建模与渲染</w:t>
            </w:r>
          </w:p>
        </w:tc>
        <w:tc>
          <w:tcPr>
            <w:tcW w:w="10334" w:type="dxa"/>
            <w:vAlign w:val="center"/>
          </w:tcPr>
          <w:p w14:paraId="25FEAF1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调整材质与光照的协同</w:t>
            </w:r>
          </w:p>
        </w:tc>
      </w:tr>
      <w:tr w14:paraId="2B36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5F84E9FC">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1.2.2.8</w:t>
            </w:r>
          </w:p>
        </w:tc>
        <w:tc>
          <w:tcPr>
            <w:tcW w:w="2940" w:type="dxa"/>
            <w:vAlign w:val="center"/>
          </w:tcPr>
          <w:p w14:paraId="091142B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三维建模与渲染</w:t>
            </w:r>
          </w:p>
        </w:tc>
        <w:tc>
          <w:tcPr>
            <w:tcW w:w="10334" w:type="dxa"/>
            <w:vAlign w:val="center"/>
          </w:tcPr>
          <w:p w14:paraId="7638211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调整材质和光照参数实现协同效果</w:t>
            </w:r>
          </w:p>
        </w:tc>
      </w:tr>
      <w:tr w14:paraId="63009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6D2DE6C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1.2.2.9</w:t>
            </w:r>
          </w:p>
        </w:tc>
        <w:tc>
          <w:tcPr>
            <w:tcW w:w="2940" w:type="dxa"/>
            <w:noWrap/>
            <w:vAlign w:val="center"/>
          </w:tcPr>
          <w:p w14:paraId="14FB791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视觉效果评估</w:t>
            </w:r>
          </w:p>
        </w:tc>
        <w:tc>
          <w:tcPr>
            <w:tcW w:w="10334" w:type="dxa"/>
            <w:vAlign w:val="center"/>
          </w:tcPr>
          <w:p w14:paraId="0E608F7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全面评估材质和光照协同配置对整体视觉效果的提升程度，制定进一步的视觉优化方案</w:t>
            </w:r>
          </w:p>
        </w:tc>
      </w:tr>
      <w:tr w14:paraId="73E1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28CAB6E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1.2.2.10</w:t>
            </w:r>
          </w:p>
        </w:tc>
        <w:tc>
          <w:tcPr>
            <w:tcW w:w="2940" w:type="dxa"/>
            <w:vAlign w:val="center"/>
          </w:tcPr>
          <w:p w14:paraId="03D7BC6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三维建模与渲染</w:t>
            </w:r>
          </w:p>
        </w:tc>
        <w:tc>
          <w:tcPr>
            <w:tcW w:w="10334" w:type="dxa"/>
            <w:vAlign w:val="center"/>
          </w:tcPr>
          <w:p w14:paraId="0664426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三维模型转换为 AR 格式</w:t>
            </w:r>
          </w:p>
        </w:tc>
      </w:tr>
      <w:tr w14:paraId="43848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271DCF8C">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1.2.2.11</w:t>
            </w:r>
          </w:p>
        </w:tc>
        <w:tc>
          <w:tcPr>
            <w:tcW w:w="2940" w:type="dxa"/>
            <w:vAlign w:val="center"/>
          </w:tcPr>
          <w:p w14:paraId="3DAFF81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三维建模与渲染</w:t>
            </w:r>
          </w:p>
        </w:tc>
        <w:tc>
          <w:tcPr>
            <w:tcW w:w="10334" w:type="dxa"/>
            <w:vAlign w:val="center"/>
          </w:tcPr>
          <w:p w14:paraId="22CE4A9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添加光照阴影效果增强真实感</w:t>
            </w:r>
          </w:p>
        </w:tc>
      </w:tr>
      <w:tr w14:paraId="70C65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4EFEEE0D">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1.2.2.12</w:t>
            </w:r>
          </w:p>
        </w:tc>
        <w:tc>
          <w:tcPr>
            <w:tcW w:w="2940" w:type="dxa"/>
            <w:vAlign w:val="center"/>
          </w:tcPr>
          <w:p w14:paraId="24FF3C3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三维建模与渲染</w:t>
            </w:r>
          </w:p>
        </w:tc>
        <w:tc>
          <w:tcPr>
            <w:tcW w:w="10334" w:type="dxa"/>
            <w:vAlign w:val="center"/>
          </w:tcPr>
          <w:p w14:paraId="6EB50AF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统一兰科植物色彩风格</w:t>
            </w:r>
          </w:p>
        </w:tc>
      </w:tr>
      <w:tr w14:paraId="2AFD3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04D3DE79">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1.2.2.13</w:t>
            </w:r>
          </w:p>
        </w:tc>
        <w:tc>
          <w:tcPr>
            <w:tcW w:w="2940" w:type="dxa"/>
            <w:vAlign w:val="center"/>
          </w:tcPr>
          <w:p w14:paraId="4F0A6F9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三维建模与渲染</w:t>
            </w:r>
          </w:p>
        </w:tc>
        <w:tc>
          <w:tcPr>
            <w:tcW w:w="10334" w:type="dxa"/>
            <w:vAlign w:val="center"/>
          </w:tcPr>
          <w:p w14:paraId="5E67F76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调整环境色彩搭配</w:t>
            </w:r>
          </w:p>
        </w:tc>
      </w:tr>
      <w:tr w14:paraId="7E2E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50558961">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1.2.2.14</w:t>
            </w:r>
          </w:p>
        </w:tc>
        <w:tc>
          <w:tcPr>
            <w:tcW w:w="2940" w:type="dxa"/>
            <w:vAlign w:val="center"/>
          </w:tcPr>
          <w:p w14:paraId="7C84262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三维建模与渲染</w:t>
            </w:r>
          </w:p>
        </w:tc>
        <w:tc>
          <w:tcPr>
            <w:tcW w:w="10334" w:type="dxa"/>
            <w:vAlign w:val="center"/>
          </w:tcPr>
          <w:p w14:paraId="74B79C4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兰科植物纹理清晰度提升</w:t>
            </w:r>
          </w:p>
        </w:tc>
      </w:tr>
      <w:tr w14:paraId="0E43D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68E3C53D">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1.2.2.15</w:t>
            </w:r>
          </w:p>
        </w:tc>
        <w:tc>
          <w:tcPr>
            <w:tcW w:w="2940" w:type="dxa"/>
            <w:vAlign w:val="center"/>
          </w:tcPr>
          <w:p w14:paraId="0512A22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三维建模与渲染</w:t>
            </w:r>
          </w:p>
        </w:tc>
        <w:tc>
          <w:tcPr>
            <w:tcW w:w="10334" w:type="dxa"/>
            <w:vAlign w:val="center"/>
          </w:tcPr>
          <w:p w14:paraId="36E4A39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环境纹理细节增强</w:t>
            </w:r>
          </w:p>
        </w:tc>
      </w:tr>
      <w:tr w14:paraId="41FA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5B447FA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1.2.2.16</w:t>
            </w:r>
          </w:p>
        </w:tc>
        <w:tc>
          <w:tcPr>
            <w:tcW w:w="2940" w:type="dxa"/>
            <w:vAlign w:val="center"/>
          </w:tcPr>
          <w:p w14:paraId="6DE2A16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三维建模与渲染</w:t>
            </w:r>
          </w:p>
        </w:tc>
        <w:tc>
          <w:tcPr>
            <w:tcW w:w="10334" w:type="dxa"/>
            <w:vAlign w:val="center"/>
          </w:tcPr>
          <w:p w14:paraId="2A55F36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模型轻量化处理（减少面数）</w:t>
            </w:r>
          </w:p>
        </w:tc>
      </w:tr>
      <w:tr w14:paraId="2E277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3202C15D">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1.2.2.17</w:t>
            </w:r>
          </w:p>
        </w:tc>
        <w:tc>
          <w:tcPr>
            <w:tcW w:w="2940" w:type="dxa"/>
            <w:noWrap/>
            <w:vAlign w:val="center"/>
          </w:tcPr>
          <w:p w14:paraId="2EC0D5C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性能质量平衡</w:t>
            </w:r>
          </w:p>
        </w:tc>
        <w:tc>
          <w:tcPr>
            <w:tcW w:w="10334" w:type="dxa"/>
            <w:vAlign w:val="center"/>
          </w:tcPr>
          <w:p w14:paraId="36D596E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深入研究三维渲染中性能与视觉质量的最佳平衡点，制定渲染策略和参数配置</w:t>
            </w:r>
          </w:p>
        </w:tc>
      </w:tr>
      <w:tr w14:paraId="5A98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3BECD68A">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1.2.2.18</w:t>
            </w:r>
          </w:p>
        </w:tc>
        <w:tc>
          <w:tcPr>
            <w:tcW w:w="2940" w:type="dxa"/>
            <w:vAlign w:val="center"/>
          </w:tcPr>
          <w:p w14:paraId="07EF39D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三维建模与渲染</w:t>
            </w:r>
          </w:p>
        </w:tc>
        <w:tc>
          <w:tcPr>
            <w:tcW w:w="10334" w:type="dxa"/>
            <w:vAlign w:val="center"/>
          </w:tcPr>
          <w:p w14:paraId="7F8A881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优化渲染流程提高效率</w:t>
            </w:r>
          </w:p>
        </w:tc>
      </w:tr>
      <w:tr w14:paraId="11D0F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182301C1">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1.2.2.19</w:t>
            </w:r>
          </w:p>
        </w:tc>
        <w:tc>
          <w:tcPr>
            <w:tcW w:w="2940" w:type="dxa"/>
            <w:vAlign w:val="center"/>
          </w:tcPr>
          <w:p w14:paraId="1206FDA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三维建模与渲染</w:t>
            </w:r>
          </w:p>
        </w:tc>
        <w:tc>
          <w:tcPr>
            <w:tcW w:w="10334" w:type="dxa"/>
            <w:vAlign w:val="center"/>
          </w:tcPr>
          <w:p w14:paraId="313D3CB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降低渲染资源消耗</w:t>
            </w:r>
          </w:p>
        </w:tc>
      </w:tr>
      <w:tr w14:paraId="12769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1822989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1.2.2.20</w:t>
            </w:r>
          </w:p>
        </w:tc>
        <w:tc>
          <w:tcPr>
            <w:tcW w:w="2940" w:type="dxa"/>
            <w:vAlign w:val="center"/>
          </w:tcPr>
          <w:p w14:paraId="0243811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三维建模与渲染</w:t>
            </w:r>
          </w:p>
        </w:tc>
        <w:tc>
          <w:tcPr>
            <w:tcW w:w="10334" w:type="dxa"/>
            <w:vAlign w:val="center"/>
          </w:tcPr>
          <w:p w14:paraId="72BB17D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提升渲染图像的质量</w:t>
            </w:r>
          </w:p>
        </w:tc>
      </w:tr>
      <w:tr w14:paraId="1B1E5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6ABE5435">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1.2.2.21</w:t>
            </w:r>
          </w:p>
        </w:tc>
        <w:tc>
          <w:tcPr>
            <w:tcW w:w="2940" w:type="dxa"/>
            <w:vAlign w:val="center"/>
          </w:tcPr>
          <w:p w14:paraId="22B16DF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三维建模与渲染</w:t>
            </w:r>
          </w:p>
        </w:tc>
        <w:tc>
          <w:tcPr>
            <w:tcW w:w="10334" w:type="dxa"/>
            <w:vAlign w:val="center"/>
          </w:tcPr>
          <w:p w14:paraId="0BD4681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兰科植物模型与环境模型整合</w:t>
            </w:r>
          </w:p>
        </w:tc>
      </w:tr>
      <w:tr w14:paraId="7BFA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7723973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1.2.2.22</w:t>
            </w:r>
          </w:p>
        </w:tc>
        <w:tc>
          <w:tcPr>
            <w:tcW w:w="2940" w:type="dxa"/>
            <w:vAlign w:val="center"/>
          </w:tcPr>
          <w:p w14:paraId="2B6D474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三维建模与渲染</w:t>
            </w:r>
          </w:p>
        </w:tc>
        <w:tc>
          <w:tcPr>
            <w:tcW w:w="10334" w:type="dxa"/>
            <w:vAlign w:val="center"/>
          </w:tcPr>
          <w:p w14:paraId="1A53C25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模型碰撞检测与修复</w:t>
            </w:r>
          </w:p>
        </w:tc>
      </w:tr>
      <w:tr w14:paraId="38FF8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5A89AA7E">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1.2.2.23</w:t>
            </w:r>
          </w:p>
        </w:tc>
        <w:tc>
          <w:tcPr>
            <w:tcW w:w="2940" w:type="dxa"/>
            <w:vAlign w:val="center"/>
          </w:tcPr>
          <w:p w14:paraId="6E5E8C9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三维建模与渲染</w:t>
            </w:r>
          </w:p>
        </w:tc>
        <w:tc>
          <w:tcPr>
            <w:tcW w:w="10334" w:type="dxa"/>
            <w:vAlign w:val="center"/>
          </w:tcPr>
          <w:p w14:paraId="3C44A7D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兰科植物材质纹理制作</w:t>
            </w:r>
          </w:p>
        </w:tc>
      </w:tr>
      <w:tr w14:paraId="52AB2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3EC6440A">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1.2.2.24</w:t>
            </w:r>
          </w:p>
        </w:tc>
        <w:tc>
          <w:tcPr>
            <w:tcW w:w="2940" w:type="dxa"/>
            <w:noWrap/>
            <w:vAlign w:val="center"/>
          </w:tcPr>
          <w:p w14:paraId="572CFB4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植物光影制作</w:t>
            </w:r>
          </w:p>
        </w:tc>
        <w:tc>
          <w:tcPr>
            <w:tcW w:w="10334" w:type="dxa"/>
            <w:vAlign w:val="center"/>
          </w:tcPr>
          <w:p w14:paraId="73B02C0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制作兰科植物在不同光照条件下的光影效果，包括阳光直射、散射光、阴影投射等多种光照场景</w:t>
            </w:r>
          </w:p>
        </w:tc>
      </w:tr>
      <w:tr w14:paraId="5432F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0B6DBA77">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1.2.2.25</w:t>
            </w:r>
          </w:p>
        </w:tc>
        <w:tc>
          <w:tcPr>
            <w:tcW w:w="2940" w:type="dxa"/>
            <w:noWrap/>
            <w:vAlign w:val="center"/>
          </w:tcPr>
          <w:p w14:paraId="0B97298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光照强度调节</w:t>
            </w:r>
          </w:p>
        </w:tc>
        <w:tc>
          <w:tcPr>
            <w:tcW w:w="10334" w:type="dxa"/>
            <w:vAlign w:val="center"/>
          </w:tcPr>
          <w:p w14:paraId="412189D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调节虚拟环境中的光照强度参数，模拟不同时间段和天气条件下的自然光照变化效果</w:t>
            </w:r>
          </w:p>
        </w:tc>
      </w:tr>
      <w:tr w14:paraId="0841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4262043A">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1.2.2.26</w:t>
            </w:r>
          </w:p>
        </w:tc>
        <w:tc>
          <w:tcPr>
            <w:tcW w:w="2940" w:type="dxa"/>
            <w:noWrap/>
            <w:vAlign w:val="center"/>
          </w:tcPr>
          <w:p w14:paraId="4548FD3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色彩校准配置</w:t>
            </w:r>
          </w:p>
        </w:tc>
        <w:tc>
          <w:tcPr>
            <w:tcW w:w="10334" w:type="dxa"/>
            <w:vAlign w:val="center"/>
          </w:tcPr>
          <w:p w14:paraId="1C25E54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配置和校准整个虚拟场景的色彩平衡参数，确保植物和环境色彩的自然协调和视觉舒适度</w:t>
            </w:r>
          </w:p>
        </w:tc>
      </w:tr>
      <w:tr w14:paraId="2A47A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479D2F2E">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1.2.2.33</w:t>
            </w:r>
          </w:p>
        </w:tc>
        <w:tc>
          <w:tcPr>
            <w:tcW w:w="2940" w:type="dxa"/>
            <w:noWrap/>
            <w:vAlign w:val="center"/>
          </w:tcPr>
          <w:p w14:paraId="7427DFC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环境与植物交互建模</w:t>
            </w:r>
          </w:p>
        </w:tc>
        <w:tc>
          <w:tcPr>
            <w:tcW w:w="10334" w:type="dxa"/>
            <w:noWrap/>
            <w:vAlign w:val="center"/>
          </w:tcPr>
          <w:p w14:paraId="38C1075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地形数据采集与预处理</w:t>
            </w:r>
          </w:p>
        </w:tc>
      </w:tr>
      <w:tr w14:paraId="3C366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192863F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1.2.2.34</w:t>
            </w:r>
          </w:p>
        </w:tc>
        <w:tc>
          <w:tcPr>
            <w:tcW w:w="2940" w:type="dxa"/>
            <w:noWrap/>
            <w:vAlign w:val="center"/>
          </w:tcPr>
          <w:p w14:paraId="3D8FD81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环境与植物交互建模</w:t>
            </w:r>
          </w:p>
        </w:tc>
        <w:tc>
          <w:tcPr>
            <w:tcW w:w="10334" w:type="dxa"/>
            <w:noWrap/>
            <w:vAlign w:val="center"/>
          </w:tcPr>
          <w:p w14:paraId="5261D0A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地貌特征提取与分析</w:t>
            </w:r>
          </w:p>
        </w:tc>
      </w:tr>
      <w:tr w14:paraId="4DE37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0EAAD4D2">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1.2.2.35</w:t>
            </w:r>
          </w:p>
        </w:tc>
        <w:tc>
          <w:tcPr>
            <w:tcW w:w="2940" w:type="dxa"/>
            <w:noWrap/>
            <w:vAlign w:val="center"/>
          </w:tcPr>
          <w:p w14:paraId="4AB33A2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环境与植物交互建模</w:t>
            </w:r>
          </w:p>
        </w:tc>
        <w:tc>
          <w:tcPr>
            <w:tcW w:w="10334" w:type="dxa"/>
            <w:noWrap/>
            <w:vAlign w:val="center"/>
          </w:tcPr>
          <w:p w14:paraId="58CBD1E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地形地貌模型构建</w:t>
            </w:r>
          </w:p>
        </w:tc>
      </w:tr>
      <w:tr w14:paraId="471DA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2A9DF497">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1.2.2.36</w:t>
            </w:r>
          </w:p>
        </w:tc>
        <w:tc>
          <w:tcPr>
            <w:tcW w:w="2940" w:type="dxa"/>
            <w:noWrap/>
            <w:vAlign w:val="center"/>
          </w:tcPr>
          <w:p w14:paraId="08BD0D7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氛围效果营造</w:t>
            </w:r>
          </w:p>
        </w:tc>
        <w:tc>
          <w:tcPr>
            <w:tcW w:w="10334" w:type="dxa"/>
            <w:vAlign w:val="center"/>
          </w:tcPr>
          <w:p w14:paraId="57BA421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营造虚拟生态环境的自然氛围效果，包括雾气、粒子效果等增强场景沉浸感的视觉元素</w:t>
            </w:r>
          </w:p>
        </w:tc>
      </w:tr>
      <w:tr w14:paraId="520F0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58991D12">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1.2.2.37</w:t>
            </w:r>
          </w:p>
        </w:tc>
        <w:tc>
          <w:tcPr>
            <w:tcW w:w="2940" w:type="dxa"/>
            <w:noWrap/>
            <w:vAlign w:val="center"/>
          </w:tcPr>
          <w:p w14:paraId="04FD239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环境与植物交互建模</w:t>
            </w:r>
          </w:p>
        </w:tc>
        <w:tc>
          <w:tcPr>
            <w:tcW w:w="10334" w:type="dxa"/>
            <w:noWrap/>
            <w:vAlign w:val="center"/>
          </w:tcPr>
          <w:p w14:paraId="7E4C235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交互事件触发机制实现</w:t>
            </w:r>
          </w:p>
        </w:tc>
      </w:tr>
      <w:tr w14:paraId="6C4E4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2650DEED">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1.2.2.38</w:t>
            </w:r>
          </w:p>
        </w:tc>
        <w:tc>
          <w:tcPr>
            <w:tcW w:w="2940" w:type="dxa"/>
            <w:noWrap/>
            <w:vAlign w:val="center"/>
          </w:tcPr>
          <w:p w14:paraId="0784DF8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环境与植物交互建模</w:t>
            </w:r>
          </w:p>
        </w:tc>
        <w:tc>
          <w:tcPr>
            <w:tcW w:w="10334" w:type="dxa"/>
            <w:noWrap/>
            <w:vAlign w:val="center"/>
          </w:tcPr>
          <w:p w14:paraId="0F7FDEB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添加环境探索交互功能</w:t>
            </w:r>
          </w:p>
        </w:tc>
      </w:tr>
      <w:tr w14:paraId="1C16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12187C9F">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1.2.2.39</w:t>
            </w:r>
          </w:p>
        </w:tc>
        <w:tc>
          <w:tcPr>
            <w:tcW w:w="2940" w:type="dxa"/>
            <w:noWrap/>
            <w:vAlign w:val="center"/>
          </w:tcPr>
          <w:p w14:paraId="507191E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环境与植物交互建模</w:t>
            </w:r>
          </w:p>
        </w:tc>
        <w:tc>
          <w:tcPr>
            <w:tcW w:w="10334" w:type="dxa"/>
            <w:noWrap/>
            <w:vAlign w:val="center"/>
          </w:tcPr>
          <w:p w14:paraId="2FF69F2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添加动物互动交互功能</w:t>
            </w:r>
          </w:p>
        </w:tc>
      </w:tr>
      <w:tr w14:paraId="55EA7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3660AD6D">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1.2.2.40</w:t>
            </w:r>
          </w:p>
        </w:tc>
        <w:tc>
          <w:tcPr>
            <w:tcW w:w="2940" w:type="dxa"/>
            <w:noWrap/>
            <w:vAlign w:val="center"/>
          </w:tcPr>
          <w:p w14:paraId="35EA10E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环境与植物交互建模</w:t>
            </w:r>
          </w:p>
        </w:tc>
        <w:tc>
          <w:tcPr>
            <w:tcW w:w="10334" w:type="dxa"/>
            <w:noWrap/>
            <w:vAlign w:val="center"/>
          </w:tcPr>
          <w:p w14:paraId="6F9753B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实现环境资源采集交互行为</w:t>
            </w:r>
          </w:p>
        </w:tc>
      </w:tr>
      <w:tr w14:paraId="2F83B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1FCFC3F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w:t>
            </w:r>
          </w:p>
        </w:tc>
        <w:tc>
          <w:tcPr>
            <w:tcW w:w="2940" w:type="dxa"/>
            <w:noWrap/>
            <w:vAlign w:val="center"/>
          </w:tcPr>
          <w:p w14:paraId="009E339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数据清洗与标准化</w:t>
            </w:r>
          </w:p>
        </w:tc>
        <w:tc>
          <w:tcPr>
            <w:tcW w:w="10334" w:type="dxa"/>
            <w:noWrap/>
            <w:vAlign w:val="center"/>
          </w:tcPr>
          <w:p w14:paraId="502D5B81">
            <w:pPr>
              <w:spacing w:line="240" w:lineRule="auto"/>
              <w:ind w:firstLine="0" w:firstLineChars="0"/>
              <w:rPr>
                <w:rFonts w:hint="eastAsia" w:ascii="宋体" w:hAnsi="宋体" w:cs="宋体"/>
                <w:color w:val="auto"/>
                <w:sz w:val="20"/>
                <w:szCs w:val="20"/>
              </w:rPr>
            </w:pPr>
          </w:p>
        </w:tc>
      </w:tr>
      <w:tr w14:paraId="3459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6A8A043F">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1.3.1.1</w:t>
            </w:r>
          </w:p>
        </w:tc>
        <w:tc>
          <w:tcPr>
            <w:tcW w:w="2940" w:type="dxa"/>
            <w:noWrap/>
            <w:vAlign w:val="center"/>
          </w:tcPr>
          <w:p w14:paraId="4BD1E16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模型格式标准化</w:t>
            </w:r>
          </w:p>
        </w:tc>
        <w:tc>
          <w:tcPr>
            <w:tcW w:w="10334" w:type="dxa"/>
            <w:vAlign w:val="center"/>
          </w:tcPr>
          <w:p w14:paraId="4DC19B5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建立三维模型文件的标准化格式规范，确保不同来源的模型文件能够统一导入和显示，包括FBX、OBJ格式的转换标准</w:t>
            </w:r>
          </w:p>
        </w:tc>
      </w:tr>
      <w:tr w14:paraId="6D0B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7A8E43C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1.3.1.2</w:t>
            </w:r>
          </w:p>
        </w:tc>
        <w:tc>
          <w:tcPr>
            <w:tcW w:w="2940" w:type="dxa"/>
            <w:noWrap/>
            <w:vAlign w:val="center"/>
          </w:tcPr>
          <w:p w14:paraId="3ECBB59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模型导入统一处理</w:t>
            </w:r>
          </w:p>
        </w:tc>
        <w:tc>
          <w:tcPr>
            <w:tcW w:w="10334" w:type="dxa"/>
            <w:vAlign w:val="center"/>
          </w:tcPr>
          <w:p w14:paraId="28030D0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开发模型文件的统一导入处理程序，实现不同格式三维模型的标准化处理功能</w:t>
            </w:r>
          </w:p>
        </w:tc>
      </w:tr>
      <w:tr w14:paraId="0DBE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6D38ECA3">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1.3.1.3</w:t>
            </w:r>
          </w:p>
        </w:tc>
        <w:tc>
          <w:tcPr>
            <w:tcW w:w="2940" w:type="dxa"/>
            <w:noWrap/>
            <w:vAlign w:val="center"/>
          </w:tcPr>
          <w:p w14:paraId="3BDB153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空间坐标系统统一</w:t>
            </w:r>
          </w:p>
        </w:tc>
        <w:tc>
          <w:tcPr>
            <w:tcW w:w="10334" w:type="dxa"/>
            <w:vAlign w:val="center"/>
          </w:tcPr>
          <w:p w14:paraId="5EC8A28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建立虚拟场景的统一空间坐标系统，确保不同来源的地理信息和模型位置数据在同一坐标体系下准确定位</w:t>
            </w:r>
          </w:p>
        </w:tc>
      </w:tr>
      <w:tr w14:paraId="3646F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721A6839">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1.3.1.4</w:t>
            </w:r>
          </w:p>
        </w:tc>
        <w:tc>
          <w:tcPr>
            <w:tcW w:w="2940" w:type="dxa"/>
            <w:noWrap/>
            <w:vAlign w:val="center"/>
          </w:tcPr>
          <w:p w14:paraId="7A1D535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交互设备标准化</w:t>
            </w:r>
          </w:p>
        </w:tc>
        <w:tc>
          <w:tcPr>
            <w:tcW w:w="10334" w:type="dxa"/>
            <w:vAlign w:val="center"/>
          </w:tcPr>
          <w:p w14:paraId="5213C59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制定不同类型交互设备的输入数据格式规范，确保交互操作的一致性</w:t>
            </w:r>
          </w:p>
        </w:tc>
      </w:tr>
      <w:tr w14:paraId="41614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5AC350D3">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1.3.2.1</w:t>
            </w:r>
          </w:p>
        </w:tc>
        <w:tc>
          <w:tcPr>
            <w:tcW w:w="2940" w:type="dxa"/>
            <w:noWrap/>
            <w:vAlign w:val="center"/>
          </w:tcPr>
          <w:p w14:paraId="1200860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时间轴数据处理</w:t>
            </w:r>
          </w:p>
        </w:tc>
        <w:tc>
          <w:tcPr>
            <w:tcW w:w="10334" w:type="dxa"/>
            <w:vAlign w:val="center"/>
          </w:tcPr>
          <w:p w14:paraId="39223FB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开发植物生长时间轴数据的格式转换程序，支持不同时间格式的植物生长阶段数据统一处理</w:t>
            </w:r>
          </w:p>
        </w:tc>
      </w:tr>
      <w:tr w14:paraId="5C880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4C0023B5">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1.3.2.2</w:t>
            </w:r>
          </w:p>
        </w:tc>
        <w:tc>
          <w:tcPr>
            <w:tcW w:w="2940" w:type="dxa"/>
            <w:noWrap/>
            <w:vAlign w:val="center"/>
          </w:tcPr>
          <w:p w14:paraId="3C66B16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几何参数转换</w:t>
            </w:r>
          </w:p>
        </w:tc>
        <w:tc>
          <w:tcPr>
            <w:tcW w:w="10334" w:type="dxa"/>
            <w:vAlign w:val="center"/>
          </w:tcPr>
          <w:p w14:paraId="4AB1277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开发三维模型几何参数的数值格式转换程序，包括尺寸、比例、角度等数值数据的标准化处理</w:t>
            </w:r>
          </w:p>
        </w:tc>
      </w:tr>
      <w:tr w14:paraId="199A0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6875F3C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1.3.2.3</w:t>
            </w:r>
          </w:p>
        </w:tc>
        <w:tc>
          <w:tcPr>
            <w:tcW w:w="2940" w:type="dxa"/>
            <w:noWrap/>
            <w:vAlign w:val="center"/>
          </w:tcPr>
          <w:p w14:paraId="1016982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纹理图像转换</w:t>
            </w:r>
          </w:p>
        </w:tc>
        <w:tc>
          <w:tcPr>
            <w:tcW w:w="10334" w:type="dxa"/>
            <w:vAlign w:val="center"/>
          </w:tcPr>
          <w:p w14:paraId="4DD6D43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开发植物纹理图像的格式转换工具，支持JPG、PNG等多种图像格式的批量转换和压缩处理</w:t>
            </w:r>
          </w:p>
        </w:tc>
      </w:tr>
      <w:tr w14:paraId="26DE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44E012A1">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1.3.2.4</w:t>
            </w:r>
          </w:p>
        </w:tc>
        <w:tc>
          <w:tcPr>
            <w:tcW w:w="2940" w:type="dxa"/>
            <w:noWrap/>
            <w:vAlign w:val="center"/>
          </w:tcPr>
          <w:p w14:paraId="6337836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动画序列转换</w:t>
            </w:r>
          </w:p>
        </w:tc>
        <w:tc>
          <w:tcPr>
            <w:tcW w:w="10334" w:type="dxa"/>
            <w:vAlign w:val="center"/>
          </w:tcPr>
          <w:p w14:paraId="63B9DDB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开发植物生长动画序列的格式转换工具，支持常见视频格式的动画文件转换和帧率调整</w:t>
            </w:r>
          </w:p>
        </w:tc>
      </w:tr>
      <w:tr w14:paraId="22DB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37C167E2">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1.3.2.5</w:t>
            </w:r>
          </w:p>
        </w:tc>
        <w:tc>
          <w:tcPr>
            <w:tcW w:w="2940" w:type="dxa"/>
            <w:noWrap/>
            <w:vAlign w:val="center"/>
          </w:tcPr>
          <w:p w14:paraId="11BB135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位置信息转换</w:t>
            </w:r>
          </w:p>
        </w:tc>
        <w:tc>
          <w:tcPr>
            <w:tcW w:w="10334" w:type="dxa"/>
            <w:vAlign w:val="center"/>
          </w:tcPr>
          <w:p w14:paraId="50E2641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开发植物分布位置信息的坐标转换工具，支持GPS坐标与虚拟场景坐标系统之间的精确转换</w:t>
            </w:r>
          </w:p>
        </w:tc>
      </w:tr>
      <w:tr w14:paraId="2875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601233D2">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1.3.2.6</w:t>
            </w:r>
          </w:p>
        </w:tc>
        <w:tc>
          <w:tcPr>
            <w:tcW w:w="2940" w:type="dxa"/>
            <w:noWrap/>
            <w:vAlign w:val="center"/>
          </w:tcPr>
          <w:p w14:paraId="355AF9D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模型参数验证规则</w:t>
            </w:r>
          </w:p>
        </w:tc>
        <w:tc>
          <w:tcPr>
            <w:tcW w:w="10334" w:type="dxa"/>
            <w:vAlign w:val="center"/>
          </w:tcPr>
          <w:p w14:paraId="7E30C02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制定三维模型几何参数的异常值判定规则，包括模型尺寸、比例、顶点数量等参数的合理性检验标准</w:t>
            </w:r>
          </w:p>
        </w:tc>
      </w:tr>
      <w:tr w14:paraId="17CE8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4CD3961F">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1.3.2.7</w:t>
            </w:r>
          </w:p>
        </w:tc>
        <w:tc>
          <w:tcPr>
            <w:tcW w:w="2940" w:type="dxa"/>
            <w:noWrap/>
            <w:vAlign w:val="center"/>
          </w:tcPr>
          <w:p w14:paraId="6C330C7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文本信息验证规则</w:t>
            </w:r>
          </w:p>
        </w:tc>
        <w:tc>
          <w:tcPr>
            <w:tcW w:w="10334" w:type="dxa"/>
            <w:vAlign w:val="center"/>
          </w:tcPr>
          <w:p w14:paraId="7D71E59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制定植物名称、描述信息等文本数据的异常值判定规则，包括命名规范、字符编码、内容完整性等验证标准</w:t>
            </w:r>
          </w:p>
        </w:tc>
      </w:tr>
      <w:tr w14:paraId="3422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6992E977">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1.3.2.8</w:t>
            </w:r>
          </w:p>
        </w:tc>
        <w:tc>
          <w:tcPr>
            <w:tcW w:w="2940" w:type="dxa"/>
            <w:noWrap/>
            <w:vAlign w:val="center"/>
          </w:tcPr>
          <w:p w14:paraId="441364C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文本异常检测程序</w:t>
            </w:r>
          </w:p>
        </w:tc>
        <w:tc>
          <w:tcPr>
            <w:tcW w:w="10334" w:type="dxa"/>
            <w:vAlign w:val="center"/>
          </w:tcPr>
          <w:p w14:paraId="370E0B5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编写植物信息文本数据的异常值识别程序，自动检测命名错误、编码问题、内容缺失等文本异常</w:t>
            </w:r>
          </w:p>
        </w:tc>
      </w:tr>
      <w:tr w14:paraId="29610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1C966A8E">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1.3.2.9</w:t>
            </w:r>
          </w:p>
        </w:tc>
        <w:tc>
          <w:tcPr>
            <w:tcW w:w="2940" w:type="dxa"/>
            <w:noWrap/>
            <w:vAlign w:val="center"/>
          </w:tcPr>
          <w:p w14:paraId="51827FA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信息内容人工审核</w:t>
            </w:r>
          </w:p>
        </w:tc>
        <w:tc>
          <w:tcPr>
            <w:tcW w:w="10334" w:type="dxa"/>
            <w:vAlign w:val="center"/>
          </w:tcPr>
          <w:p w14:paraId="16693BF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对植物信息文本数据的异常识别结果进行人工复查，确保植物学名、形态描述等专业信息的准确性</w:t>
            </w:r>
          </w:p>
        </w:tc>
      </w:tr>
      <w:tr w14:paraId="11C0B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09E4566A">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1.3.2.10</w:t>
            </w:r>
          </w:p>
        </w:tc>
        <w:tc>
          <w:tcPr>
            <w:tcW w:w="2940" w:type="dxa"/>
            <w:noWrap/>
            <w:vAlign w:val="center"/>
          </w:tcPr>
          <w:p w14:paraId="17D3DA2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异常处理</w:t>
            </w:r>
          </w:p>
        </w:tc>
        <w:tc>
          <w:tcPr>
            <w:tcW w:w="10334" w:type="dxa"/>
            <w:vAlign w:val="center"/>
          </w:tcPr>
          <w:p w14:paraId="3563F19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建立模型和信息数据异常值的处理流程，包括异常检测、人工审核等完整的处理机制</w:t>
            </w:r>
          </w:p>
        </w:tc>
      </w:tr>
      <w:tr w14:paraId="2947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297D517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1.3.3.1</w:t>
            </w:r>
          </w:p>
        </w:tc>
        <w:tc>
          <w:tcPr>
            <w:tcW w:w="2940" w:type="dxa"/>
            <w:vAlign w:val="center"/>
          </w:tcPr>
          <w:p w14:paraId="47ABB57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数据标准化 - 建立数据字典</w:t>
            </w:r>
          </w:p>
        </w:tc>
        <w:tc>
          <w:tcPr>
            <w:tcW w:w="10334" w:type="dxa"/>
            <w:vAlign w:val="center"/>
          </w:tcPr>
          <w:p w14:paraId="215CC77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整理并创建详细的数据字典，对每个数据字段的含义、数据类型、格式要求、取值范围、所属业务主题等信息进行明确记录，方便数据的理解和使用</w:t>
            </w:r>
          </w:p>
        </w:tc>
      </w:tr>
      <w:tr w14:paraId="6383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260DCF24">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1.3.3.2</w:t>
            </w:r>
          </w:p>
        </w:tc>
        <w:tc>
          <w:tcPr>
            <w:tcW w:w="2940" w:type="dxa"/>
            <w:vAlign w:val="center"/>
          </w:tcPr>
          <w:p w14:paraId="7AD0676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数据标准化 - 历史数据标准化处理</w:t>
            </w:r>
          </w:p>
        </w:tc>
        <w:tc>
          <w:tcPr>
            <w:tcW w:w="10334" w:type="dxa"/>
            <w:vAlign w:val="center"/>
          </w:tcPr>
          <w:p w14:paraId="281CA82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针对数据中台已有的历史数据，按照新制定的标准逐一进行格式转换、单位换算、数据映射等操作，确保历史数据与新的标准相匹配</w:t>
            </w:r>
          </w:p>
        </w:tc>
      </w:tr>
      <w:tr w14:paraId="52B32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4B913491">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1.4</w:t>
            </w:r>
          </w:p>
        </w:tc>
        <w:tc>
          <w:tcPr>
            <w:tcW w:w="2940" w:type="dxa"/>
            <w:vAlign w:val="center"/>
          </w:tcPr>
          <w:p w14:paraId="1C9A898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分布式数据存储与管理</w:t>
            </w:r>
          </w:p>
        </w:tc>
        <w:tc>
          <w:tcPr>
            <w:tcW w:w="10334" w:type="dxa"/>
            <w:vAlign w:val="center"/>
          </w:tcPr>
          <w:p w14:paraId="6F9AB444">
            <w:pPr>
              <w:spacing w:line="240" w:lineRule="auto"/>
              <w:ind w:firstLine="0" w:firstLineChars="0"/>
              <w:rPr>
                <w:rFonts w:hint="eastAsia" w:ascii="宋体" w:hAnsi="宋体" w:cs="宋体"/>
                <w:color w:val="auto"/>
                <w:sz w:val="20"/>
                <w:szCs w:val="20"/>
              </w:rPr>
            </w:pPr>
          </w:p>
        </w:tc>
      </w:tr>
      <w:tr w14:paraId="1D6F9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3D23B38C">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1.4.1.1</w:t>
            </w:r>
          </w:p>
        </w:tc>
        <w:tc>
          <w:tcPr>
            <w:tcW w:w="2940" w:type="dxa"/>
            <w:vAlign w:val="center"/>
          </w:tcPr>
          <w:p w14:paraId="1DABDD0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本地缓存与加速存储 - 缓存数据预热</w:t>
            </w:r>
          </w:p>
        </w:tc>
        <w:tc>
          <w:tcPr>
            <w:tcW w:w="10334" w:type="dxa"/>
            <w:vAlign w:val="center"/>
          </w:tcPr>
          <w:p w14:paraId="654BF15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开发本地缓存数据预热程序</w:t>
            </w:r>
          </w:p>
        </w:tc>
      </w:tr>
      <w:tr w14:paraId="30E5B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5D42205C">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1.4.1.2</w:t>
            </w:r>
          </w:p>
        </w:tc>
        <w:tc>
          <w:tcPr>
            <w:tcW w:w="2940" w:type="dxa"/>
            <w:vAlign w:val="center"/>
          </w:tcPr>
          <w:p w14:paraId="4CE043A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分布式数据库存储 - 性能优化</w:t>
            </w:r>
          </w:p>
        </w:tc>
        <w:tc>
          <w:tcPr>
            <w:tcW w:w="10334" w:type="dxa"/>
            <w:vAlign w:val="center"/>
          </w:tcPr>
          <w:p w14:paraId="528F925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调整分布式数据库的存储节点配置</w:t>
            </w:r>
          </w:p>
        </w:tc>
      </w:tr>
      <w:tr w14:paraId="22528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78F1168C">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w:t>
            </w:r>
          </w:p>
        </w:tc>
        <w:tc>
          <w:tcPr>
            <w:tcW w:w="2940" w:type="dxa"/>
            <w:vAlign w:val="center"/>
          </w:tcPr>
          <w:p w14:paraId="53FAF2C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数据库管理与访问接口</w:t>
            </w:r>
          </w:p>
        </w:tc>
        <w:tc>
          <w:tcPr>
            <w:tcW w:w="10334" w:type="dxa"/>
            <w:vAlign w:val="center"/>
          </w:tcPr>
          <w:p w14:paraId="5D40376C">
            <w:pPr>
              <w:spacing w:line="240" w:lineRule="auto"/>
              <w:ind w:firstLine="0" w:firstLineChars="0"/>
              <w:rPr>
                <w:rFonts w:hint="eastAsia" w:ascii="宋体" w:hAnsi="宋体" w:cs="宋体"/>
                <w:color w:val="auto"/>
                <w:sz w:val="20"/>
                <w:szCs w:val="20"/>
              </w:rPr>
            </w:pPr>
          </w:p>
        </w:tc>
      </w:tr>
      <w:tr w14:paraId="7A293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542B2D64">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1.5.1.1</w:t>
            </w:r>
          </w:p>
        </w:tc>
        <w:tc>
          <w:tcPr>
            <w:tcW w:w="2940" w:type="dxa"/>
            <w:vAlign w:val="center"/>
          </w:tcPr>
          <w:p w14:paraId="17793F5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结构化数据存储管理 - 数据安全</w:t>
            </w:r>
          </w:p>
        </w:tc>
        <w:tc>
          <w:tcPr>
            <w:tcW w:w="10334" w:type="dxa"/>
            <w:vAlign w:val="center"/>
          </w:tcPr>
          <w:p w14:paraId="21803A5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加密结构化数据存储（如对敏感字段加密）</w:t>
            </w:r>
          </w:p>
        </w:tc>
      </w:tr>
      <w:tr w14:paraId="688ED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1A629ACD">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1.5.1.2</w:t>
            </w:r>
          </w:p>
        </w:tc>
        <w:tc>
          <w:tcPr>
            <w:tcW w:w="2940" w:type="dxa"/>
            <w:vAlign w:val="center"/>
          </w:tcPr>
          <w:p w14:paraId="53D96B6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结构化数据存储管理 - 数据操作开发</w:t>
            </w:r>
          </w:p>
        </w:tc>
        <w:tc>
          <w:tcPr>
            <w:tcW w:w="10334" w:type="dxa"/>
            <w:vAlign w:val="center"/>
          </w:tcPr>
          <w:p w14:paraId="56FB6DA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编写数据插入程序</w:t>
            </w:r>
          </w:p>
        </w:tc>
      </w:tr>
      <w:tr w14:paraId="2C329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4C1CC623">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1.5.1.3</w:t>
            </w:r>
          </w:p>
        </w:tc>
        <w:tc>
          <w:tcPr>
            <w:tcW w:w="2940" w:type="dxa"/>
            <w:noWrap/>
            <w:vAlign w:val="center"/>
          </w:tcPr>
          <w:p w14:paraId="06E9F92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模型检索功能开发</w:t>
            </w:r>
          </w:p>
        </w:tc>
        <w:tc>
          <w:tcPr>
            <w:tcW w:w="10334" w:type="dxa"/>
            <w:vAlign w:val="center"/>
          </w:tcPr>
          <w:p w14:paraId="5907BE6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开发三维植物模型的检索查询程序，支持按物种条件进行模型搜索和筛选</w:t>
            </w:r>
          </w:p>
        </w:tc>
      </w:tr>
      <w:tr w14:paraId="6714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2D2A05FE">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1.5.1.4</w:t>
            </w:r>
          </w:p>
        </w:tc>
        <w:tc>
          <w:tcPr>
            <w:tcW w:w="2940" w:type="dxa"/>
            <w:noWrap/>
            <w:vAlign w:val="center"/>
          </w:tcPr>
          <w:p w14:paraId="4034BEC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模型信息更新程序</w:t>
            </w:r>
          </w:p>
        </w:tc>
        <w:tc>
          <w:tcPr>
            <w:tcW w:w="10334" w:type="dxa"/>
            <w:vAlign w:val="center"/>
          </w:tcPr>
          <w:p w14:paraId="4287F2D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编写植物模型信息的更新维护程序，支持模型属性、描述信息、分类标签等数据的动态更新和同步</w:t>
            </w:r>
          </w:p>
        </w:tc>
      </w:tr>
      <w:tr w14:paraId="50208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10DF0D55">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1.5.1.5</w:t>
            </w:r>
          </w:p>
        </w:tc>
        <w:tc>
          <w:tcPr>
            <w:tcW w:w="2940" w:type="dxa"/>
            <w:noWrap/>
            <w:vAlign w:val="center"/>
          </w:tcPr>
          <w:p w14:paraId="580F276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模型资源清理程序</w:t>
            </w:r>
          </w:p>
        </w:tc>
        <w:tc>
          <w:tcPr>
            <w:tcW w:w="10334" w:type="dxa"/>
            <w:vAlign w:val="center"/>
          </w:tcPr>
          <w:p w14:paraId="58679D1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编写三维模型资源的安全删除程序，包括模型文件、关联纹理、动画数据等的完整清理和回收站机制</w:t>
            </w:r>
          </w:p>
        </w:tc>
      </w:tr>
      <w:tr w14:paraId="1B0DE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09F8881E">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1.5.1.6</w:t>
            </w:r>
          </w:p>
        </w:tc>
        <w:tc>
          <w:tcPr>
            <w:tcW w:w="2940" w:type="dxa"/>
            <w:noWrap/>
            <w:vAlign w:val="center"/>
          </w:tcPr>
          <w:p w14:paraId="1E8AA11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结构化数据存储管理 - 数据库优化</w:t>
            </w:r>
          </w:p>
        </w:tc>
        <w:tc>
          <w:tcPr>
            <w:tcW w:w="10334" w:type="dxa"/>
            <w:noWrap/>
            <w:vAlign w:val="center"/>
          </w:tcPr>
          <w:p w14:paraId="4753DAE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调整数据库索引以适应新的查询需求</w:t>
            </w:r>
          </w:p>
        </w:tc>
      </w:tr>
      <w:tr w14:paraId="5C63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7EC15357">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1.5.1.7</w:t>
            </w:r>
          </w:p>
        </w:tc>
        <w:tc>
          <w:tcPr>
            <w:tcW w:w="2940" w:type="dxa"/>
            <w:noWrap/>
            <w:vAlign w:val="center"/>
          </w:tcPr>
          <w:p w14:paraId="59A71E2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数据访问接口与 API - 接口安全审计</w:t>
            </w:r>
          </w:p>
        </w:tc>
        <w:tc>
          <w:tcPr>
            <w:tcW w:w="10334" w:type="dxa"/>
            <w:noWrap/>
            <w:vAlign w:val="center"/>
          </w:tcPr>
          <w:p w14:paraId="7B3C873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根据审计结果修复接口安全漏洞</w:t>
            </w:r>
          </w:p>
        </w:tc>
      </w:tr>
      <w:tr w14:paraId="7512A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5EE67AAE">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1.5.1.8</w:t>
            </w:r>
          </w:p>
        </w:tc>
        <w:tc>
          <w:tcPr>
            <w:tcW w:w="2940" w:type="dxa"/>
            <w:noWrap/>
            <w:vAlign w:val="center"/>
          </w:tcPr>
          <w:p w14:paraId="4AFD5B2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模型搜索接口扩展</w:t>
            </w:r>
          </w:p>
        </w:tc>
        <w:tc>
          <w:tcPr>
            <w:tcW w:w="10334" w:type="dxa"/>
            <w:vAlign w:val="center"/>
          </w:tcPr>
          <w:p w14:paraId="749E96E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扩展模型搜索接口的模糊查询功能，支持植物名称的拼音搜索近似匹配等智能搜索方式</w:t>
            </w:r>
          </w:p>
        </w:tc>
      </w:tr>
      <w:tr w14:paraId="4618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67A30FE7">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1.5.1.9</w:t>
            </w:r>
          </w:p>
        </w:tc>
        <w:tc>
          <w:tcPr>
            <w:tcW w:w="2940" w:type="dxa"/>
            <w:noWrap/>
            <w:vAlign w:val="center"/>
          </w:tcPr>
          <w:p w14:paraId="75A60C9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模型访问接口开发</w:t>
            </w:r>
          </w:p>
        </w:tc>
        <w:tc>
          <w:tcPr>
            <w:tcW w:w="10334" w:type="dxa"/>
            <w:vAlign w:val="center"/>
          </w:tcPr>
          <w:p w14:paraId="7E3F2BB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开发三维植物模型的访问接口代码，提供RESTful API支持外部系统调用和集成植物模型资源</w:t>
            </w:r>
          </w:p>
        </w:tc>
      </w:tr>
      <w:tr w14:paraId="7F82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477E9844">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1.5.1.10</w:t>
            </w:r>
          </w:p>
        </w:tc>
        <w:tc>
          <w:tcPr>
            <w:tcW w:w="2940" w:type="dxa"/>
            <w:noWrap/>
            <w:vAlign w:val="center"/>
          </w:tcPr>
          <w:p w14:paraId="5EA4464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接口文档编写</w:t>
            </w:r>
          </w:p>
        </w:tc>
        <w:tc>
          <w:tcPr>
            <w:tcW w:w="10334" w:type="dxa"/>
            <w:vAlign w:val="center"/>
          </w:tcPr>
          <w:p w14:paraId="5F2959B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编写模型访问API的详细使用说明文档，包括接口参数、调用示例、错误处理等完整的技术文档</w:t>
            </w:r>
          </w:p>
        </w:tc>
      </w:tr>
      <w:tr w14:paraId="73A9D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44F5C7BC">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1.6</w:t>
            </w:r>
          </w:p>
        </w:tc>
        <w:tc>
          <w:tcPr>
            <w:tcW w:w="2940" w:type="dxa"/>
            <w:noWrap/>
            <w:vAlign w:val="center"/>
          </w:tcPr>
          <w:p w14:paraId="23FC4A6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数据共享与开放</w:t>
            </w:r>
          </w:p>
        </w:tc>
        <w:tc>
          <w:tcPr>
            <w:tcW w:w="10334" w:type="dxa"/>
            <w:noWrap/>
            <w:vAlign w:val="center"/>
          </w:tcPr>
          <w:p w14:paraId="20BEC907">
            <w:pPr>
              <w:spacing w:line="240" w:lineRule="auto"/>
              <w:ind w:firstLine="0" w:firstLineChars="0"/>
              <w:rPr>
                <w:rFonts w:hint="eastAsia" w:ascii="宋体" w:hAnsi="宋体" w:cs="宋体"/>
                <w:color w:val="auto"/>
                <w:sz w:val="20"/>
                <w:szCs w:val="20"/>
              </w:rPr>
            </w:pPr>
          </w:p>
        </w:tc>
      </w:tr>
      <w:tr w14:paraId="5F6C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55B189C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1.6.1.1</w:t>
            </w:r>
          </w:p>
        </w:tc>
        <w:tc>
          <w:tcPr>
            <w:tcW w:w="2940" w:type="dxa"/>
            <w:noWrap/>
            <w:vAlign w:val="center"/>
          </w:tcPr>
          <w:p w14:paraId="16FF97C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数据开放平台 - 数据共享配置</w:t>
            </w:r>
          </w:p>
        </w:tc>
        <w:tc>
          <w:tcPr>
            <w:tcW w:w="10334" w:type="dxa"/>
            <w:noWrap/>
            <w:vAlign w:val="center"/>
          </w:tcPr>
          <w:p w14:paraId="666F344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配置数据共享接口（如 RESTful API）</w:t>
            </w:r>
          </w:p>
        </w:tc>
      </w:tr>
      <w:tr w14:paraId="175C5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56C39E6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1.6.1.2</w:t>
            </w:r>
          </w:p>
        </w:tc>
        <w:tc>
          <w:tcPr>
            <w:tcW w:w="2940" w:type="dxa"/>
            <w:noWrap/>
            <w:vAlign w:val="center"/>
          </w:tcPr>
          <w:p w14:paraId="29A147B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模型资源整合</w:t>
            </w:r>
          </w:p>
        </w:tc>
        <w:tc>
          <w:tcPr>
            <w:tcW w:w="10334" w:type="dxa"/>
            <w:vAlign w:val="center"/>
          </w:tcPr>
          <w:p w14:paraId="2B49E17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整合不同来源和类型的三维植物模型资源到统一展示平台，包括模型文件资源的统一管理</w:t>
            </w:r>
          </w:p>
        </w:tc>
      </w:tr>
      <w:tr w14:paraId="460A4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4CFA03E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1.6.1.3</w:t>
            </w:r>
          </w:p>
        </w:tc>
        <w:tc>
          <w:tcPr>
            <w:tcW w:w="2940" w:type="dxa"/>
            <w:noWrap/>
            <w:vAlign w:val="center"/>
          </w:tcPr>
          <w:p w14:paraId="2E75321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数据开放平台 - 数据共享统计</w:t>
            </w:r>
          </w:p>
        </w:tc>
        <w:tc>
          <w:tcPr>
            <w:tcW w:w="10334" w:type="dxa"/>
            <w:noWrap/>
            <w:vAlign w:val="center"/>
          </w:tcPr>
          <w:p w14:paraId="610FE03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开发数据共享统计功能的后台程序</w:t>
            </w:r>
          </w:p>
        </w:tc>
      </w:tr>
      <w:tr w14:paraId="5CEC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14531BB4">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1.6.1.4</w:t>
            </w:r>
          </w:p>
        </w:tc>
        <w:tc>
          <w:tcPr>
            <w:tcW w:w="2940" w:type="dxa"/>
            <w:noWrap/>
            <w:vAlign w:val="center"/>
          </w:tcPr>
          <w:p w14:paraId="535A75C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模型访问权限管理</w:t>
            </w:r>
          </w:p>
        </w:tc>
        <w:tc>
          <w:tcPr>
            <w:tcW w:w="10334" w:type="dxa"/>
            <w:vAlign w:val="center"/>
          </w:tcPr>
          <w:p w14:paraId="5065EFC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设计三维模型资源的分级访问权限管理，根据用户类型和模型价值设置不同的访问和下载权限级别</w:t>
            </w:r>
          </w:p>
        </w:tc>
      </w:tr>
      <w:tr w14:paraId="5F7B4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75E01CC9">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1.6.1.5</w:t>
            </w:r>
          </w:p>
        </w:tc>
        <w:tc>
          <w:tcPr>
            <w:tcW w:w="2940" w:type="dxa"/>
            <w:noWrap/>
            <w:vAlign w:val="center"/>
          </w:tcPr>
          <w:p w14:paraId="31BD307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权限管理功能开发</w:t>
            </w:r>
          </w:p>
        </w:tc>
        <w:tc>
          <w:tcPr>
            <w:tcW w:w="10334" w:type="dxa"/>
            <w:vAlign w:val="center"/>
          </w:tcPr>
          <w:p w14:paraId="41F969B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开发模型资源权限管理的后台功能，实现用户权限分配、访问控制、使用记录等权限管理机制</w:t>
            </w:r>
          </w:p>
        </w:tc>
      </w:tr>
      <w:tr w14:paraId="5BE3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17F30F4C">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1.6.1.6</w:t>
            </w:r>
          </w:p>
        </w:tc>
        <w:tc>
          <w:tcPr>
            <w:tcW w:w="2940" w:type="dxa"/>
            <w:noWrap/>
            <w:vAlign w:val="center"/>
          </w:tcPr>
          <w:p w14:paraId="629E8D6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用户系统开发</w:t>
            </w:r>
          </w:p>
        </w:tc>
        <w:tc>
          <w:tcPr>
            <w:tcW w:w="10334" w:type="dxa"/>
            <w:vAlign w:val="center"/>
          </w:tcPr>
          <w:p w14:paraId="77A2B9F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开发模型展示平台的用户注册登录系统，包括用户身份验证、个人中心、使用历史等用户管理功能</w:t>
            </w:r>
          </w:p>
        </w:tc>
      </w:tr>
      <w:tr w14:paraId="41A9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4A8C5829">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1.6.2.1</w:t>
            </w:r>
          </w:p>
        </w:tc>
        <w:tc>
          <w:tcPr>
            <w:tcW w:w="2940" w:type="dxa"/>
            <w:noWrap/>
            <w:vAlign w:val="center"/>
          </w:tcPr>
          <w:p w14:paraId="051F06B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跨平台数据共享 - 适配开发</w:t>
            </w:r>
          </w:p>
        </w:tc>
        <w:tc>
          <w:tcPr>
            <w:tcW w:w="10334" w:type="dxa"/>
            <w:noWrap/>
            <w:vAlign w:val="center"/>
          </w:tcPr>
          <w:p w14:paraId="1250A06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开发 PC 端数据共享适配程序</w:t>
            </w:r>
          </w:p>
        </w:tc>
      </w:tr>
      <w:tr w14:paraId="5F6AD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1759C399">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1.6.2.2</w:t>
            </w:r>
          </w:p>
        </w:tc>
        <w:tc>
          <w:tcPr>
            <w:tcW w:w="2940" w:type="dxa"/>
            <w:noWrap/>
            <w:vAlign w:val="center"/>
          </w:tcPr>
          <w:p w14:paraId="69B18FB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跨平台数据共享 - 适配开发</w:t>
            </w:r>
          </w:p>
        </w:tc>
        <w:tc>
          <w:tcPr>
            <w:tcW w:w="10334" w:type="dxa"/>
            <w:noWrap/>
            <w:vAlign w:val="center"/>
          </w:tcPr>
          <w:p w14:paraId="5BE4004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开发移动端数据共享适配程序</w:t>
            </w:r>
          </w:p>
        </w:tc>
      </w:tr>
      <w:tr w14:paraId="5B85A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216369E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1.6.2.3</w:t>
            </w:r>
          </w:p>
        </w:tc>
        <w:tc>
          <w:tcPr>
            <w:tcW w:w="2940" w:type="dxa"/>
            <w:vAlign w:val="center"/>
          </w:tcPr>
          <w:p w14:paraId="7DE2A26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跨平台数据共享 - 适配开发</w:t>
            </w:r>
          </w:p>
        </w:tc>
        <w:tc>
          <w:tcPr>
            <w:tcW w:w="10334" w:type="dxa"/>
            <w:vAlign w:val="center"/>
          </w:tcPr>
          <w:p w14:paraId="7A7C267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开发虚拟现实平台数据共享适配程序</w:t>
            </w:r>
          </w:p>
        </w:tc>
      </w:tr>
      <w:tr w14:paraId="2BBCB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31F76055">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1.6.2.4</w:t>
            </w:r>
          </w:p>
        </w:tc>
        <w:tc>
          <w:tcPr>
            <w:tcW w:w="2940" w:type="dxa"/>
            <w:noWrap/>
            <w:vAlign w:val="center"/>
          </w:tcPr>
          <w:p w14:paraId="7A37642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跨平台错误处理</w:t>
            </w:r>
          </w:p>
        </w:tc>
        <w:tc>
          <w:tcPr>
            <w:tcW w:w="10334" w:type="dxa"/>
            <w:vAlign w:val="center"/>
          </w:tcPr>
          <w:p w14:paraId="3A09629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开发模型在不同平台间共享时的错误处理机制，包括格式不兼容、性能不足等问题的自动检测和处理</w:t>
            </w:r>
          </w:p>
        </w:tc>
      </w:tr>
      <w:tr w14:paraId="00785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013A909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1.6.2.5</w:t>
            </w:r>
          </w:p>
        </w:tc>
        <w:tc>
          <w:tcPr>
            <w:tcW w:w="2940" w:type="dxa"/>
            <w:noWrap/>
            <w:vAlign w:val="center"/>
          </w:tcPr>
          <w:p w14:paraId="3EC9D07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模型版本同步</w:t>
            </w:r>
          </w:p>
        </w:tc>
        <w:tc>
          <w:tcPr>
            <w:tcW w:w="10334" w:type="dxa"/>
            <w:vAlign w:val="center"/>
          </w:tcPr>
          <w:p w14:paraId="5F4F366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开发三维模型在不同平台间的版本同步机制，确保模型更新在各平台的一致性和及时性</w:t>
            </w:r>
          </w:p>
        </w:tc>
      </w:tr>
      <w:tr w14:paraId="5592C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2475132D">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1.6.2.6</w:t>
            </w:r>
          </w:p>
        </w:tc>
        <w:tc>
          <w:tcPr>
            <w:tcW w:w="2940" w:type="dxa"/>
            <w:noWrap/>
            <w:vAlign w:val="center"/>
          </w:tcPr>
          <w:p w14:paraId="3A6D5D3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格式适配层开发</w:t>
            </w:r>
          </w:p>
        </w:tc>
        <w:tc>
          <w:tcPr>
            <w:tcW w:w="10334" w:type="dxa"/>
            <w:vAlign w:val="center"/>
          </w:tcPr>
          <w:p w14:paraId="109F0C3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开发通用的模型格式适配层，实现三维模型在PC、移动端等不同平台的格式自动转换和适配</w:t>
            </w:r>
          </w:p>
        </w:tc>
      </w:tr>
      <w:tr w14:paraId="13521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1044" w:type="dxa"/>
            <w:vAlign w:val="center"/>
          </w:tcPr>
          <w:p w14:paraId="7AF62EF7">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w:t>
            </w:r>
          </w:p>
        </w:tc>
        <w:tc>
          <w:tcPr>
            <w:tcW w:w="2940" w:type="dxa"/>
            <w:vAlign w:val="center"/>
          </w:tcPr>
          <w:p w14:paraId="5174BC2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PC展示</w:t>
            </w:r>
          </w:p>
        </w:tc>
        <w:tc>
          <w:tcPr>
            <w:tcW w:w="10334" w:type="dxa"/>
            <w:vAlign w:val="center"/>
          </w:tcPr>
          <w:p w14:paraId="066413B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PC展示模块是整个兰科植物空间精细化应用的主要交互平台之一。它为用户提供了一个高分辨率的虚拟生态环境展示，可以通过PC端的浏览器或专用客户端，全面展示兰科植物的数字孪生模型、生态环境和互动功能。该模块将虚拟现实或增强现实的技术与生态数据展示相结合，为用户提供沉浸式的交互体验。</w:t>
            </w:r>
          </w:p>
        </w:tc>
      </w:tr>
      <w:tr w14:paraId="6B745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4EA5607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w:t>
            </w:r>
          </w:p>
        </w:tc>
        <w:tc>
          <w:tcPr>
            <w:tcW w:w="2940" w:type="dxa"/>
            <w:vAlign w:val="center"/>
          </w:tcPr>
          <w:p w14:paraId="397332A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虚拟环境重建</w:t>
            </w:r>
          </w:p>
        </w:tc>
        <w:tc>
          <w:tcPr>
            <w:tcW w:w="10334" w:type="dxa"/>
            <w:vAlign w:val="center"/>
          </w:tcPr>
          <w:p w14:paraId="136A7CE5">
            <w:pPr>
              <w:spacing w:line="240" w:lineRule="auto"/>
              <w:ind w:firstLine="0" w:firstLineChars="0"/>
              <w:jc w:val="left"/>
              <w:rPr>
                <w:rFonts w:hint="eastAsia" w:ascii="宋体" w:hAnsi="宋体" w:cs="宋体"/>
                <w:color w:val="auto"/>
                <w:sz w:val="20"/>
                <w:szCs w:val="20"/>
              </w:rPr>
            </w:pPr>
          </w:p>
        </w:tc>
      </w:tr>
      <w:tr w14:paraId="62908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69DC56C5">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2.1.1</w:t>
            </w:r>
          </w:p>
        </w:tc>
        <w:tc>
          <w:tcPr>
            <w:tcW w:w="2940" w:type="dxa"/>
            <w:noWrap/>
            <w:vAlign w:val="center"/>
          </w:tcPr>
          <w:p w14:paraId="44F9C54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植物材质精细化</w:t>
            </w:r>
          </w:p>
        </w:tc>
        <w:tc>
          <w:tcPr>
            <w:tcW w:w="10334" w:type="dxa"/>
            <w:vAlign w:val="center"/>
          </w:tcPr>
          <w:p w14:paraId="3D11ABA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精细化调整兰科植物模型的材质质感，包括叶片的光泽度、透明度、粗糙度等物理属性的真实化设置</w:t>
            </w:r>
          </w:p>
        </w:tc>
      </w:tr>
      <w:tr w14:paraId="44234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5E0C0F46">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2.1.2</w:t>
            </w:r>
          </w:p>
        </w:tc>
        <w:tc>
          <w:tcPr>
            <w:tcW w:w="2940" w:type="dxa"/>
            <w:noWrap/>
            <w:vAlign w:val="center"/>
          </w:tcPr>
          <w:p w14:paraId="0FB2DD6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环境纹理增强</w:t>
            </w:r>
          </w:p>
        </w:tc>
        <w:tc>
          <w:tcPr>
            <w:tcW w:w="10334" w:type="dxa"/>
            <w:vAlign w:val="center"/>
          </w:tcPr>
          <w:p w14:paraId="5BE389C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增强植物栖息环境的纹理细节表现，包括岩石纹理、水面效果等环境要素的高清纹理制作</w:t>
            </w:r>
          </w:p>
        </w:tc>
      </w:tr>
      <w:tr w14:paraId="07390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19AC1845">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2.1.3</w:t>
            </w:r>
          </w:p>
        </w:tc>
        <w:tc>
          <w:tcPr>
            <w:tcW w:w="2940" w:type="dxa"/>
            <w:noWrap/>
            <w:vAlign w:val="center"/>
          </w:tcPr>
          <w:p w14:paraId="7A2BBD9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光影反射模拟</w:t>
            </w:r>
          </w:p>
        </w:tc>
        <w:tc>
          <w:tcPr>
            <w:tcW w:w="10334" w:type="dxa"/>
            <w:vAlign w:val="center"/>
          </w:tcPr>
          <w:p w14:paraId="7B1568B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优化虚拟环境中的光影反射效果，模拟真实的光线传播、</w:t>
            </w:r>
          </w:p>
        </w:tc>
      </w:tr>
      <w:tr w14:paraId="31096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316891AA">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2.1.4</w:t>
            </w:r>
          </w:p>
        </w:tc>
        <w:tc>
          <w:tcPr>
            <w:tcW w:w="2940" w:type="dxa"/>
            <w:noWrap/>
            <w:vAlign w:val="center"/>
          </w:tcPr>
          <w:p w14:paraId="13A8FD9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动态光影系统</w:t>
            </w:r>
          </w:p>
        </w:tc>
        <w:tc>
          <w:tcPr>
            <w:tcW w:w="10334" w:type="dxa"/>
            <w:vAlign w:val="center"/>
          </w:tcPr>
          <w:p w14:paraId="5515C46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开发动态光影变化系统，模拟一天中不同时间段的光照变化对植物模型的影响，包括日出日落的光线角度变化和强度调节</w:t>
            </w:r>
          </w:p>
        </w:tc>
      </w:tr>
      <w:tr w14:paraId="43D24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518254BC">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2.1.5</w:t>
            </w:r>
          </w:p>
        </w:tc>
        <w:tc>
          <w:tcPr>
            <w:tcW w:w="2940" w:type="dxa"/>
            <w:noWrap/>
            <w:vAlign w:val="center"/>
          </w:tcPr>
          <w:p w14:paraId="0FF9845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光照参数调节</w:t>
            </w:r>
          </w:p>
        </w:tc>
        <w:tc>
          <w:tcPr>
            <w:tcW w:w="10334" w:type="dxa"/>
            <w:vAlign w:val="center"/>
          </w:tcPr>
          <w:p w14:paraId="7257DC5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设计可调节的光照强度和角度控制系统，允许用户自定义光源位置、强度和颜色温度，以观察植物在不同光照条件下的表现</w:t>
            </w:r>
          </w:p>
        </w:tc>
      </w:tr>
      <w:tr w14:paraId="173F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75C20E0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2.1.6</w:t>
            </w:r>
          </w:p>
        </w:tc>
        <w:tc>
          <w:tcPr>
            <w:tcW w:w="2940" w:type="dxa"/>
            <w:vAlign w:val="center"/>
          </w:tcPr>
          <w:p w14:paraId="30A00F2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兰科植物模型构建</w:t>
            </w:r>
          </w:p>
        </w:tc>
        <w:tc>
          <w:tcPr>
            <w:tcW w:w="10334" w:type="dxa"/>
            <w:vAlign w:val="center"/>
          </w:tcPr>
          <w:p w14:paraId="077266C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兰科植物整体外形建模</w:t>
            </w:r>
          </w:p>
        </w:tc>
      </w:tr>
      <w:tr w14:paraId="00ED8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727BE70D">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2.1.7</w:t>
            </w:r>
          </w:p>
        </w:tc>
        <w:tc>
          <w:tcPr>
            <w:tcW w:w="2940" w:type="dxa"/>
            <w:vAlign w:val="center"/>
          </w:tcPr>
          <w:p w14:paraId="165BDD2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兰科植物模型构建</w:t>
            </w:r>
          </w:p>
        </w:tc>
        <w:tc>
          <w:tcPr>
            <w:tcW w:w="10334" w:type="dxa"/>
            <w:vAlign w:val="center"/>
          </w:tcPr>
          <w:p w14:paraId="5D40E02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兰科植物叶片建模</w:t>
            </w:r>
          </w:p>
        </w:tc>
      </w:tr>
      <w:tr w14:paraId="51CC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32E5016C">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2.1.8</w:t>
            </w:r>
          </w:p>
        </w:tc>
        <w:tc>
          <w:tcPr>
            <w:tcW w:w="2940" w:type="dxa"/>
            <w:vAlign w:val="center"/>
          </w:tcPr>
          <w:p w14:paraId="1674527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兰科植物模型构建</w:t>
            </w:r>
          </w:p>
        </w:tc>
        <w:tc>
          <w:tcPr>
            <w:tcW w:w="10334" w:type="dxa"/>
            <w:vAlign w:val="center"/>
          </w:tcPr>
          <w:p w14:paraId="078BA5F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兰科植物花朵建模</w:t>
            </w:r>
          </w:p>
        </w:tc>
      </w:tr>
      <w:tr w14:paraId="49D6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24BF775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2.1.9</w:t>
            </w:r>
          </w:p>
        </w:tc>
        <w:tc>
          <w:tcPr>
            <w:tcW w:w="2940" w:type="dxa"/>
            <w:vAlign w:val="center"/>
          </w:tcPr>
          <w:p w14:paraId="60523C6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兰科植物模型构建</w:t>
            </w:r>
          </w:p>
        </w:tc>
        <w:tc>
          <w:tcPr>
            <w:tcW w:w="10334" w:type="dxa"/>
            <w:vAlign w:val="center"/>
          </w:tcPr>
          <w:p w14:paraId="4DE4995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兰科植物根部建模</w:t>
            </w:r>
          </w:p>
        </w:tc>
      </w:tr>
      <w:tr w14:paraId="34A9A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43757974">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2.1.10</w:t>
            </w:r>
          </w:p>
        </w:tc>
        <w:tc>
          <w:tcPr>
            <w:tcW w:w="2940" w:type="dxa"/>
            <w:vAlign w:val="center"/>
          </w:tcPr>
          <w:p w14:paraId="0CC137E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兰科植物模型构建</w:t>
            </w:r>
          </w:p>
        </w:tc>
        <w:tc>
          <w:tcPr>
            <w:tcW w:w="10334" w:type="dxa"/>
            <w:vAlign w:val="center"/>
          </w:tcPr>
          <w:p w14:paraId="6B8952F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兰科植物纹理制作（叶片纹理）</w:t>
            </w:r>
          </w:p>
        </w:tc>
      </w:tr>
      <w:tr w14:paraId="3AD5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6AEA3296">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2.1.11</w:t>
            </w:r>
          </w:p>
        </w:tc>
        <w:tc>
          <w:tcPr>
            <w:tcW w:w="2940" w:type="dxa"/>
            <w:vAlign w:val="center"/>
          </w:tcPr>
          <w:p w14:paraId="35A3832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兰科植物模型构建</w:t>
            </w:r>
          </w:p>
        </w:tc>
        <w:tc>
          <w:tcPr>
            <w:tcW w:w="10334" w:type="dxa"/>
            <w:vAlign w:val="center"/>
          </w:tcPr>
          <w:p w14:paraId="5CEA4C5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兰科植物纹理制作（花朵纹理）</w:t>
            </w:r>
          </w:p>
        </w:tc>
      </w:tr>
      <w:tr w14:paraId="4987A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354B0FDE">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2.1.12</w:t>
            </w:r>
          </w:p>
        </w:tc>
        <w:tc>
          <w:tcPr>
            <w:tcW w:w="2940" w:type="dxa"/>
            <w:noWrap/>
            <w:vAlign w:val="center"/>
          </w:tcPr>
          <w:p w14:paraId="1BAC806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模型拓扑重构</w:t>
            </w:r>
          </w:p>
        </w:tc>
        <w:tc>
          <w:tcPr>
            <w:tcW w:w="10334" w:type="dxa"/>
            <w:vAlign w:val="center"/>
          </w:tcPr>
          <w:p w14:paraId="43C6D79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优化兰科植物三维模型的拓扑结构，减少不必要的面数和顶点，提高模型的渲染效率和细节表现的平衡</w:t>
            </w:r>
          </w:p>
        </w:tc>
      </w:tr>
      <w:tr w14:paraId="072E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750C1221">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2.1.13</w:t>
            </w:r>
          </w:p>
        </w:tc>
        <w:tc>
          <w:tcPr>
            <w:tcW w:w="2940" w:type="dxa"/>
            <w:noWrap/>
            <w:vAlign w:val="center"/>
          </w:tcPr>
          <w:p w14:paraId="6B207A5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环境模型简化</w:t>
            </w:r>
          </w:p>
        </w:tc>
        <w:tc>
          <w:tcPr>
            <w:tcW w:w="10334" w:type="dxa"/>
            <w:vAlign w:val="center"/>
          </w:tcPr>
          <w:p w14:paraId="580158D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优化栖息环境模型的多边形数量，在保持视觉效果的前提下降低模型复杂度，提升整体场景的渲染性能</w:t>
            </w:r>
          </w:p>
        </w:tc>
      </w:tr>
      <w:tr w14:paraId="7E19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21A6CE73">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2.1.14</w:t>
            </w:r>
          </w:p>
        </w:tc>
        <w:tc>
          <w:tcPr>
            <w:tcW w:w="2940" w:type="dxa"/>
            <w:vAlign w:val="center"/>
          </w:tcPr>
          <w:p w14:paraId="174ADD4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栖息环境场景布置</w:t>
            </w:r>
          </w:p>
        </w:tc>
        <w:tc>
          <w:tcPr>
            <w:tcW w:w="10334" w:type="dxa"/>
            <w:vAlign w:val="center"/>
          </w:tcPr>
          <w:p w14:paraId="2E18D6C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添加自然景观（溪流、湖泊）</w:t>
            </w:r>
          </w:p>
        </w:tc>
      </w:tr>
      <w:tr w14:paraId="73F82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2994CF6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2.1.15</w:t>
            </w:r>
          </w:p>
        </w:tc>
        <w:tc>
          <w:tcPr>
            <w:tcW w:w="2940" w:type="dxa"/>
            <w:vAlign w:val="center"/>
          </w:tcPr>
          <w:p w14:paraId="4CE5A20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栖息环境场景布置</w:t>
            </w:r>
          </w:p>
        </w:tc>
        <w:tc>
          <w:tcPr>
            <w:tcW w:w="10334" w:type="dxa"/>
            <w:vAlign w:val="center"/>
          </w:tcPr>
          <w:p w14:paraId="2085807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添加人造景观（观景台、小径）</w:t>
            </w:r>
          </w:p>
        </w:tc>
      </w:tr>
      <w:tr w14:paraId="30A5F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130C040A">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2.1.16</w:t>
            </w:r>
          </w:p>
        </w:tc>
        <w:tc>
          <w:tcPr>
            <w:tcW w:w="2940" w:type="dxa"/>
            <w:vAlign w:val="center"/>
          </w:tcPr>
          <w:p w14:paraId="4F03C09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栖息环境地形建模</w:t>
            </w:r>
          </w:p>
        </w:tc>
        <w:tc>
          <w:tcPr>
            <w:tcW w:w="10334" w:type="dxa"/>
            <w:vAlign w:val="center"/>
          </w:tcPr>
          <w:p w14:paraId="5E0002D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地形高度数据采集与处理</w:t>
            </w:r>
          </w:p>
        </w:tc>
      </w:tr>
      <w:tr w14:paraId="3BF76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69008439">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2.1.17</w:t>
            </w:r>
          </w:p>
        </w:tc>
        <w:tc>
          <w:tcPr>
            <w:tcW w:w="2940" w:type="dxa"/>
            <w:vAlign w:val="center"/>
          </w:tcPr>
          <w:p w14:paraId="53DD7F2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栖息环境地形建模</w:t>
            </w:r>
          </w:p>
        </w:tc>
        <w:tc>
          <w:tcPr>
            <w:tcW w:w="10334" w:type="dxa"/>
            <w:vAlign w:val="center"/>
          </w:tcPr>
          <w:p w14:paraId="736321E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地形地貌特征建模（山脉、山谷等）</w:t>
            </w:r>
          </w:p>
        </w:tc>
      </w:tr>
      <w:tr w14:paraId="1E254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1CCD281E">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2.1.18</w:t>
            </w:r>
          </w:p>
        </w:tc>
        <w:tc>
          <w:tcPr>
            <w:tcW w:w="2940" w:type="dxa"/>
            <w:vAlign w:val="center"/>
          </w:tcPr>
          <w:p w14:paraId="0588C3F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栖息环境地形建模</w:t>
            </w:r>
          </w:p>
        </w:tc>
        <w:tc>
          <w:tcPr>
            <w:tcW w:w="10334" w:type="dxa"/>
            <w:vAlign w:val="center"/>
          </w:tcPr>
          <w:p w14:paraId="6AD2B5F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地形材质设置（草地、岩石等材质）</w:t>
            </w:r>
          </w:p>
        </w:tc>
      </w:tr>
      <w:tr w14:paraId="0D006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16C88DB9">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2.1.19</w:t>
            </w:r>
          </w:p>
        </w:tc>
        <w:tc>
          <w:tcPr>
            <w:tcW w:w="2940" w:type="dxa"/>
            <w:vAlign w:val="center"/>
          </w:tcPr>
          <w:p w14:paraId="26F1A2C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栖息环境植被建模</w:t>
            </w:r>
          </w:p>
        </w:tc>
        <w:tc>
          <w:tcPr>
            <w:tcW w:w="10334" w:type="dxa"/>
            <w:vAlign w:val="center"/>
          </w:tcPr>
          <w:p w14:paraId="1EFDE14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常见植被（树木、草丛）建模</w:t>
            </w:r>
          </w:p>
        </w:tc>
      </w:tr>
      <w:tr w14:paraId="6F5F1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647F9D5E">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2.1.20</w:t>
            </w:r>
          </w:p>
        </w:tc>
        <w:tc>
          <w:tcPr>
            <w:tcW w:w="2940" w:type="dxa"/>
            <w:vAlign w:val="center"/>
          </w:tcPr>
          <w:p w14:paraId="0EC4FC9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栖息环境植被建模</w:t>
            </w:r>
          </w:p>
        </w:tc>
        <w:tc>
          <w:tcPr>
            <w:tcW w:w="10334" w:type="dxa"/>
            <w:vAlign w:val="center"/>
          </w:tcPr>
          <w:p w14:paraId="361ACD6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珍稀植被建模</w:t>
            </w:r>
          </w:p>
        </w:tc>
      </w:tr>
      <w:tr w14:paraId="5F2C3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2E60E9D6">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2.1.21</w:t>
            </w:r>
          </w:p>
        </w:tc>
        <w:tc>
          <w:tcPr>
            <w:tcW w:w="2940" w:type="dxa"/>
            <w:vAlign w:val="center"/>
          </w:tcPr>
          <w:p w14:paraId="56F7771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添加虚拟环境中的动态元素</w:t>
            </w:r>
          </w:p>
        </w:tc>
        <w:tc>
          <w:tcPr>
            <w:tcW w:w="10334" w:type="dxa"/>
            <w:vAlign w:val="center"/>
          </w:tcPr>
          <w:p w14:paraId="6EA121C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添加风吹草动等动态元素（模拟自然风效果）</w:t>
            </w:r>
          </w:p>
        </w:tc>
      </w:tr>
      <w:tr w14:paraId="74380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3D8C79C7">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2.1.22</w:t>
            </w:r>
          </w:p>
        </w:tc>
        <w:tc>
          <w:tcPr>
            <w:tcW w:w="2940" w:type="dxa"/>
            <w:vAlign w:val="center"/>
          </w:tcPr>
          <w:p w14:paraId="512893F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添加虚拟环境中的动态元素</w:t>
            </w:r>
          </w:p>
        </w:tc>
        <w:tc>
          <w:tcPr>
            <w:tcW w:w="10334" w:type="dxa"/>
            <w:vAlign w:val="center"/>
          </w:tcPr>
          <w:p w14:paraId="1CC07DC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添加昆虫飞舞等动态元素（增加场景生机）</w:t>
            </w:r>
          </w:p>
        </w:tc>
      </w:tr>
      <w:tr w14:paraId="7B9BF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2380CE64">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2.2</w:t>
            </w:r>
          </w:p>
        </w:tc>
        <w:tc>
          <w:tcPr>
            <w:tcW w:w="2940" w:type="dxa"/>
            <w:vAlign w:val="center"/>
          </w:tcPr>
          <w:p w14:paraId="1F7A9EA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沉浸式视角切换</w:t>
            </w:r>
          </w:p>
        </w:tc>
        <w:tc>
          <w:tcPr>
            <w:tcW w:w="10334" w:type="dxa"/>
            <w:vAlign w:val="center"/>
          </w:tcPr>
          <w:p w14:paraId="3E265692">
            <w:pPr>
              <w:spacing w:line="240" w:lineRule="auto"/>
              <w:ind w:firstLine="0" w:firstLineChars="0"/>
              <w:rPr>
                <w:rFonts w:hint="eastAsia" w:ascii="宋体" w:hAnsi="宋体" w:cs="宋体"/>
                <w:color w:val="auto"/>
                <w:sz w:val="20"/>
                <w:szCs w:val="20"/>
              </w:rPr>
            </w:pPr>
          </w:p>
        </w:tc>
      </w:tr>
      <w:tr w14:paraId="11609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2A16BFDC">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2.2.1</w:t>
            </w:r>
          </w:p>
        </w:tc>
        <w:tc>
          <w:tcPr>
            <w:tcW w:w="2940" w:type="dxa"/>
            <w:noWrap/>
            <w:vAlign w:val="center"/>
          </w:tcPr>
          <w:p w14:paraId="45CB282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第一人称视角</w:t>
            </w:r>
          </w:p>
        </w:tc>
        <w:tc>
          <w:tcPr>
            <w:tcW w:w="10334" w:type="dxa"/>
            <w:vAlign w:val="center"/>
          </w:tcPr>
          <w:p w14:paraId="1DD1043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开发第一人称视角切换功能，提供沉浸式的观察体验</w:t>
            </w:r>
          </w:p>
        </w:tc>
      </w:tr>
      <w:tr w14:paraId="1C70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427BFD3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2.2.2</w:t>
            </w:r>
          </w:p>
        </w:tc>
        <w:tc>
          <w:tcPr>
            <w:tcW w:w="2940" w:type="dxa"/>
            <w:noWrap/>
            <w:vAlign w:val="center"/>
          </w:tcPr>
          <w:p w14:paraId="29AE876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第三人称视角</w:t>
            </w:r>
          </w:p>
        </w:tc>
        <w:tc>
          <w:tcPr>
            <w:tcW w:w="10334" w:type="dxa"/>
            <w:vAlign w:val="center"/>
          </w:tcPr>
          <w:p w14:paraId="278CE1B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实现第三人称视角切换功能，允许用户从外部观察植物和环境的整体关系，便于全局观察和分析</w:t>
            </w:r>
          </w:p>
        </w:tc>
      </w:tr>
      <w:tr w14:paraId="3B95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17E8A566">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2.2.3</w:t>
            </w:r>
          </w:p>
        </w:tc>
        <w:tc>
          <w:tcPr>
            <w:tcW w:w="2940" w:type="dxa"/>
            <w:noWrap/>
            <w:vAlign w:val="center"/>
          </w:tcPr>
          <w:p w14:paraId="531DF10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视角切换功能开发</w:t>
            </w:r>
          </w:p>
        </w:tc>
        <w:tc>
          <w:tcPr>
            <w:tcW w:w="10334" w:type="dxa"/>
            <w:noWrap/>
            <w:vAlign w:val="center"/>
          </w:tcPr>
          <w:p w14:paraId="3EB5660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自由视角切换实现</w:t>
            </w:r>
          </w:p>
        </w:tc>
      </w:tr>
      <w:tr w14:paraId="1B46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67E4815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2.2.4</w:t>
            </w:r>
          </w:p>
        </w:tc>
        <w:tc>
          <w:tcPr>
            <w:tcW w:w="2940" w:type="dxa"/>
            <w:noWrap/>
            <w:vAlign w:val="center"/>
          </w:tcPr>
          <w:p w14:paraId="4442EAA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视角过渡动画</w:t>
            </w:r>
          </w:p>
        </w:tc>
        <w:tc>
          <w:tcPr>
            <w:tcW w:w="10334" w:type="dxa"/>
            <w:vAlign w:val="center"/>
          </w:tcPr>
          <w:p w14:paraId="562FFE4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优化视角切换时的过渡动画效果，调整过渡时间和缓动曲线，确保视角变换的流畅性和用户体验</w:t>
            </w:r>
          </w:p>
        </w:tc>
      </w:tr>
      <w:tr w14:paraId="1D428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78555C4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2.2.5</w:t>
            </w:r>
          </w:p>
        </w:tc>
        <w:tc>
          <w:tcPr>
            <w:tcW w:w="2940" w:type="dxa"/>
            <w:noWrap/>
            <w:vAlign w:val="center"/>
          </w:tcPr>
          <w:p w14:paraId="7DC2ABF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视角切换时的视野模糊效果添加</w:t>
            </w:r>
          </w:p>
        </w:tc>
        <w:tc>
          <w:tcPr>
            <w:tcW w:w="10334" w:type="dxa"/>
            <w:noWrap/>
            <w:vAlign w:val="center"/>
          </w:tcPr>
          <w:p w14:paraId="304D2E2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视角切换时添加视野模糊效果（模拟真实视觉变化）</w:t>
            </w:r>
          </w:p>
        </w:tc>
      </w:tr>
      <w:tr w14:paraId="6DAF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1CE64FF4">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2.2.6</w:t>
            </w:r>
          </w:p>
        </w:tc>
        <w:tc>
          <w:tcPr>
            <w:tcW w:w="2940" w:type="dxa"/>
            <w:noWrap/>
            <w:vAlign w:val="center"/>
          </w:tcPr>
          <w:p w14:paraId="4A9614B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视角切换时的视野模糊效果添加</w:t>
            </w:r>
          </w:p>
        </w:tc>
        <w:tc>
          <w:tcPr>
            <w:tcW w:w="10334" w:type="dxa"/>
            <w:noWrap/>
            <w:vAlign w:val="center"/>
          </w:tcPr>
          <w:p w14:paraId="7AA5787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调整视野模糊效果的参数（模糊程度、持续时间）</w:t>
            </w:r>
          </w:p>
        </w:tc>
      </w:tr>
      <w:tr w14:paraId="350BA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01A1107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2.2.7</w:t>
            </w:r>
          </w:p>
        </w:tc>
        <w:tc>
          <w:tcPr>
            <w:tcW w:w="2940" w:type="dxa"/>
            <w:noWrap/>
            <w:vAlign w:val="center"/>
          </w:tcPr>
          <w:p w14:paraId="1B0059A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视角切换限制设置</w:t>
            </w:r>
          </w:p>
        </w:tc>
        <w:tc>
          <w:tcPr>
            <w:tcW w:w="10334" w:type="dxa"/>
            <w:noWrap/>
            <w:vAlign w:val="center"/>
          </w:tcPr>
          <w:p w14:paraId="777C21A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视角切换最大角度限制设定</w:t>
            </w:r>
          </w:p>
        </w:tc>
      </w:tr>
      <w:tr w14:paraId="2DCF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1B9521E3">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2.2.8</w:t>
            </w:r>
          </w:p>
        </w:tc>
        <w:tc>
          <w:tcPr>
            <w:tcW w:w="2940" w:type="dxa"/>
            <w:noWrap/>
            <w:vAlign w:val="center"/>
          </w:tcPr>
          <w:p w14:paraId="4341CD9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视角切换限制设置</w:t>
            </w:r>
          </w:p>
        </w:tc>
        <w:tc>
          <w:tcPr>
            <w:tcW w:w="10334" w:type="dxa"/>
            <w:noWrap/>
            <w:vAlign w:val="center"/>
          </w:tcPr>
          <w:p w14:paraId="4E7908A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视角切换最小速度限制设定</w:t>
            </w:r>
          </w:p>
        </w:tc>
      </w:tr>
      <w:tr w14:paraId="31D5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11353B7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2.2.9</w:t>
            </w:r>
          </w:p>
        </w:tc>
        <w:tc>
          <w:tcPr>
            <w:tcW w:w="2940" w:type="dxa"/>
            <w:noWrap/>
            <w:vAlign w:val="center"/>
          </w:tcPr>
          <w:p w14:paraId="42378EC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视角切换限制设置</w:t>
            </w:r>
          </w:p>
        </w:tc>
        <w:tc>
          <w:tcPr>
            <w:tcW w:w="10334" w:type="dxa"/>
            <w:noWrap/>
            <w:vAlign w:val="center"/>
          </w:tcPr>
          <w:p w14:paraId="686CA7B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视角切换的最大旋转角度限制调整</w:t>
            </w:r>
          </w:p>
        </w:tc>
      </w:tr>
      <w:tr w14:paraId="33A67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581ECDA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2.2.10</w:t>
            </w:r>
          </w:p>
        </w:tc>
        <w:tc>
          <w:tcPr>
            <w:tcW w:w="2940" w:type="dxa"/>
            <w:noWrap/>
            <w:vAlign w:val="center"/>
          </w:tcPr>
          <w:p w14:paraId="30C3483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旋转速度限制</w:t>
            </w:r>
          </w:p>
        </w:tc>
        <w:tc>
          <w:tcPr>
            <w:tcW w:w="10334" w:type="dxa"/>
            <w:vAlign w:val="center"/>
          </w:tcPr>
          <w:p w14:paraId="4EB7598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调整视角旋转的最小速度限制，优化旋转操作的响应性和精确性，提供更好的操作手感</w:t>
            </w:r>
          </w:p>
        </w:tc>
      </w:tr>
      <w:tr w14:paraId="4BF7A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1471DDDF">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2.3</w:t>
            </w:r>
          </w:p>
        </w:tc>
        <w:tc>
          <w:tcPr>
            <w:tcW w:w="2940" w:type="dxa"/>
            <w:noWrap/>
            <w:vAlign w:val="center"/>
          </w:tcPr>
          <w:p w14:paraId="6F59823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虚拟漫游与探索</w:t>
            </w:r>
          </w:p>
        </w:tc>
        <w:tc>
          <w:tcPr>
            <w:tcW w:w="10334" w:type="dxa"/>
            <w:noWrap/>
            <w:vAlign w:val="center"/>
          </w:tcPr>
          <w:p w14:paraId="57E629E9">
            <w:pPr>
              <w:spacing w:line="240" w:lineRule="auto"/>
              <w:ind w:firstLine="0" w:firstLineChars="0"/>
              <w:rPr>
                <w:rFonts w:hint="eastAsia" w:ascii="宋体" w:hAnsi="宋体" w:cs="宋体"/>
                <w:color w:val="auto"/>
                <w:sz w:val="20"/>
                <w:szCs w:val="20"/>
              </w:rPr>
            </w:pPr>
          </w:p>
        </w:tc>
      </w:tr>
      <w:tr w14:paraId="207D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76AC8804">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2.3.1</w:t>
            </w:r>
          </w:p>
        </w:tc>
        <w:tc>
          <w:tcPr>
            <w:tcW w:w="2940" w:type="dxa"/>
            <w:noWrap/>
            <w:vAlign w:val="center"/>
          </w:tcPr>
          <w:p w14:paraId="53EAE75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漫游边界设置</w:t>
            </w:r>
          </w:p>
        </w:tc>
        <w:tc>
          <w:tcPr>
            <w:tcW w:w="10334" w:type="dxa"/>
            <w:noWrap/>
            <w:vAlign w:val="center"/>
          </w:tcPr>
          <w:p w14:paraId="75BA691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虚拟环境漫游边界的定义与调整</w:t>
            </w:r>
          </w:p>
        </w:tc>
      </w:tr>
      <w:tr w14:paraId="2C5B1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131201DC">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2.3.2</w:t>
            </w:r>
          </w:p>
        </w:tc>
        <w:tc>
          <w:tcPr>
            <w:tcW w:w="2940" w:type="dxa"/>
            <w:noWrap/>
            <w:vAlign w:val="center"/>
          </w:tcPr>
          <w:p w14:paraId="34DE092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惯性移动系统</w:t>
            </w:r>
          </w:p>
        </w:tc>
        <w:tc>
          <w:tcPr>
            <w:tcW w:w="10334" w:type="dxa"/>
            <w:vAlign w:val="center"/>
          </w:tcPr>
          <w:p w14:paraId="4511C16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为场景漫游添加惯性效果，模拟真实的物理移动特性，让用户在虚拟环境中的移动更加自然流畅</w:t>
            </w:r>
          </w:p>
        </w:tc>
      </w:tr>
      <w:tr w14:paraId="1053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3DDB168D">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2.3.3</w:t>
            </w:r>
          </w:p>
        </w:tc>
        <w:tc>
          <w:tcPr>
            <w:tcW w:w="2940" w:type="dxa"/>
            <w:noWrap/>
            <w:vAlign w:val="center"/>
          </w:tcPr>
          <w:p w14:paraId="18FCFB3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前后移动控制</w:t>
            </w:r>
          </w:p>
        </w:tc>
        <w:tc>
          <w:tcPr>
            <w:tcW w:w="10334" w:type="dxa"/>
            <w:vAlign w:val="center"/>
          </w:tcPr>
          <w:p w14:paraId="3C3F08B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实现场景中的前后平移操作，允许用户在三维空间中自由前进后退，深入观察植物模型的不同部位</w:t>
            </w:r>
          </w:p>
        </w:tc>
      </w:tr>
      <w:tr w14:paraId="114E9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605EEF9F">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2.3.4</w:t>
            </w:r>
          </w:p>
        </w:tc>
        <w:tc>
          <w:tcPr>
            <w:tcW w:w="2940" w:type="dxa"/>
            <w:noWrap/>
            <w:vAlign w:val="center"/>
          </w:tcPr>
          <w:p w14:paraId="351B9B4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左右移动控制</w:t>
            </w:r>
          </w:p>
        </w:tc>
        <w:tc>
          <w:tcPr>
            <w:tcW w:w="10334" w:type="dxa"/>
            <w:vAlign w:val="center"/>
          </w:tcPr>
          <w:p w14:paraId="7F20B79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实现场景中的左右平移操作，让用户能够从不同侧面角度观察植物模型，获得全方位的视觉体验</w:t>
            </w:r>
          </w:p>
        </w:tc>
      </w:tr>
      <w:tr w14:paraId="7982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0DF86836">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2.3.5</w:t>
            </w:r>
          </w:p>
        </w:tc>
        <w:tc>
          <w:tcPr>
            <w:tcW w:w="2940" w:type="dxa"/>
            <w:noWrap/>
            <w:vAlign w:val="center"/>
          </w:tcPr>
          <w:p w14:paraId="0DC2A94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视角拉近功能</w:t>
            </w:r>
          </w:p>
        </w:tc>
        <w:tc>
          <w:tcPr>
            <w:tcW w:w="10334" w:type="dxa"/>
            <w:vAlign w:val="center"/>
          </w:tcPr>
          <w:p w14:paraId="7FE4AB1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实现视角拉近的缩放操作，允许用户近距离观察植物的细节特征，如花朵结构、叶脉纹理等微观特征</w:t>
            </w:r>
          </w:p>
        </w:tc>
      </w:tr>
      <w:tr w14:paraId="4047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11BE7FC4">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2.3.6</w:t>
            </w:r>
          </w:p>
        </w:tc>
        <w:tc>
          <w:tcPr>
            <w:tcW w:w="2940" w:type="dxa"/>
            <w:noWrap/>
            <w:vAlign w:val="center"/>
          </w:tcPr>
          <w:p w14:paraId="54383AC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视角拉远功能</w:t>
            </w:r>
          </w:p>
        </w:tc>
        <w:tc>
          <w:tcPr>
            <w:tcW w:w="10334" w:type="dxa"/>
            <w:vAlign w:val="center"/>
          </w:tcPr>
          <w:p w14:paraId="0C339D1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实现视角拉远的缩放操作，让用户能够观察植物在整个生态环境中的位置关系和生长状态</w:t>
            </w:r>
          </w:p>
        </w:tc>
      </w:tr>
      <w:tr w14:paraId="3F93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06DA781D">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2.3.7</w:t>
            </w:r>
          </w:p>
        </w:tc>
        <w:tc>
          <w:tcPr>
            <w:tcW w:w="2940" w:type="dxa"/>
            <w:noWrap/>
            <w:vAlign w:val="center"/>
          </w:tcPr>
          <w:p w14:paraId="063EA34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漫游功能开发</w:t>
            </w:r>
          </w:p>
        </w:tc>
        <w:tc>
          <w:tcPr>
            <w:tcW w:w="10334" w:type="dxa"/>
            <w:noWrap/>
            <w:vAlign w:val="center"/>
          </w:tcPr>
          <w:p w14:paraId="2C0A1A0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漫游速度调整功能实现</w:t>
            </w:r>
          </w:p>
        </w:tc>
      </w:tr>
      <w:tr w14:paraId="1D00B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243C787C">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2.3.8</w:t>
            </w:r>
          </w:p>
        </w:tc>
        <w:tc>
          <w:tcPr>
            <w:tcW w:w="2940" w:type="dxa"/>
            <w:noWrap/>
            <w:vAlign w:val="center"/>
          </w:tcPr>
          <w:p w14:paraId="3EE6F52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植物碰撞检测</w:t>
            </w:r>
          </w:p>
        </w:tc>
        <w:tc>
          <w:tcPr>
            <w:tcW w:w="10334" w:type="dxa"/>
            <w:vAlign w:val="center"/>
          </w:tcPr>
          <w:p w14:paraId="3D56C2C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开发与植物模型的碰撞检测系统，有效交互植物添加碰撞检测,增强虚拟环境的真实感和交互性</w:t>
            </w:r>
          </w:p>
        </w:tc>
      </w:tr>
      <w:tr w14:paraId="1CA60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3F0FE31A">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2.3.9</w:t>
            </w:r>
          </w:p>
        </w:tc>
        <w:tc>
          <w:tcPr>
            <w:tcW w:w="2940" w:type="dxa"/>
            <w:noWrap/>
            <w:vAlign w:val="center"/>
          </w:tcPr>
          <w:p w14:paraId="5F882CD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地形碰撞检测</w:t>
            </w:r>
          </w:p>
        </w:tc>
        <w:tc>
          <w:tcPr>
            <w:tcW w:w="10334" w:type="dxa"/>
            <w:vAlign w:val="center"/>
          </w:tcPr>
          <w:p w14:paraId="062D307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实现与地形的碰撞检测功能，确保用户在虚拟环境中的移动符合物理规律，不会穿越地面或障碍物</w:t>
            </w:r>
          </w:p>
        </w:tc>
      </w:tr>
      <w:tr w14:paraId="3661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292A65F6">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2.3.10</w:t>
            </w:r>
          </w:p>
        </w:tc>
        <w:tc>
          <w:tcPr>
            <w:tcW w:w="2940" w:type="dxa"/>
            <w:vAlign w:val="center"/>
          </w:tcPr>
          <w:p w14:paraId="5A964A2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生态数据关联</w:t>
            </w:r>
          </w:p>
        </w:tc>
        <w:tc>
          <w:tcPr>
            <w:tcW w:w="10334" w:type="dxa"/>
            <w:vAlign w:val="center"/>
          </w:tcPr>
          <w:p w14:paraId="52A7DEC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显示植物群落物种信息</w:t>
            </w:r>
          </w:p>
        </w:tc>
      </w:tr>
      <w:tr w14:paraId="44C8D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4A7810D4">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2.3.11</w:t>
            </w:r>
          </w:p>
        </w:tc>
        <w:tc>
          <w:tcPr>
            <w:tcW w:w="2940" w:type="dxa"/>
            <w:vAlign w:val="center"/>
          </w:tcPr>
          <w:p w14:paraId="7B2A63E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生态数据关联</w:t>
            </w:r>
          </w:p>
        </w:tc>
        <w:tc>
          <w:tcPr>
            <w:tcW w:w="10334" w:type="dxa"/>
            <w:vAlign w:val="center"/>
          </w:tcPr>
          <w:p w14:paraId="2447EC1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显示生态区域边界信息</w:t>
            </w:r>
          </w:p>
        </w:tc>
      </w:tr>
      <w:tr w14:paraId="0AFAA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68ACE46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2.4</w:t>
            </w:r>
          </w:p>
        </w:tc>
        <w:tc>
          <w:tcPr>
            <w:tcW w:w="2940" w:type="dxa"/>
            <w:noWrap/>
            <w:vAlign w:val="center"/>
          </w:tcPr>
          <w:p w14:paraId="4BC3660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实时生态数据展示</w:t>
            </w:r>
          </w:p>
        </w:tc>
        <w:tc>
          <w:tcPr>
            <w:tcW w:w="10334" w:type="dxa"/>
            <w:noWrap/>
            <w:vAlign w:val="center"/>
          </w:tcPr>
          <w:p w14:paraId="222D6113">
            <w:pPr>
              <w:spacing w:line="240" w:lineRule="auto"/>
              <w:ind w:firstLine="0" w:firstLineChars="0"/>
              <w:rPr>
                <w:rFonts w:hint="eastAsia" w:ascii="宋体" w:hAnsi="宋体" w:cs="宋体"/>
                <w:color w:val="auto"/>
                <w:sz w:val="20"/>
                <w:szCs w:val="20"/>
              </w:rPr>
            </w:pPr>
          </w:p>
        </w:tc>
      </w:tr>
      <w:tr w14:paraId="3345A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4D561907">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2.4.1</w:t>
            </w:r>
          </w:p>
        </w:tc>
        <w:tc>
          <w:tcPr>
            <w:tcW w:w="2940" w:type="dxa"/>
            <w:noWrap/>
            <w:vAlign w:val="center"/>
          </w:tcPr>
          <w:p w14:paraId="7B0B0E4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交互功能开发</w:t>
            </w:r>
          </w:p>
        </w:tc>
        <w:tc>
          <w:tcPr>
            <w:tcW w:w="10334" w:type="dxa"/>
            <w:noWrap/>
            <w:vAlign w:val="center"/>
          </w:tcPr>
          <w:p w14:paraId="722F0FA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点击数据查看详细信息功能实现</w:t>
            </w:r>
          </w:p>
        </w:tc>
      </w:tr>
      <w:tr w14:paraId="4F987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11218554">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2.4.2</w:t>
            </w:r>
          </w:p>
        </w:tc>
        <w:tc>
          <w:tcPr>
            <w:tcW w:w="2940" w:type="dxa"/>
            <w:noWrap/>
            <w:vAlign w:val="center"/>
          </w:tcPr>
          <w:p w14:paraId="4E04A55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气候信息更新</w:t>
            </w:r>
          </w:p>
        </w:tc>
        <w:tc>
          <w:tcPr>
            <w:tcW w:w="10334" w:type="dxa"/>
            <w:vAlign w:val="center"/>
          </w:tcPr>
          <w:p w14:paraId="2347821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调整实时气候信息的更新频率，为模型展示提供动态背景信息</w:t>
            </w:r>
          </w:p>
        </w:tc>
      </w:tr>
      <w:tr w14:paraId="5FA0D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28186E45">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2.4.3</w:t>
            </w:r>
          </w:p>
        </w:tc>
        <w:tc>
          <w:tcPr>
            <w:tcW w:w="2940" w:type="dxa"/>
            <w:noWrap/>
            <w:vAlign w:val="center"/>
          </w:tcPr>
          <w:p w14:paraId="4C4B0C4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数据获取与对接</w:t>
            </w:r>
          </w:p>
        </w:tc>
        <w:tc>
          <w:tcPr>
            <w:tcW w:w="10334" w:type="dxa"/>
            <w:noWrap/>
            <w:vAlign w:val="center"/>
          </w:tcPr>
          <w:p w14:paraId="7623F1D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实时气候数据接口开发（与气象数据源对接）</w:t>
            </w:r>
          </w:p>
        </w:tc>
      </w:tr>
      <w:tr w14:paraId="2EC27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38C3D7EA">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2.4.4</w:t>
            </w:r>
          </w:p>
        </w:tc>
        <w:tc>
          <w:tcPr>
            <w:tcW w:w="2940" w:type="dxa"/>
            <w:noWrap/>
            <w:vAlign w:val="center"/>
          </w:tcPr>
          <w:p w14:paraId="4C3F077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动态信息展示</w:t>
            </w:r>
          </w:p>
        </w:tc>
        <w:tc>
          <w:tcPr>
            <w:tcW w:w="10334" w:type="dxa"/>
            <w:vAlign w:val="center"/>
          </w:tcPr>
          <w:p w14:paraId="290F64A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为实时环境信息可视化添加动态元素，如温度变化曲线、湿度指示器等，增强信息展示的直观性和吸引力</w:t>
            </w:r>
          </w:p>
        </w:tc>
      </w:tr>
      <w:tr w14:paraId="6B569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76094972">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2.4.5</w:t>
            </w:r>
          </w:p>
        </w:tc>
        <w:tc>
          <w:tcPr>
            <w:tcW w:w="2940" w:type="dxa"/>
            <w:noWrap/>
            <w:vAlign w:val="center"/>
          </w:tcPr>
          <w:p w14:paraId="5D539A1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异常处理机制</w:t>
            </w:r>
          </w:p>
        </w:tc>
        <w:tc>
          <w:tcPr>
            <w:tcW w:w="10334" w:type="dxa"/>
            <w:vAlign w:val="center"/>
          </w:tcPr>
          <w:p w14:paraId="6B4B51F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设计环境信息异常时的处理机制，包括信息缺失提示、错误信息标识等，确保用户获得准确可靠的环境信息</w:t>
            </w:r>
          </w:p>
        </w:tc>
      </w:tr>
      <w:tr w14:paraId="38DE5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73448F04">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2.4.6</w:t>
            </w:r>
          </w:p>
        </w:tc>
        <w:tc>
          <w:tcPr>
            <w:tcW w:w="2940" w:type="dxa"/>
            <w:noWrap/>
            <w:vAlign w:val="center"/>
          </w:tcPr>
          <w:p w14:paraId="282F8CF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数据展示设计</w:t>
            </w:r>
          </w:p>
        </w:tc>
        <w:tc>
          <w:tcPr>
            <w:tcW w:w="10334" w:type="dxa"/>
            <w:noWrap/>
            <w:vAlign w:val="center"/>
          </w:tcPr>
          <w:p w14:paraId="433F5A4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动态展示的动画效果设计（数据变化过渡动画）</w:t>
            </w:r>
          </w:p>
        </w:tc>
      </w:tr>
      <w:tr w14:paraId="52916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442C159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2.5</w:t>
            </w:r>
          </w:p>
        </w:tc>
        <w:tc>
          <w:tcPr>
            <w:tcW w:w="2940" w:type="dxa"/>
            <w:noWrap/>
            <w:vAlign w:val="center"/>
          </w:tcPr>
          <w:p w14:paraId="6A441D5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全方位数据展示</w:t>
            </w:r>
          </w:p>
        </w:tc>
        <w:tc>
          <w:tcPr>
            <w:tcW w:w="10334" w:type="dxa"/>
            <w:noWrap/>
            <w:vAlign w:val="center"/>
          </w:tcPr>
          <w:p w14:paraId="52256465">
            <w:pPr>
              <w:spacing w:line="240" w:lineRule="auto"/>
              <w:ind w:firstLine="0" w:firstLineChars="0"/>
              <w:rPr>
                <w:rFonts w:hint="eastAsia" w:ascii="宋体" w:hAnsi="宋体" w:cs="宋体"/>
                <w:color w:val="auto"/>
                <w:sz w:val="20"/>
                <w:szCs w:val="20"/>
              </w:rPr>
            </w:pPr>
          </w:p>
        </w:tc>
      </w:tr>
      <w:tr w14:paraId="0E7B4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3066B31D">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2.5.1</w:t>
            </w:r>
          </w:p>
        </w:tc>
        <w:tc>
          <w:tcPr>
            <w:tcW w:w="2940" w:type="dxa"/>
            <w:noWrap/>
            <w:vAlign w:val="center"/>
          </w:tcPr>
          <w:p w14:paraId="6EF21B7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数据对比功能的深化开发</w:t>
            </w:r>
          </w:p>
        </w:tc>
        <w:tc>
          <w:tcPr>
            <w:tcW w:w="10334" w:type="dxa"/>
            <w:noWrap/>
            <w:vAlign w:val="center"/>
          </w:tcPr>
          <w:p w14:paraId="5914FD2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实现多组数据的对比展示与分析（如不同年份植物生长对比）</w:t>
            </w:r>
          </w:p>
        </w:tc>
      </w:tr>
      <w:tr w14:paraId="43BF3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29747C16">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2.5.2</w:t>
            </w:r>
          </w:p>
        </w:tc>
        <w:tc>
          <w:tcPr>
            <w:tcW w:w="2940" w:type="dxa"/>
            <w:noWrap/>
            <w:vAlign w:val="center"/>
          </w:tcPr>
          <w:p w14:paraId="74C91FF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数据联动功能开发</w:t>
            </w:r>
          </w:p>
        </w:tc>
        <w:tc>
          <w:tcPr>
            <w:tcW w:w="10334" w:type="dxa"/>
            <w:noWrap/>
            <w:vAlign w:val="center"/>
          </w:tcPr>
          <w:p w14:paraId="62DD68D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植物生长数据与环境数据的联动展示（如温度影响植物生长状态）</w:t>
            </w:r>
          </w:p>
        </w:tc>
      </w:tr>
      <w:tr w14:paraId="5218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1A4E2F8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2.5.3</w:t>
            </w:r>
          </w:p>
        </w:tc>
        <w:tc>
          <w:tcPr>
            <w:tcW w:w="2940" w:type="dxa"/>
            <w:noWrap/>
            <w:vAlign w:val="center"/>
          </w:tcPr>
          <w:p w14:paraId="4481088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数据联动功能开发</w:t>
            </w:r>
          </w:p>
        </w:tc>
        <w:tc>
          <w:tcPr>
            <w:tcW w:w="10334" w:type="dxa"/>
            <w:noWrap/>
            <w:vAlign w:val="center"/>
          </w:tcPr>
          <w:p w14:paraId="25312AB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不同植物生长数据之间的联动展示（对比生长趋势）</w:t>
            </w:r>
          </w:p>
        </w:tc>
      </w:tr>
      <w:tr w14:paraId="34827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19780EE3">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2.6</w:t>
            </w:r>
          </w:p>
        </w:tc>
        <w:tc>
          <w:tcPr>
            <w:tcW w:w="2940" w:type="dxa"/>
            <w:noWrap/>
            <w:vAlign w:val="center"/>
          </w:tcPr>
          <w:p w14:paraId="2DDFDAD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交互式图表与仪表盘</w:t>
            </w:r>
          </w:p>
        </w:tc>
        <w:tc>
          <w:tcPr>
            <w:tcW w:w="10334" w:type="dxa"/>
            <w:noWrap/>
            <w:vAlign w:val="center"/>
          </w:tcPr>
          <w:p w14:paraId="7FDAD1FA">
            <w:pPr>
              <w:spacing w:line="240" w:lineRule="auto"/>
              <w:ind w:firstLine="0" w:firstLineChars="0"/>
              <w:rPr>
                <w:rFonts w:hint="eastAsia" w:ascii="宋体" w:hAnsi="宋体" w:cs="宋体"/>
                <w:color w:val="auto"/>
                <w:sz w:val="20"/>
                <w:szCs w:val="20"/>
              </w:rPr>
            </w:pPr>
          </w:p>
        </w:tc>
      </w:tr>
      <w:tr w14:paraId="3E421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0C2E08DE">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2.6.1</w:t>
            </w:r>
          </w:p>
        </w:tc>
        <w:tc>
          <w:tcPr>
            <w:tcW w:w="2940" w:type="dxa"/>
            <w:noWrap/>
            <w:vAlign w:val="center"/>
          </w:tcPr>
          <w:p w14:paraId="5D16F10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交互功能开发</w:t>
            </w:r>
          </w:p>
        </w:tc>
        <w:tc>
          <w:tcPr>
            <w:tcW w:w="10334" w:type="dxa"/>
            <w:noWrap/>
            <w:vAlign w:val="center"/>
          </w:tcPr>
          <w:p w14:paraId="542AA01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按时间维度筛选图表数据功能实现</w:t>
            </w:r>
          </w:p>
        </w:tc>
      </w:tr>
      <w:tr w14:paraId="36EB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082FC53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2.6.2</w:t>
            </w:r>
          </w:p>
        </w:tc>
        <w:tc>
          <w:tcPr>
            <w:tcW w:w="2940" w:type="dxa"/>
            <w:noWrap/>
            <w:vAlign w:val="center"/>
          </w:tcPr>
          <w:p w14:paraId="2BAC6DE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交互功能开发</w:t>
            </w:r>
          </w:p>
        </w:tc>
        <w:tc>
          <w:tcPr>
            <w:tcW w:w="10334" w:type="dxa"/>
            <w:noWrap/>
            <w:vAlign w:val="center"/>
          </w:tcPr>
          <w:p w14:paraId="1100D18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按地区维度筛选图表数据功能实现</w:t>
            </w:r>
          </w:p>
        </w:tc>
      </w:tr>
      <w:tr w14:paraId="37835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0E845039">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2.6.3</w:t>
            </w:r>
          </w:p>
        </w:tc>
        <w:tc>
          <w:tcPr>
            <w:tcW w:w="2940" w:type="dxa"/>
            <w:noWrap/>
            <w:vAlign w:val="center"/>
          </w:tcPr>
          <w:p w14:paraId="0506611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交互功能开发</w:t>
            </w:r>
          </w:p>
        </w:tc>
        <w:tc>
          <w:tcPr>
            <w:tcW w:w="10334" w:type="dxa"/>
            <w:noWrap/>
            <w:vAlign w:val="center"/>
          </w:tcPr>
          <w:p w14:paraId="60C6922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按气候维度筛选图表数据功能实现</w:t>
            </w:r>
          </w:p>
        </w:tc>
      </w:tr>
      <w:tr w14:paraId="3295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43C5ACE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2.6.4</w:t>
            </w:r>
          </w:p>
        </w:tc>
        <w:tc>
          <w:tcPr>
            <w:tcW w:w="2940" w:type="dxa"/>
            <w:noWrap/>
            <w:vAlign w:val="center"/>
          </w:tcPr>
          <w:p w14:paraId="11871B5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图表的导出功能开发</w:t>
            </w:r>
          </w:p>
        </w:tc>
        <w:tc>
          <w:tcPr>
            <w:tcW w:w="10334" w:type="dxa"/>
            <w:noWrap/>
            <w:vAlign w:val="center"/>
          </w:tcPr>
          <w:p w14:paraId="072FE6D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实现图表的导出为图片功能（支持多种图片格式）</w:t>
            </w:r>
          </w:p>
        </w:tc>
      </w:tr>
      <w:tr w14:paraId="1EA2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2A316A57">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2.6.5</w:t>
            </w:r>
          </w:p>
        </w:tc>
        <w:tc>
          <w:tcPr>
            <w:tcW w:w="2940" w:type="dxa"/>
            <w:noWrap/>
            <w:vAlign w:val="center"/>
          </w:tcPr>
          <w:p w14:paraId="44C94FB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图表的导出功能开发</w:t>
            </w:r>
          </w:p>
        </w:tc>
        <w:tc>
          <w:tcPr>
            <w:tcW w:w="10334" w:type="dxa"/>
            <w:noWrap/>
            <w:vAlign w:val="center"/>
          </w:tcPr>
          <w:p w14:paraId="7A03FD9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实现图表的导出为文件功能（如 Excel 文件）</w:t>
            </w:r>
          </w:p>
        </w:tc>
      </w:tr>
      <w:tr w14:paraId="3F7B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6017B2A7">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2.6.6</w:t>
            </w:r>
          </w:p>
        </w:tc>
        <w:tc>
          <w:tcPr>
            <w:tcW w:w="2940" w:type="dxa"/>
            <w:noWrap/>
            <w:vAlign w:val="center"/>
          </w:tcPr>
          <w:p w14:paraId="082DABA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图表交互设计</w:t>
            </w:r>
          </w:p>
        </w:tc>
        <w:tc>
          <w:tcPr>
            <w:tcW w:w="10334" w:type="dxa"/>
            <w:vAlign w:val="center"/>
          </w:tcPr>
          <w:p w14:paraId="5B1DF5B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优化图表信息筛选时的交互反馈设计，提供清晰的操作提示和结果反馈，提升用户的操作体验</w:t>
            </w:r>
          </w:p>
        </w:tc>
      </w:tr>
      <w:tr w14:paraId="754A5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752352D2">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2.6.7</w:t>
            </w:r>
          </w:p>
        </w:tc>
        <w:tc>
          <w:tcPr>
            <w:tcW w:w="2940" w:type="dxa"/>
            <w:noWrap/>
            <w:vAlign w:val="center"/>
          </w:tcPr>
          <w:p w14:paraId="672D304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图表开发</w:t>
            </w:r>
          </w:p>
        </w:tc>
        <w:tc>
          <w:tcPr>
            <w:tcW w:w="10334" w:type="dxa"/>
            <w:noWrap/>
            <w:vAlign w:val="center"/>
          </w:tcPr>
          <w:p w14:paraId="4BA22CD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绘制植物生长数据折线图（高度随时间变化）</w:t>
            </w:r>
          </w:p>
        </w:tc>
      </w:tr>
      <w:tr w14:paraId="439D4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413BC4C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2.6.8</w:t>
            </w:r>
          </w:p>
        </w:tc>
        <w:tc>
          <w:tcPr>
            <w:tcW w:w="2940" w:type="dxa"/>
            <w:noWrap/>
            <w:vAlign w:val="center"/>
          </w:tcPr>
          <w:p w14:paraId="2CF984A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图表开发</w:t>
            </w:r>
          </w:p>
        </w:tc>
        <w:tc>
          <w:tcPr>
            <w:tcW w:w="10334" w:type="dxa"/>
            <w:noWrap/>
            <w:vAlign w:val="center"/>
          </w:tcPr>
          <w:p w14:paraId="7B63AE0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绘制植物生长数据柱状图（叶面积对比）</w:t>
            </w:r>
          </w:p>
        </w:tc>
      </w:tr>
      <w:tr w14:paraId="6DEDE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02C7E8C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2.6.9</w:t>
            </w:r>
          </w:p>
        </w:tc>
        <w:tc>
          <w:tcPr>
            <w:tcW w:w="2940" w:type="dxa"/>
            <w:noWrap/>
            <w:vAlign w:val="center"/>
          </w:tcPr>
          <w:p w14:paraId="4A38B96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图表开发</w:t>
            </w:r>
          </w:p>
        </w:tc>
        <w:tc>
          <w:tcPr>
            <w:tcW w:w="10334" w:type="dxa"/>
            <w:noWrap/>
            <w:vAlign w:val="center"/>
          </w:tcPr>
          <w:p w14:paraId="7D2EAD3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绘制生态环境数据热力图（温度分布）</w:t>
            </w:r>
          </w:p>
        </w:tc>
      </w:tr>
      <w:tr w14:paraId="4C802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5A987C9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2.6.10</w:t>
            </w:r>
          </w:p>
        </w:tc>
        <w:tc>
          <w:tcPr>
            <w:tcW w:w="2940" w:type="dxa"/>
            <w:noWrap/>
            <w:vAlign w:val="center"/>
          </w:tcPr>
          <w:p w14:paraId="26F0B24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图表开发</w:t>
            </w:r>
          </w:p>
        </w:tc>
        <w:tc>
          <w:tcPr>
            <w:tcW w:w="10334" w:type="dxa"/>
            <w:noWrap/>
            <w:vAlign w:val="center"/>
          </w:tcPr>
          <w:p w14:paraId="7AF5211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绘制生态环境数据饼图（各生态因子占比）</w:t>
            </w:r>
          </w:p>
        </w:tc>
      </w:tr>
      <w:tr w14:paraId="7AD1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6A705B9C">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2.7</w:t>
            </w:r>
          </w:p>
        </w:tc>
        <w:tc>
          <w:tcPr>
            <w:tcW w:w="2940" w:type="dxa"/>
            <w:noWrap/>
            <w:vAlign w:val="center"/>
          </w:tcPr>
          <w:p w14:paraId="7377666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智能数据筛选与查询</w:t>
            </w:r>
          </w:p>
        </w:tc>
        <w:tc>
          <w:tcPr>
            <w:tcW w:w="10334" w:type="dxa"/>
            <w:noWrap/>
            <w:vAlign w:val="center"/>
          </w:tcPr>
          <w:p w14:paraId="46A18658">
            <w:pPr>
              <w:spacing w:line="240" w:lineRule="auto"/>
              <w:ind w:firstLine="0" w:firstLineChars="0"/>
              <w:rPr>
                <w:rFonts w:hint="eastAsia" w:ascii="宋体" w:hAnsi="宋体" w:cs="宋体"/>
                <w:color w:val="auto"/>
                <w:sz w:val="20"/>
                <w:szCs w:val="20"/>
              </w:rPr>
            </w:pPr>
          </w:p>
        </w:tc>
      </w:tr>
      <w:tr w14:paraId="34D5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5D0055F9">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2.7.1</w:t>
            </w:r>
          </w:p>
        </w:tc>
        <w:tc>
          <w:tcPr>
            <w:tcW w:w="2940" w:type="dxa"/>
            <w:noWrap/>
            <w:vAlign w:val="center"/>
          </w:tcPr>
          <w:p w14:paraId="70EF28A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查询功能开发</w:t>
            </w:r>
          </w:p>
        </w:tc>
        <w:tc>
          <w:tcPr>
            <w:tcW w:w="10334" w:type="dxa"/>
            <w:noWrap/>
            <w:vAlign w:val="center"/>
          </w:tcPr>
          <w:p w14:paraId="21F8019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数据模糊查询功能实现</w:t>
            </w:r>
          </w:p>
        </w:tc>
      </w:tr>
      <w:tr w14:paraId="14EA5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0BBE604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2.7.2</w:t>
            </w:r>
          </w:p>
        </w:tc>
        <w:tc>
          <w:tcPr>
            <w:tcW w:w="2940" w:type="dxa"/>
            <w:noWrap/>
            <w:vAlign w:val="center"/>
          </w:tcPr>
          <w:p w14:paraId="21806CF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查询功能开发</w:t>
            </w:r>
          </w:p>
        </w:tc>
        <w:tc>
          <w:tcPr>
            <w:tcW w:w="10334" w:type="dxa"/>
            <w:noWrap/>
            <w:vAlign w:val="center"/>
          </w:tcPr>
          <w:p w14:paraId="56E2270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数据精确查询功能实现</w:t>
            </w:r>
          </w:p>
        </w:tc>
      </w:tr>
      <w:tr w14:paraId="5AD13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7C7C5BDC">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2.7.3</w:t>
            </w:r>
          </w:p>
        </w:tc>
        <w:tc>
          <w:tcPr>
            <w:tcW w:w="2940" w:type="dxa"/>
            <w:noWrap/>
            <w:vAlign w:val="center"/>
          </w:tcPr>
          <w:p w14:paraId="49DCFA3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植物类型筛选</w:t>
            </w:r>
          </w:p>
        </w:tc>
        <w:tc>
          <w:tcPr>
            <w:tcW w:w="10334" w:type="dxa"/>
            <w:vAlign w:val="center"/>
          </w:tcPr>
          <w:p w14:paraId="3D78BE9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实现按植物类型筛选模型的功能，用户可以快速找到特定种类的植物模型进行观察和研究</w:t>
            </w:r>
          </w:p>
        </w:tc>
      </w:tr>
      <w:tr w14:paraId="656EF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26D4873F">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2.7.4</w:t>
            </w:r>
          </w:p>
        </w:tc>
        <w:tc>
          <w:tcPr>
            <w:tcW w:w="2940" w:type="dxa"/>
            <w:noWrap/>
            <w:vAlign w:val="center"/>
          </w:tcPr>
          <w:p w14:paraId="4255535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生态区域筛选</w:t>
            </w:r>
          </w:p>
        </w:tc>
        <w:tc>
          <w:tcPr>
            <w:tcW w:w="10334" w:type="dxa"/>
            <w:vAlign w:val="center"/>
          </w:tcPr>
          <w:p w14:paraId="5E6A966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开发按生态区域筛选模型的功能，帮助用户了解不同生态环境中的植物分布和特征差异</w:t>
            </w:r>
          </w:p>
        </w:tc>
      </w:tr>
      <w:tr w14:paraId="355BC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6E17E4DE">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2.7.5</w:t>
            </w:r>
          </w:p>
        </w:tc>
        <w:tc>
          <w:tcPr>
            <w:tcW w:w="2940" w:type="dxa"/>
            <w:noWrap/>
            <w:vAlign w:val="center"/>
          </w:tcPr>
          <w:p w14:paraId="25B4114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气候条件筛选</w:t>
            </w:r>
          </w:p>
        </w:tc>
        <w:tc>
          <w:tcPr>
            <w:tcW w:w="10334" w:type="dxa"/>
            <w:vAlign w:val="center"/>
          </w:tcPr>
          <w:p w14:paraId="0807E21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实现按气候条件筛选植物模型的功能，展示不同气候环境下植物的适应性特征和生长状态</w:t>
            </w:r>
          </w:p>
        </w:tc>
      </w:tr>
      <w:tr w14:paraId="625F1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1C8905C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2.7.6</w:t>
            </w:r>
          </w:p>
        </w:tc>
        <w:tc>
          <w:tcPr>
            <w:tcW w:w="2940" w:type="dxa"/>
            <w:noWrap/>
            <w:vAlign w:val="center"/>
          </w:tcPr>
          <w:p w14:paraId="4FB006B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组合筛选功能</w:t>
            </w:r>
          </w:p>
        </w:tc>
        <w:tc>
          <w:tcPr>
            <w:tcW w:w="10334" w:type="dxa"/>
            <w:vAlign w:val="center"/>
          </w:tcPr>
          <w:p w14:paraId="2EFDE59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开发多条件组合筛选功能，用户可以同时按照多个条件筛选植物模型，提高检索的精确性和效率</w:t>
            </w:r>
          </w:p>
        </w:tc>
      </w:tr>
      <w:tr w14:paraId="30594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76121B7D">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2.8</w:t>
            </w:r>
          </w:p>
        </w:tc>
        <w:tc>
          <w:tcPr>
            <w:tcW w:w="2940" w:type="dxa"/>
            <w:noWrap/>
            <w:vAlign w:val="center"/>
          </w:tcPr>
          <w:p w14:paraId="2FB5810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植物交互</w:t>
            </w:r>
          </w:p>
        </w:tc>
        <w:tc>
          <w:tcPr>
            <w:tcW w:w="10334" w:type="dxa"/>
            <w:noWrap/>
            <w:vAlign w:val="center"/>
          </w:tcPr>
          <w:p w14:paraId="61238B55">
            <w:pPr>
              <w:spacing w:line="240" w:lineRule="auto"/>
              <w:ind w:firstLine="0" w:firstLineChars="0"/>
              <w:rPr>
                <w:rFonts w:hint="eastAsia" w:ascii="宋体" w:hAnsi="宋体" w:cs="宋体"/>
                <w:color w:val="auto"/>
                <w:sz w:val="20"/>
                <w:szCs w:val="20"/>
              </w:rPr>
            </w:pPr>
          </w:p>
        </w:tc>
      </w:tr>
      <w:tr w14:paraId="25B3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6C5D2FF6">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2.8.1</w:t>
            </w:r>
          </w:p>
        </w:tc>
        <w:tc>
          <w:tcPr>
            <w:tcW w:w="2940" w:type="dxa"/>
            <w:noWrap/>
            <w:vAlign w:val="center"/>
          </w:tcPr>
          <w:p w14:paraId="4E05E44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声音反馈系统</w:t>
            </w:r>
          </w:p>
        </w:tc>
        <w:tc>
          <w:tcPr>
            <w:tcW w:w="10334" w:type="dxa"/>
            <w:vAlign w:val="center"/>
          </w:tcPr>
          <w:p w14:paraId="531377F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为植物模型点击交互添加声音反馈，增强用户的沉浸式体验</w:t>
            </w:r>
          </w:p>
        </w:tc>
      </w:tr>
      <w:tr w14:paraId="456B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0310B654">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2.8.2</w:t>
            </w:r>
          </w:p>
        </w:tc>
        <w:tc>
          <w:tcPr>
            <w:tcW w:w="2940" w:type="dxa"/>
            <w:noWrap/>
            <w:vAlign w:val="center"/>
          </w:tcPr>
          <w:p w14:paraId="332F63C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交互功能开发</w:t>
            </w:r>
          </w:p>
        </w:tc>
        <w:tc>
          <w:tcPr>
            <w:tcW w:w="10334" w:type="dxa"/>
            <w:noWrap/>
            <w:vAlign w:val="center"/>
          </w:tcPr>
          <w:p w14:paraId="3C14543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点击虚拟植物模型查看生长状态信息功能实现</w:t>
            </w:r>
          </w:p>
        </w:tc>
      </w:tr>
      <w:tr w14:paraId="4010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54187D46">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2.8.3</w:t>
            </w:r>
          </w:p>
        </w:tc>
        <w:tc>
          <w:tcPr>
            <w:tcW w:w="2940" w:type="dxa"/>
            <w:noWrap/>
            <w:vAlign w:val="center"/>
          </w:tcPr>
          <w:p w14:paraId="4A8AD36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交互功能开发</w:t>
            </w:r>
          </w:p>
        </w:tc>
        <w:tc>
          <w:tcPr>
            <w:tcW w:w="10334" w:type="dxa"/>
            <w:noWrap/>
            <w:vAlign w:val="center"/>
          </w:tcPr>
          <w:p w14:paraId="4ADBE7C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点击虚拟植物模型查看物种信息功能实现</w:t>
            </w:r>
          </w:p>
        </w:tc>
      </w:tr>
      <w:tr w14:paraId="4318C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5FAEA5A2">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2.8.4</w:t>
            </w:r>
          </w:p>
        </w:tc>
        <w:tc>
          <w:tcPr>
            <w:tcW w:w="2940" w:type="dxa"/>
            <w:noWrap/>
            <w:vAlign w:val="center"/>
          </w:tcPr>
          <w:p w14:paraId="4A151E8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交互功能开发</w:t>
            </w:r>
          </w:p>
        </w:tc>
        <w:tc>
          <w:tcPr>
            <w:tcW w:w="10334" w:type="dxa"/>
            <w:noWrap/>
            <w:vAlign w:val="center"/>
          </w:tcPr>
          <w:p w14:paraId="27400ED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拖动虚拟植物模型交互逻辑开发</w:t>
            </w:r>
          </w:p>
        </w:tc>
      </w:tr>
      <w:tr w14:paraId="1D338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27CEBC3F">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2.8.5</w:t>
            </w:r>
          </w:p>
        </w:tc>
        <w:tc>
          <w:tcPr>
            <w:tcW w:w="2940" w:type="dxa"/>
            <w:noWrap/>
            <w:vAlign w:val="center"/>
          </w:tcPr>
          <w:p w14:paraId="4118854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植物生长过程的动态展示开发</w:t>
            </w:r>
          </w:p>
        </w:tc>
        <w:tc>
          <w:tcPr>
            <w:tcW w:w="10334" w:type="dxa"/>
            <w:noWrap/>
            <w:vAlign w:val="center"/>
          </w:tcPr>
          <w:p w14:paraId="64BD6D6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植物生长过程中不同阶段的信息展示（生长周期信息）</w:t>
            </w:r>
          </w:p>
        </w:tc>
      </w:tr>
      <w:tr w14:paraId="03D2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5DCB5882">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2.8.6</w:t>
            </w:r>
          </w:p>
        </w:tc>
        <w:tc>
          <w:tcPr>
            <w:tcW w:w="2940" w:type="dxa"/>
            <w:noWrap/>
            <w:vAlign w:val="center"/>
          </w:tcPr>
          <w:p w14:paraId="5D0F59B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植物信息展示的优化</w:t>
            </w:r>
          </w:p>
        </w:tc>
        <w:tc>
          <w:tcPr>
            <w:tcW w:w="10334" w:type="dxa"/>
            <w:noWrap/>
            <w:vAlign w:val="center"/>
          </w:tcPr>
          <w:p w14:paraId="30F220F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植物详细信息展示页面的布局优化（排版调整）</w:t>
            </w:r>
          </w:p>
        </w:tc>
      </w:tr>
      <w:tr w14:paraId="26367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4CED47F3">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2.9</w:t>
            </w:r>
          </w:p>
        </w:tc>
        <w:tc>
          <w:tcPr>
            <w:tcW w:w="2940" w:type="dxa"/>
            <w:noWrap/>
            <w:vAlign w:val="center"/>
          </w:tcPr>
          <w:p w14:paraId="45EE0A5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生态区域切换</w:t>
            </w:r>
          </w:p>
        </w:tc>
        <w:tc>
          <w:tcPr>
            <w:tcW w:w="10334" w:type="dxa"/>
            <w:noWrap/>
            <w:vAlign w:val="center"/>
          </w:tcPr>
          <w:p w14:paraId="580ECBD9">
            <w:pPr>
              <w:spacing w:line="240" w:lineRule="auto"/>
              <w:ind w:firstLine="0" w:firstLineChars="0"/>
              <w:rPr>
                <w:rFonts w:hint="eastAsia" w:ascii="宋体" w:hAnsi="宋体" w:cs="宋体"/>
                <w:color w:val="auto"/>
                <w:sz w:val="20"/>
                <w:szCs w:val="20"/>
              </w:rPr>
            </w:pPr>
          </w:p>
        </w:tc>
      </w:tr>
      <w:tr w14:paraId="5373F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11B8233C">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2.9.1</w:t>
            </w:r>
          </w:p>
        </w:tc>
        <w:tc>
          <w:tcPr>
            <w:tcW w:w="2940" w:type="dxa"/>
            <w:noWrap/>
            <w:vAlign w:val="center"/>
          </w:tcPr>
          <w:p w14:paraId="602C67E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区域切换功能实现</w:t>
            </w:r>
          </w:p>
        </w:tc>
        <w:tc>
          <w:tcPr>
            <w:tcW w:w="10334" w:type="dxa"/>
            <w:noWrap/>
            <w:vAlign w:val="center"/>
          </w:tcPr>
          <w:p w14:paraId="229AB7C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不同虚拟生态区域加载逻辑开发</w:t>
            </w:r>
          </w:p>
        </w:tc>
      </w:tr>
      <w:tr w14:paraId="6012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2278EB76">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2.9.2</w:t>
            </w:r>
          </w:p>
        </w:tc>
        <w:tc>
          <w:tcPr>
            <w:tcW w:w="2940" w:type="dxa"/>
            <w:noWrap/>
            <w:vAlign w:val="center"/>
          </w:tcPr>
          <w:p w14:paraId="13EDD07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区域切换动画</w:t>
            </w:r>
          </w:p>
        </w:tc>
        <w:tc>
          <w:tcPr>
            <w:tcW w:w="10334" w:type="dxa"/>
            <w:vAlign w:val="center"/>
          </w:tcPr>
          <w:p w14:paraId="2563C48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设计生态区域切换的过渡效果，包括场景渐变、模型淡入淡出等视觉效果，提供流畅的区域转换体验</w:t>
            </w:r>
          </w:p>
        </w:tc>
      </w:tr>
      <w:tr w14:paraId="71102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37DA9EA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2.9.3</w:t>
            </w:r>
          </w:p>
        </w:tc>
        <w:tc>
          <w:tcPr>
            <w:tcW w:w="2940" w:type="dxa"/>
            <w:noWrap/>
            <w:vAlign w:val="center"/>
          </w:tcPr>
          <w:p w14:paraId="5905DA7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植物分布加载</w:t>
            </w:r>
          </w:p>
        </w:tc>
        <w:tc>
          <w:tcPr>
            <w:tcW w:w="10334" w:type="dxa"/>
            <w:vAlign w:val="center"/>
          </w:tcPr>
          <w:p w14:paraId="509BDB7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优化区域切换时植物分布模型的加载机制，确保新区域植物模型的快速加载和流畅显示</w:t>
            </w:r>
          </w:p>
        </w:tc>
      </w:tr>
      <w:tr w14:paraId="77FFF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13BCA6F9">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2.9.4</w:t>
            </w:r>
          </w:p>
        </w:tc>
        <w:tc>
          <w:tcPr>
            <w:tcW w:w="2940" w:type="dxa"/>
            <w:noWrap/>
            <w:vAlign w:val="center"/>
          </w:tcPr>
          <w:p w14:paraId="475E510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生态环境加载</w:t>
            </w:r>
          </w:p>
        </w:tc>
        <w:tc>
          <w:tcPr>
            <w:tcW w:w="10334" w:type="dxa"/>
            <w:vAlign w:val="center"/>
          </w:tcPr>
          <w:p w14:paraId="0857910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优化区域切换时生态环境模型的加载机制，包括地形、气候、土壤等环境要素的高效加载</w:t>
            </w:r>
          </w:p>
        </w:tc>
      </w:tr>
      <w:tr w14:paraId="38899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31867E5D">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2.9.5</w:t>
            </w:r>
          </w:p>
        </w:tc>
        <w:tc>
          <w:tcPr>
            <w:tcW w:w="2940" w:type="dxa"/>
            <w:noWrap/>
            <w:vAlign w:val="center"/>
          </w:tcPr>
          <w:p w14:paraId="0FAA800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区域音效设计</w:t>
            </w:r>
          </w:p>
        </w:tc>
        <w:tc>
          <w:tcPr>
            <w:tcW w:w="10334" w:type="dxa"/>
            <w:vAlign w:val="center"/>
          </w:tcPr>
          <w:p w14:paraId="1AFED9B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为不同生态区域设计特色音效，如森林鸟鸣、草原风声等，增强不同环境的氛围感和真实感</w:t>
            </w:r>
          </w:p>
        </w:tc>
      </w:tr>
      <w:tr w14:paraId="3ADD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113035E3">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2.9.6</w:t>
            </w:r>
          </w:p>
        </w:tc>
        <w:tc>
          <w:tcPr>
            <w:tcW w:w="2940" w:type="dxa"/>
            <w:noWrap/>
            <w:vAlign w:val="center"/>
          </w:tcPr>
          <w:p w14:paraId="018FF35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过渡音效制作</w:t>
            </w:r>
          </w:p>
        </w:tc>
        <w:tc>
          <w:tcPr>
            <w:tcW w:w="10334" w:type="dxa"/>
            <w:vAlign w:val="center"/>
          </w:tcPr>
          <w:p w14:paraId="0A7670E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制作区域切换过程中的过渡音效，实现音效的渐变效果，确保区域转换时听觉体验的连续性</w:t>
            </w:r>
          </w:p>
        </w:tc>
      </w:tr>
      <w:tr w14:paraId="76F5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6E75BA7E">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2.10</w:t>
            </w:r>
          </w:p>
        </w:tc>
        <w:tc>
          <w:tcPr>
            <w:tcW w:w="2940" w:type="dxa"/>
            <w:noWrap/>
            <w:vAlign w:val="center"/>
          </w:tcPr>
          <w:p w14:paraId="35806E8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虚拟场景导航</w:t>
            </w:r>
          </w:p>
        </w:tc>
        <w:tc>
          <w:tcPr>
            <w:tcW w:w="10334" w:type="dxa"/>
            <w:noWrap/>
            <w:vAlign w:val="center"/>
          </w:tcPr>
          <w:p w14:paraId="1B1C3916">
            <w:pPr>
              <w:spacing w:line="240" w:lineRule="auto"/>
              <w:ind w:firstLine="0" w:firstLineChars="0"/>
              <w:rPr>
                <w:rFonts w:hint="eastAsia" w:ascii="宋体" w:hAnsi="宋体" w:cs="宋体"/>
                <w:color w:val="auto"/>
                <w:sz w:val="20"/>
                <w:szCs w:val="20"/>
              </w:rPr>
            </w:pPr>
          </w:p>
        </w:tc>
      </w:tr>
      <w:tr w14:paraId="3C65E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3140370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2.10.1</w:t>
            </w:r>
          </w:p>
        </w:tc>
        <w:tc>
          <w:tcPr>
            <w:tcW w:w="2940" w:type="dxa"/>
            <w:noWrap/>
            <w:vAlign w:val="center"/>
          </w:tcPr>
          <w:p w14:paraId="078AB69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导航地图更新功能开发</w:t>
            </w:r>
          </w:p>
        </w:tc>
        <w:tc>
          <w:tcPr>
            <w:tcW w:w="10334" w:type="dxa"/>
            <w:noWrap/>
            <w:vAlign w:val="center"/>
          </w:tcPr>
          <w:p w14:paraId="6F8AC20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虚拟地图的实时更新功能实现（如植物分布变化时）</w:t>
            </w:r>
          </w:p>
        </w:tc>
      </w:tr>
      <w:tr w14:paraId="28349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2D7AA439">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2.10.2</w:t>
            </w:r>
          </w:p>
        </w:tc>
        <w:tc>
          <w:tcPr>
            <w:tcW w:w="2940" w:type="dxa"/>
            <w:noWrap/>
            <w:vAlign w:val="center"/>
          </w:tcPr>
          <w:p w14:paraId="54FAF9B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导航功能开发</w:t>
            </w:r>
          </w:p>
        </w:tc>
        <w:tc>
          <w:tcPr>
            <w:tcW w:w="10334" w:type="dxa"/>
            <w:noWrap/>
            <w:vAlign w:val="center"/>
          </w:tcPr>
          <w:p w14:paraId="3B4BE27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虚拟地图绘制（包含植物分布信息）</w:t>
            </w:r>
          </w:p>
        </w:tc>
      </w:tr>
      <w:tr w14:paraId="5083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0411913E">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2.10.3</w:t>
            </w:r>
          </w:p>
        </w:tc>
        <w:tc>
          <w:tcPr>
            <w:tcW w:w="2940" w:type="dxa"/>
            <w:noWrap/>
            <w:vAlign w:val="center"/>
          </w:tcPr>
          <w:p w14:paraId="30FD98A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导航功能开发</w:t>
            </w:r>
          </w:p>
        </w:tc>
        <w:tc>
          <w:tcPr>
            <w:tcW w:w="10334" w:type="dxa"/>
            <w:noWrap/>
            <w:vAlign w:val="center"/>
          </w:tcPr>
          <w:p w14:paraId="0BD5B05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虚拟地图兴趣点标注（植物群落、特殊景观等）</w:t>
            </w:r>
          </w:p>
        </w:tc>
      </w:tr>
      <w:tr w14:paraId="49357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67F362F4">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2.10.4</w:t>
            </w:r>
          </w:p>
        </w:tc>
        <w:tc>
          <w:tcPr>
            <w:tcW w:w="2940" w:type="dxa"/>
            <w:noWrap/>
            <w:vAlign w:val="center"/>
          </w:tcPr>
          <w:p w14:paraId="7F28233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导航功能开发</w:t>
            </w:r>
          </w:p>
        </w:tc>
        <w:tc>
          <w:tcPr>
            <w:tcW w:w="10334" w:type="dxa"/>
            <w:noWrap/>
            <w:vAlign w:val="center"/>
          </w:tcPr>
          <w:p w14:paraId="41DB3F5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快速定位功能实现（输入坐标定位）</w:t>
            </w:r>
          </w:p>
        </w:tc>
      </w:tr>
      <w:tr w14:paraId="79942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228866E4">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2.10.5</w:t>
            </w:r>
          </w:p>
        </w:tc>
        <w:tc>
          <w:tcPr>
            <w:tcW w:w="2940" w:type="dxa"/>
            <w:noWrap/>
            <w:vAlign w:val="center"/>
          </w:tcPr>
          <w:p w14:paraId="65E007A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快速导航功能</w:t>
            </w:r>
          </w:p>
        </w:tc>
        <w:tc>
          <w:tcPr>
            <w:tcW w:w="10334" w:type="dxa"/>
            <w:vAlign w:val="center"/>
          </w:tcPr>
          <w:p w14:paraId="5E926EC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开发跳转至感兴趣区域的快速导航功能，用户可以通过地图或列表快速定位到目标植物或环境区域</w:t>
            </w:r>
          </w:p>
        </w:tc>
      </w:tr>
      <w:tr w14:paraId="174B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44D1D5C3">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2.11</w:t>
            </w:r>
          </w:p>
        </w:tc>
        <w:tc>
          <w:tcPr>
            <w:tcW w:w="2940" w:type="dxa"/>
            <w:noWrap/>
            <w:vAlign w:val="center"/>
          </w:tcPr>
          <w:p w14:paraId="4102703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三维空间展示</w:t>
            </w:r>
          </w:p>
        </w:tc>
        <w:tc>
          <w:tcPr>
            <w:tcW w:w="10334" w:type="dxa"/>
            <w:noWrap/>
            <w:vAlign w:val="center"/>
          </w:tcPr>
          <w:p w14:paraId="159871D6">
            <w:pPr>
              <w:spacing w:line="240" w:lineRule="auto"/>
              <w:ind w:firstLine="0" w:firstLineChars="0"/>
              <w:rPr>
                <w:rFonts w:hint="eastAsia" w:ascii="宋体" w:hAnsi="宋体" w:cs="宋体"/>
                <w:color w:val="auto"/>
                <w:sz w:val="20"/>
                <w:szCs w:val="20"/>
              </w:rPr>
            </w:pPr>
          </w:p>
        </w:tc>
      </w:tr>
      <w:tr w14:paraId="7486B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4E495A5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2.11.1</w:t>
            </w:r>
          </w:p>
        </w:tc>
        <w:tc>
          <w:tcPr>
            <w:tcW w:w="2940" w:type="dxa"/>
            <w:noWrap/>
            <w:vAlign w:val="center"/>
          </w:tcPr>
          <w:p w14:paraId="6F1C3A2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操作精准度提升</w:t>
            </w:r>
          </w:p>
        </w:tc>
        <w:tc>
          <w:tcPr>
            <w:tcW w:w="10334" w:type="dxa"/>
            <w:vAlign w:val="center"/>
          </w:tcPr>
          <w:p w14:paraId="28EF2BD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提升生态模型操作的精准度，优化鼠标和触控操作的响应精度，确保用户能够准确选择和操作目标模型</w:t>
            </w:r>
          </w:p>
        </w:tc>
      </w:tr>
      <w:tr w14:paraId="09AC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6E897B44">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2.11.2</w:t>
            </w:r>
          </w:p>
        </w:tc>
        <w:tc>
          <w:tcPr>
            <w:tcW w:w="2940" w:type="dxa"/>
            <w:noWrap/>
            <w:vAlign w:val="center"/>
          </w:tcPr>
          <w:p w14:paraId="2B4AC09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模型旋转控制</w:t>
            </w:r>
          </w:p>
        </w:tc>
        <w:tc>
          <w:tcPr>
            <w:tcW w:w="10334" w:type="dxa"/>
            <w:vAlign w:val="center"/>
          </w:tcPr>
          <w:p w14:paraId="6DCB0F1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实现虚拟植物模型的旋转操作功能，用户可以360度旋转模型，从多个角度观察植物的形态特征</w:t>
            </w:r>
          </w:p>
        </w:tc>
      </w:tr>
      <w:tr w14:paraId="30B5C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365C34A7">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2.11.3</w:t>
            </w:r>
          </w:p>
        </w:tc>
        <w:tc>
          <w:tcPr>
            <w:tcW w:w="2940" w:type="dxa"/>
            <w:noWrap/>
            <w:vAlign w:val="center"/>
          </w:tcPr>
          <w:p w14:paraId="0A5CC03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模型缩放控制</w:t>
            </w:r>
          </w:p>
        </w:tc>
        <w:tc>
          <w:tcPr>
            <w:tcW w:w="10334" w:type="dxa"/>
            <w:vAlign w:val="center"/>
          </w:tcPr>
          <w:p w14:paraId="2347A84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开发虚拟植物模型的缩放操作功能，允许用户放大缩小模型，观察从整体到细节的不同层次特征</w:t>
            </w:r>
          </w:p>
        </w:tc>
      </w:tr>
      <w:tr w14:paraId="0BA92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48F94999">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2.11.4</w:t>
            </w:r>
          </w:p>
        </w:tc>
        <w:tc>
          <w:tcPr>
            <w:tcW w:w="2940" w:type="dxa"/>
            <w:noWrap/>
            <w:vAlign w:val="center"/>
          </w:tcPr>
          <w:p w14:paraId="1E89414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模型移动控制</w:t>
            </w:r>
          </w:p>
        </w:tc>
        <w:tc>
          <w:tcPr>
            <w:tcW w:w="10334" w:type="dxa"/>
            <w:vAlign w:val="center"/>
          </w:tcPr>
          <w:p w14:paraId="1299502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实现虚拟植物模型在场景中的移动操作，用户可以调整植物在环境中的位置，观察不同位置的生长效果</w:t>
            </w:r>
          </w:p>
        </w:tc>
      </w:tr>
      <w:tr w14:paraId="185BC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7259347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2.11.5</w:t>
            </w:r>
          </w:p>
        </w:tc>
        <w:tc>
          <w:tcPr>
            <w:tcW w:w="2940" w:type="dxa"/>
            <w:noWrap/>
            <w:vAlign w:val="center"/>
          </w:tcPr>
          <w:p w14:paraId="633EC29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生态场景旋转</w:t>
            </w:r>
          </w:p>
        </w:tc>
        <w:tc>
          <w:tcPr>
            <w:tcW w:w="10334" w:type="dxa"/>
            <w:vAlign w:val="center"/>
          </w:tcPr>
          <w:p w14:paraId="79BB594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实现生态模型的整体旋转操作，用户可以旋转整个生态场景，从不同角度观察生态系统的整体布局</w:t>
            </w:r>
          </w:p>
        </w:tc>
      </w:tr>
      <w:tr w14:paraId="0252A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14DF3B7E">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2.11.6</w:t>
            </w:r>
          </w:p>
        </w:tc>
        <w:tc>
          <w:tcPr>
            <w:tcW w:w="2940" w:type="dxa"/>
            <w:noWrap/>
            <w:vAlign w:val="center"/>
          </w:tcPr>
          <w:p w14:paraId="52FA1FA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生态场景缩放</w:t>
            </w:r>
          </w:p>
        </w:tc>
        <w:tc>
          <w:tcPr>
            <w:tcW w:w="10334" w:type="dxa"/>
            <w:vAlign w:val="center"/>
          </w:tcPr>
          <w:p w14:paraId="609DED9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开发生态模型的缩放操作功能，允许用户调整整个生态场景的显示大小，适应不同的观察需求</w:t>
            </w:r>
          </w:p>
        </w:tc>
      </w:tr>
      <w:tr w14:paraId="7E6D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392C832F">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2.11.7</w:t>
            </w:r>
          </w:p>
        </w:tc>
        <w:tc>
          <w:tcPr>
            <w:tcW w:w="2940" w:type="dxa"/>
            <w:noWrap/>
            <w:vAlign w:val="center"/>
          </w:tcPr>
          <w:p w14:paraId="7BB16B4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生态场景移动</w:t>
            </w:r>
          </w:p>
        </w:tc>
        <w:tc>
          <w:tcPr>
            <w:tcW w:w="10334" w:type="dxa"/>
            <w:vAlign w:val="center"/>
          </w:tcPr>
          <w:p w14:paraId="606D856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实现生态模型的移动操作功能，用户可以平移整个生态场景，观察不同区域的生态环境特征</w:t>
            </w:r>
          </w:p>
        </w:tc>
      </w:tr>
      <w:tr w14:paraId="1134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41E2FB05">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2.11.8</w:t>
            </w:r>
          </w:p>
        </w:tc>
        <w:tc>
          <w:tcPr>
            <w:tcW w:w="2940" w:type="dxa"/>
            <w:noWrap/>
            <w:vAlign w:val="center"/>
          </w:tcPr>
          <w:p w14:paraId="3BC4B55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缩放灵敏度调节</w:t>
            </w:r>
          </w:p>
        </w:tc>
        <w:tc>
          <w:tcPr>
            <w:tcW w:w="10334" w:type="dxa"/>
            <w:vAlign w:val="center"/>
          </w:tcPr>
          <w:p w14:paraId="046D081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调节虚拟植物模型缩放操作的灵敏度参数，提供更加精确和舒适的缩放操作体验，满足不同用户的操作习惯</w:t>
            </w:r>
          </w:p>
        </w:tc>
      </w:tr>
      <w:tr w14:paraId="23A7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1AE31E65">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2.11.9</w:t>
            </w:r>
          </w:p>
        </w:tc>
        <w:tc>
          <w:tcPr>
            <w:tcW w:w="2940" w:type="dxa"/>
            <w:noWrap/>
            <w:vAlign w:val="center"/>
          </w:tcPr>
          <w:p w14:paraId="1611BBC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透明度控制系统</w:t>
            </w:r>
          </w:p>
        </w:tc>
        <w:tc>
          <w:tcPr>
            <w:tcW w:w="10334" w:type="dxa"/>
            <w:vAlign w:val="center"/>
          </w:tcPr>
          <w:p w14:paraId="415E2FF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开发虚拟植物与生态模型的透明度调整功能，用户可以调节模型的透明度来观察内部结构或重叠部分</w:t>
            </w:r>
          </w:p>
        </w:tc>
      </w:tr>
      <w:tr w14:paraId="7DB7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6C18E67A">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2.11.10</w:t>
            </w:r>
          </w:p>
        </w:tc>
        <w:tc>
          <w:tcPr>
            <w:tcW w:w="2940" w:type="dxa"/>
            <w:noWrap/>
            <w:vAlign w:val="center"/>
          </w:tcPr>
          <w:p w14:paraId="124EBF4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虚拟模型的透明度调整功能开发</w:t>
            </w:r>
          </w:p>
        </w:tc>
        <w:tc>
          <w:tcPr>
            <w:tcW w:w="10334" w:type="dxa"/>
            <w:noWrap/>
            <w:vAlign w:val="center"/>
          </w:tcPr>
          <w:p w14:paraId="720D8C8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设计透明度调整的交互方式（如滑块控制）</w:t>
            </w:r>
          </w:p>
        </w:tc>
      </w:tr>
      <w:tr w14:paraId="750B8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7E0E902E">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2.12</w:t>
            </w:r>
          </w:p>
        </w:tc>
        <w:tc>
          <w:tcPr>
            <w:tcW w:w="2940" w:type="dxa"/>
            <w:noWrap/>
            <w:vAlign w:val="center"/>
          </w:tcPr>
          <w:p w14:paraId="0FBE3EC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虚拟现实设备支持</w:t>
            </w:r>
          </w:p>
        </w:tc>
        <w:tc>
          <w:tcPr>
            <w:tcW w:w="10334" w:type="dxa"/>
            <w:noWrap/>
            <w:vAlign w:val="center"/>
          </w:tcPr>
          <w:p w14:paraId="107C35B0">
            <w:pPr>
              <w:spacing w:line="240" w:lineRule="auto"/>
              <w:ind w:firstLine="0" w:firstLineChars="0"/>
              <w:rPr>
                <w:rFonts w:hint="eastAsia" w:ascii="宋体" w:hAnsi="宋体" w:cs="宋体"/>
                <w:color w:val="auto"/>
                <w:sz w:val="20"/>
                <w:szCs w:val="20"/>
              </w:rPr>
            </w:pPr>
          </w:p>
        </w:tc>
      </w:tr>
      <w:tr w14:paraId="1F13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55E60FDD">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2.12.1</w:t>
            </w:r>
          </w:p>
        </w:tc>
        <w:tc>
          <w:tcPr>
            <w:tcW w:w="2940" w:type="dxa"/>
            <w:noWrap/>
            <w:vAlign w:val="center"/>
          </w:tcPr>
          <w:p w14:paraId="75FB7F8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AR 设备适配</w:t>
            </w:r>
          </w:p>
        </w:tc>
        <w:tc>
          <w:tcPr>
            <w:tcW w:w="10334" w:type="dxa"/>
            <w:noWrap/>
            <w:vAlign w:val="center"/>
          </w:tcPr>
          <w:p w14:paraId="4C57591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AR 场景中虚拟与现实融合效果开发</w:t>
            </w:r>
          </w:p>
        </w:tc>
      </w:tr>
      <w:tr w14:paraId="4F632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3A89CD05">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2.12.2</w:t>
            </w:r>
          </w:p>
        </w:tc>
        <w:tc>
          <w:tcPr>
            <w:tcW w:w="2940" w:type="dxa"/>
            <w:noWrap/>
            <w:vAlign w:val="center"/>
          </w:tcPr>
          <w:p w14:paraId="538AFE3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AR 设备适配</w:t>
            </w:r>
          </w:p>
        </w:tc>
        <w:tc>
          <w:tcPr>
            <w:tcW w:w="10334" w:type="dxa"/>
            <w:noWrap/>
            <w:vAlign w:val="center"/>
          </w:tcPr>
          <w:p w14:paraId="1646CC0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AR 设备下的虚拟内容稳定性开发（减少漂移现象）</w:t>
            </w:r>
          </w:p>
        </w:tc>
      </w:tr>
      <w:tr w14:paraId="0966E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29963146">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2.13</w:t>
            </w:r>
          </w:p>
        </w:tc>
        <w:tc>
          <w:tcPr>
            <w:tcW w:w="2940" w:type="dxa"/>
            <w:noWrap/>
            <w:vAlign w:val="center"/>
          </w:tcPr>
          <w:p w14:paraId="01ED22E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跨平台兼容性</w:t>
            </w:r>
          </w:p>
        </w:tc>
        <w:tc>
          <w:tcPr>
            <w:tcW w:w="10334" w:type="dxa"/>
            <w:noWrap/>
            <w:vAlign w:val="center"/>
          </w:tcPr>
          <w:p w14:paraId="01617F12">
            <w:pPr>
              <w:spacing w:line="240" w:lineRule="auto"/>
              <w:ind w:firstLine="0" w:firstLineChars="0"/>
              <w:rPr>
                <w:rFonts w:hint="eastAsia" w:ascii="宋体" w:hAnsi="宋体" w:cs="宋体"/>
                <w:color w:val="auto"/>
                <w:sz w:val="20"/>
                <w:szCs w:val="20"/>
              </w:rPr>
            </w:pPr>
          </w:p>
        </w:tc>
      </w:tr>
      <w:tr w14:paraId="6EDD0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4BE4005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2.13.1</w:t>
            </w:r>
          </w:p>
        </w:tc>
        <w:tc>
          <w:tcPr>
            <w:tcW w:w="2940" w:type="dxa"/>
            <w:noWrap/>
            <w:vAlign w:val="center"/>
          </w:tcPr>
          <w:p w14:paraId="04EE1F5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国产信创浏览器适配</w:t>
            </w:r>
          </w:p>
        </w:tc>
        <w:tc>
          <w:tcPr>
            <w:tcW w:w="10334" w:type="dxa"/>
            <w:noWrap/>
            <w:vAlign w:val="center"/>
          </w:tcPr>
          <w:p w14:paraId="3E3416C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奇安信可信浏览器及360 安全浏览器（信创版）下的视频播放兼容性处理</w:t>
            </w:r>
          </w:p>
        </w:tc>
      </w:tr>
      <w:tr w14:paraId="2A7D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30C30EF4">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2.13.2</w:t>
            </w:r>
          </w:p>
        </w:tc>
        <w:tc>
          <w:tcPr>
            <w:tcW w:w="2940" w:type="dxa"/>
            <w:noWrap/>
            <w:vAlign w:val="center"/>
          </w:tcPr>
          <w:p w14:paraId="4621862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国产操作系统适配</w:t>
            </w:r>
          </w:p>
        </w:tc>
        <w:tc>
          <w:tcPr>
            <w:tcW w:w="10334" w:type="dxa"/>
            <w:noWrap/>
            <w:vAlign w:val="center"/>
          </w:tcPr>
          <w:p w14:paraId="0F25368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银河麒麟桌面操作系统V10 SP1下界面显示适配(分辨率适配)</w:t>
            </w:r>
          </w:p>
        </w:tc>
      </w:tr>
      <w:tr w14:paraId="2C617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18DE724A">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2.14</w:t>
            </w:r>
          </w:p>
        </w:tc>
        <w:tc>
          <w:tcPr>
            <w:tcW w:w="2940" w:type="dxa"/>
            <w:noWrap/>
            <w:vAlign w:val="center"/>
          </w:tcPr>
          <w:p w14:paraId="28D336C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高效渲染与实时加载</w:t>
            </w:r>
          </w:p>
        </w:tc>
        <w:tc>
          <w:tcPr>
            <w:tcW w:w="10334" w:type="dxa"/>
            <w:noWrap/>
            <w:vAlign w:val="center"/>
          </w:tcPr>
          <w:p w14:paraId="49E87AF4">
            <w:pPr>
              <w:spacing w:line="240" w:lineRule="auto"/>
              <w:ind w:firstLine="0" w:firstLineChars="0"/>
              <w:rPr>
                <w:rFonts w:hint="eastAsia" w:ascii="宋体" w:hAnsi="宋体" w:cs="宋体"/>
                <w:color w:val="auto"/>
                <w:sz w:val="20"/>
                <w:szCs w:val="20"/>
              </w:rPr>
            </w:pPr>
          </w:p>
        </w:tc>
      </w:tr>
      <w:tr w14:paraId="659B6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32A50BD1">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2.14.1</w:t>
            </w:r>
          </w:p>
        </w:tc>
        <w:tc>
          <w:tcPr>
            <w:tcW w:w="2940" w:type="dxa"/>
            <w:noWrap/>
            <w:vAlign w:val="center"/>
          </w:tcPr>
          <w:p w14:paraId="00C314D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加载进度的动画优化</w:t>
            </w:r>
          </w:p>
        </w:tc>
        <w:tc>
          <w:tcPr>
            <w:tcW w:w="10334" w:type="dxa"/>
            <w:noWrap/>
            <w:vAlign w:val="center"/>
          </w:tcPr>
          <w:p w14:paraId="570238C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加载过程中的提示动画设计（如加载资源的预览）</w:t>
            </w:r>
          </w:p>
        </w:tc>
      </w:tr>
      <w:tr w14:paraId="0D200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151953D1">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2.14.2</w:t>
            </w:r>
          </w:p>
        </w:tc>
        <w:tc>
          <w:tcPr>
            <w:tcW w:w="2940" w:type="dxa"/>
            <w:noWrap/>
            <w:vAlign w:val="center"/>
          </w:tcPr>
          <w:p w14:paraId="07B13E1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加载速度优化</w:t>
            </w:r>
          </w:p>
        </w:tc>
        <w:tc>
          <w:tcPr>
            <w:tcW w:w="10334" w:type="dxa"/>
            <w:noWrap/>
            <w:vAlign w:val="center"/>
          </w:tcPr>
          <w:p w14:paraId="35A79E9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虚拟场景资源的预加载策略设计</w:t>
            </w:r>
          </w:p>
        </w:tc>
      </w:tr>
      <w:tr w14:paraId="747F9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2061717E">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2.14.3</w:t>
            </w:r>
          </w:p>
        </w:tc>
        <w:tc>
          <w:tcPr>
            <w:tcW w:w="2940" w:type="dxa"/>
            <w:noWrap/>
            <w:vAlign w:val="center"/>
          </w:tcPr>
          <w:p w14:paraId="554BAB2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渲染优化</w:t>
            </w:r>
          </w:p>
        </w:tc>
        <w:tc>
          <w:tcPr>
            <w:tcW w:w="10334" w:type="dxa"/>
            <w:noWrap/>
            <w:vAlign w:val="center"/>
          </w:tcPr>
          <w:p w14:paraId="52F2538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减少渲染绘制的批次数量</w:t>
            </w:r>
          </w:p>
        </w:tc>
      </w:tr>
      <w:tr w14:paraId="24893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5EF0A0B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2.15.1</w:t>
            </w:r>
          </w:p>
        </w:tc>
        <w:tc>
          <w:tcPr>
            <w:tcW w:w="2940" w:type="dxa"/>
            <w:noWrap/>
            <w:vAlign w:val="center"/>
          </w:tcPr>
          <w:p w14:paraId="50517A7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图形质量调整策略</w:t>
            </w:r>
          </w:p>
        </w:tc>
        <w:tc>
          <w:tcPr>
            <w:tcW w:w="10334" w:type="dxa"/>
            <w:noWrap/>
            <w:vAlign w:val="center"/>
          </w:tcPr>
          <w:p w14:paraId="60D3409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根据 CPU 性能调整图形质量（降低模型面数）</w:t>
            </w:r>
          </w:p>
        </w:tc>
      </w:tr>
      <w:tr w14:paraId="39817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3EE7565D">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2.15.2</w:t>
            </w:r>
          </w:p>
        </w:tc>
        <w:tc>
          <w:tcPr>
            <w:tcW w:w="2940" w:type="dxa"/>
            <w:noWrap/>
            <w:vAlign w:val="center"/>
          </w:tcPr>
          <w:p w14:paraId="4BE8F24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图形质量调整策略</w:t>
            </w:r>
          </w:p>
        </w:tc>
        <w:tc>
          <w:tcPr>
            <w:tcW w:w="10334" w:type="dxa"/>
            <w:noWrap/>
            <w:vAlign w:val="center"/>
          </w:tcPr>
          <w:p w14:paraId="42A31BA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根据 GPU 性能调整图形质量（纹理分辨率调整）</w:t>
            </w:r>
          </w:p>
        </w:tc>
      </w:tr>
      <w:tr w14:paraId="6AE70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37DA1BD1">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w:t>
            </w:r>
          </w:p>
        </w:tc>
        <w:tc>
          <w:tcPr>
            <w:tcW w:w="2940" w:type="dxa"/>
            <w:noWrap/>
            <w:vAlign w:val="center"/>
          </w:tcPr>
          <w:p w14:paraId="4569ECD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移动AR</w:t>
            </w:r>
          </w:p>
        </w:tc>
        <w:tc>
          <w:tcPr>
            <w:tcW w:w="10334" w:type="dxa"/>
            <w:noWrap/>
            <w:vAlign w:val="center"/>
          </w:tcPr>
          <w:p w14:paraId="0BAF5AEF">
            <w:pPr>
              <w:spacing w:line="240" w:lineRule="auto"/>
              <w:ind w:firstLine="0" w:firstLineChars="0"/>
              <w:rPr>
                <w:rFonts w:hint="eastAsia" w:ascii="宋体" w:hAnsi="宋体" w:cs="宋体"/>
                <w:color w:val="auto"/>
                <w:sz w:val="20"/>
                <w:szCs w:val="20"/>
              </w:rPr>
            </w:pPr>
          </w:p>
        </w:tc>
      </w:tr>
      <w:tr w14:paraId="7E22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1044" w:type="dxa"/>
            <w:vAlign w:val="center"/>
          </w:tcPr>
          <w:p w14:paraId="3B38337F">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3.1</w:t>
            </w:r>
          </w:p>
        </w:tc>
        <w:tc>
          <w:tcPr>
            <w:tcW w:w="2940" w:type="dxa"/>
            <w:noWrap/>
            <w:vAlign w:val="center"/>
          </w:tcPr>
          <w:p w14:paraId="761C6D7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AR虚拟植物展示</w:t>
            </w:r>
          </w:p>
        </w:tc>
        <w:tc>
          <w:tcPr>
            <w:tcW w:w="10334" w:type="dxa"/>
            <w:vAlign w:val="center"/>
          </w:tcPr>
          <w:p w14:paraId="3BA088B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移动AR模块是兰科植物空间精细化应用系统的重要组成部分，它将AR技术应用于移动设备（如智能手机和平板电脑），为用户提供实时、互动的植物生态体验。该模块通过将虚拟的兰科植物与现实环境相结合，允许用户在现实世界中查看、互动和学习兰科植物及其生态特征，提供沉浸式的、可视化的植物与环境展示。</w:t>
            </w:r>
          </w:p>
        </w:tc>
      </w:tr>
      <w:tr w14:paraId="26318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1F5515F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3.1.1.1</w:t>
            </w:r>
          </w:p>
        </w:tc>
        <w:tc>
          <w:tcPr>
            <w:tcW w:w="2940" w:type="dxa"/>
            <w:noWrap/>
            <w:vAlign w:val="center"/>
          </w:tcPr>
          <w:p w14:paraId="1E390CF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AR 植入功能 - 扫描识别图像增强</w:t>
            </w:r>
          </w:p>
        </w:tc>
        <w:tc>
          <w:tcPr>
            <w:tcW w:w="10334" w:type="dxa"/>
            <w:noWrap/>
            <w:vAlign w:val="center"/>
          </w:tcPr>
          <w:p w14:paraId="0DB202F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对扫描图像进行增强处理，突出关键特征</w:t>
            </w:r>
          </w:p>
        </w:tc>
      </w:tr>
      <w:tr w14:paraId="3C82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54DC9D2E">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3.1.1.2</w:t>
            </w:r>
          </w:p>
        </w:tc>
        <w:tc>
          <w:tcPr>
            <w:tcW w:w="2940" w:type="dxa"/>
            <w:noWrap/>
            <w:vAlign w:val="center"/>
          </w:tcPr>
          <w:p w14:paraId="2E86C15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AR 植入功能 - 扫描识别智能提示</w:t>
            </w:r>
          </w:p>
        </w:tc>
        <w:tc>
          <w:tcPr>
            <w:tcW w:w="10334" w:type="dxa"/>
            <w:noWrap/>
            <w:vAlign w:val="center"/>
          </w:tcPr>
          <w:p w14:paraId="02B3A8A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开发智能提示功能，引导用户正确扫描</w:t>
            </w:r>
          </w:p>
        </w:tc>
      </w:tr>
      <w:tr w14:paraId="3D0D7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68F60129">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3.1.1.3</w:t>
            </w:r>
          </w:p>
        </w:tc>
        <w:tc>
          <w:tcPr>
            <w:tcW w:w="2940" w:type="dxa"/>
            <w:noWrap/>
            <w:vAlign w:val="center"/>
          </w:tcPr>
          <w:p w14:paraId="40976D5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AR 植入功能 - 虚拟植物定位</w:t>
            </w:r>
          </w:p>
        </w:tc>
        <w:tc>
          <w:tcPr>
            <w:tcW w:w="10334" w:type="dxa"/>
            <w:noWrap/>
            <w:vAlign w:val="center"/>
          </w:tcPr>
          <w:p w14:paraId="0C4A8E9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实现虚拟植物在复杂环境中的精准定位</w:t>
            </w:r>
          </w:p>
        </w:tc>
      </w:tr>
      <w:tr w14:paraId="42D9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48450826">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3.1.1.4</w:t>
            </w:r>
          </w:p>
        </w:tc>
        <w:tc>
          <w:tcPr>
            <w:tcW w:w="2940" w:type="dxa"/>
            <w:noWrap/>
            <w:vAlign w:val="center"/>
          </w:tcPr>
          <w:p w14:paraId="1B56733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AR 植入功能 - 虚拟植物动态效果</w:t>
            </w:r>
          </w:p>
        </w:tc>
        <w:tc>
          <w:tcPr>
            <w:tcW w:w="10334" w:type="dxa"/>
            <w:noWrap/>
            <w:vAlign w:val="center"/>
          </w:tcPr>
          <w:p w14:paraId="5E8E136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添加虚拟植物的动态效果，如摇晃、飘动等</w:t>
            </w:r>
          </w:p>
        </w:tc>
      </w:tr>
      <w:tr w14:paraId="0323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2E2F3447">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3.1.1.5</w:t>
            </w:r>
          </w:p>
        </w:tc>
        <w:tc>
          <w:tcPr>
            <w:tcW w:w="2940" w:type="dxa"/>
            <w:noWrap/>
            <w:vAlign w:val="center"/>
          </w:tcPr>
          <w:p w14:paraId="63F5634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AR 植入功能 - 虚拟植物显示</w:t>
            </w:r>
          </w:p>
        </w:tc>
        <w:tc>
          <w:tcPr>
            <w:tcW w:w="10334" w:type="dxa"/>
            <w:noWrap/>
            <w:vAlign w:val="center"/>
          </w:tcPr>
          <w:p w14:paraId="57EE92A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设计虚拟植物的初始模型和外观</w:t>
            </w:r>
          </w:p>
        </w:tc>
      </w:tr>
      <w:tr w14:paraId="3D7B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0A4D499A">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3.1.1.6</w:t>
            </w:r>
          </w:p>
        </w:tc>
        <w:tc>
          <w:tcPr>
            <w:tcW w:w="2940" w:type="dxa"/>
            <w:noWrap/>
            <w:vAlign w:val="center"/>
          </w:tcPr>
          <w:p w14:paraId="520D490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AR 植入功能 - 虚拟植物显示</w:t>
            </w:r>
          </w:p>
        </w:tc>
        <w:tc>
          <w:tcPr>
            <w:tcW w:w="10334" w:type="dxa"/>
            <w:noWrap/>
            <w:vAlign w:val="center"/>
          </w:tcPr>
          <w:p w14:paraId="62B859B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开发虚拟植物的材质和纹理，提高真实感</w:t>
            </w:r>
          </w:p>
        </w:tc>
      </w:tr>
      <w:tr w14:paraId="10F7B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3DA9815E">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3.1.1.7</w:t>
            </w:r>
          </w:p>
        </w:tc>
        <w:tc>
          <w:tcPr>
            <w:tcW w:w="2940" w:type="dxa"/>
            <w:noWrap/>
            <w:vAlign w:val="center"/>
          </w:tcPr>
          <w:p w14:paraId="2AD4C1C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AR 植入功能 - 虚拟植物显示</w:t>
            </w:r>
          </w:p>
        </w:tc>
        <w:tc>
          <w:tcPr>
            <w:tcW w:w="10334" w:type="dxa"/>
            <w:noWrap/>
            <w:vAlign w:val="center"/>
          </w:tcPr>
          <w:p w14:paraId="3F19AAF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实现虚拟植物与现实环境的融合效果</w:t>
            </w:r>
          </w:p>
        </w:tc>
      </w:tr>
      <w:tr w14:paraId="69584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0B5E61BD">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3.1.2.1</w:t>
            </w:r>
          </w:p>
        </w:tc>
        <w:tc>
          <w:tcPr>
            <w:tcW w:w="2940" w:type="dxa"/>
            <w:noWrap/>
            <w:vAlign w:val="center"/>
          </w:tcPr>
          <w:p w14:paraId="3ED83EC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植物模型交互 - 大小调整</w:t>
            </w:r>
          </w:p>
        </w:tc>
        <w:tc>
          <w:tcPr>
            <w:tcW w:w="10334" w:type="dxa"/>
            <w:noWrap/>
            <w:vAlign w:val="center"/>
          </w:tcPr>
          <w:p w14:paraId="08EDAEE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开发大小调整的交互界面和操作逻辑</w:t>
            </w:r>
          </w:p>
        </w:tc>
      </w:tr>
      <w:tr w14:paraId="1FC29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7BD45507">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3.1.2.2</w:t>
            </w:r>
          </w:p>
        </w:tc>
        <w:tc>
          <w:tcPr>
            <w:tcW w:w="2940" w:type="dxa"/>
            <w:noWrap/>
            <w:vAlign w:val="center"/>
          </w:tcPr>
          <w:p w14:paraId="1BCEFB1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植物模型交互 - 大小调整</w:t>
            </w:r>
          </w:p>
        </w:tc>
        <w:tc>
          <w:tcPr>
            <w:tcW w:w="10334" w:type="dxa"/>
            <w:noWrap/>
            <w:vAlign w:val="center"/>
          </w:tcPr>
          <w:p w14:paraId="6E83331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设计大小调整过程中的动画效果</w:t>
            </w:r>
          </w:p>
        </w:tc>
      </w:tr>
      <w:tr w14:paraId="5F97D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07D5E67C">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3.1.2.3</w:t>
            </w:r>
          </w:p>
        </w:tc>
        <w:tc>
          <w:tcPr>
            <w:tcW w:w="2940" w:type="dxa"/>
            <w:noWrap/>
            <w:vAlign w:val="center"/>
          </w:tcPr>
          <w:p w14:paraId="33F7E55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植物模型交互 - 大小调整</w:t>
            </w:r>
          </w:p>
        </w:tc>
        <w:tc>
          <w:tcPr>
            <w:tcW w:w="10334" w:type="dxa"/>
            <w:noWrap/>
            <w:vAlign w:val="center"/>
          </w:tcPr>
          <w:p w14:paraId="4826CAB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实现精确的大小调整控制，避免误差</w:t>
            </w:r>
          </w:p>
        </w:tc>
      </w:tr>
      <w:tr w14:paraId="17884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60597AA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3.1.2.4</w:t>
            </w:r>
          </w:p>
        </w:tc>
        <w:tc>
          <w:tcPr>
            <w:tcW w:w="2940" w:type="dxa"/>
            <w:noWrap/>
            <w:vAlign w:val="center"/>
          </w:tcPr>
          <w:p w14:paraId="63C3CA3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植物模型交互 - 角度调整</w:t>
            </w:r>
          </w:p>
        </w:tc>
        <w:tc>
          <w:tcPr>
            <w:tcW w:w="10334" w:type="dxa"/>
            <w:noWrap/>
            <w:vAlign w:val="center"/>
          </w:tcPr>
          <w:p w14:paraId="6932510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开发角度调整的交互功能，如旋转操作</w:t>
            </w:r>
          </w:p>
        </w:tc>
      </w:tr>
      <w:tr w14:paraId="24D1E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6272F4DC">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3.1.2.5</w:t>
            </w:r>
          </w:p>
        </w:tc>
        <w:tc>
          <w:tcPr>
            <w:tcW w:w="2940" w:type="dxa"/>
            <w:noWrap/>
            <w:vAlign w:val="center"/>
          </w:tcPr>
          <w:p w14:paraId="6F287CB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植物模型交互 - 角度调整</w:t>
            </w:r>
          </w:p>
        </w:tc>
        <w:tc>
          <w:tcPr>
            <w:tcW w:w="10334" w:type="dxa"/>
            <w:noWrap/>
            <w:vAlign w:val="center"/>
          </w:tcPr>
          <w:p w14:paraId="7F45DF7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设计角度调整的限制和约束，确保合理范围</w:t>
            </w:r>
          </w:p>
        </w:tc>
      </w:tr>
      <w:tr w14:paraId="73C4D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24DEDA52">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3.1.2.6</w:t>
            </w:r>
          </w:p>
        </w:tc>
        <w:tc>
          <w:tcPr>
            <w:tcW w:w="2940" w:type="dxa"/>
            <w:noWrap/>
            <w:vAlign w:val="center"/>
          </w:tcPr>
          <w:p w14:paraId="146A522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植物模型交互 - 角度调整</w:t>
            </w:r>
          </w:p>
        </w:tc>
        <w:tc>
          <w:tcPr>
            <w:tcW w:w="10334" w:type="dxa"/>
            <w:noWrap/>
            <w:vAlign w:val="center"/>
          </w:tcPr>
          <w:p w14:paraId="4DDF991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实现流畅的角度调整动画效果</w:t>
            </w:r>
          </w:p>
        </w:tc>
      </w:tr>
      <w:tr w14:paraId="5BDB9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60750BD9">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3.1.2.7</w:t>
            </w:r>
          </w:p>
        </w:tc>
        <w:tc>
          <w:tcPr>
            <w:tcW w:w="2940" w:type="dxa"/>
            <w:noWrap/>
            <w:vAlign w:val="center"/>
          </w:tcPr>
          <w:p w14:paraId="0554687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植物模型交互 - 模型材质物理属性模拟</w:t>
            </w:r>
          </w:p>
        </w:tc>
        <w:tc>
          <w:tcPr>
            <w:tcW w:w="10334" w:type="dxa"/>
            <w:noWrap/>
            <w:vAlign w:val="center"/>
          </w:tcPr>
          <w:p w14:paraId="12384E8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模拟虚拟植物模型材质的物理属性</w:t>
            </w:r>
          </w:p>
        </w:tc>
      </w:tr>
      <w:tr w14:paraId="6DA9E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137C60B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3.1.2.8</w:t>
            </w:r>
          </w:p>
        </w:tc>
        <w:tc>
          <w:tcPr>
            <w:tcW w:w="2940" w:type="dxa"/>
            <w:noWrap/>
            <w:vAlign w:val="center"/>
          </w:tcPr>
          <w:p w14:paraId="25960D7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植物模型交互 - 位置调整</w:t>
            </w:r>
          </w:p>
        </w:tc>
        <w:tc>
          <w:tcPr>
            <w:tcW w:w="10334" w:type="dxa"/>
            <w:noWrap/>
            <w:vAlign w:val="center"/>
          </w:tcPr>
          <w:p w14:paraId="08904E2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开发位置调整的交互方式，如拖拽操作</w:t>
            </w:r>
          </w:p>
        </w:tc>
      </w:tr>
      <w:tr w14:paraId="2B9B0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2ADCABBC">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3.1.2.9</w:t>
            </w:r>
          </w:p>
        </w:tc>
        <w:tc>
          <w:tcPr>
            <w:tcW w:w="2940" w:type="dxa"/>
            <w:noWrap/>
            <w:vAlign w:val="center"/>
          </w:tcPr>
          <w:p w14:paraId="6EB514F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植物模型交互 - 位置调整</w:t>
            </w:r>
          </w:p>
        </w:tc>
        <w:tc>
          <w:tcPr>
            <w:tcW w:w="10334" w:type="dxa"/>
            <w:noWrap/>
            <w:vAlign w:val="center"/>
          </w:tcPr>
          <w:p w14:paraId="33F19D5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实现精确的位置调整，满足用户需求</w:t>
            </w:r>
          </w:p>
        </w:tc>
      </w:tr>
      <w:tr w14:paraId="4B04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768B939D">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3.1.2.10</w:t>
            </w:r>
          </w:p>
        </w:tc>
        <w:tc>
          <w:tcPr>
            <w:tcW w:w="2940" w:type="dxa"/>
            <w:noWrap/>
            <w:vAlign w:val="center"/>
          </w:tcPr>
          <w:p w14:paraId="63AAE94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植物模型交互 - 细节查看</w:t>
            </w:r>
          </w:p>
        </w:tc>
        <w:tc>
          <w:tcPr>
            <w:tcW w:w="10334" w:type="dxa"/>
            <w:noWrap/>
            <w:vAlign w:val="center"/>
          </w:tcPr>
          <w:p w14:paraId="2EC4B47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实现细节查看过程中的交互操作，如放大、缩小</w:t>
            </w:r>
          </w:p>
        </w:tc>
      </w:tr>
      <w:tr w14:paraId="1F969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0EDF7F0F">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3.1.3.1</w:t>
            </w:r>
          </w:p>
        </w:tc>
        <w:tc>
          <w:tcPr>
            <w:tcW w:w="2940" w:type="dxa"/>
            <w:noWrap/>
            <w:vAlign w:val="center"/>
          </w:tcPr>
          <w:p w14:paraId="2F1A0EE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环境适配 - 地理位置获取</w:t>
            </w:r>
          </w:p>
        </w:tc>
        <w:tc>
          <w:tcPr>
            <w:tcW w:w="10334" w:type="dxa"/>
            <w:noWrap/>
            <w:vAlign w:val="center"/>
          </w:tcPr>
          <w:p w14:paraId="15B9C2E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开发获取地理位置信息的接口</w:t>
            </w:r>
          </w:p>
        </w:tc>
      </w:tr>
      <w:tr w14:paraId="3715E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703B257A">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3.1.3.2</w:t>
            </w:r>
          </w:p>
        </w:tc>
        <w:tc>
          <w:tcPr>
            <w:tcW w:w="2940" w:type="dxa"/>
            <w:noWrap/>
            <w:vAlign w:val="center"/>
          </w:tcPr>
          <w:p w14:paraId="2819ACB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环境适配 - 环境条件监测</w:t>
            </w:r>
          </w:p>
        </w:tc>
        <w:tc>
          <w:tcPr>
            <w:tcW w:w="10334" w:type="dxa"/>
            <w:noWrap/>
            <w:vAlign w:val="center"/>
          </w:tcPr>
          <w:p w14:paraId="7C03917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连接环境监测设备，获取数据</w:t>
            </w:r>
          </w:p>
        </w:tc>
      </w:tr>
      <w:tr w14:paraId="7FCB1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5F1693B2">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3.2</w:t>
            </w:r>
          </w:p>
        </w:tc>
        <w:tc>
          <w:tcPr>
            <w:tcW w:w="2940" w:type="dxa"/>
            <w:noWrap/>
            <w:vAlign w:val="center"/>
          </w:tcPr>
          <w:p w14:paraId="002CF21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AR环境与植物数据展示</w:t>
            </w:r>
          </w:p>
        </w:tc>
        <w:tc>
          <w:tcPr>
            <w:tcW w:w="10334" w:type="dxa"/>
            <w:noWrap/>
            <w:vAlign w:val="center"/>
          </w:tcPr>
          <w:p w14:paraId="574F97A5">
            <w:pPr>
              <w:spacing w:line="240" w:lineRule="auto"/>
              <w:ind w:firstLine="0" w:firstLineChars="0"/>
              <w:rPr>
                <w:rFonts w:hint="eastAsia" w:ascii="宋体" w:hAnsi="宋体" w:cs="宋体"/>
                <w:color w:val="auto"/>
                <w:sz w:val="20"/>
                <w:szCs w:val="20"/>
              </w:rPr>
            </w:pPr>
          </w:p>
        </w:tc>
      </w:tr>
      <w:tr w14:paraId="5FC69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2CA55426">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3.2.1.1</w:t>
            </w:r>
          </w:p>
        </w:tc>
        <w:tc>
          <w:tcPr>
            <w:tcW w:w="2940" w:type="dxa"/>
            <w:noWrap/>
            <w:vAlign w:val="center"/>
          </w:tcPr>
          <w:p w14:paraId="5D9A0B9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实时数据叠加 - 数据对比分析</w:t>
            </w:r>
          </w:p>
        </w:tc>
        <w:tc>
          <w:tcPr>
            <w:tcW w:w="10334" w:type="dxa"/>
            <w:noWrap/>
            <w:vAlign w:val="center"/>
          </w:tcPr>
          <w:p w14:paraId="79BBC59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开发数据对比分析功能，便于用户查看数据差异</w:t>
            </w:r>
          </w:p>
        </w:tc>
      </w:tr>
      <w:tr w14:paraId="35F5F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5FE53D6C">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3.2.1.2</w:t>
            </w:r>
          </w:p>
        </w:tc>
        <w:tc>
          <w:tcPr>
            <w:tcW w:w="2940" w:type="dxa"/>
            <w:noWrap/>
            <w:vAlign w:val="center"/>
          </w:tcPr>
          <w:p w14:paraId="78723D7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实时数据叠加 - 数据获取</w:t>
            </w:r>
          </w:p>
        </w:tc>
        <w:tc>
          <w:tcPr>
            <w:tcW w:w="10334" w:type="dxa"/>
            <w:noWrap/>
            <w:vAlign w:val="center"/>
          </w:tcPr>
          <w:p w14:paraId="51ACC0E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开发与环境监测设备的数据接口</w:t>
            </w:r>
          </w:p>
        </w:tc>
      </w:tr>
      <w:tr w14:paraId="5BFF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384AEAB1">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3.2.1.3</w:t>
            </w:r>
          </w:p>
        </w:tc>
        <w:tc>
          <w:tcPr>
            <w:tcW w:w="2940" w:type="dxa"/>
            <w:noWrap/>
            <w:vAlign w:val="center"/>
          </w:tcPr>
          <w:p w14:paraId="2D1A57E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实时数据叠加 - 数据获取</w:t>
            </w:r>
          </w:p>
        </w:tc>
        <w:tc>
          <w:tcPr>
            <w:tcW w:w="10334" w:type="dxa"/>
            <w:noWrap/>
            <w:vAlign w:val="center"/>
          </w:tcPr>
          <w:p w14:paraId="66AA027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优化数据获取的实时性和稳定性</w:t>
            </w:r>
          </w:p>
        </w:tc>
      </w:tr>
      <w:tr w14:paraId="461B6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7F3DE2C2">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3.2.1.4</w:t>
            </w:r>
          </w:p>
        </w:tc>
        <w:tc>
          <w:tcPr>
            <w:tcW w:w="2940" w:type="dxa"/>
            <w:noWrap/>
            <w:vAlign w:val="center"/>
          </w:tcPr>
          <w:p w14:paraId="0431332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实时数据叠加 - 数据可视化布局自适应</w:t>
            </w:r>
          </w:p>
        </w:tc>
        <w:tc>
          <w:tcPr>
            <w:tcW w:w="10334" w:type="dxa"/>
            <w:noWrap/>
            <w:vAlign w:val="center"/>
          </w:tcPr>
          <w:p w14:paraId="6E8315D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实现数据可视化布局在不同屏幕尺寸下的自适应</w:t>
            </w:r>
          </w:p>
        </w:tc>
      </w:tr>
      <w:tr w14:paraId="444C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236D8D64">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3.2.1.5</w:t>
            </w:r>
          </w:p>
        </w:tc>
        <w:tc>
          <w:tcPr>
            <w:tcW w:w="2940" w:type="dxa"/>
            <w:noWrap/>
            <w:vAlign w:val="center"/>
          </w:tcPr>
          <w:p w14:paraId="3CD60C5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实时数据叠加 - 数据可视化动画效果</w:t>
            </w:r>
          </w:p>
        </w:tc>
        <w:tc>
          <w:tcPr>
            <w:tcW w:w="10334" w:type="dxa"/>
            <w:noWrap/>
            <w:vAlign w:val="center"/>
          </w:tcPr>
          <w:p w14:paraId="7AA37B3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添加数据可视化的动画效果，提升展示效果</w:t>
            </w:r>
          </w:p>
        </w:tc>
      </w:tr>
      <w:tr w14:paraId="7A4B6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56336835">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3.2.1.6</w:t>
            </w:r>
          </w:p>
        </w:tc>
        <w:tc>
          <w:tcPr>
            <w:tcW w:w="2940" w:type="dxa"/>
            <w:noWrap/>
            <w:vAlign w:val="center"/>
          </w:tcPr>
          <w:p w14:paraId="0D318E1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实时数据叠加 - 数据可视化动态更新</w:t>
            </w:r>
          </w:p>
        </w:tc>
        <w:tc>
          <w:tcPr>
            <w:tcW w:w="10334" w:type="dxa"/>
            <w:noWrap/>
            <w:vAlign w:val="center"/>
          </w:tcPr>
          <w:p w14:paraId="41243A0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实现数据可视化的动态更新，实时展示数据变化</w:t>
            </w:r>
          </w:p>
        </w:tc>
      </w:tr>
      <w:tr w14:paraId="2533B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395C621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3.2.1.7</w:t>
            </w:r>
          </w:p>
        </w:tc>
        <w:tc>
          <w:tcPr>
            <w:tcW w:w="2940" w:type="dxa"/>
            <w:noWrap/>
            <w:vAlign w:val="center"/>
          </w:tcPr>
          <w:p w14:paraId="282AE38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实时数据叠加 - 数据可视化交互</w:t>
            </w:r>
          </w:p>
        </w:tc>
        <w:tc>
          <w:tcPr>
            <w:tcW w:w="10334" w:type="dxa"/>
            <w:noWrap/>
            <w:vAlign w:val="center"/>
          </w:tcPr>
          <w:p w14:paraId="10681C4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实现数据可视化的交互操作，如筛选、排序等</w:t>
            </w:r>
          </w:p>
        </w:tc>
      </w:tr>
      <w:tr w14:paraId="22CE7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4C980BC4">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3.2.1.8</w:t>
            </w:r>
          </w:p>
        </w:tc>
        <w:tc>
          <w:tcPr>
            <w:tcW w:w="2940" w:type="dxa"/>
            <w:noWrap/>
            <w:vAlign w:val="center"/>
          </w:tcPr>
          <w:p w14:paraId="000831F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实时数据叠加 - 数据可视化交互反馈</w:t>
            </w:r>
          </w:p>
        </w:tc>
        <w:tc>
          <w:tcPr>
            <w:tcW w:w="10334" w:type="dxa"/>
            <w:noWrap/>
            <w:vAlign w:val="center"/>
          </w:tcPr>
          <w:p w14:paraId="5571FA2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添加数据可视化交互的反馈效果，增强用户互动</w:t>
            </w:r>
          </w:p>
        </w:tc>
      </w:tr>
      <w:tr w14:paraId="74DF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64E79094">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3.2.1.9</w:t>
            </w:r>
          </w:p>
        </w:tc>
        <w:tc>
          <w:tcPr>
            <w:tcW w:w="2940" w:type="dxa"/>
            <w:noWrap/>
            <w:vAlign w:val="center"/>
          </w:tcPr>
          <w:p w14:paraId="22A273D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实时数据叠加 - 数据可视化数据下钻</w:t>
            </w:r>
          </w:p>
        </w:tc>
        <w:tc>
          <w:tcPr>
            <w:tcW w:w="10334" w:type="dxa"/>
            <w:noWrap/>
            <w:vAlign w:val="center"/>
          </w:tcPr>
          <w:p w14:paraId="4D43563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实现数据可视化的下钻功能，查看详细数据</w:t>
            </w:r>
          </w:p>
        </w:tc>
      </w:tr>
      <w:tr w14:paraId="434E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4AC00EB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3.2.1.10</w:t>
            </w:r>
          </w:p>
        </w:tc>
        <w:tc>
          <w:tcPr>
            <w:tcW w:w="2940" w:type="dxa"/>
            <w:noWrap/>
            <w:vAlign w:val="center"/>
          </w:tcPr>
          <w:p w14:paraId="4500429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实时数据叠加 - 数据可视化缩放功能</w:t>
            </w:r>
          </w:p>
        </w:tc>
        <w:tc>
          <w:tcPr>
            <w:tcW w:w="10334" w:type="dxa"/>
            <w:noWrap/>
            <w:vAlign w:val="center"/>
          </w:tcPr>
          <w:p w14:paraId="36076DB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开发数据可视化缩放功能，方便用户查看细节</w:t>
            </w:r>
          </w:p>
        </w:tc>
      </w:tr>
      <w:tr w14:paraId="40C23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2BE0BC08">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3.2.1.11</w:t>
            </w:r>
          </w:p>
        </w:tc>
        <w:tc>
          <w:tcPr>
            <w:tcW w:w="2940" w:type="dxa"/>
            <w:noWrap/>
            <w:vAlign w:val="center"/>
          </w:tcPr>
          <w:p w14:paraId="679A470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实时数据叠加 - 数据实时推送</w:t>
            </w:r>
          </w:p>
        </w:tc>
        <w:tc>
          <w:tcPr>
            <w:tcW w:w="10334" w:type="dxa"/>
            <w:noWrap/>
            <w:vAlign w:val="center"/>
          </w:tcPr>
          <w:p w14:paraId="24A5079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实现数据实时推送功能，及时告知用户数据变化</w:t>
            </w:r>
          </w:p>
        </w:tc>
      </w:tr>
      <w:tr w14:paraId="6D834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75F96279">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3.2.1.12</w:t>
            </w:r>
          </w:p>
        </w:tc>
        <w:tc>
          <w:tcPr>
            <w:tcW w:w="2940" w:type="dxa"/>
            <w:noWrap/>
            <w:vAlign w:val="center"/>
          </w:tcPr>
          <w:p w14:paraId="7B43A8E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实时数据叠加 - 数据异常报警</w:t>
            </w:r>
          </w:p>
        </w:tc>
        <w:tc>
          <w:tcPr>
            <w:tcW w:w="10334" w:type="dxa"/>
            <w:noWrap/>
            <w:vAlign w:val="center"/>
          </w:tcPr>
          <w:p w14:paraId="6DB383F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设置数据异常报警功能，及时提醒用户</w:t>
            </w:r>
          </w:p>
        </w:tc>
      </w:tr>
      <w:tr w14:paraId="756A2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5FFF5D13">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3.2.1.13</w:t>
            </w:r>
          </w:p>
        </w:tc>
        <w:tc>
          <w:tcPr>
            <w:tcW w:w="2940" w:type="dxa"/>
            <w:noWrap/>
            <w:vAlign w:val="center"/>
          </w:tcPr>
          <w:p w14:paraId="62A27F5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实时数据叠加 - 数据展示</w:t>
            </w:r>
          </w:p>
        </w:tc>
        <w:tc>
          <w:tcPr>
            <w:tcW w:w="10334" w:type="dxa"/>
            <w:noWrap/>
            <w:vAlign w:val="center"/>
          </w:tcPr>
          <w:p w14:paraId="0EFBF37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实现数据的动态更新和可视化呈现</w:t>
            </w:r>
          </w:p>
        </w:tc>
      </w:tr>
      <w:tr w14:paraId="6864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03ABB0DE">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3.2.2.1</w:t>
            </w:r>
          </w:p>
        </w:tc>
        <w:tc>
          <w:tcPr>
            <w:tcW w:w="2940" w:type="dxa"/>
            <w:noWrap/>
            <w:vAlign w:val="center"/>
          </w:tcPr>
          <w:p w14:paraId="6CACF1B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植物信息标签 - 交互功能</w:t>
            </w:r>
          </w:p>
        </w:tc>
        <w:tc>
          <w:tcPr>
            <w:tcW w:w="10334" w:type="dxa"/>
            <w:noWrap/>
            <w:vAlign w:val="center"/>
          </w:tcPr>
          <w:p w14:paraId="41C1D4B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开发点击植物弹出信息标签的交互</w:t>
            </w:r>
          </w:p>
        </w:tc>
      </w:tr>
      <w:tr w14:paraId="1B6C1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62602721">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3.2.2.2</w:t>
            </w:r>
          </w:p>
        </w:tc>
        <w:tc>
          <w:tcPr>
            <w:tcW w:w="2940" w:type="dxa"/>
            <w:noWrap/>
            <w:vAlign w:val="center"/>
          </w:tcPr>
          <w:p w14:paraId="1DCA02B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植物信息标签 - 信息导航</w:t>
            </w:r>
          </w:p>
        </w:tc>
        <w:tc>
          <w:tcPr>
            <w:tcW w:w="10334" w:type="dxa"/>
            <w:noWrap/>
            <w:vAlign w:val="center"/>
          </w:tcPr>
          <w:p w14:paraId="69D8001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设计信息标签的导航功能，方便用户查找信息</w:t>
            </w:r>
          </w:p>
        </w:tc>
      </w:tr>
      <w:tr w14:paraId="13191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1DFF038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3.2.2.3</w:t>
            </w:r>
          </w:p>
        </w:tc>
        <w:tc>
          <w:tcPr>
            <w:tcW w:w="2940" w:type="dxa"/>
            <w:noWrap/>
            <w:vAlign w:val="center"/>
          </w:tcPr>
          <w:p w14:paraId="5B3609F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植物信息标签 - 信息对比展示</w:t>
            </w:r>
          </w:p>
        </w:tc>
        <w:tc>
          <w:tcPr>
            <w:tcW w:w="10334" w:type="dxa"/>
            <w:noWrap/>
            <w:vAlign w:val="center"/>
          </w:tcPr>
          <w:p w14:paraId="4329E32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对比展示不同植物的信息</w:t>
            </w:r>
          </w:p>
        </w:tc>
      </w:tr>
      <w:tr w14:paraId="10E0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44590DC2">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3.2.2.4</w:t>
            </w:r>
          </w:p>
        </w:tc>
        <w:tc>
          <w:tcPr>
            <w:tcW w:w="2940" w:type="dxa"/>
            <w:noWrap/>
            <w:vAlign w:val="center"/>
          </w:tcPr>
          <w:p w14:paraId="2771A6A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植物信息标签 - 信息更新版本管理</w:t>
            </w:r>
          </w:p>
        </w:tc>
        <w:tc>
          <w:tcPr>
            <w:tcW w:w="10334" w:type="dxa"/>
            <w:noWrap/>
            <w:vAlign w:val="center"/>
          </w:tcPr>
          <w:p w14:paraId="4E13A3C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对植物信息更新进行版本管理</w:t>
            </w:r>
          </w:p>
        </w:tc>
      </w:tr>
      <w:tr w14:paraId="07209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1EB13CE1">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3.2.2.5</w:t>
            </w:r>
          </w:p>
        </w:tc>
        <w:tc>
          <w:tcPr>
            <w:tcW w:w="2940" w:type="dxa"/>
            <w:noWrap/>
            <w:vAlign w:val="center"/>
          </w:tcPr>
          <w:p w14:paraId="1079458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植物信息标签 - 信息更新机制</w:t>
            </w:r>
          </w:p>
        </w:tc>
        <w:tc>
          <w:tcPr>
            <w:tcW w:w="10334" w:type="dxa"/>
            <w:noWrap/>
            <w:vAlign w:val="center"/>
          </w:tcPr>
          <w:p w14:paraId="176D11F4">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建立植物信息标签的定期更新机制，确保内容时效性</w:t>
            </w:r>
          </w:p>
        </w:tc>
      </w:tr>
      <w:tr w14:paraId="2F4F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0791C34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3.2.2.6</w:t>
            </w:r>
          </w:p>
        </w:tc>
        <w:tc>
          <w:tcPr>
            <w:tcW w:w="2940" w:type="dxa"/>
            <w:noWrap/>
            <w:vAlign w:val="center"/>
          </w:tcPr>
          <w:p w14:paraId="7DFDD18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植物信息标签 - 信息纠错反馈</w:t>
            </w:r>
          </w:p>
        </w:tc>
        <w:tc>
          <w:tcPr>
            <w:tcW w:w="10334" w:type="dxa"/>
            <w:noWrap/>
            <w:vAlign w:val="center"/>
          </w:tcPr>
          <w:p w14:paraId="0D5C64F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开发信息纠错反馈功能，用户可提交错误信息</w:t>
            </w:r>
          </w:p>
        </w:tc>
      </w:tr>
      <w:tr w14:paraId="18477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1418CF72">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3.2.2.7</w:t>
            </w:r>
          </w:p>
        </w:tc>
        <w:tc>
          <w:tcPr>
            <w:tcW w:w="2940" w:type="dxa"/>
            <w:noWrap/>
            <w:vAlign w:val="center"/>
          </w:tcPr>
          <w:p w14:paraId="16DB013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植物信息标签 - 信息扩展</w:t>
            </w:r>
          </w:p>
        </w:tc>
        <w:tc>
          <w:tcPr>
            <w:tcW w:w="10334" w:type="dxa"/>
            <w:noWrap/>
            <w:vAlign w:val="center"/>
          </w:tcPr>
          <w:p w14:paraId="6ACA425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扩展植物信息标签的内容，提供更多详细信息</w:t>
            </w:r>
          </w:p>
        </w:tc>
      </w:tr>
      <w:tr w14:paraId="4E6B1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08F421D5">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3.2.2.8</w:t>
            </w:r>
          </w:p>
        </w:tc>
        <w:tc>
          <w:tcPr>
            <w:tcW w:w="2940" w:type="dxa"/>
            <w:noWrap/>
            <w:vAlign w:val="center"/>
          </w:tcPr>
          <w:p w14:paraId="18C2ABA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植物信息标签 - 信息搜索功能</w:t>
            </w:r>
          </w:p>
        </w:tc>
        <w:tc>
          <w:tcPr>
            <w:tcW w:w="10334" w:type="dxa"/>
            <w:noWrap/>
            <w:vAlign w:val="center"/>
          </w:tcPr>
          <w:p w14:paraId="7F4076F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开发植物信息标签的搜索功能，方便用户查找特定信息</w:t>
            </w:r>
          </w:p>
        </w:tc>
      </w:tr>
      <w:tr w14:paraId="3AC82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7CA3F87E">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3.2.2.9</w:t>
            </w:r>
          </w:p>
        </w:tc>
        <w:tc>
          <w:tcPr>
            <w:tcW w:w="2940" w:type="dxa"/>
            <w:noWrap/>
            <w:vAlign w:val="center"/>
          </w:tcPr>
          <w:p w14:paraId="3980FEE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植物信息标签 - 信息展示</w:t>
            </w:r>
          </w:p>
        </w:tc>
        <w:tc>
          <w:tcPr>
            <w:tcW w:w="10334" w:type="dxa"/>
            <w:noWrap/>
            <w:vAlign w:val="center"/>
          </w:tcPr>
          <w:p w14:paraId="24C0750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设计信息标签的弹出方式和效果</w:t>
            </w:r>
          </w:p>
        </w:tc>
      </w:tr>
      <w:tr w14:paraId="7F3AC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2BFFD63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3.2.2.10</w:t>
            </w:r>
          </w:p>
        </w:tc>
        <w:tc>
          <w:tcPr>
            <w:tcW w:w="2940" w:type="dxa"/>
            <w:noWrap/>
            <w:vAlign w:val="center"/>
          </w:tcPr>
          <w:p w14:paraId="10CA70E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植物信息标签 - 信息整理</w:t>
            </w:r>
          </w:p>
        </w:tc>
        <w:tc>
          <w:tcPr>
            <w:tcW w:w="10334" w:type="dxa"/>
            <w:noWrap/>
            <w:vAlign w:val="center"/>
          </w:tcPr>
          <w:p w14:paraId="415ADF4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收集和整理植物的基本信息</w:t>
            </w:r>
          </w:p>
        </w:tc>
      </w:tr>
      <w:tr w14:paraId="27693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0C8F8F27">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3.2.2.11</w:t>
            </w:r>
          </w:p>
        </w:tc>
        <w:tc>
          <w:tcPr>
            <w:tcW w:w="2940" w:type="dxa"/>
            <w:noWrap/>
            <w:vAlign w:val="center"/>
          </w:tcPr>
          <w:p w14:paraId="7A738C2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动态环境展示 - 时间切换</w:t>
            </w:r>
          </w:p>
        </w:tc>
        <w:tc>
          <w:tcPr>
            <w:tcW w:w="10334" w:type="dxa"/>
            <w:noWrap/>
            <w:vAlign w:val="center"/>
          </w:tcPr>
          <w:p w14:paraId="3DD3BA5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开发时间切换的交互界面和功能</w:t>
            </w:r>
          </w:p>
        </w:tc>
      </w:tr>
      <w:tr w14:paraId="04EBE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0AA544B9">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3.2.2.12</w:t>
            </w:r>
          </w:p>
        </w:tc>
        <w:tc>
          <w:tcPr>
            <w:tcW w:w="2940" w:type="dxa"/>
            <w:noWrap/>
            <w:vAlign w:val="center"/>
          </w:tcPr>
          <w:p w14:paraId="014A325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动态环境展示 - 时间切换</w:t>
            </w:r>
          </w:p>
        </w:tc>
        <w:tc>
          <w:tcPr>
            <w:tcW w:w="10334" w:type="dxa"/>
            <w:noWrap/>
            <w:vAlign w:val="center"/>
          </w:tcPr>
          <w:p w14:paraId="167B0CB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实现不同时间段植物生长状态的切换效果</w:t>
            </w:r>
          </w:p>
        </w:tc>
      </w:tr>
      <w:tr w14:paraId="65790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6941EA1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3.2.2.13</w:t>
            </w:r>
          </w:p>
        </w:tc>
        <w:tc>
          <w:tcPr>
            <w:tcW w:w="2940" w:type="dxa"/>
            <w:noWrap/>
            <w:vAlign w:val="center"/>
          </w:tcPr>
          <w:p w14:paraId="20BEF59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动态环境展示 - 植物生命周期对比</w:t>
            </w:r>
          </w:p>
        </w:tc>
        <w:tc>
          <w:tcPr>
            <w:tcW w:w="10334" w:type="dxa"/>
            <w:noWrap/>
            <w:vAlign w:val="center"/>
          </w:tcPr>
          <w:p w14:paraId="58E044E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开发植物生命周期对比功能，直观展示不同植物差异</w:t>
            </w:r>
          </w:p>
        </w:tc>
      </w:tr>
      <w:tr w14:paraId="320A4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6FC37A37">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3.3</w:t>
            </w:r>
          </w:p>
        </w:tc>
        <w:tc>
          <w:tcPr>
            <w:tcW w:w="2940" w:type="dxa"/>
            <w:noWrap/>
            <w:vAlign w:val="center"/>
          </w:tcPr>
          <w:p w14:paraId="39349128">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跨平台与设备兼容性</w:t>
            </w:r>
          </w:p>
        </w:tc>
        <w:tc>
          <w:tcPr>
            <w:tcW w:w="10334" w:type="dxa"/>
            <w:noWrap/>
            <w:vAlign w:val="center"/>
          </w:tcPr>
          <w:p w14:paraId="30B18B11">
            <w:pPr>
              <w:spacing w:line="240" w:lineRule="auto"/>
              <w:ind w:firstLine="0" w:firstLineChars="0"/>
              <w:rPr>
                <w:rFonts w:hint="eastAsia" w:ascii="宋体" w:hAnsi="宋体" w:cs="宋体"/>
                <w:color w:val="auto"/>
                <w:sz w:val="20"/>
                <w:szCs w:val="20"/>
              </w:rPr>
            </w:pPr>
          </w:p>
        </w:tc>
      </w:tr>
      <w:tr w14:paraId="6BB9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4FCFC55B">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3.3.1.1</w:t>
            </w:r>
          </w:p>
        </w:tc>
        <w:tc>
          <w:tcPr>
            <w:tcW w:w="2940" w:type="dxa"/>
            <w:noWrap/>
            <w:vAlign w:val="center"/>
          </w:tcPr>
          <w:p w14:paraId="70D305C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实时数据处理 - 数据安全审计</w:t>
            </w:r>
          </w:p>
        </w:tc>
        <w:tc>
          <w:tcPr>
            <w:tcW w:w="10334" w:type="dxa"/>
            <w:noWrap/>
            <w:vAlign w:val="center"/>
          </w:tcPr>
          <w:p w14:paraId="6A92903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建立数据安全审计机制，记录和审查数据操作</w:t>
            </w:r>
          </w:p>
        </w:tc>
      </w:tr>
      <w:tr w14:paraId="7550E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546F2037">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3.3.1.2</w:t>
            </w:r>
          </w:p>
        </w:tc>
        <w:tc>
          <w:tcPr>
            <w:tcW w:w="2940" w:type="dxa"/>
            <w:noWrap/>
            <w:vAlign w:val="center"/>
          </w:tcPr>
          <w:p w14:paraId="4633C48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实时数据处理 - 数据备份与恢复</w:t>
            </w:r>
          </w:p>
        </w:tc>
        <w:tc>
          <w:tcPr>
            <w:tcW w:w="10334" w:type="dxa"/>
            <w:noWrap/>
            <w:vAlign w:val="center"/>
          </w:tcPr>
          <w:p w14:paraId="4B086EF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实现数据备份与恢复功能，保障数据安全</w:t>
            </w:r>
          </w:p>
        </w:tc>
      </w:tr>
      <w:tr w14:paraId="1C33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3B5D292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3.3.1.3</w:t>
            </w:r>
          </w:p>
        </w:tc>
        <w:tc>
          <w:tcPr>
            <w:tcW w:w="2940" w:type="dxa"/>
            <w:noWrap/>
            <w:vAlign w:val="center"/>
          </w:tcPr>
          <w:p w14:paraId="7FFF8F1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实时数据处理 - 数据缓存机制</w:t>
            </w:r>
          </w:p>
        </w:tc>
        <w:tc>
          <w:tcPr>
            <w:tcW w:w="10334" w:type="dxa"/>
            <w:noWrap/>
            <w:vAlign w:val="center"/>
          </w:tcPr>
          <w:p w14:paraId="0A2200E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设计数据缓存机制，提高数据访问速度</w:t>
            </w:r>
          </w:p>
        </w:tc>
      </w:tr>
      <w:tr w14:paraId="09324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00C038F0">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3.3.1.4</w:t>
            </w:r>
          </w:p>
        </w:tc>
        <w:tc>
          <w:tcPr>
            <w:tcW w:w="2940" w:type="dxa"/>
            <w:noWrap/>
            <w:vAlign w:val="center"/>
          </w:tcPr>
          <w:p w14:paraId="6954F5A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实时数据处理 - 数据加密传输</w:t>
            </w:r>
          </w:p>
        </w:tc>
        <w:tc>
          <w:tcPr>
            <w:tcW w:w="10334" w:type="dxa"/>
            <w:noWrap/>
            <w:vAlign w:val="center"/>
          </w:tcPr>
          <w:p w14:paraId="7B5FDBE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实现数据的加密传输，保障数据安全</w:t>
            </w:r>
          </w:p>
        </w:tc>
      </w:tr>
      <w:tr w14:paraId="7D8F0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6A1D8825">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3.3.1.5</w:t>
            </w:r>
          </w:p>
        </w:tc>
        <w:tc>
          <w:tcPr>
            <w:tcW w:w="2940" w:type="dxa"/>
            <w:noWrap/>
            <w:vAlign w:val="center"/>
          </w:tcPr>
          <w:p w14:paraId="09FCF03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实时数据处理 - 数据同步日志记录</w:t>
            </w:r>
          </w:p>
        </w:tc>
        <w:tc>
          <w:tcPr>
            <w:tcW w:w="10334" w:type="dxa"/>
            <w:noWrap/>
            <w:vAlign w:val="center"/>
          </w:tcPr>
          <w:p w14:paraId="47979890">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记录数据同步的详细日志</w:t>
            </w:r>
          </w:p>
        </w:tc>
      </w:tr>
      <w:tr w14:paraId="6BF6E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725EEC7E">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3.3.1.6</w:t>
            </w:r>
          </w:p>
        </w:tc>
        <w:tc>
          <w:tcPr>
            <w:tcW w:w="2940" w:type="dxa"/>
            <w:noWrap/>
            <w:vAlign w:val="center"/>
          </w:tcPr>
          <w:p w14:paraId="3EA3867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实时数据处理 - 数据同步中断处理</w:t>
            </w:r>
          </w:p>
        </w:tc>
        <w:tc>
          <w:tcPr>
            <w:tcW w:w="10334" w:type="dxa"/>
            <w:noWrap/>
            <w:vAlign w:val="center"/>
          </w:tcPr>
          <w:p w14:paraId="2269BA2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设计数据同步中断处理机制，确保数据同步稳定</w:t>
            </w:r>
          </w:p>
        </w:tc>
      </w:tr>
      <w:tr w14:paraId="1EB3B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7B43DF0D">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3.4</w:t>
            </w:r>
          </w:p>
        </w:tc>
        <w:tc>
          <w:tcPr>
            <w:tcW w:w="2940" w:type="dxa"/>
            <w:noWrap/>
            <w:vAlign w:val="center"/>
          </w:tcPr>
          <w:p w14:paraId="75D1006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应用场景与价值</w:t>
            </w:r>
          </w:p>
        </w:tc>
        <w:tc>
          <w:tcPr>
            <w:tcW w:w="10334" w:type="dxa"/>
            <w:noWrap/>
            <w:vAlign w:val="center"/>
          </w:tcPr>
          <w:p w14:paraId="6E09C4BC">
            <w:pPr>
              <w:spacing w:line="240" w:lineRule="auto"/>
              <w:ind w:firstLine="0" w:firstLineChars="0"/>
              <w:rPr>
                <w:rFonts w:hint="eastAsia" w:ascii="宋体" w:hAnsi="宋体" w:cs="宋体"/>
                <w:color w:val="auto"/>
                <w:sz w:val="20"/>
                <w:szCs w:val="20"/>
              </w:rPr>
            </w:pPr>
          </w:p>
        </w:tc>
      </w:tr>
      <w:tr w14:paraId="195D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704B628F">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3.4.1.1</w:t>
            </w:r>
          </w:p>
        </w:tc>
        <w:tc>
          <w:tcPr>
            <w:tcW w:w="2940" w:type="dxa"/>
            <w:noWrap/>
            <w:vAlign w:val="center"/>
          </w:tcPr>
          <w:p w14:paraId="1710F592">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虚拟植物标本与互动学习 - 互动功能实现</w:t>
            </w:r>
          </w:p>
        </w:tc>
        <w:tc>
          <w:tcPr>
            <w:tcW w:w="10334" w:type="dxa"/>
            <w:noWrap/>
            <w:vAlign w:val="center"/>
          </w:tcPr>
          <w:p w14:paraId="00A9B1F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实现虚拟植物标本的操作互动功能</w:t>
            </w:r>
          </w:p>
        </w:tc>
      </w:tr>
      <w:tr w14:paraId="5248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460CD70D">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3.4.1.2</w:t>
            </w:r>
          </w:p>
        </w:tc>
        <w:tc>
          <w:tcPr>
            <w:tcW w:w="2940" w:type="dxa"/>
            <w:noWrap/>
            <w:vAlign w:val="center"/>
          </w:tcPr>
          <w:p w14:paraId="75A2FA11">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虚拟植物标本与互动学习 - 学习内容增强现实引导</w:t>
            </w:r>
          </w:p>
        </w:tc>
        <w:tc>
          <w:tcPr>
            <w:tcW w:w="10334" w:type="dxa"/>
            <w:noWrap/>
            <w:vAlign w:val="center"/>
          </w:tcPr>
          <w:p w14:paraId="0860510B">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利用增强现实引导用户学习内容</w:t>
            </w:r>
          </w:p>
        </w:tc>
      </w:tr>
      <w:tr w14:paraId="71B2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4AA65E34">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3.4.1.3</w:t>
            </w:r>
          </w:p>
        </w:tc>
        <w:tc>
          <w:tcPr>
            <w:tcW w:w="2940" w:type="dxa"/>
            <w:noWrap/>
            <w:vAlign w:val="center"/>
          </w:tcPr>
          <w:p w14:paraId="6B78DC5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用户反馈收集</w:t>
            </w:r>
          </w:p>
        </w:tc>
        <w:tc>
          <w:tcPr>
            <w:tcW w:w="10334" w:type="dxa"/>
            <w:vAlign w:val="center"/>
          </w:tcPr>
          <w:p w14:paraId="16A9BB37">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建立用户反馈收集系统，收集用户在使用虚拟植物标本学习过程中的意见和建议，持续改进系统功能</w:t>
            </w:r>
          </w:p>
        </w:tc>
      </w:tr>
      <w:tr w14:paraId="717EB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686EBEAC">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3.4.2.1</w:t>
            </w:r>
          </w:p>
        </w:tc>
        <w:tc>
          <w:tcPr>
            <w:tcW w:w="2940" w:type="dxa"/>
            <w:noWrap/>
            <w:vAlign w:val="center"/>
          </w:tcPr>
          <w:p w14:paraId="7B95BAB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植物鉴定与科普教育 - 科普内容虚拟现实展示</w:t>
            </w:r>
          </w:p>
        </w:tc>
        <w:tc>
          <w:tcPr>
            <w:tcW w:w="10334" w:type="dxa"/>
            <w:noWrap/>
            <w:vAlign w:val="center"/>
          </w:tcPr>
          <w:p w14:paraId="3A286CA6">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开发科普内容的虚拟现实展示功能，创新科普形式</w:t>
            </w:r>
          </w:p>
        </w:tc>
      </w:tr>
      <w:tr w14:paraId="309C7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24370FF2">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3.4.3.1</w:t>
            </w:r>
          </w:p>
        </w:tc>
        <w:tc>
          <w:tcPr>
            <w:tcW w:w="2940" w:type="dxa"/>
            <w:noWrap/>
            <w:vAlign w:val="center"/>
          </w:tcPr>
          <w:p w14:paraId="6F6B6E6F">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沉浸式生态旅游体验 - 互动体验设计</w:t>
            </w:r>
          </w:p>
        </w:tc>
        <w:tc>
          <w:tcPr>
            <w:tcW w:w="10334" w:type="dxa"/>
            <w:noWrap/>
            <w:vAlign w:val="center"/>
          </w:tcPr>
          <w:p w14:paraId="07788905">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设计旅游场景中的互动体验环节</w:t>
            </w:r>
          </w:p>
        </w:tc>
      </w:tr>
      <w:tr w14:paraId="7B906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7DF3748C">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3.4.3.2</w:t>
            </w:r>
          </w:p>
        </w:tc>
        <w:tc>
          <w:tcPr>
            <w:tcW w:w="2940" w:type="dxa"/>
            <w:noWrap/>
            <w:vAlign w:val="center"/>
          </w:tcPr>
          <w:p w14:paraId="7FCB153E">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沉浸式生态旅游体验 - 旅游场景互动道具开发</w:t>
            </w:r>
          </w:p>
        </w:tc>
        <w:tc>
          <w:tcPr>
            <w:tcW w:w="10334" w:type="dxa"/>
            <w:noWrap/>
            <w:vAlign w:val="center"/>
          </w:tcPr>
          <w:p w14:paraId="2CFAEB6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开发旅游场景中的互动道具</w:t>
            </w:r>
          </w:p>
        </w:tc>
      </w:tr>
      <w:tr w14:paraId="69593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6F1CD5FE">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3.4.3.3</w:t>
            </w:r>
          </w:p>
        </w:tc>
        <w:tc>
          <w:tcPr>
            <w:tcW w:w="2940" w:type="dxa"/>
            <w:noWrap/>
            <w:vAlign w:val="center"/>
          </w:tcPr>
          <w:p w14:paraId="404A742C">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沉浸式生态旅游体验 - 旅游场景建模</w:t>
            </w:r>
          </w:p>
        </w:tc>
        <w:tc>
          <w:tcPr>
            <w:tcW w:w="10334" w:type="dxa"/>
            <w:noWrap/>
            <w:vAlign w:val="center"/>
          </w:tcPr>
          <w:p w14:paraId="0357A26A">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建立旅游场景的三维模型</w:t>
            </w:r>
          </w:p>
        </w:tc>
      </w:tr>
      <w:tr w14:paraId="1775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044" w:type="dxa"/>
            <w:vAlign w:val="center"/>
          </w:tcPr>
          <w:p w14:paraId="1E250FCC">
            <w:pPr>
              <w:widowControl/>
              <w:spacing w:line="240" w:lineRule="auto"/>
              <w:ind w:firstLine="0" w:firstLineChars="0"/>
              <w:jc w:val="center"/>
              <w:textAlignment w:val="center"/>
              <w:rPr>
                <w:rFonts w:hint="eastAsia" w:ascii="宋体" w:hAnsi="宋体" w:cs="宋体"/>
                <w:color w:val="auto"/>
                <w:sz w:val="20"/>
                <w:szCs w:val="20"/>
              </w:rPr>
            </w:pPr>
            <w:r>
              <w:rPr>
                <w:rFonts w:hint="eastAsia" w:ascii="宋体" w:hAnsi="宋体" w:cs="宋体"/>
                <w:color w:val="auto"/>
                <w:kern w:val="0"/>
                <w:sz w:val="20"/>
                <w:szCs w:val="20"/>
                <w:lang w:bidi="ar"/>
              </w:rPr>
              <w:t>3.4.3.4</w:t>
            </w:r>
          </w:p>
        </w:tc>
        <w:tc>
          <w:tcPr>
            <w:tcW w:w="2940" w:type="dxa"/>
            <w:noWrap/>
            <w:vAlign w:val="center"/>
          </w:tcPr>
          <w:p w14:paraId="0EDBD429">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沉浸式生态旅游体验 - 虚拟植物植入</w:t>
            </w:r>
          </w:p>
        </w:tc>
        <w:tc>
          <w:tcPr>
            <w:tcW w:w="10334" w:type="dxa"/>
            <w:noWrap/>
            <w:vAlign w:val="center"/>
          </w:tcPr>
          <w:p w14:paraId="2266F493">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将虚拟植物植入旅游场景</w:t>
            </w:r>
          </w:p>
        </w:tc>
      </w:tr>
      <w:tr w14:paraId="29EB5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05A8C05E">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(四）</w:t>
            </w:r>
          </w:p>
        </w:tc>
        <w:tc>
          <w:tcPr>
            <w:tcW w:w="2940" w:type="dxa"/>
            <w:vAlign w:val="center"/>
          </w:tcPr>
          <w:p w14:paraId="35E8805F">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系统测试</w:t>
            </w:r>
          </w:p>
        </w:tc>
        <w:tc>
          <w:tcPr>
            <w:tcW w:w="10334" w:type="dxa"/>
            <w:vAlign w:val="center"/>
          </w:tcPr>
          <w:p w14:paraId="339190C5">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系统各个功能模块测试</w:t>
            </w:r>
          </w:p>
        </w:tc>
      </w:tr>
      <w:tr w14:paraId="08DEE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44" w:type="dxa"/>
            <w:vAlign w:val="center"/>
          </w:tcPr>
          <w:p w14:paraId="4562AD9D">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（五）</w:t>
            </w:r>
          </w:p>
        </w:tc>
        <w:tc>
          <w:tcPr>
            <w:tcW w:w="2940" w:type="dxa"/>
            <w:vAlign w:val="center"/>
          </w:tcPr>
          <w:p w14:paraId="75AB3C32">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实施部署</w:t>
            </w:r>
          </w:p>
        </w:tc>
        <w:tc>
          <w:tcPr>
            <w:tcW w:w="10334" w:type="dxa"/>
            <w:vAlign w:val="center"/>
          </w:tcPr>
          <w:p w14:paraId="4531340A">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系统软、硬件的安装、调试部署工作</w:t>
            </w:r>
          </w:p>
        </w:tc>
      </w:tr>
    </w:tbl>
    <w:p w14:paraId="3F8FBA0A">
      <w:pPr>
        <w:pStyle w:val="5"/>
        <w:numPr>
          <w:ilvl w:val="-1"/>
          <w:numId w:val="0"/>
        </w:numPr>
        <w:spacing w:before="156" w:after="156"/>
        <w:rPr>
          <w:rFonts w:hint="eastAsia"/>
          <w:color w:val="auto"/>
        </w:rPr>
      </w:pPr>
    </w:p>
    <w:p w14:paraId="2A5D04D8">
      <w:pPr>
        <w:pStyle w:val="5"/>
        <w:numPr>
          <w:ilvl w:val="-1"/>
          <w:numId w:val="0"/>
        </w:numPr>
        <w:spacing w:before="156" w:after="156"/>
        <w:rPr>
          <w:rFonts w:hint="eastAsia"/>
          <w:color w:val="auto"/>
          <w:lang w:val="en-US" w:eastAsia="zh-CN"/>
        </w:rPr>
      </w:pPr>
      <w:r>
        <w:rPr>
          <w:rFonts w:hint="eastAsia"/>
          <w:color w:val="auto"/>
          <w:lang w:val="en-US" w:eastAsia="zh-CN"/>
        </w:rPr>
        <w:t>1.3.3三维模型可视化与应用配套硬件设备清单</w:t>
      </w:r>
    </w:p>
    <w:tbl>
      <w:tblPr>
        <w:tblStyle w:val="17"/>
        <w:tblW w:w="0" w:type="auto"/>
        <w:tblInd w:w="0" w:type="dxa"/>
        <w:tblLayout w:type="fixed"/>
        <w:tblCellMar>
          <w:top w:w="0" w:type="dxa"/>
          <w:left w:w="108" w:type="dxa"/>
          <w:bottom w:w="0" w:type="dxa"/>
          <w:right w:w="108" w:type="dxa"/>
        </w:tblCellMar>
      </w:tblPr>
      <w:tblGrid>
        <w:gridCol w:w="671"/>
        <w:gridCol w:w="1633"/>
        <w:gridCol w:w="10267"/>
        <w:gridCol w:w="700"/>
        <w:gridCol w:w="887"/>
      </w:tblGrid>
      <w:tr w14:paraId="36FFF62B">
        <w:tblPrEx>
          <w:tblCellMar>
            <w:top w:w="0" w:type="dxa"/>
            <w:left w:w="108" w:type="dxa"/>
            <w:bottom w:w="0" w:type="dxa"/>
            <w:right w:w="108" w:type="dxa"/>
          </w:tblCellMar>
        </w:tblPrEx>
        <w:trPr>
          <w:trHeight w:val="130" w:hRule="atLeast"/>
          <w:tblHeader/>
        </w:trPr>
        <w:tc>
          <w:tcPr>
            <w:tcW w:w="671" w:type="dxa"/>
            <w:tcBorders>
              <w:top w:val="single" w:color="000000" w:sz="4" w:space="0"/>
              <w:left w:val="single" w:color="000000" w:sz="4" w:space="0"/>
              <w:bottom w:val="single" w:color="000000" w:sz="4" w:space="0"/>
              <w:right w:val="single" w:color="000000" w:sz="4" w:space="0"/>
            </w:tcBorders>
            <w:vAlign w:val="center"/>
          </w:tcPr>
          <w:p w14:paraId="6845B590">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序号</w:t>
            </w:r>
          </w:p>
        </w:tc>
        <w:tc>
          <w:tcPr>
            <w:tcW w:w="1633" w:type="dxa"/>
            <w:tcBorders>
              <w:top w:val="single" w:color="000000" w:sz="4" w:space="0"/>
              <w:left w:val="single" w:color="000000" w:sz="4" w:space="0"/>
              <w:bottom w:val="single" w:color="000000" w:sz="4" w:space="0"/>
              <w:right w:val="single" w:color="000000" w:sz="4" w:space="0"/>
            </w:tcBorders>
            <w:vAlign w:val="center"/>
          </w:tcPr>
          <w:p w14:paraId="3C442697">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工程项目名称</w:t>
            </w:r>
          </w:p>
        </w:tc>
        <w:tc>
          <w:tcPr>
            <w:tcW w:w="10267" w:type="dxa"/>
            <w:tcBorders>
              <w:top w:val="single" w:color="000000" w:sz="4" w:space="0"/>
              <w:left w:val="single" w:color="000000" w:sz="4" w:space="0"/>
              <w:bottom w:val="single" w:color="000000" w:sz="4" w:space="0"/>
              <w:right w:val="single" w:color="000000" w:sz="4" w:space="0"/>
            </w:tcBorders>
            <w:vAlign w:val="center"/>
          </w:tcPr>
          <w:p w14:paraId="05B8AD9F">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需求描述</w:t>
            </w:r>
          </w:p>
        </w:tc>
        <w:tc>
          <w:tcPr>
            <w:tcW w:w="700" w:type="dxa"/>
            <w:tcBorders>
              <w:top w:val="single" w:color="000000" w:sz="4" w:space="0"/>
              <w:left w:val="single" w:color="000000" w:sz="4" w:space="0"/>
              <w:bottom w:val="single" w:color="000000" w:sz="4" w:space="0"/>
              <w:right w:val="single" w:color="000000" w:sz="4" w:space="0"/>
            </w:tcBorders>
            <w:vAlign w:val="center"/>
          </w:tcPr>
          <w:p w14:paraId="1E4C8F0A">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单位</w:t>
            </w:r>
          </w:p>
        </w:tc>
        <w:tc>
          <w:tcPr>
            <w:tcW w:w="887" w:type="dxa"/>
            <w:tcBorders>
              <w:top w:val="single" w:color="000000" w:sz="4" w:space="0"/>
              <w:left w:val="single" w:color="000000" w:sz="4" w:space="0"/>
              <w:bottom w:val="single" w:color="000000" w:sz="4" w:space="0"/>
              <w:right w:val="single" w:color="000000" w:sz="4" w:space="0"/>
            </w:tcBorders>
            <w:vAlign w:val="center"/>
          </w:tcPr>
          <w:p w14:paraId="0EE4F6DE">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工程量</w:t>
            </w:r>
          </w:p>
        </w:tc>
      </w:tr>
      <w:tr w14:paraId="75C35F54">
        <w:tblPrEx>
          <w:tblCellMar>
            <w:top w:w="0" w:type="dxa"/>
            <w:left w:w="108" w:type="dxa"/>
            <w:bottom w:w="0" w:type="dxa"/>
            <w:right w:w="108" w:type="dxa"/>
          </w:tblCellMar>
        </w:tblPrEx>
        <w:trPr>
          <w:trHeight w:val="121" w:hRule="atLeast"/>
        </w:trPr>
        <w:tc>
          <w:tcPr>
            <w:tcW w:w="14158" w:type="dxa"/>
            <w:gridSpan w:val="5"/>
            <w:tcBorders>
              <w:top w:val="single" w:color="000000" w:sz="4" w:space="0"/>
              <w:left w:val="single" w:color="000000" w:sz="4" w:space="0"/>
              <w:bottom w:val="single" w:color="000000" w:sz="4" w:space="0"/>
              <w:right w:val="single" w:color="000000" w:sz="4" w:space="0"/>
            </w:tcBorders>
            <w:noWrap/>
            <w:vAlign w:val="center"/>
          </w:tcPr>
          <w:p w14:paraId="422856C1">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b/>
                <w:bCs/>
                <w:color w:val="auto"/>
                <w:kern w:val="0"/>
                <w:sz w:val="20"/>
                <w:szCs w:val="20"/>
                <w:lang w:bidi="ar"/>
              </w:rPr>
              <w:t>三维模型可视化与应用配套硬件设备</w:t>
            </w:r>
          </w:p>
        </w:tc>
      </w:tr>
      <w:tr w14:paraId="3CA648CB">
        <w:tblPrEx>
          <w:tblCellMar>
            <w:top w:w="0" w:type="dxa"/>
            <w:left w:w="108" w:type="dxa"/>
            <w:bottom w:w="0" w:type="dxa"/>
            <w:right w:w="108" w:type="dxa"/>
          </w:tblCellMar>
        </w:tblPrEx>
        <w:trPr>
          <w:trHeight w:val="576" w:hRule="atLeast"/>
        </w:trPr>
        <w:tc>
          <w:tcPr>
            <w:tcW w:w="671" w:type="dxa"/>
            <w:tcBorders>
              <w:top w:val="single" w:color="000000" w:sz="4" w:space="0"/>
              <w:left w:val="single" w:color="000000" w:sz="4" w:space="0"/>
              <w:bottom w:val="single" w:color="000000" w:sz="4" w:space="0"/>
              <w:right w:val="single" w:color="000000" w:sz="4" w:space="0"/>
            </w:tcBorders>
            <w:noWrap/>
            <w:vAlign w:val="center"/>
          </w:tcPr>
          <w:p w14:paraId="377473C7">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color w:val="auto"/>
                <w:kern w:val="0"/>
                <w:sz w:val="20"/>
                <w:szCs w:val="20"/>
                <w:lang w:bidi="ar"/>
              </w:rPr>
              <w:t>1</w:t>
            </w:r>
          </w:p>
        </w:tc>
        <w:tc>
          <w:tcPr>
            <w:tcW w:w="1633" w:type="dxa"/>
            <w:tcBorders>
              <w:top w:val="single" w:color="000000" w:sz="4" w:space="0"/>
              <w:left w:val="single" w:color="000000" w:sz="4" w:space="0"/>
              <w:bottom w:val="single" w:color="000000" w:sz="4" w:space="0"/>
              <w:right w:val="single" w:color="000000" w:sz="4" w:space="0"/>
            </w:tcBorders>
            <w:vAlign w:val="center"/>
          </w:tcPr>
          <w:p w14:paraId="2EEAC730">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color w:val="auto"/>
                <w:kern w:val="0"/>
                <w:sz w:val="20"/>
                <w:szCs w:val="20"/>
                <w:lang w:bidi="ar"/>
              </w:rPr>
              <w:t>三维渲染引擎</w:t>
            </w:r>
          </w:p>
        </w:tc>
        <w:tc>
          <w:tcPr>
            <w:tcW w:w="10267" w:type="dxa"/>
            <w:tcBorders>
              <w:top w:val="single" w:color="000000" w:sz="4" w:space="0"/>
              <w:left w:val="single" w:color="000000" w:sz="4" w:space="0"/>
              <w:bottom w:val="single" w:color="000000" w:sz="4" w:space="0"/>
              <w:right w:val="single" w:color="000000" w:sz="4" w:space="0"/>
            </w:tcBorders>
            <w:vAlign w:val="center"/>
          </w:tcPr>
          <w:p w14:paraId="0B6FF1EE">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color w:val="auto"/>
                <w:kern w:val="0"/>
                <w:sz w:val="20"/>
                <w:szCs w:val="20"/>
                <w:lang w:bidi="ar"/>
              </w:rPr>
              <w:t>1）数据格式：支持的数据格式包括：.rvt，.dgn，.max，.nwd，.osgb，.ifc，.3ds，.obj，.fbx，.stl，.las/laz，.pla/pln ，SmartPlant3D的vue格式，支持PDMS的rvm格式，支持Catia的3dxml格式，同时支持3dtiles，i3s，s3m数据标准，提供支持数据格式的真实系统截图。2）数据治理：具有数据转换、倾斜摄影节点优化、碰撞检测、金字塔调度等；具有模型转换、碰撞检测、多个模型合并、模型偏移、多级 LOD 开关、材质替换等功能；具有模型转换、模型精度控制、材质替换，模型合并、链接发布等功能，提供第三方检测机构出具的测试报告。3）数据优化：具有对精模的原始数据优化能力，包括几何合并、纹理合并、纹理分组、纹理压缩；支持自动生成多级 LOD；具有点云数据优化功能，主要根据点云聚集度对点云进行抽稀处理、几何化简，根据八叉树生成点云缓存；具有倾斜摄影数据优化功能，包括数据显示效率优化，对倾斜摄影数据建立反向金字塔，支持节点合并、节点关系重构、几何化简、几何压缩、纹理压缩，提供第三方检测机构出具的测试报告。4）支持国产化arm架构操作系统。</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05B9700E">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color w:val="auto"/>
                <w:kern w:val="0"/>
                <w:sz w:val="20"/>
                <w:szCs w:val="20"/>
                <w:lang w:bidi="ar"/>
              </w:rPr>
              <w:t>套</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043087C1">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color w:val="auto"/>
                <w:kern w:val="0"/>
                <w:sz w:val="20"/>
                <w:szCs w:val="20"/>
                <w:lang w:bidi="ar"/>
              </w:rPr>
              <w:t>1</w:t>
            </w:r>
          </w:p>
        </w:tc>
      </w:tr>
      <w:tr w14:paraId="69B2D471">
        <w:tblPrEx>
          <w:tblCellMar>
            <w:top w:w="0" w:type="dxa"/>
            <w:left w:w="108" w:type="dxa"/>
            <w:bottom w:w="0" w:type="dxa"/>
            <w:right w:w="108" w:type="dxa"/>
          </w:tblCellMar>
        </w:tblPrEx>
        <w:trPr>
          <w:trHeight w:val="257" w:hRule="atLeast"/>
        </w:trPr>
        <w:tc>
          <w:tcPr>
            <w:tcW w:w="671" w:type="dxa"/>
            <w:tcBorders>
              <w:top w:val="single" w:color="000000" w:sz="4" w:space="0"/>
              <w:left w:val="single" w:color="000000" w:sz="4" w:space="0"/>
              <w:bottom w:val="single" w:color="000000" w:sz="4" w:space="0"/>
              <w:right w:val="single" w:color="000000" w:sz="4" w:space="0"/>
            </w:tcBorders>
            <w:noWrap/>
            <w:vAlign w:val="center"/>
          </w:tcPr>
          <w:p w14:paraId="0C5A45A1">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color w:val="auto"/>
                <w:kern w:val="0"/>
                <w:sz w:val="20"/>
                <w:szCs w:val="20"/>
                <w:lang w:bidi="ar"/>
              </w:rPr>
              <w:t>2</w:t>
            </w:r>
          </w:p>
        </w:tc>
        <w:tc>
          <w:tcPr>
            <w:tcW w:w="1633" w:type="dxa"/>
            <w:tcBorders>
              <w:top w:val="single" w:color="000000" w:sz="4" w:space="0"/>
              <w:left w:val="single" w:color="000000" w:sz="4" w:space="0"/>
              <w:bottom w:val="single" w:color="000000" w:sz="4" w:space="0"/>
              <w:right w:val="single" w:color="000000" w:sz="4" w:space="0"/>
            </w:tcBorders>
            <w:vAlign w:val="center"/>
          </w:tcPr>
          <w:p w14:paraId="108CFEA4">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color w:val="auto"/>
                <w:kern w:val="0"/>
                <w:sz w:val="20"/>
                <w:szCs w:val="20"/>
                <w:lang w:bidi="ar"/>
              </w:rPr>
              <w:t>多源异构数据分析服务器</w:t>
            </w:r>
          </w:p>
        </w:tc>
        <w:tc>
          <w:tcPr>
            <w:tcW w:w="10267" w:type="dxa"/>
            <w:tcBorders>
              <w:top w:val="single" w:color="000000" w:sz="4" w:space="0"/>
              <w:left w:val="single" w:color="000000" w:sz="4" w:space="0"/>
              <w:bottom w:val="single" w:color="000000" w:sz="4" w:space="0"/>
              <w:right w:val="single" w:color="000000" w:sz="4" w:space="0"/>
            </w:tcBorders>
            <w:vAlign w:val="center"/>
          </w:tcPr>
          <w:p w14:paraId="11E02B5A">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color w:val="auto"/>
                <w:kern w:val="0"/>
                <w:sz w:val="20"/>
                <w:szCs w:val="20"/>
                <w:lang w:bidi="ar"/>
              </w:rPr>
              <w:t>国产品牌2U机架式服务器；2颗国产处理器，主频2.0GHZ及以上、单颗核心数32核及以上；配置256GB内存，类型：DDR4RDIMM内存插槽，内存槽位8根，最大支持512G内存；4块2TSAS10K硬盘，2块960GBSSD硬盘；1块高性能企业级AI算力卡 DCU K100 AI 64G专业显卡国产NPU/GPU计算卡；1块八通道高性能阵列卡；2个千兆电口；2个VGA接口，1个独立远程管理端口，后置4个USB3.0接口；800W1+1冗余电源；原厂3年售后保修服务。</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18F18E42">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color w:val="auto"/>
                <w:kern w:val="0"/>
                <w:sz w:val="20"/>
                <w:szCs w:val="20"/>
                <w:lang w:bidi="ar"/>
              </w:rPr>
              <w:t>台</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7CF65F06">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color w:val="auto"/>
                <w:kern w:val="0"/>
                <w:sz w:val="20"/>
                <w:szCs w:val="20"/>
                <w:lang w:bidi="ar"/>
              </w:rPr>
              <w:t>1</w:t>
            </w:r>
          </w:p>
        </w:tc>
      </w:tr>
      <w:tr w14:paraId="20D0AEA7">
        <w:tblPrEx>
          <w:tblCellMar>
            <w:top w:w="0" w:type="dxa"/>
            <w:left w:w="108" w:type="dxa"/>
            <w:bottom w:w="0" w:type="dxa"/>
            <w:right w:w="108" w:type="dxa"/>
          </w:tblCellMar>
        </w:tblPrEx>
        <w:trPr>
          <w:trHeight w:val="257" w:hRule="atLeast"/>
        </w:trPr>
        <w:tc>
          <w:tcPr>
            <w:tcW w:w="671" w:type="dxa"/>
            <w:tcBorders>
              <w:top w:val="single" w:color="000000" w:sz="4" w:space="0"/>
              <w:left w:val="single" w:color="000000" w:sz="4" w:space="0"/>
              <w:bottom w:val="single" w:color="000000" w:sz="4" w:space="0"/>
              <w:right w:val="single" w:color="000000" w:sz="4" w:space="0"/>
            </w:tcBorders>
            <w:noWrap/>
            <w:vAlign w:val="center"/>
          </w:tcPr>
          <w:p w14:paraId="44B6F726">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color w:val="auto"/>
                <w:kern w:val="0"/>
                <w:sz w:val="20"/>
                <w:szCs w:val="20"/>
                <w:lang w:bidi="ar"/>
              </w:rPr>
              <w:t>3</w:t>
            </w:r>
          </w:p>
        </w:tc>
        <w:tc>
          <w:tcPr>
            <w:tcW w:w="1633" w:type="dxa"/>
            <w:tcBorders>
              <w:top w:val="single" w:color="000000" w:sz="4" w:space="0"/>
              <w:left w:val="single" w:color="000000" w:sz="4" w:space="0"/>
              <w:bottom w:val="single" w:color="000000" w:sz="4" w:space="0"/>
              <w:right w:val="single" w:color="000000" w:sz="4" w:space="0"/>
            </w:tcBorders>
            <w:vAlign w:val="center"/>
          </w:tcPr>
          <w:p w14:paraId="7CB4A38F">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color w:val="auto"/>
                <w:kern w:val="0"/>
                <w:sz w:val="20"/>
                <w:szCs w:val="20"/>
                <w:lang w:bidi="ar"/>
              </w:rPr>
              <w:t>三维空间数据服务器</w:t>
            </w:r>
          </w:p>
        </w:tc>
        <w:tc>
          <w:tcPr>
            <w:tcW w:w="10267" w:type="dxa"/>
            <w:tcBorders>
              <w:top w:val="single" w:color="000000" w:sz="4" w:space="0"/>
              <w:left w:val="single" w:color="000000" w:sz="4" w:space="0"/>
              <w:bottom w:val="single" w:color="000000" w:sz="4" w:space="0"/>
              <w:right w:val="single" w:color="000000" w:sz="4" w:space="0"/>
            </w:tcBorders>
            <w:vAlign w:val="center"/>
          </w:tcPr>
          <w:p w14:paraId="610BF995">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color w:val="auto"/>
                <w:kern w:val="0"/>
                <w:sz w:val="20"/>
                <w:szCs w:val="20"/>
                <w:lang w:bidi="ar"/>
              </w:rPr>
              <w:t>国产品牌2U机架式服务器；2颗国产处理器，主频2.0GHZ及以上、单颗核心数32核及以上；配置256GB内存，类型：DDR4RDIMM内存插槽，内存槽位8根，最大支持512G内存；4块2TSAS10K硬盘，2块960GBSSD硬盘；1块高性能企业级AI算力卡 DCU K100 AI 64G专业显卡国产NPU/GPU计算卡；1块八通道高性能阵列卡；2个千兆电口；2个VGA接口，1个独立远程管理端口，后置4个USB3.0接口；800W1+1冗余电源；原厂3年售后保修服务。</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209FA88B">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color w:val="auto"/>
                <w:kern w:val="0"/>
                <w:sz w:val="20"/>
                <w:szCs w:val="20"/>
                <w:lang w:bidi="ar"/>
              </w:rPr>
              <w:t>台</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20A20F65">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color w:val="auto"/>
                <w:kern w:val="0"/>
                <w:sz w:val="20"/>
                <w:szCs w:val="20"/>
                <w:lang w:bidi="ar"/>
              </w:rPr>
              <w:t>1</w:t>
            </w:r>
          </w:p>
        </w:tc>
      </w:tr>
      <w:tr w14:paraId="61B1A95F">
        <w:tblPrEx>
          <w:tblCellMar>
            <w:top w:w="0" w:type="dxa"/>
            <w:left w:w="108" w:type="dxa"/>
            <w:bottom w:w="0" w:type="dxa"/>
            <w:right w:w="108" w:type="dxa"/>
          </w:tblCellMar>
        </w:tblPrEx>
        <w:trPr>
          <w:trHeight w:val="121" w:hRule="atLeast"/>
        </w:trPr>
        <w:tc>
          <w:tcPr>
            <w:tcW w:w="671" w:type="dxa"/>
            <w:tcBorders>
              <w:top w:val="single" w:color="000000" w:sz="4" w:space="0"/>
              <w:left w:val="single" w:color="000000" w:sz="4" w:space="0"/>
              <w:bottom w:val="single" w:color="000000" w:sz="4" w:space="0"/>
              <w:right w:val="single" w:color="000000" w:sz="4" w:space="0"/>
            </w:tcBorders>
            <w:noWrap/>
            <w:vAlign w:val="center"/>
          </w:tcPr>
          <w:p w14:paraId="5D78BECB">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color w:val="auto"/>
                <w:kern w:val="0"/>
                <w:sz w:val="20"/>
                <w:szCs w:val="20"/>
                <w:lang w:bidi="ar"/>
              </w:rPr>
              <w:t>4</w:t>
            </w:r>
          </w:p>
        </w:tc>
        <w:tc>
          <w:tcPr>
            <w:tcW w:w="1633" w:type="dxa"/>
            <w:tcBorders>
              <w:top w:val="single" w:color="000000" w:sz="4" w:space="0"/>
              <w:left w:val="single" w:color="000000" w:sz="4" w:space="0"/>
              <w:bottom w:val="single" w:color="000000" w:sz="4" w:space="0"/>
              <w:right w:val="single" w:color="000000" w:sz="4" w:space="0"/>
            </w:tcBorders>
            <w:vAlign w:val="center"/>
          </w:tcPr>
          <w:p w14:paraId="073D49F9">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color w:val="auto"/>
                <w:kern w:val="0"/>
                <w:sz w:val="20"/>
                <w:szCs w:val="20"/>
                <w:lang w:bidi="ar"/>
              </w:rPr>
              <w:t>数据交换机</w:t>
            </w:r>
          </w:p>
        </w:tc>
        <w:tc>
          <w:tcPr>
            <w:tcW w:w="10267" w:type="dxa"/>
            <w:tcBorders>
              <w:top w:val="single" w:color="000000" w:sz="4" w:space="0"/>
              <w:left w:val="single" w:color="000000" w:sz="4" w:space="0"/>
              <w:bottom w:val="single" w:color="000000" w:sz="4" w:space="0"/>
              <w:right w:val="single" w:color="000000" w:sz="4" w:space="0"/>
            </w:tcBorders>
            <w:vAlign w:val="center"/>
          </w:tcPr>
          <w:p w14:paraId="0F9462D5">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color w:val="auto"/>
                <w:kern w:val="0"/>
                <w:sz w:val="20"/>
                <w:szCs w:val="20"/>
                <w:lang w:bidi="ar"/>
              </w:rPr>
              <w:t>万兆以太网交换机，传输速率10/100/1000/10000Mbps，48个10/100/1000Base-T以太网端口</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3179F388">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color w:val="auto"/>
                <w:kern w:val="0"/>
                <w:sz w:val="20"/>
                <w:szCs w:val="20"/>
                <w:lang w:bidi="ar"/>
              </w:rPr>
              <w:t>台</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3B7C6194">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color w:val="auto"/>
                <w:kern w:val="0"/>
                <w:sz w:val="20"/>
                <w:szCs w:val="20"/>
                <w:lang w:bidi="ar"/>
              </w:rPr>
              <w:t>1</w:t>
            </w:r>
          </w:p>
        </w:tc>
      </w:tr>
      <w:tr w14:paraId="0C142A7A">
        <w:tblPrEx>
          <w:tblCellMar>
            <w:top w:w="0" w:type="dxa"/>
            <w:left w:w="108" w:type="dxa"/>
            <w:bottom w:w="0" w:type="dxa"/>
            <w:right w:w="108" w:type="dxa"/>
          </w:tblCellMar>
        </w:tblPrEx>
        <w:trPr>
          <w:trHeight w:val="132" w:hRule="atLeast"/>
        </w:trPr>
        <w:tc>
          <w:tcPr>
            <w:tcW w:w="671" w:type="dxa"/>
            <w:tcBorders>
              <w:top w:val="single" w:color="000000" w:sz="4" w:space="0"/>
              <w:left w:val="single" w:color="000000" w:sz="4" w:space="0"/>
              <w:bottom w:val="single" w:color="000000" w:sz="4" w:space="0"/>
              <w:right w:val="single" w:color="000000" w:sz="4" w:space="0"/>
            </w:tcBorders>
            <w:noWrap/>
            <w:vAlign w:val="center"/>
          </w:tcPr>
          <w:p w14:paraId="351B3B0D">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color w:val="auto"/>
                <w:kern w:val="0"/>
                <w:sz w:val="20"/>
                <w:szCs w:val="20"/>
                <w:lang w:bidi="ar"/>
              </w:rPr>
              <w:t>5</w:t>
            </w:r>
          </w:p>
        </w:tc>
        <w:tc>
          <w:tcPr>
            <w:tcW w:w="1633" w:type="dxa"/>
            <w:tcBorders>
              <w:top w:val="single" w:color="000000" w:sz="4" w:space="0"/>
              <w:left w:val="single" w:color="000000" w:sz="4" w:space="0"/>
              <w:bottom w:val="single" w:color="000000" w:sz="4" w:space="0"/>
              <w:right w:val="single" w:color="000000" w:sz="4" w:space="0"/>
            </w:tcBorders>
            <w:vAlign w:val="center"/>
          </w:tcPr>
          <w:p w14:paraId="7433BB94">
            <w:pPr>
              <w:widowControl/>
              <w:spacing w:line="240" w:lineRule="auto"/>
              <w:ind w:firstLine="0" w:firstLineChars="0"/>
              <w:jc w:val="left"/>
              <w:textAlignment w:val="center"/>
              <w:rPr>
                <w:rFonts w:hint="eastAsia" w:ascii="宋体" w:hAnsi="宋体" w:cs="宋体"/>
                <w:b/>
                <w:bCs/>
                <w:color w:val="auto"/>
                <w:sz w:val="20"/>
                <w:szCs w:val="20"/>
              </w:rPr>
            </w:pPr>
            <w:r>
              <w:rPr>
                <w:rFonts w:hint="eastAsia" w:ascii="宋体" w:hAnsi="宋体" w:cs="宋体"/>
                <w:color w:val="auto"/>
                <w:kern w:val="0"/>
                <w:sz w:val="20"/>
                <w:szCs w:val="20"/>
                <w:lang w:bidi="ar"/>
              </w:rPr>
              <w:t>三维场景空间独立带宽</w:t>
            </w:r>
          </w:p>
        </w:tc>
        <w:tc>
          <w:tcPr>
            <w:tcW w:w="10267" w:type="dxa"/>
            <w:tcBorders>
              <w:top w:val="single" w:color="000000" w:sz="4" w:space="0"/>
              <w:left w:val="single" w:color="000000" w:sz="4" w:space="0"/>
              <w:bottom w:val="single" w:color="000000" w:sz="4" w:space="0"/>
              <w:right w:val="single" w:color="000000" w:sz="4" w:space="0"/>
            </w:tcBorders>
            <w:vAlign w:val="center"/>
          </w:tcPr>
          <w:p w14:paraId="05FFE6CD">
            <w:pPr>
              <w:widowControl/>
              <w:spacing w:line="240" w:lineRule="auto"/>
              <w:ind w:firstLine="0" w:firstLineChars="0"/>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50Mbps独立带宽，上下行速率对等的视频专线</w:t>
            </w:r>
          </w:p>
        </w:tc>
        <w:tc>
          <w:tcPr>
            <w:tcW w:w="700" w:type="dxa"/>
            <w:tcBorders>
              <w:top w:val="single" w:color="000000" w:sz="4" w:space="0"/>
              <w:left w:val="single" w:color="000000" w:sz="4" w:space="0"/>
              <w:bottom w:val="single" w:color="000000" w:sz="4" w:space="0"/>
              <w:right w:val="single" w:color="000000" w:sz="4" w:space="0"/>
            </w:tcBorders>
            <w:noWrap/>
            <w:vAlign w:val="center"/>
          </w:tcPr>
          <w:p w14:paraId="52986271">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color w:val="auto"/>
                <w:kern w:val="0"/>
                <w:sz w:val="20"/>
                <w:szCs w:val="20"/>
                <w:lang w:bidi="ar"/>
              </w:rPr>
              <w:t>年/条</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7DA2E45A">
            <w:pPr>
              <w:widowControl/>
              <w:spacing w:line="240" w:lineRule="auto"/>
              <w:ind w:firstLine="0" w:firstLineChars="0"/>
              <w:jc w:val="center"/>
              <w:textAlignment w:val="center"/>
              <w:rPr>
                <w:rFonts w:hint="eastAsia" w:ascii="宋体" w:hAnsi="宋体" w:cs="宋体"/>
                <w:b/>
                <w:bCs/>
                <w:color w:val="auto"/>
                <w:sz w:val="20"/>
                <w:szCs w:val="20"/>
              </w:rPr>
            </w:pPr>
            <w:r>
              <w:rPr>
                <w:rFonts w:hint="eastAsia" w:ascii="宋体" w:hAnsi="宋体" w:cs="宋体"/>
                <w:color w:val="auto"/>
                <w:kern w:val="0"/>
                <w:sz w:val="20"/>
                <w:szCs w:val="20"/>
                <w:lang w:bidi="ar"/>
              </w:rPr>
              <w:t>3</w:t>
            </w:r>
          </w:p>
        </w:tc>
      </w:tr>
    </w:tbl>
    <w:p w14:paraId="10F5413D">
      <w:pPr>
        <w:pStyle w:val="5"/>
        <w:numPr>
          <w:ilvl w:val="-1"/>
          <w:numId w:val="0"/>
        </w:numPr>
        <w:spacing w:before="156" w:after="156"/>
        <w:rPr>
          <w:rFonts w:hint="default"/>
          <w:color w:val="auto"/>
          <w:lang w:val="en-US" w:eastAsia="zh-CN"/>
        </w:rPr>
      </w:pPr>
    </w:p>
    <w:p w14:paraId="43F94418">
      <w:pPr>
        <w:pStyle w:val="5"/>
        <w:numPr>
          <w:ilvl w:val="-1"/>
          <w:numId w:val="0"/>
        </w:numPr>
        <w:spacing w:before="156" w:after="156"/>
        <w:rPr>
          <w:rFonts w:hint="default"/>
          <w:color w:val="auto"/>
          <w:lang w:val="en-US" w:eastAsia="zh-CN"/>
        </w:rPr>
      </w:pPr>
      <w:r>
        <w:rPr>
          <w:rFonts w:hint="eastAsia"/>
          <w:color w:val="auto"/>
          <w:lang w:val="en-US" w:eastAsia="zh-CN"/>
        </w:rPr>
        <w:t>1.4政务云配置软硬件购置清单</w:t>
      </w:r>
    </w:p>
    <w:tbl>
      <w:tblPr>
        <w:tblStyle w:val="17"/>
        <w:tblW w:w="14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316"/>
        <w:gridCol w:w="1990"/>
        <w:gridCol w:w="5390"/>
        <w:gridCol w:w="717"/>
        <w:gridCol w:w="1066"/>
        <w:gridCol w:w="3067"/>
      </w:tblGrid>
      <w:tr w14:paraId="4521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58" w:type="dxa"/>
            <w:noWrap/>
            <w:vAlign w:val="center"/>
          </w:tcPr>
          <w:p w14:paraId="0C99E40A">
            <w:pPr>
              <w:widowControl/>
              <w:spacing w:line="240" w:lineRule="auto"/>
              <w:ind w:firstLine="0" w:firstLineChars="0"/>
              <w:jc w:val="center"/>
              <w:rPr>
                <w:rFonts w:hint="eastAsia" w:ascii="宋体" w:hAnsi="宋体" w:cs="宋体"/>
                <w:b/>
                <w:bCs/>
                <w:color w:val="auto"/>
                <w:kern w:val="0"/>
                <w:sz w:val="22"/>
              </w:rPr>
            </w:pPr>
            <w:r>
              <w:rPr>
                <w:rFonts w:hint="eastAsia" w:ascii="宋体" w:hAnsi="宋体" w:cs="宋体"/>
                <w:b/>
                <w:bCs/>
                <w:color w:val="auto"/>
                <w:kern w:val="0"/>
                <w:sz w:val="22"/>
              </w:rPr>
              <w:t>序号</w:t>
            </w:r>
          </w:p>
        </w:tc>
        <w:tc>
          <w:tcPr>
            <w:tcW w:w="1316" w:type="dxa"/>
            <w:noWrap/>
            <w:vAlign w:val="center"/>
          </w:tcPr>
          <w:p w14:paraId="06CE017E">
            <w:pPr>
              <w:widowControl/>
              <w:spacing w:line="240" w:lineRule="auto"/>
              <w:ind w:firstLine="0" w:firstLineChars="0"/>
              <w:jc w:val="center"/>
              <w:rPr>
                <w:rFonts w:hint="eastAsia" w:ascii="宋体" w:hAnsi="宋体" w:cs="宋体"/>
                <w:b/>
                <w:bCs/>
                <w:color w:val="auto"/>
                <w:kern w:val="0"/>
                <w:sz w:val="22"/>
              </w:rPr>
            </w:pPr>
            <w:r>
              <w:rPr>
                <w:rFonts w:hint="eastAsia" w:ascii="宋体" w:hAnsi="宋体" w:cs="宋体"/>
                <w:b/>
                <w:bCs/>
                <w:color w:val="auto"/>
                <w:kern w:val="0"/>
                <w:sz w:val="22"/>
              </w:rPr>
              <w:t>服务分类</w:t>
            </w:r>
          </w:p>
        </w:tc>
        <w:tc>
          <w:tcPr>
            <w:tcW w:w="1990" w:type="dxa"/>
            <w:noWrap/>
            <w:vAlign w:val="center"/>
          </w:tcPr>
          <w:p w14:paraId="281BF88C">
            <w:pPr>
              <w:widowControl/>
              <w:spacing w:line="240" w:lineRule="auto"/>
              <w:ind w:firstLine="0" w:firstLineChars="0"/>
              <w:jc w:val="center"/>
              <w:rPr>
                <w:rFonts w:hint="eastAsia" w:ascii="宋体" w:hAnsi="宋体" w:cs="宋体"/>
                <w:b/>
                <w:bCs/>
                <w:color w:val="auto"/>
                <w:kern w:val="0"/>
                <w:sz w:val="22"/>
              </w:rPr>
            </w:pPr>
            <w:r>
              <w:rPr>
                <w:rFonts w:hint="eastAsia" w:ascii="宋体" w:hAnsi="宋体" w:cs="宋体"/>
                <w:b/>
                <w:bCs/>
                <w:color w:val="auto"/>
                <w:kern w:val="0"/>
                <w:sz w:val="22"/>
              </w:rPr>
              <w:t>服务子类</w:t>
            </w:r>
          </w:p>
        </w:tc>
        <w:tc>
          <w:tcPr>
            <w:tcW w:w="5390" w:type="dxa"/>
            <w:noWrap/>
            <w:vAlign w:val="center"/>
          </w:tcPr>
          <w:p w14:paraId="541AC80F">
            <w:pPr>
              <w:widowControl/>
              <w:spacing w:line="240" w:lineRule="auto"/>
              <w:ind w:firstLine="0" w:firstLineChars="0"/>
              <w:jc w:val="center"/>
              <w:rPr>
                <w:rFonts w:hint="eastAsia" w:ascii="宋体" w:hAnsi="宋体" w:cs="宋体"/>
                <w:b/>
                <w:bCs/>
                <w:color w:val="auto"/>
                <w:kern w:val="0"/>
                <w:sz w:val="22"/>
              </w:rPr>
            </w:pPr>
            <w:r>
              <w:rPr>
                <w:rFonts w:hint="eastAsia" w:ascii="宋体" w:hAnsi="宋体" w:cs="宋体"/>
                <w:b/>
                <w:bCs/>
                <w:color w:val="auto"/>
                <w:kern w:val="0"/>
                <w:sz w:val="22"/>
              </w:rPr>
              <w:t>参数</w:t>
            </w:r>
          </w:p>
        </w:tc>
        <w:tc>
          <w:tcPr>
            <w:tcW w:w="717" w:type="dxa"/>
            <w:noWrap/>
            <w:vAlign w:val="center"/>
          </w:tcPr>
          <w:p w14:paraId="2279BFF1">
            <w:pPr>
              <w:widowControl/>
              <w:spacing w:line="240" w:lineRule="auto"/>
              <w:ind w:firstLine="0" w:firstLineChars="0"/>
              <w:jc w:val="center"/>
              <w:rPr>
                <w:rFonts w:hint="eastAsia" w:ascii="宋体" w:hAnsi="宋体" w:cs="宋体"/>
                <w:b/>
                <w:bCs/>
                <w:color w:val="auto"/>
                <w:kern w:val="0"/>
                <w:sz w:val="22"/>
              </w:rPr>
            </w:pPr>
            <w:r>
              <w:rPr>
                <w:rFonts w:hint="eastAsia" w:ascii="宋体" w:hAnsi="宋体" w:cs="宋体"/>
                <w:b/>
                <w:bCs/>
                <w:color w:val="auto"/>
                <w:kern w:val="0"/>
                <w:sz w:val="22"/>
              </w:rPr>
              <w:t>数量</w:t>
            </w:r>
          </w:p>
        </w:tc>
        <w:tc>
          <w:tcPr>
            <w:tcW w:w="1066" w:type="dxa"/>
            <w:noWrap/>
            <w:vAlign w:val="center"/>
          </w:tcPr>
          <w:p w14:paraId="33C547E2">
            <w:pPr>
              <w:widowControl/>
              <w:spacing w:line="240" w:lineRule="auto"/>
              <w:ind w:firstLine="0" w:firstLineChars="0"/>
              <w:jc w:val="center"/>
              <w:rPr>
                <w:rFonts w:hint="eastAsia" w:ascii="宋体" w:hAnsi="宋体" w:cs="宋体"/>
                <w:b/>
                <w:bCs/>
                <w:color w:val="auto"/>
                <w:kern w:val="0"/>
                <w:sz w:val="22"/>
              </w:rPr>
            </w:pPr>
            <w:r>
              <w:rPr>
                <w:rFonts w:hint="eastAsia" w:ascii="宋体" w:hAnsi="宋体" w:cs="宋体"/>
                <w:b/>
                <w:bCs/>
                <w:color w:val="auto"/>
                <w:kern w:val="0"/>
                <w:sz w:val="22"/>
              </w:rPr>
              <w:t>单位</w:t>
            </w:r>
          </w:p>
        </w:tc>
        <w:tc>
          <w:tcPr>
            <w:tcW w:w="3067" w:type="dxa"/>
            <w:vAlign w:val="center"/>
          </w:tcPr>
          <w:p w14:paraId="0970BD79">
            <w:pPr>
              <w:widowControl/>
              <w:spacing w:line="240" w:lineRule="auto"/>
              <w:ind w:firstLine="0" w:firstLineChars="0"/>
              <w:jc w:val="center"/>
              <w:rPr>
                <w:rFonts w:hint="eastAsia" w:ascii="宋体" w:hAnsi="宋体" w:cs="宋体"/>
                <w:b/>
                <w:bCs/>
                <w:color w:val="auto"/>
                <w:kern w:val="0"/>
                <w:sz w:val="22"/>
              </w:rPr>
            </w:pPr>
            <w:r>
              <w:rPr>
                <w:rFonts w:hint="eastAsia" w:ascii="宋体" w:hAnsi="宋体" w:cs="宋体"/>
                <w:b/>
                <w:bCs/>
                <w:color w:val="auto"/>
                <w:kern w:val="0"/>
                <w:sz w:val="22"/>
              </w:rPr>
              <w:t>备注</w:t>
            </w:r>
          </w:p>
        </w:tc>
      </w:tr>
      <w:tr w14:paraId="762A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8" w:type="dxa"/>
            <w:noWrap/>
            <w:vAlign w:val="center"/>
          </w:tcPr>
          <w:p w14:paraId="32BF85B1">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1</w:t>
            </w:r>
          </w:p>
        </w:tc>
        <w:tc>
          <w:tcPr>
            <w:tcW w:w="1316" w:type="dxa"/>
            <w:vMerge w:val="restart"/>
            <w:noWrap/>
            <w:vAlign w:val="center"/>
          </w:tcPr>
          <w:p w14:paraId="7878B5DB">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计算服务</w:t>
            </w:r>
          </w:p>
        </w:tc>
        <w:tc>
          <w:tcPr>
            <w:tcW w:w="1990" w:type="dxa"/>
            <w:noWrap/>
            <w:vAlign w:val="center"/>
          </w:tcPr>
          <w:p w14:paraId="49E59B9A">
            <w:pPr>
              <w:widowControl/>
              <w:spacing w:line="240" w:lineRule="auto"/>
              <w:ind w:firstLine="0" w:firstLineChars="0"/>
              <w:jc w:val="left"/>
              <w:rPr>
                <w:rFonts w:hint="eastAsia" w:ascii="宋体" w:hAnsi="宋体" w:cs="宋体"/>
                <w:color w:val="auto"/>
                <w:kern w:val="0"/>
                <w:sz w:val="22"/>
              </w:rPr>
            </w:pPr>
            <w:r>
              <w:rPr>
                <w:rFonts w:hint="eastAsia" w:ascii="宋体" w:hAnsi="宋体" w:cs="宋体"/>
                <w:color w:val="auto"/>
                <w:kern w:val="0"/>
                <w:sz w:val="22"/>
              </w:rPr>
              <w:t>云主机服务</w:t>
            </w:r>
          </w:p>
        </w:tc>
        <w:tc>
          <w:tcPr>
            <w:tcW w:w="5390" w:type="dxa"/>
            <w:vAlign w:val="center"/>
          </w:tcPr>
          <w:p w14:paraId="088F4554">
            <w:pPr>
              <w:widowControl/>
              <w:spacing w:line="240" w:lineRule="auto"/>
              <w:ind w:firstLine="0" w:firstLineChars="0"/>
              <w:jc w:val="left"/>
              <w:rPr>
                <w:rFonts w:hint="eastAsia" w:ascii="宋体" w:hAnsi="宋体" w:cs="宋体"/>
                <w:color w:val="auto"/>
                <w:kern w:val="0"/>
                <w:sz w:val="22"/>
              </w:rPr>
            </w:pPr>
            <w:r>
              <w:rPr>
                <w:rFonts w:hint="eastAsia" w:ascii="宋体" w:hAnsi="宋体" w:cs="宋体"/>
                <w:color w:val="auto"/>
                <w:kern w:val="0"/>
                <w:sz w:val="22"/>
              </w:rPr>
              <w:t>vcpu8核，内存32GB</w:t>
            </w:r>
          </w:p>
        </w:tc>
        <w:tc>
          <w:tcPr>
            <w:tcW w:w="717" w:type="dxa"/>
            <w:noWrap/>
            <w:vAlign w:val="center"/>
          </w:tcPr>
          <w:p w14:paraId="7B636DF2">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1</w:t>
            </w:r>
          </w:p>
        </w:tc>
        <w:tc>
          <w:tcPr>
            <w:tcW w:w="1066" w:type="dxa"/>
            <w:noWrap/>
            <w:vAlign w:val="center"/>
          </w:tcPr>
          <w:p w14:paraId="307DD33A">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台/年</w:t>
            </w:r>
          </w:p>
        </w:tc>
        <w:tc>
          <w:tcPr>
            <w:tcW w:w="3067" w:type="dxa"/>
            <w:vAlign w:val="center"/>
          </w:tcPr>
          <w:p w14:paraId="00090C51">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向自治区大数据发展局申请免费资源。</w:t>
            </w:r>
          </w:p>
        </w:tc>
      </w:tr>
      <w:tr w14:paraId="5127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8" w:type="dxa"/>
            <w:noWrap/>
            <w:vAlign w:val="center"/>
          </w:tcPr>
          <w:p w14:paraId="4A8E097F">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2</w:t>
            </w:r>
          </w:p>
        </w:tc>
        <w:tc>
          <w:tcPr>
            <w:tcW w:w="1316" w:type="dxa"/>
            <w:vMerge w:val="continue"/>
            <w:vAlign w:val="center"/>
          </w:tcPr>
          <w:p w14:paraId="460F3C68">
            <w:pPr>
              <w:widowControl/>
              <w:spacing w:line="240" w:lineRule="auto"/>
              <w:ind w:firstLine="0" w:firstLineChars="0"/>
              <w:jc w:val="left"/>
              <w:rPr>
                <w:rFonts w:hint="eastAsia" w:ascii="宋体" w:hAnsi="宋体" w:cs="宋体"/>
                <w:color w:val="auto"/>
                <w:kern w:val="0"/>
                <w:sz w:val="22"/>
              </w:rPr>
            </w:pPr>
          </w:p>
        </w:tc>
        <w:tc>
          <w:tcPr>
            <w:tcW w:w="1990" w:type="dxa"/>
            <w:noWrap/>
            <w:vAlign w:val="center"/>
          </w:tcPr>
          <w:p w14:paraId="518D3181">
            <w:pPr>
              <w:widowControl/>
              <w:spacing w:line="240" w:lineRule="auto"/>
              <w:ind w:firstLine="0" w:firstLineChars="0"/>
              <w:jc w:val="left"/>
              <w:rPr>
                <w:rFonts w:hint="eastAsia" w:ascii="宋体" w:hAnsi="宋体" w:cs="宋体"/>
                <w:color w:val="auto"/>
                <w:kern w:val="0"/>
                <w:sz w:val="22"/>
              </w:rPr>
            </w:pPr>
            <w:r>
              <w:rPr>
                <w:rFonts w:hint="eastAsia" w:ascii="宋体" w:hAnsi="宋体" w:cs="宋体"/>
                <w:color w:val="auto"/>
                <w:kern w:val="0"/>
                <w:sz w:val="22"/>
              </w:rPr>
              <w:t>云主机服务</w:t>
            </w:r>
          </w:p>
        </w:tc>
        <w:tc>
          <w:tcPr>
            <w:tcW w:w="5390" w:type="dxa"/>
            <w:vAlign w:val="center"/>
          </w:tcPr>
          <w:p w14:paraId="30B105E5">
            <w:pPr>
              <w:widowControl/>
              <w:spacing w:line="240" w:lineRule="auto"/>
              <w:ind w:firstLine="0" w:firstLineChars="0"/>
              <w:jc w:val="left"/>
              <w:rPr>
                <w:rFonts w:hint="eastAsia" w:ascii="宋体" w:hAnsi="宋体" w:cs="宋体"/>
                <w:color w:val="auto"/>
                <w:kern w:val="0"/>
                <w:sz w:val="22"/>
              </w:rPr>
            </w:pPr>
            <w:r>
              <w:rPr>
                <w:rFonts w:hint="eastAsia" w:ascii="宋体" w:hAnsi="宋体" w:cs="宋体"/>
                <w:color w:val="auto"/>
                <w:kern w:val="0"/>
                <w:sz w:val="22"/>
              </w:rPr>
              <w:t>vcpu8核，内存16GB</w:t>
            </w:r>
          </w:p>
        </w:tc>
        <w:tc>
          <w:tcPr>
            <w:tcW w:w="717" w:type="dxa"/>
            <w:noWrap/>
            <w:vAlign w:val="center"/>
          </w:tcPr>
          <w:p w14:paraId="123BE87A">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1</w:t>
            </w:r>
          </w:p>
        </w:tc>
        <w:tc>
          <w:tcPr>
            <w:tcW w:w="1066" w:type="dxa"/>
            <w:noWrap/>
            <w:vAlign w:val="center"/>
          </w:tcPr>
          <w:p w14:paraId="1F525256">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台/年</w:t>
            </w:r>
          </w:p>
        </w:tc>
        <w:tc>
          <w:tcPr>
            <w:tcW w:w="3067" w:type="dxa"/>
            <w:vAlign w:val="center"/>
          </w:tcPr>
          <w:p w14:paraId="28B8B5EC">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向自治区大数据发展局申请免费资源。</w:t>
            </w:r>
          </w:p>
        </w:tc>
      </w:tr>
      <w:tr w14:paraId="7B367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8" w:type="dxa"/>
            <w:noWrap/>
            <w:vAlign w:val="center"/>
          </w:tcPr>
          <w:p w14:paraId="04753CB8">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3</w:t>
            </w:r>
          </w:p>
        </w:tc>
        <w:tc>
          <w:tcPr>
            <w:tcW w:w="1316" w:type="dxa"/>
            <w:vMerge w:val="restart"/>
            <w:noWrap/>
            <w:vAlign w:val="center"/>
          </w:tcPr>
          <w:p w14:paraId="20A70522">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存储服务</w:t>
            </w:r>
          </w:p>
        </w:tc>
        <w:tc>
          <w:tcPr>
            <w:tcW w:w="1990" w:type="dxa"/>
            <w:noWrap/>
            <w:vAlign w:val="center"/>
          </w:tcPr>
          <w:p w14:paraId="427CBC39">
            <w:pPr>
              <w:widowControl/>
              <w:spacing w:line="240" w:lineRule="auto"/>
              <w:ind w:firstLine="0" w:firstLineChars="0"/>
              <w:jc w:val="left"/>
              <w:rPr>
                <w:rFonts w:hint="eastAsia" w:ascii="宋体" w:hAnsi="宋体" w:cs="宋体"/>
                <w:color w:val="auto"/>
                <w:kern w:val="0"/>
                <w:sz w:val="22"/>
              </w:rPr>
            </w:pPr>
            <w:r>
              <w:rPr>
                <w:rFonts w:hint="eastAsia" w:ascii="宋体" w:hAnsi="宋体" w:cs="宋体"/>
                <w:color w:val="auto"/>
                <w:kern w:val="0"/>
                <w:sz w:val="22"/>
              </w:rPr>
              <w:t>集中式高性能块存储</w:t>
            </w:r>
          </w:p>
        </w:tc>
        <w:tc>
          <w:tcPr>
            <w:tcW w:w="5390" w:type="dxa"/>
            <w:vAlign w:val="center"/>
          </w:tcPr>
          <w:p w14:paraId="464DAC80">
            <w:pPr>
              <w:widowControl/>
              <w:spacing w:line="240" w:lineRule="auto"/>
              <w:ind w:firstLine="0" w:firstLineChars="0"/>
              <w:jc w:val="left"/>
              <w:rPr>
                <w:rFonts w:hint="eastAsia" w:ascii="宋体" w:hAnsi="宋体" w:cs="宋体"/>
                <w:color w:val="auto"/>
                <w:kern w:val="0"/>
                <w:sz w:val="22"/>
              </w:rPr>
            </w:pPr>
            <w:r>
              <w:rPr>
                <w:rFonts w:hint="eastAsia" w:ascii="宋体" w:hAnsi="宋体" w:cs="宋体"/>
                <w:color w:val="auto"/>
                <w:kern w:val="0"/>
                <w:sz w:val="22"/>
              </w:rPr>
              <w:t>控制器冗余设计，全SSD盘或者单盘&gt;3000IOPS</w:t>
            </w:r>
          </w:p>
        </w:tc>
        <w:tc>
          <w:tcPr>
            <w:tcW w:w="717" w:type="dxa"/>
            <w:noWrap/>
            <w:vAlign w:val="center"/>
          </w:tcPr>
          <w:p w14:paraId="2CDF8384">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1024</w:t>
            </w:r>
          </w:p>
        </w:tc>
        <w:tc>
          <w:tcPr>
            <w:tcW w:w="1066" w:type="dxa"/>
            <w:noWrap/>
            <w:vAlign w:val="center"/>
          </w:tcPr>
          <w:p w14:paraId="15C530B4">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GB/年</w:t>
            </w:r>
          </w:p>
        </w:tc>
        <w:tc>
          <w:tcPr>
            <w:tcW w:w="3067" w:type="dxa"/>
            <w:vAlign w:val="center"/>
          </w:tcPr>
          <w:p w14:paraId="468519AB">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向自治区大数据发展局申请免费资源。</w:t>
            </w:r>
          </w:p>
        </w:tc>
      </w:tr>
      <w:tr w14:paraId="6AF5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8" w:type="dxa"/>
            <w:noWrap/>
            <w:vAlign w:val="center"/>
          </w:tcPr>
          <w:p w14:paraId="747C630A">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4</w:t>
            </w:r>
          </w:p>
        </w:tc>
        <w:tc>
          <w:tcPr>
            <w:tcW w:w="1316" w:type="dxa"/>
            <w:vMerge w:val="continue"/>
            <w:vAlign w:val="center"/>
          </w:tcPr>
          <w:p w14:paraId="62F07389">
            <w:pPr>
              <w:widowControl/>
              <w:spacing w:line="240" w:lineRule="auto"/>
              <w:ind w:firstLine="0" w:firstLineChars="0"/>
              <w:jc w:val="left"/>
              <w:rPr>
                <w:rFonts w:hint="eastAsia" w:ascii="宋体" w:hAnsi="宋体" w:cs="宋体"/>
                <w:color w:val="auto"/>
                <w:kern w:val="0"/>
                <w:sz w:val="22"/>
              </w:rPr>
            </w:pPr>
          </w:p>
        </w:tc>
        <w:tc>
          <w:tcPr>
            <w:tcW w:w="1990" w:type="dxa"/>
            <w:noWrap/>
            <w:vAlign w:val="center"/>
          </w:tcPr>
          <w:p w14:paraId="3D8D472E">
            <w:pPr>
              <w:widowControl/>
              <w:spacing w:line="240" w:lineRule="auto"/>
              <w:ind w:firstLine="0" w:firstLineChars="0"/>
              <w:jc w:val="left"/>
              <w:rPr>
                <w:rFonts w:hint="eastAsia" w:ascii="宋体" w:hAnsi="宋体" w:cs="宋体"/>
                <w:color w:val="auto"/>
                <w:kern w:val="0"/>
                <w:sz w:val="22"/>
              </w:rPr>
            </w:pPr>
            <w:r>
              <w:rPr>
                <w:rFonts w:hint="eastAsia" w:ascii="宋体" w:hAnsi="宋体" w:cs="宋体"/>
                <w:color w:val="auto"/>
                <w:kern w:val="0"/>
                <w:sz w:val="22"/>
              </w:rPr>
              <w:t>对象存储</w:t>
            </w:r>
          </w:p>
        </w:tc>
        <w:tc>
          <w:tcPr>
            <w:tcW w:w="5390" w:type="dxa"/>
            <w:vAlign w:val="center"/>
          </w:tcPr>
          <w:p w14:paraId="6FF08593">
            <w:pPr>
              <w:widowControl/>
              <w:spacing w:line="240" w:lineRule="auto"/>
              <w:ind w:firstLine="0" w:firstLineChars="0"/>
              <w:jc w:val="left"/>
              <w:rPr>
                <w:rFonts w:hint="eastAsia" w:ascii="宋体" w:hAnsi="宋体" w:cs="宋体"/>
                <w:color w:val="auto"/>
                <w:kern w:val="0"/>
                <w:sz w:val="22"/>
              </w:rPr>
            </w:pPr>
            <w:r>
              <w:rPr>
                <w:rFonts w:hint="eastAsia" w:ascii="宋体" w:hAnsi="宋体" w:cs="宋体"/>
                <w:color w:val="auto"/>
                <w:kern w:val="0"/>
                <w:sz w:val="22"/>
              </w:rPr>
              <w:t>提供对象存储服务，使用RESTfulAPI可在互联网任意位置存储和访问，采用数据冗余机制将数据分散存放提升数据可靠性，以更低地时延响应热点数据的访问，满足客户低延迟海量数据存储需求。</w:t>
            </w:r>
          </w:p>
        </w:tc>
        <w:tc>
          <w:tcPr>
            <w:tcW w:w="717" w:type="dxa"/>
            <w:noWrap/>
            <w:vAlign w:val="center"/>
          </w:tcPr>
          <w:p w14:paraId="79415EBF">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4096</w:t>
            </w:r>
          </w:p>
        </w:tc>
        <w:tc>
          <w:tcPr>
            <w:tcW w:w="1066" w:type="dxa"/>
            <w:noWrap/>
            <w:vAlign w:val="center"/>
          </w:tcPr>
          <w:p w14:paraId="5BDCB973">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GB/年</w:t>
            </w:r>
          </w:p>
        </w:tc>
        <w:tc>
          <w:tcPr>
            <w:tcW w:w="3067" w:type="dxa"/>
            <w:vAlign w:val="center"/>
          </w:tcPr>
          <w:p w14:paraId="634BB897">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向自治区大数据发展局申请免费资源。</w:t>
            </w:r>
          </w:p>
        </w:tc>
      </w:tr>
      <w:tr w14:paraId="16F4C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8" w:type="dxa"/>
            <w:noWrap/>
            <w:vAlign w:val="center"/>
          </w:tcPr>
          <w:p w14:paraId="63664652">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5</w:t>
            </w:r>
          </w:p>
        </w:tc>
        <w:tc>
          <w:tcPr>
            <w:tcW w:w="1316" w:type="dxa"/>
            <w:vMerge w:val="restart"/>
            <w:noWrap/>
            <w:vAlign w:val="center"/>
          </w:tcPr>
          <w:p w14:paraId="65A4ADF3">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安全服务</w:t>
            </w:r>
          </w:p>
        </w:tc>
        <w:tc>
          <w:tcPr>
            <w:tcW w:w="1990" w:type="dxa"/>
            <w:noWrap/>
            <w:vAlign w:val="center"/>
          </w:tcPr>
          <w:p w14:paraId="79B22E46">
            <w:pPr>
              <w:widowControl/>
              <w:spacing w:line="240" w:lineRule="auto"/>
              <w:ind w:firstLine="0" w:firstLineChars="0"/>
              <w:jc w:val="left"/>
              <w:rPr>
                <w:rFonts w:hint="eastAsia" w:ascii="宋体" w:hAnsi="宋体" w:cs="宋体"/>
                <w:color w:val="auto"/>
                <w:kern w:val="0"/>
                <w:sz w:val="22"/>
              </w:rPr>
            </w:pPr>
            <w:r>
              <w:rPr>
                <w:rFonts w:hint="eastAsia" w:ascii="宋体" w:hAnsi="宋体" w:cs="宋体"/>
                <w:color w:val="auto"/>
                <w:kern w:val="0"/>
                <w:sz w:val="22"/>
              </w:rPr>
              <w:t>云防火墙（含IPS功能）</w:t>
            </w:r>
          </w:p>
        </w:tc>
        <w:tc>
          <w:tcPr>
            <w:tcW w:w="5390" w:type="dxa"/>
            <w:vAlign w:val="center"/>
          </w:tcPr>
          <w:p w14:paraId="43A61BF4">
            <w:pPr>
              <w:widowControl/>
              <w:spacing w:line="240" w:lineRule="auto"/>
              <w:ind w:firstLine="0" w:firstLineChars="0"/>
              <w:jc w:val="left"/>
              <w:rPr>
                <w:rFonts w:hint="eastAsia" w:ascii="宋体" w:hAnsi="宋体" w:cs="宋体"/>
                <w:color w:val="auto"/>
                <w:kern w:val="0"/>
                <w:sz w:val="22"/>
              </w:rPr>
            </w:pPr>
            <w:r>
              <w:rPr>
                <w:rFonts w:hint="eastAsia" w:ascii="宋体" w:hAnsi="宋体" w:cs="宋体"/>
                <w:color w:val="auto"/>
                <w:kern w:val="0"/>
                <w:sz w:val="22"/>
              </w:rPr>
              <w:t>以虚拟化设备形态为核心的应用安全服务，为租户内部不同安全域（东西向）、跨租户互访提供虚拟防火墙、IPS服务等功能，防护带宽≥100M。</w:t>
            </w:r>
          </w:p>
        </w:tc>
        <w:tc>
          <w:tcPr>
            <w:tcW w:w="717" w:type="dxa"/>
            <w:noWrap/>
            <w:vAlign w:val="center"/>
          </w:tcPr>
          <w:p w14:paraId="568B4877">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2</w:t>
            </w:r>
          </w:p>
        </w:tc>
        <w:tc>
          <w:tcPr>
            <w:tcW w:w="1066" w:type="dxa"/>
            <w:noWrap/>
            <w:vAlign w:val="center"/>
          </w:tcPr>
          <w:p w14:paraId="3867DB7E">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台/年</w:t>
            </w:r>
          </w:p>
        </w:tc>
        <w:tc>
          <w:tcPr>
            <w:tcW w:w="3067" w:type="dxa"/>
            <w:vAlign w:val="center"/>
          </w:tcPr>
          <w:p w14:paraId="6EA6FAEA">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向自治区大数据发展局申请免费资源。</w:t>
            </w:r>
          </w:p>
        </w:tc>
      </w:tr>
      <w:tr w14:paraId="18318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8" w:type="dxa"/>
            <w:noWrap/>
            <w:vAlign w:val="center"/>
          </w:tcPr>
          <w:p w14:paraId="473CB44C">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6</w:t>
            </w:r>
          </w:p>
        </w:tc>
        <w:tc>
          <w:tcPr>
            <w:tcW w:w="1316" w:type="dxa"/>
            <w:vMerge w:val="continue"/>
            <w:vAlign w:val="center"/>
          </w:tcPr>
          <w:p w14:paraId="7EDDB1DB">
            <w:pPr>
              <w:widowControl/>
              <w:spacing w:line="240" w:lineRule="auto"/>
              <w:ind w:firstLine="0" w:firstLineChars="0"/>
              <w:jc w:val="left"/>
              <w:rPr>
                <w:rFonts w:hint="eastAsia" w:ascii="宋体" w:hAnsi="宋体" w:cs="宋体"/>
                <w:color w:val="auto"/>
                <w:kern w:val="0"/>
                <w:sz w:val="22"/>
              </w:rPr>
            </w:pPr>
          </w:p>
        </w:tc>
        <w:tc>
          <w:tcPr>
            <w:tcW w:w="1990" w:type="dxa"/>
            <w:noWrap/>
            <w:vAlign w:val="center"/>
          </w:tcPr>
          <w:p w14:paraId="19FD0E21">
            <w:pPr>
              <w:widowControl/>
              <w:spacing w:line="240" w:lineRule="auto"/>
              <w:ind w:firstLine="0" w:firstLineChars="0"/>
              <w:jc w:val="left"/>
              <w:rPr>
                <w:rFonts w:hint="eastAsia" w:ascii="宋体" w:hAnsi="宋体" w:cs="宋体"/>
                <w:color w:val="auto"/>
                <w:kern w:val="0"/>
                <w:sz w:val="22"/>
              </w:rPr>
            </w:pPr>
            <w:r>
              <w:rPr>
                <w:rFonts w:hint="eastAsia" w:ascii="宋体" w:hAnsi="宋体" w:cs="宋体"/>
                <w:color w:val="auto"/>
                <w:kern w:val="0"/>
                <w:sz w:val="22"/>
              </w:rPr>
              <w:t>云WAF</w:t>
            </w:r>
          </w:p>
        </w:tc>
        <w:tc>
          <w:tcPr>
            <w:tcW w:w="5390" w:type="dxa"/>
            <w:vAlign w:val="center"/>
          </w:tcPr>
          <w:p w14:paraId="1C13CD4D">
            <w:pPr>
              <w:widowControl/>
              <w:spacing w:line="240" w:lineRule="auto"/>
              <w:ind w:firstLine="0" w:firstLineChars="0"/>
              <w:jc w:val="left"/>
              <w:rPr>
                <w:rFonts w:hint="eastAsia" w:ascii="宋体" w:hAnsi="宋体" w:cs="宋体"/>
                <w:color w:val="auto"/>
                <w:kern w:val="0"/>
                <w:sz w:val="22"/>
              </w:rPr>
            </w:pPr>
            <w:r>
              <w:rPr>
                <w:rFonts w:hint="eastAsia" w:ascii="宋体" w:hAnsi="宋体" w:cs="宋体"/>
                <w:color w:val="auto"/>
                <w:kern w:val="0"/>
                <w:sz w:val="22"/>
              </w:rPr>
              <w:t>以虚拟化设备形态为核心的应用安全服务，全面防护租户部署在云上的Web业务，可以对租户的网站进行SQL注入、跨站脚本等OWASPTOP10攻击进行防护，配置8个域名授权，新建性能1600/秒，并发性能10500/秒，防护带宽≥100M。</w:t>
            </w:r>
          </w:p>
        </w:tc>
        <w:tc>
          <w:tcPr>
            <w:tcW w:w="717" w:type="dxa"/>
            <w:noWrap/>
            <w:vAlign w:val="center"/>
          </w:tcPr>
          <w:p w14:paraId="3EB7B720">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2</w:t>
            </w:r>
          </w:p>
        </w:tc>
        <w:tc>
          <w:tcPr>
            <w:tcW w:w="1066" w:type="dxa"/>
            <w:noWrap/>
            <w:vAlign w:val="center"/>
          </w:tcPr>
          <w:p w14:paraId="28F90A49">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台/年</w:t>
            </w:r>
          </w:p>
        </w:tc>
        <w:tc>
          <w:tcPr>
            <w:tcW w:w="3067" w:type="dxa"/>
            <w:vAlign w:val="center"/>
          </w:tcPr>
          <w:p w14:paraId="4A4019FB">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向自治区大数据发展局申请免费资源。</w:t>
            </w:r>
          </w:p>
        </w:tc>
      </w:tr>
      <w:tr w14:paraId="2FC82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8" w:type="dxa"/>
            <w:noWrap/>
            <w:vAlign w:val="center"/>
          </w:tcPr>
          <w:p w14:paraId="3FC454A1">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7</w:t>
            </w:r>
          </w:p>
        </w:tc>
        <w:tc>
          <w:tcPr>
            <w:tcW w:w="1316" w:type="dxa"/>
            <w:vMerge w:val="continue"/>
            <w:vAlign w:val="center"/>
          </w:tcPr>
          <w:p w14:paraId="69EF703D">
            <w:pPr>
              <w:widowControl/>
              <w:spacing w:line="240" w:lineRule="auto"/>
              <w:ind w:firstLine="0" w:firstLineChars="0"/>
              <w:jc w:val="left"/>
              <w:rPr>
                <w:rFonts w:hint="eastAsia" w:ascii="宋体" w:hAnsi="宋体" w:cs="宋体"/>
                <w:color w:val="auto"/>
                <w:kern w:val="0"/>
                <w:sz w:val="22"/>
              </w:rPr>
            </w:pPr>
          </w:p>
        </w:tc>
        <w:tc>
          <w:tcPr>
            <w:tcW w:w="1990" w:type="dxa"/>
            <w:noWrap/>
            <w:vAlign w:val="center"/>
          </w:tcPr>
          <w:p w14:paraId="21B1C681">
            <w:pPr>
              <w:widowControl/>
              <w:spacing w:line="240" w:lineRule="auto"/>
              <w:ind w:firstLine="0" w:firstLineChars="0"/>
              <w:jc w:val="left"/>
              <w:rPr>
                <w:rFonts w:hint="eastAsia" w:ascii="宋体" w:hAnsi="宋体" w:cs="宋体"/>
                <w:color w:val="auto"/>
                <w:kern w:val="0"/>
                <w:sz w:val="22"/>
              </w:rPr>
            </w:pPr>
            <w:r>
              <w:rPr>
                <w:rFonts w:hint="eastAsia" w:ascii="宋体" w:hAnsi="宋体" w:cs="宋体"/>
                <w:color w:val="auto"/>
                <w:kern w:val="0"/>
                <w:sz w:val="22"/>
              </w:rPr>
              <w:t>云日志审计</w:t>
            </w:r>
          </w:p>
        </w:tc>
        <w:tc>
          <w:tcPr>
            <w:tcW w:w="5390" w:type="dxa"/>
            <w:vAlign w:val="center"/>
          </w:tcPr>
          <w:p w14:paraId="3C18FD62">
            <w:pPr>
              <w:widowControl/>
              <w:spacing w:line="240" w:lineRule="auto"/>
              <w:ind w:firstLine="0" w:firstLineChars="0"/>
              <w:jc w:val="left"/>
              <w:rPr>
                <w:rFonts w:hint="eastAsia" w:ascii="宋体" w:hAnsi="宋体" w:cs="宋体"/>
                <w:color w:val="auto"/>
                <w:kern w:val="0"/>
                <w:sz w:val="22"/>
              </w:rPr>
            </w:pPr>
            <w:r>
              <w:rPr>
                <w:rFonts w:hint="eastAsia" w:ascii="宋体" w:hAnsi="宋体" w:cs="宋体"/>
                <w:color w:val="auto"/>
                <w:kern w:val="0"/>
                <w:sz w:val="22"/>
              </w:rPr>
              <w:t>以虚拟化设备形态为核心的应用安全服务，能对网络设备、安全设备、中间件、数据库等多种类型系统进行日志收集，并提供分析、查询服务，配置5个日志源授权。</w:t>
            </w:r>
          </w:p>
        </w:tc>
        <w:tc>
          <w:tcPr>
            <w:tcW w:w="717" w:type="dxa"/>
            <w:noWrap/>
            <w:vAlign w:val="center"/>
          </w:tcPr>
          <w:p w14:paraId="25BD6D1F">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2</w:t>
            </w:r>
          </w:p>
        </w:tc>
        <w:tc>
          <w:tcPr>
            <w:tcW w:w="1066" w:type="dxa"/>
            <w:noWrap/>
            <w:vAlign w:val="center"/>
          </w:tcPr>
          <w:p w14:paraId="6F1013E7">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台/年</w:t>
            </w:r>
          </w:p>
        </w:tc>
        <w:tc>
          <w:tcPr>
            <w:tcW w:w="3067" w:type="dxa"/>
            <w:vAlign w:val="center"/>
          </w:tcPr>
          <w:p w14:paraId="7114387E">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向自治区大数据发展局申请免费资源。</w:t>
            </w:r>
          </w:p>
        </w:tc>
      </w:tr>
      <w:tr w14:paraId="2AD75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8" w:type="dxa"/>
            <w:noWrap/>
            <w:vAlign w:val="center"/>
          </w:tcPr>
          <w:p w14:paraId="2CDB5ACC">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8</w:t>
            </w:r>
          </w:p>
        </w:tc>
        <w:tc>
          <w:tcPr>
            <w:tcW w:w="1316" w:type="dxa"/>
            <w:vMerge w:val="continue"/>
            <w:vAlign w:val="center"/>
          </w:tcPr>
          <w:p w14:paraId="763708BE">
            <w:pPr>
              <w:widowControl/>
              <w:spacing w:line="240" w:lineRule="auto"/>
              <w:ind w:firstLine="0" w:firstLineChars="0"/>
              <w:jc w:val="left"/>
              <w:rPr>
                <w:rFonts w:hint="eastAsia" w:ascii="宋体" w:hAnsi="宋体" w:cs="宋体"/>
                <w:color w:val="auto"/>
                <w:kern w:val="0"/>
                <w:sz w:val="22"/>
              </w:rPr>
            </w:pPr>
          </w:p>
        </w:tc>
        <w:tc>
          <w:tcPr>
            <w:tcW w:w="1990" w:type="dxa"/>
            <w:noWrap/>
            <w:vAlign w:val="center"/>
          </w:tcPr>
          <w:p w14:paraId="3857498D">
            <w:pPr>
              <w:widowControl/>
              <w:spacing w:line="240" w:lineRule="auto"/>
              <w:ind w:firstLine="0" w:firstLineChars="0"/>
              <w:jc w:val="left"/>
              <w:rPr>
                <w:rFonts w:hint="eastAsia" w:ascii="宋体" w:hAnsi="宋体" w:cs="宋体"/>
                <w:color w:val="auto"/>
                <w:kern w:val="0"/>
                <w:sz w:val="22"/>
              </w:rPr>
            </w:pPr>
            <w:r>
              <w:rPr>
                <w:rFonts w:hint="eastAsia" w:ascii="宋体" w:hAnsi="宋体" w:cs="宋体"/>
                <w:color w:val="auto"/>
                <w:kern w:val="0"/>
                <w:sz w:val="22"/>
              </w:rPr>
              <w:t>网页防篡改</w:t>
            </w:r>
          </w:p>
        </w:tc>
        <w:tc>
          <w:tcPr>
            <w:tcW w:w="5390" w:type="dxa"/>
            <w:vAlign w:val="center"/>
          </w:tcPr>
          <w:p w14:paraId="07AD68B0">
            <w:pPr>
              <w:widowControl/>
              <w:spacing w:line="240" w:lineRule="auto"/>
              <w:ind w:firstLine="0" w:firstLineChars="0"/>
              <w:jc w:val="left"/>
              <w:rPr>
                <w:rFonts w:hint="eastAsia" w:ascii="宋体" w:hAnsi="宋体" w:cs="宋体"/>
                <w:color w:val="auto"/>
                <w:kern w:val="0"/>
                <w:sz w:val="22"/>
              </w:rPr>
            </w:pPr>
            <w:r>
              <w:rPr>
                <w:rFonts w:hint="eastAsia" w:ascii="宋体" w:hAnsi="宋体" w:cs="宋体"/>
                <w:color w:val="auto"/>
                <w:kern w:val="0"/>
                <w:sz w:val="22"/>
              </w:rPr>
              <w:t>采用系统底层文件过滤驱动技术，拦截与分析文件增、删、改操作，实现对网页文件的完整性检查和保护；支持windows/Linux系统，1套支持1个OS的网页防篡改能力。</w:t>
            </w:r>
          </w:p>
        </w:tc>
        <w:tc>
          <w:tcPr>
            <w:tcW w:w="717" w:type="dxa"/>
            <w:noWrap/>
            <w:vAlign w:val="center"/>
          </w:tcPr>
          <w:p w14:paraId="2295DFD6">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1</w:t>
            </w:r>
          </w:p>
        </w:tc>
        <w:tc>
          <w:tcPr>
            <w:tcW w:w="1066" w:type="dxa"/>
            <w:noWrap/>
            <w:vAlign w:val="center"/>
          </w:tcPr>
          <w:p w14:paraId="6AB8DB8C">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台/年</w:t>
            </w:r>
          </w:p>
        </w:tc>
        <w:tc>
          <w:tcPr>
            <w:tcW w:w="3067" w:type="dxa"/>
            <w:vAlign w:val="center"/>
          </w:tcPr>
          <w:p w14:paraId="4145B902">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向自治区大数据发展局申请免费资源。</w:t>
            </w:r>
          </w:p>
        </w:tc>
      </w:tr>
      <w:tr w14:paraId="41504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8" w:type="dxa"/>
            <w:noWrap/>
            <w:vAlign w:val="center"/>
          </w:tcPr>
          <w:p w14:paraId="2295DEB6">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9</w:t>
            </w:r>
          </w:p>
        </w:tc>
        <w:tc>
          <w:tcPr>
            <w:tcW w:w="1316" w:type="dxa"/>
            <w:vMerge w:val="continue"/>
            <w:vAlign w:val="center"/>
          </w:tcPr>
          <w:p w14:paraId="6A8DBD90">
            <w:pPr>
              <w:widowControl/>
              <w:spacing w:line="240" w:lineRule="auto"/>
              <w:ind w:firstLine="0" w:firstLineChars="0"/>
              <w:jc w:val="left"/>
              <w:rPr>
                <w:rFonts w:hint="eastAsia" w:ascii="宋体" w:hAnsi="宋体" w:cs="宋体"/>
                <w:color w:val="auto"/>
                <w:kern w:val="0"/>
                <w:sz w:val="22"/>
              </w:rPr>
            </w:pPr>
          </w:p>
        </w:tc>
        <w:tc>
          <w:tcPr>
            <w:tcW w:w="1990" w:type="dxa"/>
            <w:noWrap/>
            <w:vAlign w:val="center"/>
          </w:tcPr>
          <w:p w14:paraId="5AAE2829">
            <w:pPr>
              <w:widowControl/>
              <w:spacing w:line="240" w:lineRule="auto"/>
              <w:ind w:firstLine="0" w:firstLineChars="0"/>
              <w:jc w:val="left"/>
              <w:rPr>
                <w:rFonts w:hint="eastAsia" w:ascii="宋体" w:hAnsi="宋体" w:cs="宋体"/>
                <w:color w:val="auto"/>
                <w:kern w:val="0"/>
                <w:sz w:val="22"/>
              </w:rPr>
            </w:pPr>
            <w:r>
              <w:rPr>
                <w:rFonts w:hint="eastAsia" w:ascii="宋体" w:hAnsi="宋体" w:cs="宋体"/>
                <w:color w:val="auto"/>
                <w:kern w:val="0"/>
                <w:sz w:val="22"/>
              </w:rPr>
              <w:t>云主机杀毒</w:t>
            </w:r>
          </w:p>
        </w:tc>
        <w:tc>
          <w:tcPr>
            <w:tcW w:w="5390" w:type="dxa"/>
            <w:vAlign w:val="center"/>
          </w:tcPr>
          <w:p w14:paraId="6647877B">
            <w:pPr>
              <w:widowControl/>
              <w:spacing w:line="240" w:lineRule="auto"/>
              <w:ind w:firstLine="0" w:firstLineChars="0"/>
              <w:jc w:val="left"/>
              <w:rPr>
                <w:rFonts w:hint="eastAsia" w:ascii="宋体" w:hAnsi="宋体" w:cs="宋体"/>
                <w:color w:val="auto"/>
                <w:kern w:val="0"/>
                <w:sz w:val="22"/>
              </w:rPr>
            </w:pPr>
            <w:r>
              <w:rPr>
                <w:rFonts w:hint="eastAsia" w:ascii="宋体" w:hAnsi="宋体" w:cs="宋体"/>
                <w:color w:val="auto"/>
                <w:kern w:val="0"/>
                <w:sz w:val="22"/>
              </w:rPr>
              <w:t>提供云主机防病毒和深度防护功能。</w:t>
            </w:r>
          </w:p>
        </w:tc>
        <w:tc>
          <w:tcPr>
            <w:tcW w:w="717" w:type="dxa"/>
            <w:noWrap/>
            <w:vAlign w:val="center"/>
          </w:tcPr>
          <w:p w14:paraId="61256AAC">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2</w:t>
            </w:r>
          </w:p>
        </w:tc>
        <w:tc>
          <w:tcPr>
            <w:tcW w:w="1066" w:type="dxa"/>
            <w:noWrap/>
            <w:vAlign w:val="center"/>
          </w:tcPr>
          <w:p w14:paraId="737A4563">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台/年</w:t>
            </w:r>
          </w:p>
        </w:tc>
        <w:tc>
          <w:tcPr>
            <w:tcW w:w="3067" w:type="dxa"/>
            <w:vAlign w:val="center"/>
          </w:tcPr>
          <w:p w14:paraId="38521DDC">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向自治区大数据发展局申请免费资源。</w:t>
            </w:r>
          </w:p>
        </w:tc>
      </w:tr>
      <w:tr w14:paraId="7577F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8" w:type="dxa"/>
            <w:noWrap/>
            <w:vAlign w:val="center"/>
          </w:tcPr>
          <w:p w14:paraId="3F9D6035">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10</w:t>
            </w:r>
          </w:p>
        </w:tc>
        <w:tc>
          <w:tcPr>
            <w:tcW w:w="1316" w:type="dxa"/>
            <w:vMerge w:val="continue"/>
            <w:vAlign w:val="center"/>
          </w:tcPr>
          <w:p w14:paraId="13809D29">
            <w:pPr>
              <w:widowControl/>
              <w:spacing w:line="240" w:lineRule="auto"/>
              <w:ind w:firstLine="0" w:firstLineChars="0"/>
              <w:jc w:val="left"/>
              <w:rPr>
                <w:rFonts w:hint="eastAsia" w:ascii="宋体" w:hAnsi="宋体" w:cs="宋体"/>
                <w:color w:val="auto"/>
                <w:kern w:val="0"/>
                <w:sz w:val="22"/>
              </w:rPr>
            </w:pPr>
          </w:p>
        </w:tc>
        <w:tc>
          <w:tcPr>
            <w:tcW w:w="1990" w:type="dxa"/>
            <w:noWrap/>
            <w:vAlign w:val="center"/>
          </w:tcPr>
          <w:p w14:paraId="4819E172">
            <w:pPr>
              <w:widowControl/>
              <w:spacing w:line="240" w:lineRule="auto"/>
              <w:ind w:firstLine="0" w:firstLineChars="0"/>
              <w:jc w:val="left"/>
              <w:rPr>
                <w:rFonts w:hint="eastAsia" w:ascii="宋体" w:hAnsi="宋体" w:cs="宋体"/>
                <w:color w:val="auto"/>
                <w:kern w:val="0"/>
                <w:sz w:val="22"/>
              </w:rPr>
            </w:pPr>
            <w:r>
              <w:rPr>
                <w:rFonts w:hint="eastAsia" w:ascii="宋体" w:hAnsi="宋体" w:cs="宋体"/>
                <w:color w:val="auto"/>
                <w:kern w:val="0"/>
                <w:sz w:val="22"/>
              </w:rPr>
              <w:t>堡垒机</w:t>
            </w:r>
          </w:p>
        </w:tc>
        <w:tc>
          <w:tcPr>
            <w:tcW w:w="5390" w:type="dxa"/>
            <w:vAlign w:val="center"/>
          </w:tcPr>
          <w:p w14:paraId="23EAAB0E">
            <w:pPr>
              <w:widowControl/>
              <w:spacing w:line="240" w:lineRule="auto"/>
              <w:ind w:firstLine="0" w:firstLineChars="0"/>
              <w:jc w:val="left"/>
              <w:rPr>
                <w:rFonts w:hint="eastAsia" w:ascii="宋体" w:hAnsi="宋体" w:cs="宋体"/>
                <w:color w:val="auto"/>
                <w:kern w:val="0"/>
                <w:sz w:val="22"/>
              </w:rPr>
            </w:pPr>
            <w:r>
              <w:rPr>
                <w:rFonts w:hint="eastAsia" w:ascii="宋体" w:hAnsi="宋体" w:cs="宋体"/>
                <w:color w:val="auto"/>
                <w:kern w:val="0"/>
                <w:sz w:val="22"/>
              </w:rPr>
              <w:t>虚拟运维审计系统，支持统一账户管理、角色授权、实时监控、运维安全管理。监控和记录运维人员对租户云主机、虚拟网络安全设备、数据库等操作行为，集中报警、及时处理及审计定责，并严格控制各角色人员操作权限。</w:t>
            </w:r>
          </w:p>
        </w:tc>
        <w:tc>
          <w:tcPr>
            <w:tcW w:w="717" w:type="dxa"/>
            <w:noWrap/>
            <w:vAlign w:val="center"/>
          </w:tcPr>
          <w:p w14:paraId="7CB10D5A">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2</w:t>
            </w:r>
          </w:p>
        </w:tc>
        <w:tc>
          <w:tcPr>
            <w:tcW w:w="1066" w:type="dxa"/>
            <w:noWrap/>
            <w:vAlign w:val="center"/>
          </w:tcPr>
          <w:p w14:paraId="2F5A2AA9">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资产/年</w:t>
            </w:r>
          </w:p>
        </w:tc>
        <w:tc>
          <w:tcPr>
            <w:tcW w:w="3067" w:type="dxa"/>
            <w:vAlign w:val="center"/>
          </w:tcPr>
          <w:p w14:paraId="712D6491">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向自治区大数据发展局申请免费资源。</w:t>
            </w:r>
          </w:p>
        </w:tc>
      </w:tr>
      <w:tr w14:paraId="799A2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8" w:type="dxa"/>
            <w:noWrap/>
            <w:vAlign w:val="center"/>
          </w:tcPr>
          <w:p w14:paraId="167E667D">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11</w:t>
            </w:r>
          </w:p>
        </w:tc>
        <w:tc>
          <w:tcPr>
            <w:tcW w:w="1316" w:type="dxa"/>
            <w:noWrap/>
            <w:vAlign w:val="center"/>
          </w:tcPr>
          <w:p w14:paraId="0A2E9744">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安全服务</w:t>
            </w:r>
          </w:p>
        </w:tc>
        <w:tc>
          <w:tcPr>
            <w:tcW w:w="1990" w:type="dxa"/>
            <w:noWrap/>
            <w:vAlign w:val="center"/>
          </w:tcPr>
          <w:p w14:paraId="386DB49D">
            <w:pPr>
              <w:widowControl/>
              <w:spacing w:line="240" w:lineRule="auto"/>
              <w:ind w:firstLine="0" w:firstLineChars="0"/>
              <w:jc w:val="left"/>
              <w:rPr>
                <w:rFonts w:hint="eastAsia" w:ascii="宋体" w:hAnsi="宋体" w:cs="宋体"/>
                <w:color w:val="auto"/>
                <w:kern w:val="0"/>
                <w:sz w:val="22"/>
              </w:rPr>
            </w:pPr>
            <w:r>
              <w:rPr>
                <w:rFonts w:hint="eastAsia" w:ascii="宋体" w:hAnsi="宋体" w:cs="宋体"/>
                <w:color w:val="auto"/>
                <w:kern w:val="0"/>
                <w:sz w:val="22"/>
              </w:rPr>
              <w:t>SSL证书</w:t>
            </w:r>
          </w:p>
        </w:tc>
        <w:tc>
          <w:tcPr>
            <w:tcW w:w="5390" w:type="dxa"/>
            <w:vAlign w:val="center"/>
          </w:tcPr>
          <w:p w14:paraId="63B6CB9E">
            <w:pPr>
              <w:widowControl/>
              <w:spacing w:line="240" w:lineRule="auto"/>
              <w:ind w:firstLine="0" w:firstLineChars="0"/>
              <w:jc w:val="left"/>
              <w:rPr>
                <w:rFonts w:hint="eastAsia" w:ascii="宋体" w:hAnsi="宋体" w:cs="宋体"/>
                <w:color w:val="auto"/>
                <w:kern w:val="0"/>
                <w:sz w:val="22"/>
              </w:rPr>
            </w:pPr>
            <w:r>
              <w:rPr>
                <w:rFonts w:hint="eastAsia" w:ascii="宋体" w:hAnsi="宋体" w:cs="宋体"/>
                <w:color w:val="auto"/>
                <w:kern w:val="0"/>
                <w:sz w:val="22"/>
              </w:rPr>
              <w:t>提供SSL证书：ECC、RSA或国密算法的OV证书。</w:t>
            </w:r>
          </w:p>
        </w:tc>
        <w:tc>
          <w:tcPr>
            <w:tcW w:w="717" w:type="dxa"/>
            <w:noWrap/>
            <w:vAlign w:val="center"/>
          </w:tcPr>
          <w:p w14:paraId="76AE4B68">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1</w:t>
            </w:r>
          </w:p>
        </w:tc>
        <w:tc>
          <w:tcPr>
            <w:tcW w:w="1066" w:type="dxa"/>
            <w:noWrap/>
            <w:vAlign w:val="center"/>
          </w:tcPr>
          <w:p w14:paraId="178FBAE9">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个/年</w:t>
            </w:r>
          </w:p>
        </w:tc>
        <w:tc>
          <w:tcPr>
            <w:tcW w:w="3067" w:type="dxa"/>
            <w:vAlign w:val="center"/>
          </w:tcPr>
          <w:p w14:paraId="789EA7D9">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向自治区大数据发展局申请免费资源。</w:t>
            </w:r>
          </w:p>
        </w:tc>
      </w:tr>
      <w:tr w14:paraId="4DD34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8" w:type="dxa"/>
            <w:noWrap/>
            <w:vAlign w:val="center"/>
          </w:tcPr>
          <w:p w14:paraId="2AE6DE61">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12</w:t>
            </w:r>
          </w:p>
        </w:tc>
        <w:tc>
          <w:tcPr>
            <w:tcW w:w="1316" w:type="dxa"/>
            <w:vMerge w:val="restart"/>
            <w:noWrap/>
            <w:vAlign w:val="center"/>
          </w:tcPr>
          <w:p w14:paraId="75EE07BA">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网络服务</w:t>
            </w:r>
          </w:p>
        </w:tc>
        <w:tc>
          <w:tcPr>
            <w:tcW w:w="1990" w:type="dxa"/>
            <w:noWrap/>
            <w:vAlign w:val="center"/>
          </w:tcPr>
          <w:p w14:paraId="47AB5844">
            <w:pPr>
              <w:widowControl/>
              <w:spacing w:line="240" w:lineRule="auto"/>
              <w:ind w:firstLine="0" w:firstLineChars="0"/>
              <w:jc w:val="left"/>
              <w:rPr>
                <w:rFonts w:hint="eastAsia" w:ascii="宋体" w:hAnsi="宋体" w:cs="宋体"/>
                <w:color w:val="auto"/>
                <w:kern w:val="0"/>
                <w:sz w:val="22"/>
              </w:rPr>
            </w:pPr>
            <w:r>
              <w:rPr>
                <w:rFonts w:hint="eastAsia" w:ascii="宋体" w:hAnsi="宋体" w:cs="宋体"/>
                <w:color w:val="auto"/>
                <w:kern w:val="0"/>
                <w:sz w:val="22"/>
              </w:rPr>
              <w:t>VPN</w:t>
            </w:r>
          </w:p>
        </w:tc>
        <w:tc>
          <w:tcPr>
            <w:tcW w:w="5390" w:type="dxa"/>
            <w:vAlign w:val="center"/>
          </w:tcPr>
          <w:p w14:paraId="1365FF8C">
            <w:pPr>
              <w:widowControl/>
              <w:spacing w:line="240" w:lineRule="auto"/>
              <w:ind w:firstLine="0" w:firstLineChars="0"/>
              <w:jc w:val="left"/>
              <w:rPr>
                <w:rFonts w:hint="eastAsia" w:ascii="宋体" w:hAnsi="宋体" w:cs="宋体"/>
                <w:color w:val="auto"/>
                <w:kern w:val="0"/>
                <w:sz w:val="22"/>
              </w:rPr>
            </w:pPr>
            <w:r>
              <w:rPr>
                <w:rFonts w:hint="eastAsia" w:ascii="宋体" w:hAnsi="宋体" w:cs="宋体"/>
                <w:color w:val="auto"/>
                <w:kern w:val="0"/>
                <w:sz w:val="22"/>
              </w:rPr>
              <w:t>500并发数，不限访问目标，支持IPSec-VPN、SSL-VPN等多种VPN协议以满足不同客户业务使用场景。</w:t>
            </w:r>
          </w:p>
        </w:tc>
        <w:tc>
          <w:tcPr>
            <w:tcW w:w="717" w:type="dxa"/>
            <w:noWrap/>
            <w:vAlign w:val="center"/>
          </w:tcPr>
          <w:p w14:paraId="4B096557">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1</w:t>
            </w:r>
          </w:p>
        </w:tc>
        <w:tc>
          <w:tcPr>
            <w:tcW w:w="1066" w:type="dxa"/>
            <w:noWrap/>
            <w:vAlign w:val="center"/>
          </w:tcPr>
          <w:p w14:paraId="42819F62">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项/年</w:t>
            </w:r>
          </w:p>
        </w:tc>
        <w:tc>
          <w:tcPr>
            <w:tcW w:w="3067" w:type="dxa"/>
            <w:vAlign w:val="center"/>
          </w:tcPr>
          <w:p w14:paraId="7229EF6E">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向自治区大数据发展局申请免费资源。</w:t>
            </w:r>
          </w:p>
        </w:tc>
      </w:tr>
      <w:tr w14:paraId="1789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8" w:type="dxa"/>
            <w:noWrap/>
            <w:vAlign w:val="center"/>
          </w:tcPr>
          <w:p w14:paraId="3D96BB2E">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13</w:t>
            </w:r>
          </w:p>
        </w:tc>
        <w:tc>
          <w:tcPr>
            <w:tcW w:w="1316" w:type="dxa"/>
            <w:vMerge w:val="continue"/>
            <w:vAlign w:val="center"/>
          </w:tcPr>
          <w:p w14:paraId="5A97BA5D">
            <w:pPr>
              <w:widowControl/>
              <w:spacing w:line="240" w:lineRule="auto"/>
              <w:ind w:firstLine="0" w:firstLineChars="0"/>
              <w:jc w:val="left"/>
              <w:rPr>
                <w:rFonts w:hint="eastAsia" w:ascii="宋体" w:hAnsi="宋体" w:cs="宋体"/>
                <w:color w:val="auto"/>
                <w:kern w:val="0"/>
                <w:sz w:val="22"/>
              </w:rPr>
            </w:pPr>
          </w:p>
        </w:tc>
        <w:tc>
          <w:tcPr>
            <w:tcW w:w="1990" w:type="dxa"/>
            <w:noWrap/>
            <w:vAlign w:val="center"/>
          </w:tcPr>
          <w:p w14:paraId="09D555C9">
            <w:pPr>
              <w:widowControl/>
              <w:spacing w:line="240" w:lineRule="auto"/>
              <w:ind w:firstLine="0" w:firstLineChars="0"/>
              <w:jc w:val="left"/>
              <w:rPr>
                <w:rFonts w:hint="eastAsia" w:ascii="宋体" w:hAnsi="宋体" w:cs="宋体"/>
                <w:color w:val="auto"/>
                <w:kern w:val="0"/>
                <w:sz w:val="22"/>
              </w:rPr>
            </w:pPr>
            <w:r>
              <w:rPr>
                <w:rFonts w:hint="eastAsia" w:ascii="宋体" w:hAnsi="宋体" w:cs="宋体"/>
                <w:color w:val="auto"/>
                <w:kern w:val="0"/>
                <w:sz w:val="22"/>
              </w:rPr>
              <w:t>互联网公有IP服务</w:t>
            </w:r>
          </w:p>
        </w:tc>
        <w:tc>
          <w:tcPr>
            <w:tcW w:w="5390" w:type="dxa"/>
            <w:vAlign w:val="center"/>
          </w:tcPr>
          <w:p w14:paraId="5848A4E2">
            <w:pPr>
              <w:widowControl/>
              <w:spacing w:line="240" w:lineRule="auto"/>
              <w:ind w:firstLine="0" w:firstLineChars="0"/>
              <w:jc w:val="left"/>
              <w:rPr>
                <w:rFonts w:hint="eastAsia" w:ascii="宋体" w:hAnsi="宋体" w:cs="宋体"/>
                <w:color w:val="auto"/>
                <w:kern w:val="0"/>
                <w:sz w:val="22"/>
              </w:rPr>
            </w:pPr>
            <w:r>
              <w:rPr>
                <w:rFonts w:hint="eastAsia" w:ascii="宋体" w:hAnsi="宋体" w:cs="宋体"/>
                <w:color w:val="auto"/>
                <w:kern w:val="0"/>
                <w:sz w:val="22"/>
              </w:rPr>
              <w:t>　</w:t>
            </w:r>
          </w:p>
        </w:tc>
        <w:tc>
          <w:tcPr>
            <w:tcW w:w="717" w:type="dxa"/>
            <w:noWrap/>
            <w:vAlign w:val="center"/>
          </w:tcPr>
          <w:p w14:paraId="75EA5A06">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1</w:t>
            </w:r>
          </w:p>
        </w:tc>
        <w:tc>
          <w:tcPr>
            <w:tcW w:w="1066" w:type="dxa"/>
            <w:noWrap/>
            <w:vAlign w:val="center"/>
          </w:tcPr>
          <w:p w14:paraId="3A8C95E9">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个/年</w:t>
            </w:r>
          </w:p>
        </w:tc>
        <w:tc>
          <w:tcPr>
            <w:tcW w:w="3067" w:type="dxa"/>
            <w:vAlign w:val="center"/>
          </w:tcPr>
          <w:p w14:paraId="7275429A">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向自治区大数据发展局申请免费资源。</w:t>
            </w:r>
          </w:p>
        </w:tc>
      </w:tr>
      <w:tr w14:paraId="0235A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8" w:type="dxa"/>
            <w:noWrap/>
            <w:vAlign w:val="center"/>
          </w:tcPr>
          <w:p w14:paraId="7E1EEE80">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14</w:t>
            </w:r>
          </w:p>
        </w:tc>
        <w:tc>
          <w:tcPr>
            <w:tcW w:w="1316" w:type="dxa"/>
            <w:vMerge w:val="continue"/>
            <w:vAlign w:val="center"/>
          </w:tcPr>
          <w:p w14:paraId="03B0944C">
            <w:pPr>
              <w:widowControl/>
              <w:spacing w:line="240" w:lineRule="auto"/>
              <w:ind w:firstLine="0" w:firstLineChars="0"/>
              <w:jc w:val="left"/>
              <w:rPr>
                <w:rFonts w:hint="eastAsia" w:ascii="宋体" w:hAnsi="宋体" w:cs="宋体"/>
                <w:color w:val="auto"/>
                <w:kern w:val="0"/>
                <w:sz w:val="22"/>
              </w:rPr>
            </w:pPr>
          </w:p>
        </w:tc>
        <w:tc>
          <w:tcPr>
            <w:tcW w:w="1990" w:type="dxa"/>
            <w:noWrap/>
            <w:vAlign w:val="center"/>
          </w:tcPr>
          <w:p w14:paraId="2835DB63">
            <w:pPr>
              <w:widowControl/>
              <w:spacing w:line="240" w:lineRule="auto"/>
              <w:ind w:firstLine="0" w:firstLineChars="0"/>
              <w:jc w:val="left"/>
              <w:rPr>
                <w:rFonts w:hint="eastAsia" w:ascii="宋体" w:hAnsi="宋体" w:cs="宋体"/>
                <w:color w:val="auto"/>
                <w:kern w:val="0"/>
                <w:sz w:val="22"/>
              </w:rPr>
            </w:pPr>
            <w:r>
              <w:rPr>
                <w:rFonts w:hint="eastAsia" w:ascii="宋体" w:hAnsi="宋体" w:cs="宋体"/>
                <w:color w:val="auto"/>
                <w:kern w:val="0"/>
                <w:sz w:val="22"/>
              </w:rPr>
              <w:t>互联网带宽</w:t>
            </w:r>
          </w:p>
        </w:tc>
        <w:tc>
          <w:tcPr>
            <w:tcW w:w="5390" w:type="dxa"/>
            <w:vAlign w:val="center"/>
          </w:tcPr>
          <w:p w14:paraId="352E2C26">
            <w:pPr>
              <w:widowControl/>
              <w:spacing w:line="240" w:lineRule="auto"/>
              <w:ind w:firstLine="0" w:firstLineChars="0"/>
              <w:jc w:val="left"/>
              <w:rPr>
                <w:rFonts w:hint="eastAsia" w:ascii="宋体" w:hAnsi="宋体" w:cs="宋体"/>
                <w:color w:val="auto"/>
                <w:kern w:val="0"/>
                <w:sz w:val="22"/>
              </w:rPr>
            </w:pPr>
            <w:r>
              <w:rPr>
                <w:rFonts w:hint="eastAsia" w:ascii="宋体" w:hAnsi="宋体" w:cs="宋体"/>
                <w:color w:val="auto"/>
                <w:kern w:val="0"/>
                <w:sz w:val="22"/>
              </w:rPr>
              <w:t>提供100M带宽服务</w:t>
            </w:r>
          </w:p>
        </w:tc>
        <w:tc>
          <w:tcPr>
            <w:tcW w:w="717" w:type="dxa"/>
            <w:noWrap/>
            <w:vAlign w:val="center"/>
          </w:tcPr>
          <w:p w14:paraId="476076B6">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1</w:t>
            </w:r>
          </w:p>
        </w:tc>
        <w:tc>
          <w:tcPr>
            <w:tcW w:w="1066" w:type="dxa"/>
            <w:noWrap/>
            <w:vAlign w:val="center"/>
          </w:tcPr>
          <w:p w14:paraId="5AB6F3D7">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个/年</w:t>
            </w:r>
          </w:p>
        </w:tc>
        <w:tc>
          <w:tcPr>
            <w:tcW w:w="3067" w:type="dxa"/>
            <w:vAlign w:val="center"/>
          </w:tcPr>
          <w:p w14:paraId="21D84E04">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向自治区大数据发展局申请免费资源。</w:t>
            </w:r>
          </w:p>
        </w:tc>
      </w:tr>
      <w:tr w14:paraId="75E8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8" w:type="dxa"/>
            <w:noWrap/>
            <w:vAlign w:val="center"/>
          </w:tcPr>
          <w:p w14:paraId="5EDDB473">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15</w:t>
            </w:r>
          </w:p>
        </w:tc>
        <w:tc>
          <w:tcPr>
            <w:tcW w:w="1316" w:type="dxa"/>
            <w:noWrap/>
            <w:vAlign w:val="center"/>
          </w:tcPr>
          <w:p w14:paraId="7A609052">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数据库服务</w:t>
            </w:r>
          </w:p>
        </w:tc>
        <w:tc>
          <w:tcPr>
            <w:tcW w:w="1990" w:type="dxa"/>
            <w:noWrap/>
            <w:vAlign w:val="center"/>
          </w:tcPr>
          <w:p w14:paraId="658D83E3">
            <w:pPr>
              <w:widowControl/>
              <w:spacing w:line="240" w:lineRule="auto"/>
              <w:ind w:firstLine="0" w:firstLineChars="0"/>
              <w:jc w:val="left"/>
              <w:rPr>
                <w:rFonts w:hint="eastAsia" w:ascii="宋体" w:hAnsi="宋体" w:cs="宋体"/>
                <w:color w:val="auto"/>
                <w:kern w:val="0"/>
                <w:sz w:val="22"/>
              </w:rPr>
            </w:pPr>
            <w:r>
              <w:rPr>
                <w:rFonts w:hint="eastAsia" w:ascii="宋体" w:hAnsi="宋体" w:cs="宋体"/>
                <w:color w:val="auto"/>
                <w:kern w:val="0"/>
                <w:sz w:val="22"/>
              </w:rPr>
              <w:t>国产信创数据库</w:t>
            </w:r>
          </w:p>
        </w:tc>
        <w:tc>
          <w:tcPr>
            <w:tcW w:w="5390" w:type="dxa"/>
            <w:vAlign w:val="center"/>
          </w:tcPr>
          <w:p w14:paraId="01097D1A">
            <w:pPr>
              <w:widowControl/>
              <w:spacing w:line="240" w:lineRule="auto"/>
              <w:ind w:firstLine="0" w:firstLineChars="0"/>
              <w:jc w:val="left"/>
              <w:rPr>
                <w:rFonts w:hint="eastAsia" w:ascii="宋体" w:hAnsi="宋体" w:cs="宋体"/>
                <w:color w:val="auto"/>
                <w:kern w:val="0"/>
                <w:sz w:val="22"/>
              </w:rPr>
            </w:pPr>
            <w:r>
              <w:rPr>
                <w:rFonts w:hint="eastAsia" w:ascii="宋体" w:hAnsi="宋体" w:cs="宋体"/>
                <w:color w:val="auto"/>
                <w:kern w:val="0"/>
                <w:sz w:val="22"/>
              </w:rPr>
              <w:t>标准版软件授权，提供安装、激活服务，支持打包容器镜像，不包含安装所需计算存储资源。</w:t>
            </w:r>
          </w:p>
        </w:tc>
        <w:tc>
          <w:tcPr>
            <w:tcW w:w="717" w:type="dxa"/>
            <w:noWrap/>
            <w:vAlign w:val="center"/>
          </w:tcPr>
          <w:p w14:paraId="6410F58E">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1</w:t>
            </w:r>
          </w:p>
        </w:tc>
        <w:tc>
          <w:tcPr>
            <w:tcW w:w="1066" w:type="dxa"/>
            <w:noWrap/>
            <w:vAlign w:val="center"/>
          </w:tcPr>
          <w:p w14:paraId="79A941BE">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套/年</w:t>
            </w:r>
          </w:p>
        </w:tc>
        <w:tc>
          <w:tcPr>
            <w:tcW w:w="3067" w:type="dxa"/>
            <w:vAlign w:val="center"/>
          </w:tcPr>
          <w:p w14:paraId="1FEA2DB4">
            <w:pPr>
              <w:widowControl/>
              <w:spacing w:line="240" w:lineRule="auto"/>
              <w:ind w:firstLine="0" w:firstLineChars="0"/>
              <w:jc w:val="left"/>
              <w:rPr>
                <w:rFonts w:hint="eastAsia" w:ascii="宋体" w:hAnsi="宋体" w:cs="宋体"/>
                <w:color w:val="auto"/>
                <w:kern w:val="0"/>
                <w:sz w:val="22"/>
              </w:rPr>
            </w:pPr>
            <w:r>
              <w:rPr>
                <w:rFonts w:hint="eastAsia" w:ascii="宋体" w:hAnsi="宋体" w:cs="宋体"/>
                <w:color w:val="auto"/>
                <w:kern w:val="0"/>
                <w:sz w:val="22"/>
              </w:rPr>
              <w:t>　</w:t>
            </w:r>
          </w:p>
        </w:tc>
      </w:tr>
      <w:tr w14:paraId="4A40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8" w:type="dxa"/>
            <w:noWrap/>
            <w:vAlign w:val="center"/>
          </w:tcPr>
          <w:p w14:paraId="65FB905B">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16</w:t>
            </w:r>
          </w:p>
        </w:tc>
        <w:tc>
          <w:tcPr>
            <w:tcW w:w="1316" w:type="dxa"/>
            <w:noWrap/>
            <w:vAlign w:val="center"/>
          </w:tcPr>
          <w:p w14:paraId="7EDDD9C8">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中间件</w:t>
            </w:r>
          </w:p>
        </w:tc>
        <w:tc>
          <w:tcPr>
            <w:tcW w:w="1990" w:type="dxa"/>
            <w:noWrap/>
            <w:vAlign w:val="center"/>
          </w:tcPr>
          <w:p w14:paraId="1FF8CEFC">
            <w:pPr>
              <w:widowControl/>
              <w:spacing w:line="240" w:lineRule="auto"/>
              <w:ind w:firstLine="0" w:firstLineChars="0"/>
              <w:jc w:val="left"/>
              <w:rPr>
                <w:rFonts w:hint="eastAsia" w:ascii="宋体" w:hAnsi="宋体" w:cs="宋体"/>
                <w:color w:val="auto"/>
                <w:kern w:val="0"/>
                <w:sz w:val="22"/>
              </w:rPr>
            </w:pPr>
            <w:r>
              <w:rPr>
                <w:rFonts w:hint="eastAsia" w:ascii="宋体" w:hAnsi="宋体" w:cs="宋体"/>
                <w:color w:val="auto"/>
                <w:kern w:val="0"/>
                <w:sz w:val="22"/>
              </w:rPr>
              <w:t>应用中间件</w:t>
            </w:r>
          </w:p>
        </w:tc>
        <w:tc>
          <w:tcPr>
            <w:tcW w:w="5390" w:type="dxa"/>
            <w:noWrap/>
            <w:vAlign w:val="center"/>
          </w:tcPr>
          <w:p w14:paraId="272960CE">
            <w:pPr>
              <w:widowControl/>
              <w:spacing w:line="240" w:lineRule="auto"/>
              <w:ind w:firstLine="0" w:firstLineChars="0"/>
              <w:jc w:val="left"/>
              <w:rPr>
                <w:rFonts w:hint="eastAsia" w:ascii="宋体" w:hAnsi="宋体" w:cs="宋体"/>
                <w:color w:val="auto"/>
                <w:kern w:val="0"/>
                <w:sz w:val="22"/>
              </w:rPr>
            </w:pPr>
            <w:r>
              <w:rPr>
                <w:rFonts w:hint="eastAsia" w:ascii="宋体" w:hAnsi="宋体" w:cs="宋体"/>
                <w:color w:val="auto"/>
                <w:kern w:val="0"/>
                <w:sz w:val="22"/>
              </w:rPr>
              <w:t>符合信创要求</w:t>
            </w:r>
          </w:p>
        </w:tc>
        <w:tc>
          <w:tcPr>
            <w:tcW w:w="717" w:type="dxa"/>
            <w:noWrap/>
            <w:vAlign w:val="center"/>
          </w:tcPr>
          <w:p w14:paraId="79738EB5">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1</w:t>
            </w:r>
          </w:p>
        </w:tc>
        <w:tc>
          <w:tcPr>
            <w:tcW w:w="1066" w:type="dxa"/>
            <w:noWrap/>
            <w:vAlign w:val="center"/>
          </w:tcPr>
          <w:p w14:paraId="6136A7B8">
            <w:pPr>
              <w:widowControl/>
              <w:spacing w:line="240" w:lineRule="auto"/>
              <w:ind w:firstLine="0" w:firstLineChars="0"/>
              <w:jc w:val="center"/>
              <w:rPr>
                <w:rFonts w:hint="eastAsia" w:ascii="宋体" w:hAnsi="宋体" w:cs="宋体"/>
                <w:color w:val="auto"/>
                <w:kern w:val="0"/>
                <w:sz w:val="22"/>
              </w:rPr>
            </w:pPr>
            <w:r>
              <w:rPr>
                <w:rFonts w:hint="eastAsia" w:ascii="宋体" w:hAnsi="宋体" w:cs="宋体"/>
                <w:color w:val="auto"/>
                <w:kern w:val="0"/>
                <w:sz w:val="22"/>
              </w:rPr>
              <w:t>套</w:t>
            </w:r>
          </w:p>
        </w:tc>
        <w:tc>
          <w:tcPr>
            <w:tcW w:w="3067" w:type="dxa"/>
            <w:vAlign w:val="center"/>
          </w:tcPr>
          <w:p w14:paraId="6AF814BF">
            <w:pPr>
              <w:widowControl/>
              <w:spacing w:line="240" w:lineRule="auto"/>
              <w:ind w:firstLine="0" w:firstLineChars="0"/>
              <w:jc w:val="left"/>
              <w:rPr>
                <w:rFonts w:hint="eastAsia" w:ascii="宋体" w:hAnsi="宋体" w:cs="宋体"/>
                <w:color w:val="auto"/>
                <w:kern w:val="0"/>
                <w:sz w:val="22"/>
              </w:rPr>
            </w:pPr>
            <w:r>
              <w:rPr>
                <w:rFonts w:hint="eastAsia" w:ascii="宋体" w:hAnsi="宋体" w:cs="宋体"/>
                <w:color w:val="auto"/>
                <w:kern w:val="0"/>
                <w:sz w:val="22"/>
              </w:rPr>
              <w:t>　</w:t>
            </w:r>
          </w:p>
        </w:tc>
      </w:tr>
    </w:tbl>
    <w:p w14:paraId="2ED455A1">
      <w:pPr>
        <w:pStyle w:val="4"/>
        <w:numPr>
          <w:ilvl w:val="2"/>
          <w:numId w:val="0"/>
        </w:numPr>
        <w:bidi w:val="0"/>
        <w:ind w:leftChars="0"/>
        <w:rPr>
          <w:rFonts w:hint="eastAsia"/>
          <w:color w:val="auto"/>
          <w:highlight w:val="none"/>
          <w:lang w:val="en-US" w:eastAsia="zh-CN"/>
        </w:rPr>
      </w:pPr>
    </w:p>
    <w:p w14:paraId="1E745D6D">
      <w:pPr>
        <w:pStyle w:val="4"/>
        <w:numPr>
          <w:ilvl w:val="2"/>
          <w:numId w:val="0"/>
        </w:numPr>
        <w:bidi w:val="0"/>
        <w:ind w:leftChars="0"/>
        <w:rPr>
          <w:rFonts w:hint="default"/>
          <w:color w:val="auto"/>
          <w:highlight w:val="none"/>
          <w:lang w:val="en-US" w:eastAsia="zh-CN"/>
        </w:rPr>
      </w:pPr>
      <w:r>
        <w:rPr>
          <w:rFonts w:hint="eastAsia"/>
          <w:color w:val="auto"/>
          <w:highlight w:val="none"/>
          <w:lang w:val="en-US" w:eastAsia="zh-CN"/>
        </w:rPr>
        <w:t>标段2：</w:t>
      </w:r>
    </w:p>
    <w:p w14:paraId="3EF231EF">
      <w:pPr>
        <w:pStyle w:val="4"/>
        <w:numPr>
          <w:ilvl w:val="2"/>
          <w:numId w:val="0"/>
        </w:numPr>
        <w:bidi w:val="0"/>
        <w:ind w:leftChars="0"/>
        <w:rPr>
          <w:rFonts w:hint="eastAsia"/>
          <w:color w:val="auto"/>
          <w:highlight w:val="none"/>
        </w:rPr>
      </w:pPr>
      <w:r>
        <w:rPr>
          <w:rFonts w:hint="eastAsia"/>
          <w:color w:val="auto"/>
          <w:highlight w:val="none"/>
        </w:rPr>
        <w:t>附件三：商用密码应用建设清单</w:t>
      </w:r>
    </w:p>
    <w:p w14:paraId="51081D6B">
      <w:pPr>
        <w:bidi w:val="0"/>
        <w:rPr>
          <w:rFonts w:hint="eastAsia"/>
          <w:color w:val="auto"/>
        </w:rPr>
      </w:pPr>
    </w:p>
    <w:tbl>
      <w:tblPr>
        <w:tblStyle w:val="17"/>
        <w:tblW w:w="0" w:type="auto"/>
        <w:tblInd w:w="0" w:type="dxa"/>
        <w:tblLayout w:type="fixed"/>
        <w:tblCellMar>
          <w:top w:w="0" w:type="dxa"/>
          <w:left w:w="108" w:type="dxa"/>
          <w:bottom w:w="0" w:type="dxa"/>
          <w:right w:w="108" w:type="dxa"/>
        </w:tblCellMar>
      </w:tblPr>
      <w:tblGrid>
        <w:gridCol w:w="1339"/>
        <w:gridCol w:w="2749"/>
        <w:gridCol w:w="7859"/>
        <w:gridCol w:w="1196"/>
        <w:gridCol w:w="1594"/>
      </w:tblGrid>
      <w:tr w14:paraId="4C803FE2">
        <w:tblPrEx>
          <w:tblCellMar>
            <w:top w:w="0" w:type="dxa"/>
            <w:left w:w="108" w:type="dxa"/>
            <w:bottom w:w="0" w:type="dxa"/>
            <w:right w:w="108" w:type="dxa"/>
          </w:tblCellMar>
        </w:tblPrEx>
        <w:trPr>
          <w:trHeight w:val="548" w:hRule="atLeast"/>
          <w:tblHeader/>
        </w:trPr>
        <w:tc>
          <w:tcPr>
            <w:tcW w:w="1339" w:type="dxa"/>
            <w:tcBorders>
              <w:top w:val="single" w:color="000000" w:sz="4" w:space="0"/>
              <w:left w:val="single" w:color="000000" w:sz="4" w:space="0"/>
              <w:bottom w:val="single" w:color="000000" w:sz="4" w:space="0"/>
              <w:right w:val="single" w:color="000000" w:sz="4" w:space="0"/>
            </w:tcBorders>
            <w:vAlign w:val="center"/>
          </w:tcPr>
          <w:p w14:paraId="1C3F5A6C">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bidi="ar"/>
              </w:rPr>
              <w:t>序号</w:t>
            </w:r>
          </w:p>
        </w:tc>
        <w:tc>
          <w:tcPr>
            <w:tcW w:w="2749" w:type="dxa"/>
            <w:tcBorders>
              <w:top w:val="single" w:color="000000" w:sz="4" w:space="0"/>
              <w:left w:val="single" w:color="000000" w:sz="4" w:space="0"/>
              <w:bottom w:val="single" w:color="000000" w:sz="4" w:space="0"/>
              <w:right w:val="single" w:color="000000" w:sz="4" w:space="0"/>
            </w:tcBorders>
            <w:vAlign w:val="center"/>
          </w:tcPr>
          <w:p w14:paraId="457CB168">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bidi="ar"/>
              </w:rPr>
              <w:t>工程项目名称</w:t>
            </w:r>
          </w:p>
        </w:tc>
        <w:tc>
          <w:tcPr>
            <w:tcW w:w="7859" w:type="dxa"/>
            <w:tcBorders>
              <w:top w:val="single" w:color="000000" w:sz="4" w:space="0"/>
              <w:left w:val="single" w:color="000000" w:sz="4" w:space="0"/>
              <w:bottom w:val="single" w:color="000000" w:sz="4" w:space="0"/>
              <w:right w:val="single" w:color="000000" w:sz="4" w:space="0"/>
            </w:tcBorders>
            <w:vAlign w:val="center"/>
          </w:tcPr>
          <w:p w14:paraId="5BAECA41">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bidi="ar"/>
              </w:rPr>
              <w:t>需求描述</w:t>
            </w:r>
          </w:p>
        </w:tc>
        <w:tc>
          <w:tcPr>
            <w:tcW w:w="1196" w:type="dxa"/>
            <w:tcBorders>
              <w:top w:val="single" w:color="000000" w:sz="4" w:space="0"/>
              <w:left w:val="single" w:color="000000" w:sz="4" w:space="0"/>
              <w:bottom w:val="single" w:color="000000" w:sz="4" w:space="0"/>
              <w:right w:val="single" w:color="000000" w:sz="4" w:space="0"/>
            </w:tcBorders>
            <w:vAlign w:val="center"/>
          </w:tcPr>
          <w:p w14:paraId="5B9219E5">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bidi="ar"/>
              </w:rPr>
              <w:t>单位</w:t>
            </w:r>
          </w:p>
        </w:tc>
        <w:tc>
          <w:tcPr>
            <w:tcW w:w="1594" w:type="dxa"/>
            <w:tcBorders>
              <w:top w:val="single" w:color="000000" w:sz="4" w:space="0"/>
              <w:left w:val="single" w:color="000000" w:sz="4" w:space="0"/>
              <w:bottom w:val="single" w:color="000000" w:sz="4" w:space="0"/>
              <w:right w:val="single" w:color="000000" w:sz="4" w:space="0"/>
            </w:tcBorders>
            <w:vAlign w:val="center"/>
          </w:tcPr>
          <w:p w14:paraId="0EF850D1">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bidi="ar"/>
              </w:rPr>
              <w:t>工程量</w:t>
            </w:r>
          </w:p>
        </w:tc>
      </w:tr>
      <w:tr w14:paraId="681E3661">
        <w:tblPrEx>
          <w:tblCellMar>
            <w:top w:w="0" w:type="dxa"/>
            <w:left w:w="108" w:type="dxa"/>
            <w:bottom w:w="0" w:type="dxa"/>
            <w:right w:w="108" w:type="dxa"/>
          </w:tblCellMar>
        </w:tblPrEx>
        <w:trPr>
          <w:trHeight w:val="1301" w:hRule="atLeast"/>
        </w:trPr>
        <w:tc>
          <w:tcPr>
            <w:tcW w:w="1339" w:type="dxa"/>
            <w:tcBorders>
              <w:top w:val="single" w:color="000000" w:sz="4" w:space="0"/>
              <w:left w:val="single" w:color="000000" w:sz="4" w:space="0"/>
              <w:bottom w:val="single" w:color="000000" w:sz="4" w:space="0"/>
              <w:right w:val="single" w:color="000000" w:sz="4" w:space="0"/>
            </w:tcBorders>
            <w:noWrap/>
            <w:vAlign w:val="center"/>
          </w:tcPr>
          <w:p w14:paraId="6F1FA773">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1</w:t>
            </w:r>
          </w:p>
        </w:tc>
        <w:tc>
          <w:tcPr>
            <w:tcW w:w="2749" w:type="dxa"/>
            <w:tcBorders>
              <w:top w:val="single" w:color="000000" w:sz="4" w:space="0"/>
              <w:left w:val="single" w:color="000000" w:sz="4" w:space="0"/>
              <w:bottom w:val="single" w:color="000000" w:sz="4" w:space="0"/>
              <w:right w:val="single" w:color="000000" w:sz="4" w:space="0"/>
            </w:tcBorders>
            <w:vAlign w:val="center"/>
          </w:tcPr>
          <w:p w14:paraId="2C67EBA0">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服务器密码机</w:t>
            </w:r>
          </w:p>
        </w:tc>
        <w:tc>
          <w:tcPr>
            <w:tcW w:w="7859" w:type="dxa"/>
            <w:tcBorders>
              <w:top w:val="single" w:color="000000" w:sz="4" w:space="0"/>
              <w:left w:val="single" w:color="000000" w:sz="4" w:space="0"/>
              <w:bottom w:val="single" w:color="000000" w:sz="4" w:space="0"/>
              <w:right w:val="single" w:color="000000" w:sz="4" w:space="0"/>
            </w:tcBorders>
            <w:vAlign w:val="center"/>
          </w:tcPr>
          <w:p w14:paraId="29C734EA">
            <w:pPr>
              <w:widowControl/>
              <w:spacing w:line="240" w:lineRule="auto"/>
              <w:ind w:firstLine="0" w:firstLineChars="0"/>
              <w:jc w:val="left"/>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加解密服务：为平台提供应用级数据加解密等密码运算服务，实现信息的机密性、完整性、真实性和不可否认性保护。</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HMAC服务：用于重要业务数据、日志、访问控制信息等数据完整性保护。</w:t>
            </w:r>
          </w:p>
        </w:tc>
        <w:tc>
          <w:tcPr>
            <w:tcW w:w="1196" w:type="dxa"/>
            <w:tcBorders>
              <w:top w:val="single" w:color="000000" w:sz="4" w:space="0"/>
              <w:left w:val="single" w:color="000000" w:sz="4" w:space="0"/>
              <w:bottom w:val="single" w:color="000000" w:sz="4" w:space="0"/>
              <w:right w:val="single" w:color="000000" w:sz="4" w:space="0"/>
            </w:tcBorders>
            <w:noWrap/>
            <w:vAlign w:val="center"/>
          </w:tcPr>
          <w:p w14:paraId="5A45BC0A">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1594" w:type="dxa"/>
            <w:tcBorders>
              <w:top w:val="single" w:color="000000" w:sz="4" w:space="0"/>
              <w:left w:val="single" w:color="000000" w:sz="4" w:space="0"/>
              <w:bottom w:val="single" w:color="000000" w:sz="4" w:space="0"/>
              <w:right w:val="single" w:color="000000" w:sz="4" w:space="0"/>
            </w:tcBorders>
            <w:noWrap/>
            <w:vAlign w:val="center"/>
          </w:tcPr>
          <w:p w14:paraId="404BACF7">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1</w:t>
            </w:r>
          </w:p>
        </w:tc>
      </w:tr>
      <w:tr w14:paraId="40FFB3F9">
        <w:tblPrEx>
          <w:tblCellMar>
            <w:top w:w="0" w:type="dxa"/>
            <w:left w:w="108" w:type="dxa"/>
            <w:bottom w:w="0" w:type="dxa"/>
            <w:right w:w="108" w:type="dxa"/>
          </w:tblCellMar>
        </w:tblPrEx>
        <w:trPr>
          <w:trHeight w:val="1301" w:hRule="atLeast"/>
        </w:trPr>
        <w:tc>
          <w:tcPr>
            <w:tcW w:w="1339" w:type="dxa"/>
            <w:tcBorders>
              <w:top w:val="single" w:color="000000" w:sz="4" w:space="0"/>
              <w:left w:val="single" w:color="000000" w:sz="4" w:space="0"/>
              <w:bottom w:val="single" w:color="000000" w:sz="4" w:space="0"/>
              <w:right w:val="single" w:color="000000" w:sz="4" w:space="0"/>
            </w:tcBorders>
            <w:noWrap/>
            <w:vAlign w:val="center"/>
          </w:tcPr>
          <w:p w14:paraId="6A1924AA">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2</w:t>
            </w:r>
          </w:p>
        </w:tc>
        <w:tc>
          <w:tcPr>
            <w:tcW w:w="2749" w:type="dxa"/>
            <w:tcBorders>
              <w:top w:val="single" w:color="000000" w:sz="4" w:space="0"/>
              <w:left w:val="single" w:color="000000" w:sz="4" w:space="0"/>
              <w:bottom w:val="single" w:color="000000" w:sz="4" w:space="0"/>
              <w:right w:val="single" w:color="000000" w:sz="4" w:space="0"/>
            </w:tcBorders>
            <w:vAlign w:val="center"/>
          </w:tcPr>
          <w:p w14:paraId="61A09082">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签名验签与时间戳二合一服务器</w:t>
            </w:r>
          </w:p>
        </w:tc>
        <w:tc>
          <w:tcPr>
            <w:tcW w:w="7859" w:type="dxa"/>
            <w:tcBorders>
              <w:top w:val="single" w:color="000000" w:sz="4" w:space="0"/>
              <w:left w:val="single" w:color="000000" w:sz="4" w:space="0"/>
              <w:bottom w:val="single" w:color="000000" w:sz="4" w:space="0"/>
              <w:right w:val="single" w:color="000000" w:sz="4" w:space="0"/>
            </w:tcBorders>
            <w:vAlign w:val="center"/>
          </w:tcPr>
          <w:p w14:paraId="67D4A3A4">
            <w:pPr>
              <w:widowControl/>
              <w:spacing w:line="240" w:lineRule="auto"/>
              <w:ind w:firstLine="0" w:firstLineChars="0"/>
              <w:jc w:val="left"/>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提供证书验证功能，确保用户身份的真实性。签名验签服务：基于数字签名、验证签名技术，为平台提供应用级数字签名、验证签名等服务</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时间戳服务：为业务数据加盖时间戳，确保业务流程时间顺序上的不可否认性</w:t>
            </w:r>
          </w:p>
        </w:tc>
        <w:tc>
          <w:tcPr>
            <w:tcW w:w="1196" w:type="dxa"/>
            <w:tcBorders>
              <w:top w:val="single" w:color="000000" w:sz="4" w:space="0"/>
              <w:left w:val="single" w:color="000000" w:sz="4" w:space="0"/>
              <w:bottom w:val="single" w:color="000000" w:sz="4" w:space="0"/>
              <w:right w:val="single" w:color="000000" w:sz="4" w:space="0"/>
            </w:tcBorders>
            <w:noWrap/>
            <w:vAlign w:val="center"/>
          </w:tcPr>
          <w:p w14:paraId="6396B14E">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1594" w:type="dxa"/>
            <w:tcBorders>
              <w:top w:val="single" w:color="000000" w:sz="4" w:space="0"/>
              <w:left w:val="single" w:color="000000" w:sz="4" w:space="0"/>
              <w:bottom w:val="single" w:color="000000" w:sz="4" w:space="0"/>
              <w:right w:val="single" w:color="000000" w:sz="4" w:space="0"/>
            </w:tcBorders>
            <w:noWrap/>
            <w:vAlign w:val="center"/>
          </w:tcPr>
          <w:p w14:paraId="271CD84D">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1</w:t>
            </w:r>
          </w:p>
        </w:tc>
      </w:tr>
      <w:tr w14:paraId="672DD806">
        <w:tblPrEx>
          <w:tblCellMar>
            <w:top w:w="0" w:type="dxa"/>
            <w:left w:w="108" w:type="dxa"/>
            <w:bottom w:w="0" w:type="dxa"/>
            <w:right w:w="108" w:type="dxa"/>
          </w:tblCellMar>
        </w:tblPrEx>
        <w:trPr>
          <w:trHeight w:val="548" w:hRule="atLeast"/>
        </w:trPr>
        <w:tc>
          <w:tcPr>
            <w:tcW w:w="1339" w:type="dxa"/>
            <w:tcBorders>
              <w:top w:val="single" w:color="000000" w:sz="4" w:space="0"/>
              <w:left w:val="single" w:color="000000" w:sz="4" w:space="0"/>
              <w:bottom w:val="single" w:color="000000" w:sz="4" w:space="0"/>
              <w:right w:val="single" w:color="000000" w:sz="4" w:space="0"/>
            </w:tcBorders>
            <w:noWrap/>
            <w:vAlign w:val="center"/>
          </w:tcPr>
          <w:p w14:paraId="2CA82143">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3</w:t>
            </w:r>
          </w:p>
        </w:tc>
        <w:tc>
          <w:tcPr>
            <w:tcW w:w="2749" w:type="dxa"/>
            <w:tcBorders>
              <w:top w:val="single" w:color="000000" w:sz="4" w:space="0"/>
              <w:left w:val="single" w:color="000000" w:sz="4" w:space="0"/>
              <w:bottom w:val="single" w:color="000000" w:sz="4" w:space="0"/>
              <w:right w:val="single" w:color="000000" w:sz="4" w:space="0"/>
            </w:tcBorders>
            <w:vAlign w:val="center"/>
          </w:tcPr>
          <w:p w14:paraId="4910DDF5">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IPSec/SSL VPN 综合安全网关</w:t>
            </w:r>
          </w:p>
        </w:tc>
        <w:tc>
          <w:tcPr>
            <w:tcW w:w="7859" w:type="dxa"/>
            <w:tcBorders>
              <w:top w:val="single" w:color="000000" w:sz="4" w:space="0"/>
              <w:left w:val="single" w:color="000000" w:sz="4" w:space="0"/>
              <w:bottom w:val="single" w:color="000000" w:sz="4" w:space="0"/>
              <w:right w:val="single" w:color="000000" w:sz="4" w:space="0"/>
            </w:tcBorders>
            <w:vAlign w:val="center"/>
          </w:tcPr>
          <w:p w14:paraId="271FD8F2">
            <w:pPr>
              <w:widowControl/>
              <w:spacing w:line="240" w:lineRule="auto"/>
              <w:ind w:firstLine="0" w:firstLineChars="0"/>
              <w:jc w:val="left"/>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建立国密虚拟隧道，实现通信数据的机密性和完整性保护</w:t>
            </w:r>
          </w:p>
        </w:tc>
        <w:tc>
          <w:tcPr>
            <w:tcW w:w="1196" w:type="dxa"/>
            <w:tcBorders>
              <w:top w:val="single" w:color="000000" w:sz="4" w:space="0"/>
              <w:left w:val="single" w:color="000000" w:sz="4" w:space="0"/>
              <w:bottom w:val="single" w:color="000000" w:sz="4" w:space="0"/>
              <w:right w:val="single" w:color="000000" w:sz="4" w:space="0"/>
            </w:tcBorders>
            <w:noWrap/>
            <w:vAlign w:val="center"/>
          </w:tcPr>
          <w:p w14:paraId="0BD286B2">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1594" w:type="dxa"/>
            <w:tcBorders>
              <w:top w:val="single" w:color="000000" w:sz="4" w:space="0"/>
              <w:left w:val="single" w:color="000000" w:sz="4" w:space="0"/>
              <w:bottom w:val="single" w:color="000000" w:sz="4" w:space="0"/>
              <w:right w:val="single" w:color="000000" w:sz="4" w:space="0"/>
            </w:tcBorders>
            <w:noWrap/>
            <w:vAlign w:val="center"/>
          </w:tcPr>
          <w:p w14:paraId="268618C8">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1</w:t>
            </w:r>
          </w:p>
        </w:tc>
      </w:tr>
      <w:tr w14:paraId="525876F8">
        <w:tblPrEx>
          <w:tblCellMar>
            <w:top w:w="0" w:type="dxa"/>
            <w:left w:w="108" w:type="dxa"/>
            <w:bottom w:w="0" w:type="dxa"/>
            <w:right w:w="108" w:type="dxa"/>
          </w:tblCellMar>
        </w:tblPrEx>
        <w:trPr>
          <w:trHeight w:val="548" w:hRule="atLeast"/>
        </w:trPr>
        <w:tc>
          <w:tcPr>
            <w:tcW w:w="1339" w:type="dxa"/>
            <w:tcBorders>
              <w:top w:val="single" w:color="000000" w:sz="4" w:space="0"/>
              <w:left w:val="single" w:color="000000" w:sz="4" w:space="0"/>
              <w:bottom w:val="single" w:color="000000" w:sz="4" w:space="0"/>
              <w:right w:val="single" w:color="000000" w:sz="4" w:space="0"/>
            </w:tcBorders>
            <w:noWrap/>
            <w:vAlign w:val="center"/>
          </w:tcPr>
          <w:p w14:paraId="64C54534">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4</w:t>
            </w:r>
          </w:p>
        </w:tc>
        <w:tc>
          <w:tcPr>
            <w:tcW w:w="2749" w:type="dxa"/>
            <w:tcBorders>
              <w:top w:val="single" w:color="000000" w:sz="4" w:space="0"/>
              <w:left w:val="single" w:color="000000" w:sz="4" w:space="0"/>
              <w:bottom w:val="single" w:color="000000" w:sz="4" w:space="0"/>
              <w:right w:val="single" w:color="000000" w:sz="4" w:space="0"/>
            </w:tcBorders>
            <w:vAlign w:val="center"/>
          </w:tcPr>
          <w:p w14:paraId="7EFCD2B9">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协同签名服务器</w:t>
            </w:r>
          </w:p>
        </w:tc>
        <w:tc>
          <w:tcPr>
            <w:tcW w:w="7859" w:type="dxa"/>
            <w:tcBorders>
              <w:top w:val="single" w:color="000000" w:sz="4" w:space="0"/>
              <w:left w:val="single" w:color="000000" w:sz="4" w:space="0"/>
              <w:bottom w:val="single" w:color="000000" w:sz="4" w:space="0"/>
              <w:right w:val="single" w:color="000000" w:sz="4" w:space="0"/>
            </w:tcBorders>
            <w:vAlign w:val="center"/>
          </w:tcPr>
          <w:p w14:paraId="442D068E">
            <w:pPr>
              <w:widowControl/>
              <w:spacing w:line="240" w:lineRule="auto"/>
              <w:ind w:firstLine="0" w:firstLineChars="0"/>
              <w:jc w:val="left"/>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为移动端用户提供应用层面合规的身份鉴别</w:t>
            </w:r>
          </w:p>
        </w:tc>
        <w:tc>
          <w:tcPr>
            <w:tcW w:w="1196" w:type="dxa"/>
            <w:tcBorders>
              <w:top w:val="single" w:color="000000" w:sz="4" w:space="0"/>
              <w:left w:val="single" w:color="000000" w:sz="4" w:space="0"/>
              <w:bottom w:val="single" w:color="000000" w:sz="4" w:space="0"/>
              <w:right w:val="single" w:color="000000" w:sz="4" w:space="0"/>
            </w:tcBorders>
            <w:noWrap/>
            <w:vAlign w:val="center"/>
          </w:tcPr>
          <w:p w14:paraId="0E615F77">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1594" w:type="dxa"/>
            <w:tcBorders>
              <w:top w:val="single" w:color="000000" w:sz="4" w:space="0"/>
              <w:left w:val="single" w:color="000000" w:sz="4" w:space="0"/>
              <w:bottom w:val="single" w:color="000000" w:sz="4" w:space="0"/>
              <w:right w:val="single" w:color="000000" w:sz="4" w:space="0"/>
            </w:tcBorders>
            <w:noWrap/>
            <w:vAlign w:val="center"/>
          </w:tcPr>
          <w:p w14:paraId="4897FE98">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1</w:t>
            </w:r>
          </w:p>
        </w:tc>
      </w:tr>
      <w:tr w14:paraId="660D22BC">
        <w:tblPrEx>
          <w:tblCellMar>
            <w:top w:w="0" w:type="dxa"/>
            <w:left w:w="108" w:type="dxa"/>
            <w:bottom w:w="0" w:type="dxa"/>
            <w:right w:w="108" w:type="dxa"/>
          </w:tblCellMar>
        </w:tblPrEx>
        <w:trPr>
          <w:trHeight w:val="548" w:hRule="atLeast"/>
        </w:trPr>
        <w:tc>
          <w:tcPr>
            <w:tcW w:w="1339" w:type="dxa"/>
            <w:tcBorders>
              <w:top w:val="single" w:color="000000" w:sz="4" w:space="0"/>
              <w:left w:val="single" w:color="000000" w:sz="4" w:space="0"/>
              <w:bottom w:val="single" w:color="000000" w:sz="4" w:space="0"/>
              <w:right w:val="single" w:color="000000" w:sz="4" w:space="0"/>
            </w:tcBorders>
            <w:noWrap/>
            <w:vAlign w:val="center"/>
          </w:tcPr>
          <w:p w14:paraId="26D8DAE4">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5</w:t>
            </w:r>
          </w:p>
        </w:tc>
        <w:tc>
          <w:tcPr>
            <w:tcW w:w="2749" w:type="dxa"/>
            <w:tcBorders>
              <w:top w:val="single" w:color="000000" w:sz="4" w:space="0"/>
              <w:left w:val="single" w:color="000000" w:sz="4" w:space="0"/>
              <w:bottom w:val="single" w:color="000000" w:sz="4" w:space="0"/>
              <w:right w:val="single" w:color="000000" w:sz="4" w:space="0"/>
            </w:tcBorders>
            <w:vAlign w:val="center"/>
          </w:tcPr>
          <w:p w14:paraId="68522BA7">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智能密码钥匙</w:t>
            </w:r>
          </w:p>
        </w:tc>
        <w:tc>
          <w:tcPr>
            <w:tcW w:w="7859" w:type="dxa"/>
            <w:tcBorders>
              <w:top w:val="single" w:color="000000" w:sz="4" w:space="0"/>
              <w:left w:val="single" w:color="000000" w:sz="4" w:space="0"/>
              <w:bottom w:val="single" w:color="000000" w:sz="4" w:space="0"/>
              <w:right w:val="single" w:color="000000" w:sz="4" w:space="0"/>
            </w:tcBorders>
            <w:vAlign w:val="center"/>
          </w:tcPr>
          <w:p w14:paraId="336182CE">
            <w:pPr>
              <w:widowControl/>
              <w:spacing w:line="240" w:lineRule="auto"/>
              <w:ind w:firstLine="0" w:firstLineChars="0"/>
              <w:jc w:val="left"/>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作为数字证书载体，用于授权用户的身份认证和鉴别，可进行轻量级密码运算</w:t>
            </w:r>
          </w:p>
        </w:tc>
        <w:tc>
          <w:tcPr>
            <w:tcW w:w="1196" w:type="dxa"/>
            <w:tcBorders>
              <w:top w:val="single" w:color="000000" w:sz="4" w:space="0"/>
              <w:left w:val="single" w:color="000000" w:sz="4" w:space="0"/>
              <w:bottom w:val="single" w:color="000000" w:sz="4" w:space="0"/>
              <w:right w:val="single" w:color="000000" w:sz="4" w:space="0"/>
            </w:tcBorders>
            <w:noWrap/>
            <w:vAlign w:val="center"/>
          </w:tcPr>
          <w:p w14:paraId="3EE3EA35">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个</w:t>
            </w:r>
          </w:p>
        </w:tc>
        <w:tc>
          <w:tcPr>
            <w:tcW w:w="1594" w:type="dxa"/>
            <w:tcBorders>
              <w:top w:val="single" w:color="000000" w:sz="4" w:space="0"/>
              <w:left w:val="single" w:color="000000" w:sz="4" w:space="0"/>
              <w:bottom w:val="single" w:color="000000" w:sz="4" w:space="0"/>
              <w:right w:val="single" w:color="000000" w:sz="4" w:space="0"/>
            </w:tcBorders>
            <w:noWrap/>
            <w:vAlign w:val="center"/>
          </w:tcPr>
          <w:p w14:paraId="489CD722">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140</w:t>
            </w:r>
          </w:p>
        </w:tc>
      </w:tr>
      <w:tr w14:paraId="77D12541">
        <w:tblPrEx>
          <w:tblCellMar>
            <w:top w:w="0" w:type="dxa"/>
            <w:left w:w="108" w:type="dxa"/>
            <w:bottom w:w="0" w:type="dxa"/>
            <w:right w:w="108" w:type="dxa"/>
          </w:tblCellMar>
        </w:tblPrEx>
        <w:trPr>
          <w:trHeight w:val="548" w:hRule="atLeast"/>
        </w:trPr>
        <w:tc>
          <w:tcPr>
            <w:tcW w:w="1339" w:type="dxa"/>
            <w:tcBorders>
              <w:top w:val="single" w:color="000000" w:sz="4" w:space="0"/>
              <w:left w:val="single" w:color="000000" w:sz="4" w:space="0"/>
              <w:bottom w:val="single" w:color="000000" w:sz="4" w:space="0"/>
              <w:right w:val="single" w:color="000000" w:sz="4" w:space="0"/>
            </w:tcBorders>
            <w:noWrap/>
            <w:vAlign w:val="center"/>
          </w:tcPr>
          <w:p w14:paraId="20FA79B0">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6</w:t>
            </w:r>
          </w:p>
        </w:tc>
        <w:tc>
          <w:tcPr>
            <w:tcW w:w="2749" w:type="dxa"/>
            <w:tcBorders>
              <w:top w:val="single" w:color="000000" w:sz="4" w:space="0"/>
              <w:left w:val="single" w:color="000000" w:sz="4" w:space="0"/>
              <w:bottom w:val="single" w:color="000000" w:sz="4" w:space="0"/>
              <w:right w:val="single" w:color="000000" w:sz="4" w:space="0"/>
            </w:tcBorders>
            <w:vAlign w:val="center"/>
          </w:tcPr>
          <w:p w14:paraId="441B2449">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个人数字证书</w:t>
            </w:r>
          </w:p>
        </w:tc>
        <w:tc>
          <w:tcPr>
            <w:tcW w:w="7859" w:type="dxa"/>
            <w:tcBorders>
              <w:top w:val="single" w:color="000000" w:sz="4" w:space="0"/>
              <w:left w:val="single" w:color="000000" w:sz="4" w:space="0"/>
              <w:bottom w:val="single" w:color="000000" w:sz="4" w:space="0"/>
              <w:right w:val="single" w:color="000000" w:sz="4" w:space="0"/>
            </w:tcBorders>
            <w:vAlign w:val="center"/>
          </w:tcPr>
          <w:p w14:paraId="604BEC12">
            <w:pPr>
              <w:widowControl/>
              <w:spacing w:line="240" w:lineRule="auto"/>
              <w:ind w:firstLine="0" w:firstLineChars="0"/>
              <w:jc w:val="left"/>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用于授权的内部用户登录应用系统的身份认证和鉴别</w:t>
            </w:r>
          </w:p>
        </w:tc>
        <w:tc>
          <w:tcPr>
            <w:tcW w:w="1196" w:type="dxa"/>
            <w:tcBorders>
              <w:top w:val="single" w:color="000000" w:sz="4" w:space="0"/>
              <w:left w:val="single" w:color="000000" w:sz="4" w:space="0"/>
              <w:bottom w:val="single" w:color="000000" w:sz="4" w:space="0"/>
              <w:right w:val="single" w:color="000000" w:sz="4" w:space="0"/>
            </w:tcBorders>
            <w:noWrap/>
            <w:vAlign w:val="center"/>
          </w:tcPr>
          <w:p w14:paraId="5BAC496D">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张/年</w:t>
            </w:r>
          </w:p>
        </w:tc>
        <w:tc>
          <w:tcPr>
            <w:tcW w:w="1594" w:type="dxa"/>
            <w:tcBorders>
              <w:top w:val="single" w:color="000000" w:sz="4" w:space="0"/>
              <w:left w:val="single" w:color="000000" w:sz="4" w:space="0"/>
              <w:bottom w:val="single" w:color="000000" w:sz="4" w:space="0"/>
              <w:right w:val="single" w:color="000000" w:sz="4" w:space="0"/>
            </w:tcBorders>
            <w:noWrap/>
            <w:vAlign w:val="center"/>
          </w:tcPr>
          <w:p w14:paraId="7B89C119">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140</w:t>
            </w:r>
          </w:p>
        </w:tc>
      </w:tr>
      <w:tr w14:paraId="3B381A3E">
        <w:tblPrEx>
          <w:tblCellMar>
            <w:top w:w="0" w:type="dxa"/>
            <w:left w:w="108" w:type="dxa"/>
            <w:bottom w:w="0" w:type="dxa"/>
            <w:right w:w="108" w:type="dxa"/>
          </w:tblCellMar>
        </w:tblPrEx>
        <w:trPr>
          <w:trHeight w:val="548" w:hRule="atLeast"/>
        </w:trPr>
        <w:tc>
          <w:tcPr>
            <w:tcW w:w="1339" w:type="dxa"/>
            <w:tcBorders>
              <w:top w:val="single" w:color="000000" w:sz="4" w:space="0"/>
              <w:left w:val="single" w:color="000000" w:sz="4" w:space="0"/>
              <w:bottom w:val="single" w:color="000000" w:sz="4" w:space="0"/>
              <w:right w:val="single" w:color="000000" w:sz="4" w:space="0"/>
            </w:tcBorders>
            <w:noWrap/>
            <w:vAlign w:val="center"/>
          </w:tcPr>
          <w:p w14:paraId="2D8F2620">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7</w:t>
            </w:r>
          </w:p>
        </w:tc>
        <w:tc>
          <w:tcPr>
            <w:tcW w:w="2749" w:type="dxa"/>
            <w:tcBorders>
              <w:top w:val="single" w:color="000000" w:sz="4" w:space="0"/>
              <w:left w:val="single" w:color="000000" w:sz="4" w:space="0"/>
              <w:bottom w:val="single" w:color="000000" w:sz="4" w:space="0"/>
              <w:right w:val="single" w:color="000000" w:sz="4" w:space="0"/>
            </w:tcBorders>
            <w:vAlign w:val="center"/>
          </w:tcPr>
          <w:p w14:paraId="67B668AC">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设备证书</w:t>
            </w:r>
          </w:p>
        </w:tc>
        <w:tc>
          <w:tcPr>
            <w:tcW w:w="7859" w:type="dxa"/>
            <w:tcBorders>
              <w:top w:val="single" w:color="000000" w:sz="4" w:space="0"/>
              <w:left w:val="single" w:color="000000" w:sz="4" w:space="0"/>
              <w:bottom w:val="single" w:color="000000" w:sz="4" w:space="0"/>
              <w:right w:val="single" w:color="000000" w:sz="4" w:space="0"/>
            </w:tcBorders>
            <w:vAlign w:val="center"/>
          </w:tcPr>
          <w:p w14:paraId="5BDA8086">
            <w:pPr>
              <w:widowControl/>
              <w:spacing w:line="240" w:lineRule="auto"/>
              <w:ind w:firstLine="0" w:firstLineChars="0"/>
              <w:jc w:val="left"/>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用于VPN、签名验签服务器身份证明</w:t>
            </w:r>
          </w:p>
        </w:tc>
        <w:tc>
          <w:tcPr>
            <w:tcW w:w="1196" w:type="dxa"/>
            <w:tcBorders>
              <w:top w:val="single" w:color="000000" w:sz="4" w:space="0"/>
              <w:left w:val="single" w:color="000000" w:sz="4" w:space="0"/>
              <w:bottom w:val="single" w:color="000000" w:sz="4" w:space="0"/>
              <w:right w:val="single" w:color="000000" w:sz="4" w:space="0"/>
            </w:tcBorders>
            <w:noWrap/>
            <w:vAlign w:val="center"/>
          </w:tcPr>
          <w:p w14:paraId="6881800D">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张/年</w:t>
            </w:r>
          </w:p>
        </w:tc>
        <w:tc>
          <w:tcPr>
            <w:tcW w:w="1594" w:type="dxa"/>
            <w:tcBorders>
              <w:top w:val="single" w:color="000000" w:sz="4" w:space="0"/>
              <w:left w:val="single" w:color="000000" w:sz="4" w:space="0"/>
              <w:bottom w:val="single" w:color="000000" w:sz="4" w:space="0"/>
              <w:right w:val="single" w:color="000000" w:sz="4" w:space="0"/>
            </w:tcBorders>
            <w:noWrap/>
            <w:vAlign w:val="center"/>
          </w:tcPr>
          <w:p w14:paraId="4B1A57BA">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4</w:t>
            </w:r>
          </w:p>
        </w:tc>
      </w:tr>
      <w:tr w14:paraId="5265C5A8">
        <w:tblPrEx>
          <w:tblCellMar>
            <w:top w:w="0" w:type="dxa"/>
            <w:left w:w="108" w:type="dxa"/>
            <w:bottom w:w="0" w:type="dxa"/>
            <w:right w:w="108" w:type="dxa"/>
          </w:tblCellMar>
        </w:tblPrEx>
        <w:trPr>
          <w:trHeight w:val="557" w:hRule="atLeast"/>
        </w:trPr>
        <w:tc>
          <w:tcPr>
            <w:tcW w:w="1339" w:type="dxa"/>
            <w:tcBorders>
              <w:top w:val="single" w:color="000000" w:sz="4" w:space="0"/>
              <w:left w:val="single" w:color="000000" w:sz="4" w:space="0"/>
              <w:bottom w:val="single" w:color="000000" w:sz="4" w:space="0"/>
              <w:right w:val="single" w:color="000000" w:sz="4" w:space="0"/>
            </w:tcBorders>
            <w:noWrap/>
            <w:vAlign w:val="center"/>
          </w:tcPr>
          <w:p w14:paraId="72538760">
            <w:pPr>
              <w:widowControl/>
              <w:spacing w:line="240" w:lineRule="auto"/>
              <w:ind w:firstLine="0" w:firstLineChars="0"/>
              <w:jc w:val="center"/>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8</w:t>
            </w:r>
          </w:p>
        </w:tc>
        <w:tc>
          <w:tcPr>
            <w:tcW w:w="2749" w:type="dxa"/>
            <w:tcBorders>
              <w:top w:val="single" w:color="000000" w:sz="4" w:space="0"/>
              <w:left w:val="single" w:color="000000" w:sz="4" w:space="0"/>
              <w:bottom w:val="single" w:color="000000" w:sz="4" w:space="0"/>
              <w:right w:val="single" w:color="000000" w:sz="4" w:space="0"/>
            </w:tcBorders>
            <w:vAlign w:val="center"/>
          </w:tcPr>
          <w:p w14:paraId="097D5953">
            <w:pPr>
              <w:widowControl/>
              <w:spacing w:line="240" w:lineRule="auto"/>
              <w:ind w:firstLine="0" w:firstLineChars="0"/>
              <w:jc w:val="center"/>
              <w:textAlignment w:val="center"/>
              <w:rPr>
                <w:rFonts w:hint="eastAsia" w:asciiTheme="minorEastAsia" w:hAnsiTheme="minorEastAsia" w:eastAsiaTheme="minorEastAsia" w:cstheme="minorEastAsia"/>
                <w:b/>
                <w:bCs/>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站点证书</w:t>
            </w:r>
          </w:p>
        </w:tc>
        <w:tc>
          <w:tcPr>
            <w:tcW w:w="7859" w:type="dxa"/>
            <w:tcBorders>
              <w:top w:val="single" w:color="000000" w:sz="4" w:space="0"/>
              <w:left w:val="single" w:color="000000" w:sz="4" w:space="0"/>
              <w:bottom w:val="single" w:color="000000" w:sz="4" w:space="0"/>
              <w:right w:val="single" w:color="000000" w:sz="4" w:space="0"/>
            </w:tcBorders>
            <w:vAlign w:val="center"/>
          </w:tcPr>
          <w:p w14:paraId="28D88AEA">
            <w:pPr>
              <w:widowControl/>
              <w:spacing w:line="240" w:lineRule="auto"/>
              <w:ind w:firstLine="0" w:firstLineChars="0"/>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为可通过外网登录的系统提供完整真实性保护，防钓鱼网站</w:t>
            </w:r>
          </w:p>
        </w:tc>
        <w:tc>
          <w:tcPr>
            <w:tcW w:w="1196" w:type="dxa"/>
            <w:tcBorders>
              <w:top w:val="single" w:color="000000" w:sz="4" w:space="0"/>
              <w:left w:val="single" w:color="000000" w:sz="4" w:space="0"/>
              <w:bottom w:val="single" w:color="000000" w:sz="4" w:space="0"/>
              <w:right w:val="single" w:color="000000" w:sz="4" w:space="0"/>
            </w:tcBorders>
            <w:noWrap/>
            <w:vAlign w:val="center"/>
          </w:tcPr>
          <w:p w14:paraId="1655EA9C">
            <w:pPr>
              <w:widowControl/>
              <w:spacing w:line="240" w:lineRule="auto"/>
              <w:ind w:firstLine="0" w:firstLineChars="0"/>
              <w:jc w:val="center"/>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张/年</w:t>
            </w:r>
          </w:p>
        </w:tc>
        <w:tc>
          <w:tcPr>
            <w:tcW w:w="1594" w:type="dxa"/>
            <w:tcBorders>
              <w:top w:val="single" w:color="000000" w:sz="4" w:space="0"/>
              <w:left w:val="single" w:color="000000" w:sz="4" w:space="0"/>
              <w:bottom w:val="single" w:color="000000" w:sz="4" w:space="0"/>
              <w:right w:val="single" w:color="000000" w:sz="4" w:space="0"/>
            </w:tcBorders>
            <w:noWrap/>
            <w:vAlign w:val="center"/>
          </w:tcPr>
          <w:p w14:paraId="79160D9A">
            <w:pPr>
              <w:widowControl/>
              <w:spacing w:line="240" w:lineRule="auto"/>
              <w:ind w:firstLine="0" w:firstLineChars="0"/>
              <w:jc w:val="center"/>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1</w:t>
            </w:r>
          </w:p>
        </w:tc>
      </w:tr>
    </w:tbl>
    <w:p w14:paraId="5DDF62BE">
      <w:pPr>
        <w:bidi w:val="0"/>
        <w:rPr>
          <w:rFonts w:hint="eastAsia"/>
          <w:color w:val="auto"/>
        </w:rPr>
      </w:pPr>
    </w:p>
    <w:p w14:paraId="3CCEC870">
      <w:pPr>
        <w:bidi w:val="0"/>
        <w:rPr>
          <w:rFonts w:hint="eastAsia"/>
          <w:color w:val="auto"/>
        </w:rPr>
      </w:pPr>
    </w:p>
    <w:p w14:paraId="3FB2F235">
      <w:pPr>
        <w:pStyle w:val="4"/>
        <w:numPr>
          <w:ilvl w:val="2"/>
          <w:numId w:val="0"/>
        </w:numPr>
        <w:bidi w:val="0"/>
        <w:ind w:leftChars="0"/>
        <w:rPr>
          <w:rFonts w:hint="default"/>
          <w:color w:val="auto"/>
          <w:highlight w:val="none"/>
          <w:lang w:val="en-US" w:eastAsia="zh-CN"/>
        </w:rPr>
      </w:pPr>
      <w:r>
        <w:rPr>
          <w:rFonts w:hint="eastAsia"/>
          <w:color w:val="auto"/>
          <w:highlight w:val="none"/>
          <w:lang w:val="en-US" w:eastAsia="zh-CN"/>
        </w:rPr>
        <w:t>标段2：</w:t>
      </w:r>
    </w:p>
    <w:p w14:paraId="302AC2AC">
      <w:pPr>
        <w:pStyle w:val="4"/>
        <w:numPr>
          <w:ilvl w:val="2"/>
          <w:numId w:val="0"/>
        </w:numPr>
        <w:bidi w:val="0"/>
        <w:ind w:leftChars="0"/>
        <w:rPr>
          <w:rFonts w:hint="eastAsia"/>
          <w:color w:val="auto"/>
          <w:highlight w:val="none"/>
        </w:rPr>
      </w:pPr>
      <w:r>
        <w:rPr>
          <w:rFonts w:hint="eastAsia"/>
          <w:color w:val="auto"/>
          <w:highlight w:val="none"/>
        </w:rPr>
        <w:t>附件四：等保安全设备清单</w:t>
      </w:r>
    </w:p>
    <w:p w14:paraId="04FE9B91">
      <w:pPr>
        <w:bidi w:val="0"/>
        <w:rPr>
          <w:rFonts w:hint="eastAsia"/>
          <w:color w:val="auto"/>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683"/>
        <w:gridCol w:w="10178"/>
        <w:gridCol w:w="957"/>
        <w:gridCol w:w="1147"/>
      </w:tblGrid>
      <w:tr w14:paraId="61F4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blHeader/>
        </w:trPr>
        <w:tc>
          <w:tcPr>
            <w:tcW w:w="773" w:type="dxa"/>
            <w:vAlign w:val="center"/>
          </w:tcPr>
          <w:p w14:paraId="2DE3647F">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bidi="ar"/>
              </w:rPr>
              <w:t>序号</w:t>
            </w:r>
          </w:p>
        </w:tc>
        <w:tc>
          <w:tcPr>
            <w:tcW w:w="1683" w:type="dxa"/>
            <w:vAlign w:val="center"/>
          </w:tcPr>
          <w:p w14:paraId="07932186">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bidi="ar"/>
              </w:rPr>
              <w:t>工程项目名称</w:t>
            </w:r>
          </w:p>
        </w:tc>
        <w:tc>
          <w:tcPr>
            <w:tcW w:w="10178" w:type="dxa"/>
            <w:vAlign w:val="center"/>
          </w:tcPr>
          <w:p w14:paraId="3279CCCD">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bidi="ar"/>
              </w:rPr>
              <w:t>需求描述</w:t>
            </w:r>
          </w:p>
        </w:tc>
        <w:tc>
          <w:tcPr>
            <w:tcW w:w="957" w:type="dxa"/>
            <w:vAlign w:val="center"/>
          </w:tcPr>
          <w:p w14:paraId="05B29404">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bidi="ar"/>
              </w:rPr>
              <w:t>单位</w:t>
            </w:r>
          </w:p>
        </w:tc>
        <w:tc>
          <w:tcPr>
            <w:tcW w:w="1147" w:type="dxa"/>
            <w:vAlign w:val="center"/>
          </w:tcPr>
          <w:p w14:paraId="2EE51221">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lang w:bidi="ar"/>
              </w:rPr>
              <w:t>工程量</w:t>
            </w:r>
          </w:p>
        </w:tc>
      </w:tr>
      <w:tr w14:paraId="43A5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773" w:type="dxa"/>
            <w:noWrap/>
            <w:vAlign w:val="center"/>
          </w:tcPr>
          <w:p w14:paraId="760397D7">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1</w:t>
            </w:r>
          </w:p>
        </w:tc>
        <w:tc>
          <w:tcPr>
            <w:tcW w:w="1683" w:type="dxa"/>
            <w:vMerge w:val="restart"/>
            <w:vAlign w:val="center"/>
          </w:tcPr>
          <w:p w14:paraId="02E511F7">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sz w:val="21"/>
                <w:szCs w:val="21"/>
              </w:rPr>
              <w:t>统一端点安全管理系统</w:t>
            </w:r>
          </w:p>
        </w:tc>
        <w:tc>
          <w:tcPr>
            <w:tcW w:w="10178" w:type="dxa"/>
            <w:vAlign w:val="center"/>
          </w:tcPr>
          <w:p w14:paraId="28EED1C7">
            <w:pPr>
              <w:widowControl/>
              <w:spacing w:line="240" w:lineRule="auto"/>
              <w:ind w:firstLine="0" w:firstLineChars="0"/>
              <w:jc w:val="left"/>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国产软件，可部署在国产操作系统上：通过管理平台统一管控，下发查杀任务；上报杀毒事件；对恶意文件进行隔离、信任等处置操作；并支持多维度的日志记录与展示。</w:t>
            </w:r>
          </w:p>
        </w:tc>
        <w:tc>
          <w:tcPr>
            <w:tcW w:w="957" w:type="dxa"/>
            <w:noWrap/>
            <w:vAlign w:val="center"/>
          </w:tcPr>
          <w:p w14:paraId="6CF276BD">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套</w:t>
            </w:r>
          </w:p>
        </w:tc>
        <w:tc>
          <w:tcPr>
            <w:tcW w:w="1147" w:type="dxa"/>
            <w:noWrap/>
            <w:vAlign w:val="center"/>
          </w:tcPr>
          <w:p w14:paraId="2CC23163">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1</w:t>
            </w:r>
          </w:p>
        </w:tc>
      </w:tr>
      <w:tr w14:paraId="1AFC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773" w:type="dxa"/>
            <w:noWrap/>
            <w:vAlign w:val="center"/>
          </w:tcPr>
          <w:p w14:paraId="444900B0">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2</w:t>
            </w:r>
          </w:p>
        </w:tc>
        <w:tc>
          <w:tcPr>
            <w:tcW w:w="1683" w:type="dxa"/>
            <w:vMerge w:val="continue"/>
            <w:vAlign w:val="center"/>
          </w:tcPr>
          <w:p w14:paraId="3FAC3BBA">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p>
        </w:tc>
        <w:tc>
          <w:tcPr>
            <w:tcW w:w="10178" w:type="dxa"/>
            <w:vAlign w:val="center"/>
          </w:tcPr>
          <w:p w14:paraId="4D7C159A">
            <w:pPr>
              <w:widowControl/>
              <w:spacing w:line="240" w:lineRule="auto"/>
              <w:ind w:firstLine="0" w:firstLineChars="0"/>
              <w:jc w:val="left"/>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1、国产软件，可部署在国产操作系统上：通过管理平台统一管控，下发查杀任务；上报杀毒事件；对恶意文件进行隔离、信任等处置操作；并支持多维度的日志记录与展示。</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2.包含管理控制中心软件及终端客户端软件，其中管理控制中心可云化部署，可以纯软件交付，也支持硬件管理平台交付；</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提供勒索病毒整体防护体系入口，直观展示最近七天勒索病毒防护效果，包括已处置的勒索病毒数量、已阻止的勒索病毒行为次数、已阻止的未知进程操作次数、已阻止的暴力破解攻击次数；（提供产品界面截图并加盖投标人公章）</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4、支持系统漏洞扫描，终端基线检查，资产盘点，资产主动发现，轻补丁漏洞免疫； 全面防护：文件实时监控； 深度防护：高级威胁行为检测（IOA），攻击可视化展示； 灵敏检测：恶意文件检测，网端联动杀毒； 快速响应：文件急速隔离，终端一键隔离，感染文件修复，病毒处置响应，网端深度联动，全网威胁定位； 简便运维：外设管控，违规外联检测，SSH服务管控、磁盘加解密；</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5、支持勒索可疑行为检测，通过行为AI能力对勒索信、命令行、修改文件等多种躲避式投放勒索病毒的高危高频场景进行精准告警和自动拦截；</w:t>
            </w:r>
          </w:p>
        </w:tc>
        <w:tc>
          <w:tcPr>
            <w:tcW w:w="957" w:type="dxa"/>
            <w:noWrap/>
            <w:vAlign w:val="center"/>
          </w:tcPr>
          <w:p w14:paraId="2C559647">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套</w:t>
            </w:r>
          </w:p>
        </w:tc>
        <w:tc>
          <w:tcPr>
            <w:tcW w:w="1147" w:type="dxa"/>
            <w:noWrap/>
            <w:vAlign w:val="center"/>
          </w:tcPr>
          <w:p w14:paraId="6A72F9C2">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200</w:t>
            </w:r>
          </w:p>
        </w:tc>
      </w:tr>
      <w:tr w14:paraId="16A1C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773" w:type="dxa"/>
            <w:noWrap/>
            <w:vAlign w:val="center"/>
          </w:tcPr>
          <w:p w14:paraId="72BC3943">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3</w:t>
            </w:r>
          </w:p>
        </w:tc>
        <w:tc>
          <w:tcPr>
            <w:tcW w:w="1683" w:type="dxa"/>
            <w:vMerge w:val="continue"/>
            <w:vAlign w:val="center"/>
          </w:tcPr>
          <w:p w14:paraId="39EDC0F7">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p>
        </w:tc>
        <w:tc>
          <w:tcPr>
            <w:tcW w:w="10178" w:type="dxa"/>
            <w:vAlign w:val="center"/>
          </w:tcPr>
          <w:p w14:paraId="7110A6DC">
            <w:pPr>
              <w:widowControl/>
              <w:spacing w:line="240" w:lineRule="auto"/>
              <w:ind w:firstLine="0" w:firstLineChars="0"/>
              <w:jc w:val="left"/>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1.国产软件，可部署在国产操作系统上：通过管理平台统一管控，下发查杀任务；上报杀毒事件；对恶意文件进行隔离、信任等处置操作；并支持多维度的日志记录与展示。</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2.包含管理控制中心软件及终端客户端软件，其中管理控制中心可云化部署；</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3.包含服务器侧所有能力：系统漏洞扫描，终端基线检查，资产盘点，资产主动发现，轻补丁漏洞免疫； 全面防护：文件实时监控； 深度防护：高级威胁行为检测（IOA），攻击可视化展示； 灵敏检测：恶意文件检测，网端联动杀毒； 快速响应：文件急速隔离，终端一键隔离，感染文件修复，病毒处置响应，网端深度联动，全网威胁定位； 简便运维：外设管控，违规外联检测，SSH服务管控、磁盘加解密；</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4.提供勒索病毒整体防护体系入口，直观展示最近七天勒索病毒防护效果，包括已处置的勒索病毒数量、已阻止的勒索病毒行为次数、已阻止的未知进程操作次数、已阻止的暴力破解攻击次数；</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5、通过智能识别终端环境情况（低配硬件、老旧设备等）和当前终端资源占用，在闲时实时监控和病毒扫描场景，都可智能调整客户端的资源占用（CPU、IO等），为业务让出资源，不卡业务，对业务零摩擦；</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6.支持用户直接对勒索病毒的家族名、病毒名、加密文件后缀名执行链接查询，可通过直接上传加密文件的方式确定勒索病毒类型，如果能解密可以提供必要的解密工具；</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7、支持与我保护区现有防火墙联动，展示联动状态</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8.支持安全策略一体化配置，通过单一策略即可实现不同安全功能的配置，包括：终端病毒查杀的文件扫描配置、文件实时监控的参数配置、WebShell检测和威胁处置方式、暴力破解的威胁处置方式和Windows白名单信任目录；</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9、提供三年软件升级与产品质保；</w:t>
            </w:r>
          </w:p>
        </w:tc>
        <w:tc>
          <w:tcPr>
            <w:tcW w:w="957" w:type="dxa"/>
            <w:noWrap/>
            <w:vAlign w:val="center"/>
          </w:tcPr>
          <w:p w14:paraId="26DE2BAD">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套</w:t>
            </w:r>
          </w:p>
        </w:tc>
        <w:tc>
          <w:tcPr>
            <w:tcW w:w="1147" w:type="dxa"/>
            <w:noWrap/>
            <w:vAlign w:val="center"/>
          </w:tcPr>
          <w:p w14:paraId="343E591A">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20</w:t>
            </w:r>
          </w:p>
        </w:tc>
      </w:tr>
      <w:tr w14:paraId="46D90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773" w:type="dxa"/>
            <w:noWrap/>
            <w:vAlign w:val="center"/>
          </w:tcPr>
          <w:p w14:paraId="585170A9">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4</w:t>
            </w:r>
          </w:p>
        </w:tc>
        <w:tc>
          <w:tcPr>
            <w:tcW w:w="1683" w:type="dxa"/>
            <w:vAlign w:val="center"/>
          </w:tcPr>
          <w:p w14:paraId="475BE7FC">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运维安全管理系统</w:t>
            </w:r>
          </w:p>
        </w:tc>
        <w:tc>
          <w:tcPr>
            <w:tcW w:w="10178" w:type="dxa"/>
            <w:vAlign w:val="center"/>
          </w:tcPr>
          <w:p w14:paraId="2BDF95F3">
            <w:pPr>
              <w:widowControl/>
              <w:spacing w:line="240" w:lineRule="auto"/>
              <w:ind w:firstLine="0" w:firstLineChars="0"/>
              <w:jc w:val="left"/>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1、该产品为国产CPU与国产操作系统</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2、产品规格：1U，内存大小：8G，硬盘容量：1.92T SSD，电源：单电源，接口：6千兆电口+4千兆光口SFP</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3、支持通过动作流配置提供广泛的应用接入支持，无论被接入的资源如何设计登录动作，通过动作流配置都可以实现单点登陆和审计接入；</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4、支持在授权基础上自定义访问审批流程，可设置一级或多级审批人，每级审批可指定通过投票数，需逐级审批通过才可最终发起运维操作；</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支持定期变更目标设备真实口令，支持自定义口令变更周期和口令强度。口令变更方式至少支持手动指定固定口令、通过密码表生成口令、依照设备挂载的口令策略生成随机口令、依照密码策略生成同一口令等方式；</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6、提供产品质保和软件升级不少于3年；</w:t>
            </w:r>
          </w:p>
        </w:tc>
        <w:tc>
          <w:tcPr>
            <w:tcW w:w="957" w:type="dxa"/>
            <w:noWrap/>
            <w:vAlign w:val="center"/>
          </w:tcPr>
          <w:p w14:paraId="3B88583B">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1147" w:type="dxa"/>
            <w:noWrap/>
            <w:vAlign w:val="center"/>
          </w:tcPr>
          <w:p w14:paraId="78AD97D0">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1</w:t>
            </w:r>
          </w:p>
        </w:tc>
      </w:tr>
      <w:tr w14:paraId="7A24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73" w:type="dxa"/>
            <w:noWrap/>
            <w:vAlign w:val="center"/>
          </w:tcPr>
          <w:p w14:paraId="103E7DD1">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5</w:t>
            </w:r>
          </w:p>
        </w:tc>
        <w:tc>
          <w:tcPr>
            <w:tcW w:w="1683" w:type="dxa"/>
            <w:vAlign w:val="center"/>
          </w:tcPr>
          <w:p w14:paraId="486D6376">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漏洞扫描</w:t>
            </w:r>
          </w:p>
        </w:tc>
        <w:tc>
          <w:tcPr>
            <w:tcW w:w="10178" w:type="dxa"/>
            <w:vAlign w:val="center"/>
          </w:tcPr>
          <w:p w14:paraId="278D89F9">
            <w:pPr>
              <w:widowControl/>
              <w:spacing w:line="240" w:lineRule="auto"/>
              <w:ind w:firstLine="0" w:firstLineChars="0"/>
              <w:jc w:val="left"/>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1、该产品为国产CPU与国产操作系统</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2、产品规格：2U，内存大小：32G，硬盘容量：128G SSD+4TB，电源：冗余电源，接口：4千兆电口+4千兆光口SFP+2万兆光口SFP+。</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3、支持全面扫描、资产发现、系统漏洞扫描、弱口令扫描、WEB漏洞扫描、基线配置核查六种任务类型；</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2、支持资产发现功能，可基于IP地址、IP网段、IP范围、URL等方式进行资产发现扫描，支持EXCEL格式批量导入</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3、支持检测的漏洞数大于10000条，兼容CVE、CNNVD、CNVD、Bugtraq等主流标准；</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4、内置不同的系统漏洞模板，包括高可利用系统漏洞、原理检测系统漏洞、中间件漏洞、数据库漏洞等类型，支持报表形式展示漏洞模板风险等级分布概览；</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5、内置不同的WEB漏洞模板，包括高可利用WEB漏洞、通用应用漏洞、SQL注入漏洞、XSS注入漏洞等类型，支持报表形式展示漏洞模板风险等级分布概览；</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6、WEB漏洞扫描支持高级配置功能，可支持fuzz测试启用、WEB访问策略、WEB爬行策略等配置功能。支持并发线程数、超时限制、目录深度、链接总数自定义配置；</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4、产品支持对系统漏洞、WEB漏洞、基线配置、弱口令进行扫描和分析，可同时输出包含系统漏洞扫描、WEB漏洞扫描、基线配置核查、弱口令扫描结果的报表；</w:t>
            </w:r>
            <w:r>
              <w:rPr>
                <w:rFonts w:hint="eastAsia" w:asciiTheme="minorEastAsia" w:hAnsiTheme="minorEastAsia" w:eastAsiaTheme="minorEastAsia" w:cstheme="minorEastAsia"/>
                <w:color w:val="auto"/>
                <w:kern w:val="0"/>
                <w:sz w:val="21"/>
                <w:szCs w:val="21"/>
                <w:lang w:bidi="ar"/>
              </w:rPr>
              <w:br w:type="textWrapping"/>
            </w:r>
            <w:r>
              <w:rPr>
                <w:rFonts w:hint="eastAsia" w:asciiTheme="minorEastAsia" w:hAnsiTheme="minorEastAsia" w:eastAsiaTheme="minorEastAsia" w:cstheme="minorEastAsia"/>
                <w:color w:val="auto"/>
                <w:kern w:val="0"/>
                <w:sz w:val="21"/>
                <w:szCs w:val="21"/>
                <w:lang w:bidi="ar"/>
              </w:rPr>
              <w:t>5、提供产品质保和软件升级不少于3年；</w:t>
            </w:r>
          </w:p>
        </w:tc>
        <w:tc>
          <w:tcPr>
            <w:tcW w:w="957" w:type="dxa"/>
            <w:noWrap/>
            <w:vAlign w:val="center"/>
          </w:tcPr>
          <w:p w14:paraId="7BF2E2B4">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台</w:t>
            </w:r>
          </w:p>
        </w:tc>
        <w:tc>
          <w:tcPr>
            <w:tcW w:w="1147" w:type="dxa"/>
            <w:noWrap/>
            <w:vAlign w:val="center"/>
          </w:tcPr>
          <w:p w14:paraId="2FF01E02">
            <w:pPr>
              <w:widowControl/>
              <w:spacing w:line="240" w:lineRule="auto"/>
              <w:ind w:firstLine="0" w:firstLineChars="0"/>
              <w:jc w:val="center"/>
              <w:textAlignment w:val="cente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kern w:val="0"/>
                <w:sz w:val="21"/>
                <w:szCs w:val="21"/>
                <w:lang w:bidi="ar"/>
              </w:rPr>
              <w:t>1</w:t>
            </w:r>
          </w:p>
        </w:tc>
      </w:tr>
    </w:tbl>
    <w:p w14:paraId="185ED83B">
      <w:pPr>
        <w:pStyle w:val="4"/>
        <w:numPr>
          <w:ilvl w:val="2"/>
          <w:numId w:val="0"/>
        </w:numPr>
        <w:bidi w:val="0"/>
        <w:rPr>
          <w:rFonts w:hint="eastAsia"/>
          <w:color w:val="auto"/>
          <w:highlight w:val="none"/>
          <w:lang w:eastAsia="zh-CN"/>
        </w:rPr>
      </w:pPr>
    </w:p>
    <w:p w14:paraId="72774311">
      <w:pPr>
        <w:pStyle w:val="4"/>
        <w:numPr>
          <w:ilvl w:val="2"/>
          <w:numId w:val="0"/>
        </w:numPr>
        <w:bidi w:val="0"/>
        <w:rPr>
          <w:rFonts w:hint="eastAsia" w:eastAsia="宋体"/>
          <w:color w:val="auto"/>
          <w:highlight w:val="none"/>
          <w:lang w:val="en-US" w:eastAsia="zh-CN"/>
        </w:rPr>
      </w:pPr>
      <w:r>
        <w:rPr>
          <w:rFonts w:hint="eastAsia" w:eastAsia="宋体"/>
          <w:color w:val="auto"/>
          <w:highlight w:val="none"/>
          <w:lang w:val="en-US" w:eastAsia="zh-CN"/>
        </w:rPr>
        <w:t>标段2</w:t>
      </w:r>
      <w:r>
        <w:rPr>
          <w:rFonts w:hint="eastAsia"/>
          <w:color w:val="auto"/>
          <w:highlight w:val="none"/>
          <w:lang w:val="en-US" w:eastAsia="zh-CN"/>
        </w:rPr>
        <w:t>：</w:t>
      </w:r>
    </w:p>
    <w:p w14:paraId="019315FA">
      <w:pPr>
        <w:pStyle w:val="4"/>
        <w:numPr>
          <w:ilvl w:val="2"/>
          <w:numId w:val="0"/>
        </w:numPr>
        <w:bidi w:val="0"/>
        <w:rPr>
          <w:rFonts w:hint="eastAsia"/>
          <w:color w:val="auto"/>
          <w:highlight w:val="none"/>
          <w:lang w:val="en-US" w:eastAsia="zh-CN"/>
        </w:rPr>
      </w:pPr>
      <w:r>
        <w:rPr>
          <w:rFonts w:hint="eastAsia" w:eastAsia="宋体"/>
          <w:color w:val="auto"/>
          <w:highlight w:val="none"/>
          <w:lang w:val="en-US" w:eastAsia="zh-CN"/>
        </w:rPr>
        <w:t>附件</w:t>
      </w:r>
      <w:r>
        <w:rPr>
          <w:rFonts w:hint="eastAsia"/>
          <w:color w:val="auto"/>
          <w:highlight w:val="none"/>
          <w:lang w:val="en-US" w:eastAsia="zh-CN"/>
        </w:rPr>
        <w:t>五：解说系统</w:t>
      </w:r>
    </w:p>
    <w:tbl>
      <w:tblPr>
        <w:tblStyle w:val="17"/>
        <w:tblW w:w="14778" w:type="dxa"/>
        <w:tblInd w:w="0" w:type="dxa"/>
        <w:tblLayout w:type="fixed"/>
        <w:tblCellMar>
          <w:top w:w="0" w:type="dxa"/>
          <w:left w:w="108" w:type="dxa"/>
          <w:bottom w:w="0" w:type="dxa"/>
          <w:right w:w="108" w:type="dxa"/>
        </w:tblCellMar>
      </w:tblPr>
      <w:tblGrid>
        <w:gridCol w:w="1269"/>
        <w:gridCol w:w="1689"/>
        <w:gridCol w:w="9757"/>
        <w:gridCol w:w="1125"/>
        <w:gridCol w:w="938"/>
      </w:tblGrid>
      <w:tr w14:paraId="00B62E83">
        <w:tblPrEx>
          <w:tblCellMar>
            <w:top w:w="0" w:type="dxa"/>
            <w:left w:w="108" w:type="dxa"/>
            <w:bottom w:w="0" w:type="dxa"/>
            <w:right w:w="108" w:type="dxa"/>
          </w:tblCellMar>
        </w:tblPrEx>
        <w:trPr>
          <w:trHeight w:val="309" w:hRule="atLeast"/>
        </w:trPr>
        <w:tc>
          <w:tcPr>
            <w:tcW w:w="1269" w:type="dxa"/>
            <w:tcBorders>
              <w:top w:val="nil"/>
              <w:left w:val="single" w:color="auto" w:sz="4" w:space="0"/>
              <w:bottom w:val="single" w:color="auto" w:sz="4" w:space="0"/>
              <w:right w:val="single" w:color="auto" w:sz="4" w:space="0"/>
            </w:tcBorders>
            <w:noWrap w:val="0"/>
            <w:vAlign w:val="center"/>
          </w:tcPr>
          <w:p w14:paraId="3BA06E01">
            <w:pPr>
              <w:widowControl/>
              <w:ind w:firstLine="0" w:firstLineChars="0"/>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序号</w:t>
            </w:r>
          </w:p>
        </w:tc>
        <w:tc>
          <w:tcPr>
            <w:tcW w:w="1689" w:type="dxa"/>
            <w:tcBorders>
              <w:top w:val="nil"/>
              <w:left w:val="nil"/>
              <w:bottom w:val="single" w:color="auto" w:sz="4" w:space="0"/>
              <w:right w:val="single" w:color="auto" w:sz="4" w:space="0"/>
            </w:tcBorders>
            <w:noWrap w:val="0"/>
            <w:vAlign w:val="center"/>
          </w:tcPr>
          <w:p w14:paraId="7F744CB8">
            <w:pPr>
              <w:widowControl/>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解说系统</w:t>
            </w:r>
          </w:p>
        </w:tc>
        <w:tc>
          <w:tcPr>
            <w:tcW w:w="9757" w:type="dxa"/>
            <w:tcBorders>
              <w:top w:val="nil"/>
              <w:left w:val="nil"/>
              <w:bottom w:val="single" w:color="auto" w:sz="4" w:space="0"/>
              <w:right w:val="single" w:color="auto" w:sz="4" w:space="0"/>
            </w:tcBorders>
            <w:noWrap w:val="0"/>
            <w:vAlign w:val="center"/>
          </w:tcPr>
          <w:p w14:paraId="064D28CD">
            <w:pPr>
              <w:widowControl/>
              <w:ind w:firstLine="0" w:firstLineChars="0"/>
              <w:jc w:val="left"/>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内容</w:t>
            </w:r>
          </w:p>
        </w:tc>
        <w:tc>
          <w:tcPr>
            <w:tcW w:w="1125" w:type="dxa"/>
            <w:tcBorders>
              <w:top w:val="nil"/>
              <w:left w:val="nil"/>
              <w:bottom w:val="single" w:color="auto" w:sz="4" w:space="0"/>
              <w:right w:val="single" w:color="auto" w:sz="4" w:space="0"/>
            </w:tcBorders>
            <w:noWrap w:val="0"/>
            <w:vAlign w:val="center"/>
          </w:tcPr>
          <w:p w14:paraId="661F1CA5">
            <w:pPr>
              <w:widowControl/>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　</w:t>
            </w:r>
          </w:p>
        </w:tc>
        <w:tc>
          <w:tcPr>
            <w:tcW w:w="938" w:type="dxa"/>
            <w:tcBorders>
              <w:top w:val="nil"/>
              <w:left w:val="nil"/>
              <w:bottom w:val="single" w:color="auto" w:sz="4" w:space="0"/>
              <w:right w:val="single" w:color="auto" w:sz="4" w:space="0"/>
            </w:tcBorders>
            <w:noWrap w:val="0"/>
            <w:vAlign w:val="center"/>
          </w:tcPr>
          <w:p w14:paraId="528932AA">
            <w:pPr>
              <w:widowControl/>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　</w:t>
            </w:r>
          </w:p>
        </w:tc>
      </w:tr>
      <w:tr w14:paraId="4B86F50C">
        <w:tblPrEx>
          <w:tblCellMar>
            <w:top w:w="0" w:type="dxa"/>
            <w:left w:w="108" w:type="dxa"/>
            <w:bottom w:w="0" w:type="dxa"/>
            <w:right w:w="108" w:type="dxa"/>
          </w:tblCellMar>
        </w:tblPrEx>
        <w:trPr>
          <w:trHeight w:val="2930" w:hRule="atLeast"/>
        </w:trPr>
        <w:tc>
          <w:tcPr>
            <w:tcW w:w="1269" w:type="dxa"/>
            <w:tcBorders>
              <w:top w:val="nil"/>
              <w:left w:val="single" w:color="auto" w:sz="4" w:space="0"/>
              <w:bottom w:val="single" w:color="auto" w:sz="4" w:space="0"/>
              <w:right w:val="single" w:color="auto" w:sz="4" w:space="0"/>
            </w:tcBorders>
            <w:noWrap w:val="0"/>
            <w:vAlign w:val="center"/>
          </w:tcPr>
          <w:p w14:paraId="35700957">
            <w:pPr>
              <w:widowControl/>
              <w:ind w:firstLine="0" w:firstLineChars="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1689" w:type="dxa"/>
            <w:tcBorders>
              <w:top w:val="nil"/>
              <w:left w:val="nil"/>
              <w:bottom w:val="single" w:color="auto" w:sz="4" w:space="0"/>
              <w:right w:val="single" w:color="auto" w:sz="4" w:space="0"/>
            </w:tcBorders>
            <w:noWrap w:val="0"/>
            <w:vAlign w:val="center"/>
          </w:tcPr>
          <w:p w14:paraId="099F84B1">
            <w:pPr>
              <w:widowControl/>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兰花科普园</w:t>
            </w:r>
          </w:p>
        </w:tc>
        <w:tc>
          <w:tcPr>
            <w:tcW w:w="9757" w:type="dxa"/>
            <w:tcBorders>
              <w:top w:val="nil"/>
              <w:left w:val="nil"/>
              <w:bottom w:val="single" w:color="auto" w:sz="4" w:space="0"/>
              <w:right w:val="single" w:color="auto" w:sz="4" w:space="0"/>
            </w:tcBorders>
            <w:noWrap w:val="0"/>
            <w:vAlign w:val="center"/>
          </w:tcPr>
          <w:p w14:paraId="71A03D04">
            <w:pPr>
              <w:widowControl/>
              <w:spacing w:line="280" w:lineRule="exact"/>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多功能智慧导览系统：个性化语音导游，让游客全面了解园区，包含文案优化及中文语音录制，60个点位。</w:t>
            </w:r>
            <w:r>
              <w:rPr>
                <w:rFonts w:hint="eastAsia" w:ascii="宋体" w:hAnsi="宋体" w:cs="宋体"/>
                <w:color w:val="auto"/>
                <w:kern w:val="0"/>
                <w:sz w:val="21"/>
                <w:szCs w:val="21"/>
              </w:rPr>
              <w:br w:type="textWrapping"/>
            </w:r>
            <w:r>
              <w:rPr>
                <w:rFonts w:hint="eastAsia" w:ascii="宋体" w:hAnsi="宋体" w:cs="宋体"/>
                <w:color w:val="auto"/>
                <w:kern w:val="0"/>
                <w:sz w:val="21"/>
                <w:szCs w:val="21"/>
              </w:rPr>
              <w:t>自助导览租赁柜：</w:t>
            </w:r>
            <w:r>
              <w:rPr>
                <w:rFonts w:hint="eastAsia" w:ascii="宋体" w:hAnsi="宋体" w:cs="宋体"/>
                <w:color w:val="auto"/>
                <w:kern w:val="0"/>
                <w:sz w:val="21"/>
                <w:szCs w:val="21"/>
              </w:rPr>
              <w:br w:type="textWrapping"/>
            </w:r>
            <w:r>
              <w:rPr>
                <w:rFonts w:hint="eastAsia" w:ascii="宋体" w:hAnsi="宋体" w:cs="宋体"/>
                <w:color w:val="auto"/>
                <w:kern w:val="0"/>
                <w:sz w:val="21"/>
                <w:szCs w:val="21"/>
              </w:rPr>
              <w:t>（1）全新的互联网租赁服务，用户只需通过微信扫一扫 ，即可 轻松完成导览机租还，更快捷，更方便。</w:t>
            </w:r>
            <w:r>
              <w:rPr>
                <w:rFonts w:hint="eastAsia" w:ascii="宋体" w:hAnsi="宋体" w:cs="宋体"/>
                <w:color w:val="auto"/>
                <w:kern w:val="0"/>
                <w:sz w:val="21"/>
                <w:szCs w:val="21"/>
              </w:rPr>
              <w:br w:type="textWrapping"/>
            </w:r>
            <w:r>
              <w:rPr>
                <w:rFonts w:hint="eastAsia" w:ascii="宋体" w:hAnsi="宋体" w:cs="宋体"/>
                <w:color w:val="auto"/>
                <w:kern w:val="0"/>
                <w:sz w:val="21"/>
                <w:szCs w:val="21"/>
              </w:rPr>
              <w:t>（2）无需下载 APP,关注微信公众号，个人中心，可查看租借时长，附近网点归还等。</w:t>
            </w:r>
            <w:r>
              <w:rPr>
                <w:rFonts w:hint="eastAsia" w:ascii="宋体" w:hAnsi="宋体" w:cs="宋体"/>
                <w:color w:val="auto"/>
                <w:kern w:val="0"/>
                <w:sz w:val="21"/>
                <w:szCs w:val="21"/>
              </w:rPr>
              <w:br w:type="textWrapping"/>
            </w:r>
            <w:r>
              <w:rPr>
                <w:rFonts w:hint="eastAsia" w:ascii="宋体" w:hAnsi="宋体" w:cs="宋体"/>
                <w:color w:val="auto"/>
                <w:kern w:val="0"/>
                <w:sz w:val="21"/>
                <w:szCs w:val="21"/>
              </w:rPr>
              <w:t>（3）支持管理员远程开箱，远程退押金，利润分成多级管理等功能。</w:t>
            </w:r>
            <w:r>
              <w:rPr>
                <w:rFonts w:hint="eastAsia" w:ascii="宋体" w:hAnsi="宋体" w:cs="宋体"/>
                <w:color w:val="auto"/>
                <w:kern w:val="0"/>
                <w:sz w:val="21"/>
                <w:szCs w:val="21"/>
              </w:rPr>
              <w:br w:type="textWrapping"/>
            </w:r>
            <w:r>
              <w:rPr>
                <w:rFonts w:hint="eastAsia" w:ascii="宋体" w:hAnsi="宋体" w:cs="宋体"/>
                <w:color w:val="auto"/>
                <w:kern w:val="0"/>
                <w:sz w:val="21"/>
                <w:szCs w:val="21"/>
              </w:rPr>
              <w:t>（4）收费方式灵活，可通过后台一键配置。</w:t>
            </w:r>
            <w:r>
              <w:rPr>
                <w:rFonts w:hint="eastAsia" w:ascii="宋体" w:hAnsi="宋体" w:cs="宋体"/>
                <w:color w:val="auto"/>
                <w:kern w:val="0"/>
                <w:sz w:val="21"/>
                <w:szCs w:val="21"/>
              </w:rPr>
              <w:br w:type="textWrapping"/>
            </w:r>
            <w:r>
              <w:rPr>
                <w:rFonts w:hint="eastAsia" w:ascii="宋体" w:hAnsi="宋体" w:cs="宋体"/>
                <w:color w:val="auto"/>
                <w:kern w:val="0"/>
                <w:sz w:val="21"/>
                <w:szCs w:val="21"/>
              </w:rPr>
              <w:t>（5）终端系统基于嵌入式开发 MQTT协议实现支持 GPRS、 RJ45网络接口双向切换通信，支持各种尺寸触屏操作，支持多协议硬件控制，远程在线升级。</w:t>
            </w:r>
            <w:r>
              <w:rPr>
                <w:rFonts w:hint="eastAsia" w:ascii="宋体" w:hAnsi="宋体" w:cs="宋体"/>
                <w:color w:val="auto"/>
                <w:kern w:val="0"/>
                <w:sz w:val="21"/>
                <w:szCs w:val="21"/>
              </w:rPr>
              <w:br w:type="textWrapping"/>
            </w:r>
            <w:r>
              <w:rPr>
                <w:rFonts w:hint="eastAsia" w:ascii="宋体" w:hAnsi="宋体" w:cs="宋体"/>
                <w:color w:val="auto"/>
                <w:kern w:val="0"/>
                <w:sz w:val="21"/>
                <w:szCs w:val="21"/>
              </w:rPr>
              <w:t>（6）健康租赁：每个小柜子里面放一台导览机，柜子自带消毒系统 ，定期消毒，游客可放心使用。</w:t>
            </w:r>
            <w:r>
              <w:rPr>
                <w:rFonts w:hint="eastAsia" w:ascii="宋体" w:hAnsi="宋体" w:cs="宋体"/>
                <w:color w:val="auto"/>
                <w:kern w:val="0"/>
                <w:sz w:val="21"/>
                <w:szCs w:val="21"/>
              </w:rPr>
              <w:br w:type="textWrapping"/>
            </w:r>
            <w:r>
              <w:rPr>
                <w:rFonts w:hint="eastAsia" w:ascii="宋体" w:hAnsi="宋体" w:cs="宋体"/>
                <w:color w:val="auto"/>
                <w:kern w:val="0"/>
                <w:sz w:val="21"/>
                <w:szCs w:val="21"/>
              </w:rPr>
              <w:t>（7）高质优品：用低价租金体验高端的讲解服务，降低用户参 与门槛，满足更高的品质追求。</w:t>
            </w:r>
            <w:r>
              <w:rPr>
                <w:rFonts w:hint="eastAsia" w:ascii="宋体" w:hAnsi="宋体" w:cs="宋体"/>
                <w:color w:val="auto"/>
                <w:kern w:val="0"/>
                <w:sz w:val="21"/>
                <w:szCs w:val="21"/>
              </w:rPr>
              <w:br w:type="textWrapping"/>
            </w:r>
            <w:r>
              <w:rPr>
                <w:rFonts w:hint="eastAsia" w:ascii="宋体" w:hAnsi="宋体" w:cs="宋体"/>
                <w:color w:val="auto"/>
                <w:kern w:val="0"/>
                <w:sz w:val="21"/>
                <w:szCs w:val="21"/>
              </w:rPr>
              <w:t>（8）随用随取：租赁费用由租赁时长决定，押金立返。</w:t>
            </w:r>
            <w:r>
              <w:rPr>
                <w:rFonts w:hint="eastAsia" w:ascii="宋体" w:hAnsi="宋体" w:cs="宋体"/>
                <w:color w:val="auto"/>
                <w:kern w:val="0"/>
                <w:sz w:val="21"/>
                <w:szCs w:val="21"/>
              </w:rPr>
              <w:br w:type="textWrapping"/>
            </w:r>
            <w:r>
              <w:rPr>
                <w:rFonts w:hint="eastAsia" w:ascii="宋体" w:hAnsi="宋体" w:cs="宋体"/>
                <w:color w:val="auto"/>
                <w:kern w:val="0"/>
                <w:sz w:val="21"/>
                <w:szCs w:val="21"/>
              </w:rPr>
              <w:t>（9）定期维检：运维人员会定期清洁及检修启享柜的租赁产品及配件，保证租赁物品整洁。</w:t>
            </w:r>
          </w:p>
        </w:tc>
        <w:tc>
          <w:tcPr>
            <w:tcW w:w="1125" w:type="dxa"/>
            <w:tcBorders>
              <w:top w:val="nil"/>
              <w:left w:val="nil"/>
              <w:bottom w:val="single" w:color="auto" w:sz="4" w:space="0"/>
              <w:right w:val="single" w:color="auto" w:sz="4" w:space="0"/>
            </w:tcBorders>
            <w:noWrap w:val="0"/>
            <w:vAlign w:val="center"/>
          </w:tcPr>
          <w:p w14:paraId="44573711">
            <w:pPr>
              <w:widowControl/>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w:t>
            </w:r>
          </w:p>
        </w:tc>
        <w:tc>
          <w:tcPr>
            <w:tcW w:w="938" w:type="dxa"/>
            <w:tcBorders>
              <w:top w:val="nil"/>
              <w:left w:val="nil"/>
              <w:bottom w:val="single" w:color="auto" w:sz="4" w:space="0"/>
              <w:right w:val="single" w:color="auto" w:sz="4" w:space="0"/>
            </w:tcBorders>
            <w:noWrap w:val="0"/>
            <w:vAlign w:val="center"/>
          </w:tcPr>
          <w:p w14:paraId="3F807F26">
            <w:pPr>
              <w:widowControl/>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套</w:t>
            </w:r>
          </w:p>
        </w:tc>
      </w:tr>
      <w:tr w14:paraId="46C8CBFD">
        <w:tblPrEx>
          <w:tblCellMar>
            <w:top w:w="0" w:type="dxa"/>
            <w:left w:w="108" w:type="dxa"/>
            <w:bottom w:w="0" w:type="dxa"/>
            <w:right w:w="108" w:type="dxa"/>
          </w:tblCellMar>
        </w:tblPrEx>
        <w:trPr>
          <w:trHeight w:val="1554" w:hRule="atLeast"/>
        </w:trPr>
        <w:tc>
          <w:tcPr>
            <w:tcW w:w="1269" w:type="dxa"/>
            <w:tcBorders>
              <w:top w:val="nil"/>
              <w:left w:val="single" w:color="auto" w:sz="4" w:space="0"/>
              <w:bottom w:val="single" w:color="auto" w:sz="4" w:space="0"/>
              <w:right w:val="single" w:color="auto" w:sz="4" w:space="0"/>
            </w:tcBorders>
            <w:noWrap w:val="0"/>
            <w:vAlign w:val="center"/>
          </w:tcPr>
          <w:p w14:paraId="00BB326A">
            <w:pPr>
              <w:widowControl/>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2</w:t>
            </w:r>
          </w:p>
        </w:tc>
        <w:tc>
          <w:tcPr>
            <w:tcW w:w="1689" w:type="dxa"/>
            <w:tcBorders>
              <w:top w:val="nil"/>
              <w:left w:val="nil"/>
              <w:bottom w:val="single" w:color="auto" w:sz="4" w:space="0"/>
              <w:right w:val="single" w:color="auto" w:sz="4" w:space="0"/>
            </w:tcBorders>
            <w:noWrap w:val="0"/>
            <w:vAlign w:val="center"/>
          </w:tcPr>
          <w:p w14:paraId="7D205E6C">
            <w:pPr>
              <w:widowControl/>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自然教育中心</w:t>
            </w:r>
          </w:p>
        </w:tc>
        <w:tc>
          <w:tcPr>
            <w:tcW w:w="9757" w:type="dxa"/>
            <w:tcBorders>
              <w:top w:val="nil"/>
              <w:left w:val="nil"/>
              <w:bottom w:val="single" w:color="auto" w:sz="4" w:space="0"/>
              <w:right w:val="single" w:color="auto" w:sz="4" w:space="0"/>
            </w:tcBorders>
            <w:noWrap w:val="0"/>
            <w:vAlign w:val="center"/>
          </w:tcPr>
          <w:p w14:paraId="5E28AAA8">
            <w:pPr>
              <w:widowControl/>
              <w:spacing w:line="280" w:lineRule="exact"/>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导游同声讲解器和自动定位导览一体机：</w:t>
            </w:r>
            <w:r>
              <w:rPr>
                <w:rFonts w:hint="eastAsia" w:ascii="宋体" w:hAnsi="宋体" w:cs="宋体"/>
                <w:color w:val="auto"/>
                <w:kern w:val="0"/>
                <w:sz w:val="21"/>
                <w:szCs w:val="21"/>
              </w:rPr>
              <w:br w:type="textWrapping"/>
            </w:r>
            <w:r>
              <w:rPr>
                <w:rFonts w:hint="eastAsia" w:ascii="宋体" w:hAnsi="宋体" w:cs="宋体"/>
                <w:color w:val="auto"/>
                <w:kern w:val="0"/>
                <w:sz w:val="21"/>
                <w:szCs w:val="21"/>
              </w:rPr>
              <w:t>导游主机讲话，则同声讲解功能触发，导游主机关机或停止讲话，则自动定位导览讲解机功能触发。该机型具有体积小、集成度高、音质好、具有 HDCD的音质效果，抗干扰性强，传输距离远,输入接口兼容外置麦克风、内置麦克风和Lin-in立体声音频输入的特点。工作频段为500MHZ-700MHZ(可选)国际通用免费频段。</w:t>
            </w:r>
            <w:r>
              <w:rPr>
                <w:rFonts w:hint="eastAsia" w:ascii="宋体" w:hAnsi="宋体" w:cs="宋体"/>
                <w:color w:val="auto"/>
                <w:kern w:val="0"/>
                <w:sz w:val="21"/>
                <w:szCs w:val="21"/>
              </w:rPr>
              <w:br w:type="textWrapping"/>
            </w:r>
            <w:r>
              <w:rPr>
                <w:rFonts w:hint="eastAsia" w:ascii="宋体" w:hAnsi="宋体" w:cs="宋体"/>
                <w:color w:val="auto"/>
                <w:kern w:val="0"/>
                <w:sz w:val="21"/>
                <w:szCs w:val="21"/>
              </w:rPr>
              <w:t>采用固定频道的工作模式,可以点对点或点对群，只需发射机和接收机处于同一频道即可通讯。弱信号或无信号时，具有静音功能。频道数量则可以提供36个可选频道，对于同声传译、多通道播放器等应用场合。</w:t>
            </w:r>
          </w:p>
        </w:tc>
        <w:tc>
          <w:tcPr>
            <w:tcW w:w="1125" w:type="dxa"/>
            <w:tcBorders>
              <w:top w:val="nil"/>
              <w:left w:val="nil"/>
              <w:bottom w:val="single" w:color="auto" w:sz="4" w:space="0"/>
              <w:right w:val="single" w:color="auto" w:sz="4" w:space="0"/>
            </w:tcBorders>
            <w:noWrap w:val="0"/>
            <w:vAlign w:val="center"/>
          </w:tcPr>
          <w:p w14:paraId="6049B844">
            <w:pPr>
              <w:widowControl/>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w:t>
            </w:r>
          </w:p>
        </w:tc>
        <w:tc>
          <w:tcPr>
            <w:tcW w:w="938" w:type="dxa"/>
            <w:tcBorders>
              <w:top w:val="nil"/>
              <w:left w:val="nil"/>
              <w:bottom w:val="single" w:color="auto" w:sz="4" w:space="0"/>
              <w:right w:val="single" w:color="auto" w:sz="4" w:space="0"/>
            </w:tcBorders>
            <w:noWrap w:val="0"/>
            <w:vAlign w:val="center"/>
          </w:tcPr>
          <w:p w14:paraId="09FD5ADB">
            <w:pPr>
              <w:widowControl/>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套</w:t>
            </w:r>
          </w:p>
        </w:tc>
      </w:tr>
      <w:tr w14:paraId="02643231">
        <w:tblPrEx>
          <w:tblCellMar>
            <w:top w:w="0" w:type="dxa"/>
            <w:left w:w="108" w:type="dxa"/>
            <w:bottom w:w="0" w:type="dxa"/>
            <w:right w:w="108" w:type="dxa"/>
          </w:tblCellMar>
        </w:tblPrEx>
        <w:trPr>
          <w:trHeight w:val="1561" w:hRule="atLeast"/>
        </w:trPr>
        <w:tc>
          <w:tcPr>
            <w:tcW w:w="1269" w:type="dxa"/>
            <w:tcBorders>
              <w:top w:val="nil"/>
              <w:left w:val="single" w:color="auto" w:sz="4" w:space="0"/>
              <w:bottom w:val="single" w:color="auto" w:sz="4" w:space="0"/>
              <w:right w:val="single" w:color="auto" w:sz="4" w:space="0"/>
            </w:tcBorders>
            <w:noWrap w:val="0"/>
            <w:vAlign w:val="center"/>
          </w:tcPr>
          <w:p w14:paraId="084333BB">
            <w:pPr>
              <w:widowControl/>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3</w:t>
            </w:r>
          </w:p>
        </w:tc>
        <w:tc>
          <w:tcPr>
            <w:tcW w:w="1689" w:type="dxa"/>
            <w:tcBorders>
              <w:top w:val="nil"/>
              <w:left w:val="nil"/>
              <w:bottom w:val="single" w:color="auto" w:sz="4" w:space="0"/>
              <w:right w:val="single" w:color="auto" w:sz="4" w:space="0"/>
            </w:tcBorders>
            <w:noWrap w:val="0"/>
            <w:vAlign w:val="center"/>
          </w:tcPr>
          <w:p w14:paraId="08A7470D">
            <w:pPr>
              <w:widowControl/>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兰花繁育中心</w:t>
            </w:r>
          </w:p>
        </w:tc>
        <w:tc>
          <w:tcPr>
            <w:tcW w:w="9757" w:type="dxa"/>
            <w:tcBorders>
              <w:top w:val="nil"/>
              <w:left w:val="nil"/>
              <w:bottom w:val="single" w:color="auto" w:sz="4" w:space="0"/>
              <w:right w:val="single" w:color="auto" w:sz="4" w:space="0"/>
            </w:tcBorders>
            <w:noWrap w:val="0"/>
            <w:vAlign w:val="center"/>
          </w:tcPr>
          <w:p w14:paraId="084FC59E">
            <w:pPr>
              <w:widowControl/>
              <w:spacing w:line="280" w:lineRule="exact"/>
              <w:ind w:firstLine="0" w:firstLineChars="0"/>
              <w:jc w:val="left"/>
              <w:rPr>
                <w:rFonts w:hint="eastAsia" w:ascii="宋体" w:hAnsi="宋体" w:cs="宋体"/>
                <w:color w:val="auto"/>
                <w:kern w:val="0"/>
                <w:sz w:val="21"/>
                <w:szCs w:val="21"/>
              </w:rPr>
            </w:pPr>
            <w:r>
              <w:rPr>
                <w:rFonts w:hint="eastAsia" w:ascii="宋体" w:hAnsi="宋体" w:cs="宋体"/>
                <w:color w:val="auto"/>
                <w:kern w:val="0"/>
                <w:sz w:val="21"/>
                <w:szCs w:val="21"/>
              </w:rPr>
              <w:t>导游同声讲解器和自动定位导览一体机：</w:t>
            </w:r>
            <w:r>
              <w:rPr>
                <w:rFonts w:hint="eastAsia" w:ascii="宋体" w:hAnsi="宋体" w:cs="宋体"/>
                <w:color w:val="auto"/>
                <w:kern w:val="0"/>
                <w:sz w:val="21"/>
                <w:szCs w:val="21"/>
              </w:rPr>
              <w:br w:type="textWrapping"/>
            </w:r>
            <w:r>
              <w:rPr>
                <w:rFonts w:hint="eastAsia" w:ascii="宋体" w:hAnsi="宋体" w:cs="宋体"/>
                <w:color w:val="auto"/>
                <w:kern w:val="0"/>
                <w:sz w:val="21"/>
                <w:szCs w:val="21"/>
              </w:rPr>
              <w:t>导游主机讲话，则同声讲解功能触发，导游主机关机或停止讲话，则自动定位导览讲解机功能触发。该机型具有体积小、集成度高、音质好、具有 HDCD的音质效果，抗干扰性强，传输距离远,输入接口兼容外置麦克风、内置麦克风和Lin-in立体声音频输入的特点。工作频段为500MHZ-700MHZ(可选)国际通用免费频段。</w:t>
            </w:r>
            <w:r>
              <w:rPr>
                <w:rFonts w:hint="eastAsia" w:ascii="宋体" w:hAnsi="宋体" w:cs="宋体"/>
                <w:color w:val="auto"/>
                <w:kern w:val="0"/>
                <w:sz w:val="21"/>
                <w:szCs w:val="21"/>
              </w:rPr>
              <w:br w:type="textWrapping"/>
            </w:r>
            <w:r>
              <w:rPr>
                <w:rFonts w:hint="eastAsia" w:ascii="宋体" w:hAnsi="宋体" w:cs="宋体"/>
                <w:color w:val="auto"/>
                <w:kern w:val="0"/>
                <w:sz w:val="21"/>
                <w:szCs w:val="21"/>
              </w:rPr>
              <w:t>采用固定频道的工作模式,可以点对点或点对群，只需发射机和接收机处于同一频道即可通讯。弱信号或无信号时，具有静音功能。频道数量则可以提供36个可选频道，对于同声传译、多通道播放器等应用场合。</w:t>
            </w:r>
          </w:p>
        </w:tc>
        <w:tc>
          <w:tcPr>
            <w:tcW w:w="1125" w:type="dxa"/>
            <w:tcBorders>
              <w:top w:val="nil"/>
              <w:left w:val="nil"/>
              <w:bottom w:val="single" w:color="auto" w:sz="4" w:space="0"/>
              <w:right w:val="single" w:color="auto" w:sz="4" w:space="0"/>
            </w:tcBorders>
            <w:noWrap w:val="0"/>
            <w:vAlign w:val="center"/>
          </w:tcPr>
          <w:p w14:paraId="02D7361B">
            <w:pPr>
              <w:widowControl/>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w:t>
            </w:r>
          </w:p>
        </w:tc>
        <w:tc>
          <w:tcPr>
            <w:tcW w:w="938" w:type="dxa"/>
            <w:tcBorders>
              <w:top w:val="nil"/>
              <w:left w:val="nil"/>
              <w:bottom w:val="single" w:color="auto" w:sz="4" w:space="0"/>
              <w:right w:val="single" w:color="auto" w:sz="4" w:space="0"/>
            </w:tcBorders>
            <w:noWrap w:val="0"/>
            <w:vAlign w:val="center"/>
          </w:tcPr>
          <w:p w14:paraId="148C3B97">
            <w:pPr>
              <w:widowControl/>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套</w:t>
            </w:r>
          </w:p>
        </w:tc>
      </w:tr>
    </w:tbl>
    <w:p w14:paraId="0D923C55">
      <w:pPr>
        <w:spacing w:line="420" w:lineRule="exact"/>
        <w:ind w:firstLine="560"/>
        <w:rPr>
          <w:rFonts w:hint="eastAsia"/>
          <w:color w:val="auto"/>
        </w:rPr>
      </w:pPr>
    </w:p>
    <w:p w14:paraId="2EA6EAE2">
      <w:pPr>
        <w:bidi w:val="0"/>
        <w:rPr>
          <w:rFonts w:hint="default" w:eastAsia="Arial"/>
          <w:color w:val="auto"/>
          <w:highlight w:val="none"/>
          <w:lang w:val="en-US" w:eastAsia="zh-CN"/>
        </w:rPr>
        <w:sectPr>
          <w:pgSz w:w="16830" w:h="11900" w:orient="landscape"/>
          <w:pgMar w:top="1214" w:right="1217" w:bottom="1254" w:left="991" w:header="0" w:footer="847" w:gutter="0"/>
          <w:cols w:space="720" w:num="1"/>
        </w:sectPr>
      </w:pPr>
    </w:p>
    <w:p w14:paraId="45A2891B">
      <w:pPr>
        <w:pStyle w:val="4"/>
        <w:numPr>
          <w:ilvl w:val="2"/>
          <w:numId w:val="0"/>
        </w:numPr>
        <w:bidi w:val="0"/>
        <w:ind w:leftChars="0"/>
        <w:rPr>
          <w:rFonts w:hint="eastAsia"/>
          <w:color w:val="auto"/>
        </w:rPr>
      </w:pPr>
      <w:r>
        <w:rPr>
          <w:rFonts w:hint="eastAsia"/>
          <w:color w:val="auto"/>
        </w:rPr>
        <w:t>附件</w:t>
      </w:r>
      <w:r>
        <w:rPr>
          <w:rFonts w:hint="eastAsia"/>
          <w:color w:val="auto"/>
          <w:lang w:val="en-US" w:eastAsia="zh-CN"/>
        </w:rPr>
        <w:t>六</w:t>
      </w:r>
      <w:r>
        <w:rPr>
          <w:rFonts w:hint="eastAsia"/>
          <w:color w:val="auto"/>
        </w:rPr>
        <w:t xml:space="preserve"> ：</w:t>
      </w:r>
      <w:bookmarkStart w:id="8" w:name="bookmark9"/>
      <w:bookmarkEnd w:id="8"/>
      <w:r>
        <w:rPr>
          <w:rFonts w:hint="eastAsia"/>
          <w:color w:val="auto"/>
        </w:rPr>
        <w:t>统计上大中小微型企业划分标准</w:t>
      </w:r>
    </w:p>
    <w:p w14:paraId="76F07D2C">
      <w:pPr>
        <w:spacing w:line="50" w:lineRule="exact"/>
        <w:rPr>
          <w:rFonts w:hint="eastAsia" w:asciiTheme="minorEastAsia" w:hAnsiTheme="minorEastAsia" w:eastAsiaTheme="minorEastAsia" w:cstheme="minorEastAsia"/>
          <w:color w:val="auto"/>
        </w:rPr>
      </w:pPr>
    </w:p>
    <w:tbl>
      <w:tblPr>
        <w:tblStyle w:val="20"/>
        <w:tblW w:w="94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3"/>
        <w:gridCol w:w="1359"/>
        <w:gridCol w:w="699"/>
        <w:gridCol w:w="1139"/>
        <w:gridCol w:w="1698"/>
        <w:gridCol w:w="1408"/>
        <w:gridCol w:w="994"/>
      </w:tblGrid>
      <w:tr w14:paraId="14DC0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123" w:type="dxa"/>
            <w:shd w:val="clear" w:color="auto" w:fill="8DB3E2"/>
            <w:vAlign w:val="top"/>
          </w:tcPr>
          <w:p w14:paraId="133E8D27">
            <w:pPr>
              <w:pStyle w:val="21"/>
              <w:spacing w:before="210" w:line="220" w:lineRule="auto"/>
              <w:ind w:left="677"/>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pacing w:val="-5"/>
                <w:sz w:val="20"/>
                <w:szCs w:val="20"/>
              </w:rPr>
              <w:t>行业名称</w:t>
            </w:r>
          </w:p>
        </w:tc>
        <w:tc>
          <w:tcPr>
            <w:tcW w:w="1359" w:type="dxa"/>
            <w:shd w:val="clear" w:color="auto" w:fill="8DB3E2"/>
            <w:vAlign w:val="top"/>
          </w:tcPr>
          <w:p w14:paraId="69818142">
            <w:pPr>
              <w:pStyle w:val="21"/>
              <w:spacing w:before="210" w:line="220" w:lineRule="auto"/>
              <w:ind w:left="27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pacing w:val="-5"/>
                <w:sz w:val="20"/>
                <w:szCs w:val="20"/>
              </w:rPr>
              <w:t>指标名称</w:t>
            </w:r>
          </w:p>
        </w:tc>
        <w:tc>
          <w:tcPr>
            <w:tcW w:w="699" w:type="dxa"/>
            <w:shd w:val="clear" w:color="auto" w:fill="8DB3E2"/>
            <w:vAlign w:val="top"/>
          </w:tcPr>
          <w:p w14:paraId="2A8B3B38">
            <w:pPr>
              <w:pStyle w:val="21"/>
              <w:spacing w:before="71" w:line="221" w:lineRule="auto"/>
              <w:ind w:left="145"/>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pacing w:val="-5"/>
                <w:sz w:val="20"/>
                <w:szCs w:val="20"/>
              </w:rPr>
              <w:t>计量</w:t>
            </w:r>
          </w:p>
          <w:p w14:paraId="3C75EA68">
            <w:pPr>
              <w:pStyle w:val="21"/>
              <w:spacing w:before="40" w:line="220" w:lineRule="auto"/>
              <w:ind w:left="145"/>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pacing w:val="-5"/>
                <w:sz w:val="20"/>
                <w:szCs w:val="20"/>
              </w:rPr>
              <w:t>单位</w:t>
            </w:r>
          </w:p>
        </w:tc>
        <w:tc>
          <w:tcPr>
            <w:tcW w:w="1139" w:type="dxa"/>
            <w:shd w:val="clear" w:color="auto" w:fill="8DB3E2"/>
            <w:vAlign w:val="top"/>
          </w:tcPr>
          <w:p w14:paraId="7FEE21C1">
            <w:pPr>
              <w:pStyle w:val="21"/>
              <w:spacing w:before="210" w:line="220" w:lineRule="auto"/>
              <w:ind w:left="366"/>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pacing w:val="-5"/>
                <w:sz w:val="20"/>
                <w:szCs w:val="20"/>
              </w:rPr>
              <w:t>大型</w:t>
            </w:r>
          </w:p>
        </w:tc>
        <w:tc>
          <w:tcPr>
            <w:tcW w:w="1698" w:type="dxa"/>
            <w:shd w:val="clear" w:color="auto" w:fill="8DB3E2"/>
            <w:vAlign w:val="top"/>
          </w:tcPr>
          <w:p w14:paraId="0A676F7F">
            <w:pPr>
              <w:pStyle w:val="21"/>
              <w:spacing w:before="210" w:line="220" w:lineRule="auto"/>
              <w:ind w:left="647"/>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pacing w:val="1"/>
                <w:sz w:val="20"/>
                <w:szCs w:val="20"/>
              </w:rPr>
              <w:t>中型</w:t>
            </w:r>
          </w:p>
        </w:tc>
        <w:tc>
          <w:tcPr>
            <w:tcW w:w="1408" w:type="dxa"/>
            <w:shd w:val="clear" w:color="auto" w:fill="8DB3E2"/>
            <w:vAlign w:val="top"/>
          </w:tcPr>
          <w:p w14:paraId="202E280B">
            <w:pPr>
              <w:pStyle w:val="21"/>
              <w:spacing w:before="213" w:line="221" w:lineRule="auto"/>
              <w:ind w:left="49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pacing w:val="1"/>
                <w:sz w:val="20"/>
                <w:szCs w:val="20"/>
              </w:rPr>
              <w:t>小型</w:t>
            </w:r>
          </w:p>
        </w:tc>
        <w:tc>
          <w:tcPr>
            <w:tcW w:w="994" w:type="dxa"/>
            <w:shd w:val="clear" w:color="auto" w:fill="8DB3E2"/>
            <w:vAlign w:val="top"/>
          </w:tcPr>
          <w:p w14:paraId="2DD830C0">
            <w:pPr>
              <w:pStyle w:val="21"/>
              <w:spacing w:before="210" w:line="219" w:lineRule="auto"/>
              <w:ind w:left="291"/>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b/>
                <w:bCs/>
                <w:color w:val="auto"/>
                <w:spacing w:val="-5"/>
                <w:sz w:val="20"/>
                <w:szCs w:val="20"/>
              </w:rPr>
              <w:t>微型</w:t>
            </w:r>
          </w:p>
        </w:tc>
      </w:tr>
      <w:tr w14:paraId="7F5B3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123" w:type="dxa"/>
            <w:vAlign w:val="top"/>
          </w:tcPr>
          <w:p w14:paraId="649EF0CF">
            <w:pPr>
              <w:pStyle w:val="21"/>
              <w:spacing w:before="89" w:line="219" w:lineRule="auto"/>
              <w:ind w:left="8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农、林、牧、渔业</w:t>
            </w:r>
          </w:p>
        </w:tc>
        <w:tc>
          <w:tcPr>
            <w:tcW w:w="1359" w:type="dxa"/>
            <w:vAlign w:val="top"/>
          </w:tcPr>
          <w:p w14:paraId="4E67BB55">
            <w:pPr>
              <w:pStyle w:val="21"/>
              <w:spacing w:before="89" w:line="219" w:lineRule="auto"/>
              <w:ind w:left="122"/>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6"/>
                <w:sz w:val="20"/>
                <w:szCs w:val="20"/>
              </w:rPr>
              <w:t>营业收入(Y)</w:t>
            </w:r>
          </w:p>
        </w:tc>
        <w:tc>
          <w:tcPr>
            <w:tcW w:w="699" w:type="dxa"/>
            <w:vAlign w:val="top"/>
          </w:tcPr>
          <w:p w14:paraId="051C42A3">
            <w:pPr>
              <w:pStyle w:val="21"/>
              <w:spacing w:before="89" w:line="220" w:lineRule="auto"/>
              <w:ind w:left="142"/>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4"/>
                <w:sz w:val="20"/>
                <w:szCs w:val="20"/>
              </w:rPr>
              <w:t>万元</w:t>
            </w:r>
          </w:p>
        </w:tc>
        <w:tc>
          <w:tcPr>
            <w:tcW w:w="1139" w:type="dxa"/>
            <w:vAlign w:val="top"/>
          </w:tcPr>
          <w:p w14:paraId="2CFF6807">
            <w:pPr>
              <w:pStyle w:val="21"/>
              <w:spacing w:before="108" w:line="237" w:lineRule="auto"/>
              <w:ind w:left="16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Y≥20000</w:t>
            </w:r>
          </w:p>
        </w:tc>
        <w:tc>
          <w:tcPr>
            <w:tcW w:w="1698" w:type="dxa"/>
            <w:vAlign w:val="top"/>
          </w:tcPr>
          <w:p w14:paraId="0F9ED791">
            <w:pPr>
              <w:pStyle w:val="21"/>
              <w:spacing w:before="106" w:line="236" w:lineRule="auto"/>
              <w:ind w:left="245"/>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500≤Y&lt;20000</w:t>
            </w:r>
          </w:p>
        </w:tc>
        <w:tc>
          <w:tcPr>
            <w:tcW w:w="1408" w:type="dxa"/>
            <w:vAlign w:val="top"/>
          </w:tcPr>
          <w:p w14:paraId="20097405">
            <w:pPr>
              <w:pStyle w:val="21"/>
              <w:spacing w:before="106" w:line="236" w:lineRule="auto"/>
              <w:ind w:left="247"/>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50≤Y&lt;500</w:t>
            </w:r>
          </w:p>
        </w:tc>
        <w:tc>
          <w:tcPr>
            <w:tcW w:w="994" w:type="dxa"/>
            <w:vAlign w:val="top"/>
          </w:tcPr>
          <w:p w14:paraId="63E0BC78">
            <w:pPr>
              <w:pStyle w:val="21"/>
              <w:spacing w:before="108"/>
              <w:ind w:left="288"/>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Y&lt;50</w:t>
            </w:r>
          </w:p>
        </w:tc>
      </w:tr>
      <w:tr w14:paraId="6428B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2123" w:type="dxa"/>
            <w:vMerge w:val="restart"/>
            <w:tcBorders>
              <w:bottom w:val="nil"/>
            </w:tcBorders>
            <w:vAlign w:val="top"/>
          </w:tcPr>
          <w:p w14:paraId="4AF05567">
            <w:pPr>
              <w:spacing w:line="246" w:lineRule="auto"/>
              <w:rPr>
                <w:rFonts w:hint="eastAsia" w:asciiTheme="minorEastAsia" w:hAnsiTheme="minorEastAsia" w:eastAsiaTheme="minorEastAsia" w:cstheme="minorEastAsia"/>
                <w:color w:val="auto"/>
                <w:sz w:val="21"/>
              </w:rPr>
            </w:pPr>
          </w:p>
          <w:p w14:paraId="25EFCF36">
            <w:pPr>
              <w:pStyle w:val="21"/>
              <w:spacing w:before="65" w:line="232" w:lineRule="auto"/>
              <w:ind w:left="8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3"/>
                <w:sz w:val="20"/>
                <w:szCs w:val="20"/>
              </w:rPr>
              <w:t>工业*</w:t>
            </w:r>
          </w:p>
        </w:tc>
        <w:tc>
          <w:tcPr>
            <w:tcW w:w="1359" w:type="dxa"/>
            <w:vAlign w:val="top"/>
          </w:tcPr>
          <w:p w14:paraId="2F910B78">
            <w:pPr>
              <w:pStyle w:val="21"/>
              <w:spacing w:before="110" w:line="220" w:lineRule="auto"/>
              <w:ind w:left="122"/>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6"/>
                <w:sz w:val="20"/>
                <w:szCs w:val="20"/>
              </w:rPr>
              <w:t>从业人员(X)</w:t>
            </w:r>
          </w:p>
        </w:tc>
        <w:tc>
          <w:tcPr>
            <w:tcW w:w="699" w:type="dxa"/>
            <w:vAlign w:val="top"/>
          </w:tcPr>
          <w:p w14:paraId="75BC70DD">
            <w:pPr>
              <w:pStyle w:val="21"/>
              <w:spacing w:before="113" w:line="222" w:lineRule="auto"/>
              <w:ind w:left="243"/>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人</w:t>
            </w:r>
          </w:p>
        </w:tc>
        <w:tc>
          <w:tcPr>
            <w:tcW w:w="1139" w:type="dxa"/>
            <w:vAlign w:val="top"/>
          </w:tcPr>
          <w:p w14:paraId="408AFF34">
            <w:pPr>
              <w:pStyle w:val="21"/>
              <w:spacing w:before="129" w:line="237" w:lineRule="auto"/>
              <w:ind w:left="21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x≥1000</w:t>
            </w:r>
          </w:p>
        </w:tc>
        <w:tc>
          <w:tcPr>
            <w:tcW w:w="1698" w:type="dxa"/>
            <w:vAlign w:val="top"/>
          </w:tcPr>
          <w:p w14:paraId="23361BF1">
            <w:pPr>
              <w:pStyle w:val="21"/>
              <w:spacing w:before="127" w:line="236" w:lineRule="auto"/>
              <w:ind w:left="295"/>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300≤X&lt;1000</w:t>
            </w:r>
          </w:p>
        </w:tc>
        <w:tc>
          <w:tcPr>
            <w:tcW w:w="1408" w:type="dxa"/>
            <w:vAlign w:val="top"/>
          </w:tcPr>
          <w:p w14:paraId="1A12C0C6">
            <w:pPr>
              <w:pStyle w:val="21"/>
              <w:spacing w:before="127" w:line="236" w:lineRule="auto"/>
              <w:ind w:left="247"/>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20≤X&lt;300</w:t>
            </w:r>
          </w:p>
        </w:tc>
        <w:tc>
          <w:tcPr>
            <w:tcW w:w="994" w:type="dxa"/>
            <w:vAlign w:val="top"/>
          </w:tcPr>
          <w:p w14:paraId="2313500E">
            <w:pPr>
              <w:pStyle w:val="21"/>
              <w:spacing w:before="129"/>
              <w:ind w:left="288"/>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X&lt;20</w:t>
            </w:r>
          </w:p>
        </w:tc>
      </w:tr>
      <w:tr w14:paraId="0B998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2123" w:type="dxa"/>
            <w:vMerge w:val="continue"/>
            <w:tcBorders>
              <w:top w:val="nil"/>
            </w:tcBorders>
            <w:vAlign w:val="top"/>
          </w:tcPr>
          <w:p w14:paraId="65A74EC6">
            <w:pPr>
              <w:rPr>
                <w:rFonts w:hint="eastAsia" w:asciiTheme="minorEastAsia" w:hAnsiTheme="minorEastAsia" w:eastAsiaTheme="minorEastAsia" w:cstheme="minorEastAsia"/>
                <w:color w:val="auto"/>
                <w:sz w:val="21"/>
              </w:rPr>
            </w:pPr>
          </w:p>
        </w:tc>
        <w:tc>
          <w:tcPr>
            <w:tcW w:w="1359" w:type="dxa"/>
            <w:vAlign w:val="top"/>
          </w:tcPr>
          <w:p w14:paraId="1504610D">
            <w:pPr>
              <w:pStyle w:val="21"/>
              <w:spacing w:before="90" w:line="219" w:lineRule="auto"/>
              <w:ind w:left="122"/>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6"/>
                <w:sz w:val="20"/>
                <w:szCs w:val="20"/>
              </w:rPr>
              <w:t>营业收入(I)</w:t>
            </w:r>
          </w:p>
        </w:tc>
        <w:tc>
          <w:tcPr>
            <w:tcW w:w="699" w:type="dxa"/>
            <w:vAlign w:val="top"/>
          </w:tcPr>
          <w:p w14:paraId="3B13EAFB">
            <w:pPr>
              <w:pStyle w:val="21"/>
              <w:spacing w:before="90" w:line="220" w:lineRule="auto"/>
              <w:ind w:left="142"/>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4"/>
                <w:sz w:val="20"/>
                <w:szCs w:val="20"/>
              </w:rPr>
              <w:t>万元</w:t>
            </w:r>
          </w:p>
        </w:tc>
        <w:tc>
          <w:tcPr>
            <w:tcW w:w="1139" w:type="dxa"/>
            <w:vAlign w:val="top"/>
          </w:tcPr>
          <w:p w14:paraId="7E6A746E">
            <w:pPr>
              <w:pStyle w:val="21"/>
              <w:spacing w:before="109" w:line="230" w:lineRule="auto"/>
              <w:ind w:left="21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Y&gt;40000</w:t>
            </w:r>
          </w:p>
        </w:tc>
        <w:tc>
          <w:tcPr>
            <w:tcW w:w="1698" w:type="dxa"/>
            <w:vAlign w:val="top"/>
          </w:tcPr>
          <w:p w14:paraId="60B04C9A">
            <w:pPr>
              <w:pStyle w:val="21"/>
              <w:spacing w:before="107" w:line="232" w:lineRule="auto"/>
              <w:ind w:left="195"/>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2000≤Y&lt;40000</w:t>
            </w:r>
          </w:p>
        </w:tc>
        <w:tc>
          <w:tcPr>
            <w:tcW w:w="1408" w:type="dxa"/>
            <w:vAlign w:val="top"/>
          </w:tcPr>
          <w:p w14:paraId="73937192">
            <w:pPr>
              <w:pStyle w:val="21"/>
              <w:spacing w:before="107" w:line="232" w:lineRule="auto"/>
              <w:ind w:left="146"/>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300≤Y&lt;2000</w:t>
            </w:r>
          </w:p>
        </w:tc>
        <w:tc>
          <w:tcPr>
            <w:tcW w:w="994" w:type="dxa"/>
            <w:vAlign w:val="top"/>
          </w:tcPr>
          <w:p w14:paraId="6BB47093">
            <w:pPr>
              <w:pStyle w:val="21"/>
              <w:spacing w:before="109" w:line="230" w:lineRule="auto"/>
              <w:ind w:left="238"/>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Y&lt;300</w:t>
            </w:r>
          </w:p>
        </w:tc>
      </w:tr>
      <w:tr w14:paraId="5F0A0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2123" w:type="dxa"/>
            <w:vMerge w:val="restart"/>
            <w:tcBorders>
              <w:bottom w:val="nil"/>
            </w:tcBorders>
            <w:vAlign w:val="top"/>
          </w:tcPr>
          <w:p w14:paraId="49546FF0">
            <w:pPr>
              <w:pStyle w:val="21"/>
              <w:spacing w:before="301" w:line="220" w:lineRule="auto"/>
              <w:ind w:left="8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3"/>
                <w:sz w:val="20"/>
                <w:szCs w:val="20"/>
              </w:rPr>
              <w:t>建筑业</w:t>
            </w:r>
          </w:p>
        </w:tc>
        <w:tc>
          <w:tcPr>
            <w:tcW w:w="1359" w:type="dxa"/>
            <w:vAlign w:val="top"/>
          </w:tcPr>
          <w:p w14:paraId="39D6D570">
            <w:pPr>
              <w:pStyle w:val="21"/>
              <w:spacing w:before="111" w:line="219" w:lineRule="auto"/>
              <w:ind w:left="122"/>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6"/>
                <w:sz w:val="20"/>
                <w:szCs w:val="20"/>
              </w:rPr>
              <w:t>营业收入(V)</w:t>
            </w:r>
          </w:p>
        </w:tc>
        <w:tc>
          <w:tcPr>
            <w:tcW w:w="699" w:type="dxa"/>
            <w:vAlign w:val="top"/>
          </w:tcPr>
          <w:p w14:paraId="0A3611C2">
            <w:pPr>
              <w:pStyle w:val="21"/>
              <w:spacing w:before="111" w:line="220" w:lineRule="auto"/>
              <w:ind w:left="142"/>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4"/>
                <w:sz w:val="20"/>
                <w:szCs w:val="20"/>
              </w:rPr>
              <w:t>万元</w:t>
            </w:r>
          </w:p>
        </w:tc>
        <w:tc>
          <w:tcPr>
            <w:tcW w:w="1139" w:type="dxa"/>
            <w:vAlign w:val="top"/>
          </w:tcPr>
          <w:p w14:paraId="2086F54B">
            <w:pPr>
              <w:pStyle w:val="21"/>
              <w:spacing w:before="130"/>
              <w:ind w:left="21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Y&gt;80000</w:t>
            </w:r>
          </w:p>
        </w:tc>
        <w:tc>
          <w:tcPr>
            <w:tcW w:w="1698" w:type="dxa"/>
            <w:vAlign w:val="top"/>
          </w:tcPr>
          <w:p w14:paraId="10770C39">
            <w:pPr>
              <w:pStyle w:val="21"/>
              <w:spacing w:before="128" w:line="236" w:lineRule="auto"/>
              <w:ind w:left="195"/>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6000≤Y&lt;80000</w:t>
            </w:r>
          </w:p>
        </w:tc>
        <w:tc>
          <w:tcPr>
            <w:tcW w:w="1408" w:type="dxa"/>
            <w:vAlign w:val="top"/>
          </w:tcPr>
          <w:p w14:paraId="272470D4">
            <w:pPr>
              <w:pStyle w:val="21"/>
              <w:spacing w:before="128" w:line="236" w:lineRule="auto"/>
              <w:ind w:left="146"/>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300≤Y&lt;6000</w:t>
            </w:r>
          </w:p>
        </w:tc>
        <w:tc>
          <w:tcPr>
            <w:tcW w:w="994" w:type="dxa"/>
            <w:vAlign w:val="top"/>
          </w:tcPr>
          <w:p w14:paraId="648749A7">
            <w:pPr>
              <w:pStyle w:val="21"/>
              <w:spacing w:before="130"/>
              <w:ind w:left="238"/>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Y&lt;300</w:t>
            </w:r>
          </w:p>
        </w:tc>
      </w:tr>
      <w:tr w14:paraId="26CC8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2123" w:type="dxa"/>
            <w:vMerge w:val="continue"/>
            <w:tcBorders>
              <w:top w:val="nil"/>
            </w:tcBorders>
            <w:vAlign w:val="top"/>
          </w:tcPr>
          <w:p w14:paraId="0A188A8C">
            <w:pPr>
              <w:rPr>
                <w:rFonts w:hint="eastAsia" w:asciiTheme="minorEastAsia" w:hAnsiTheme="minorEastAsia" w:eastAsiaTheme="minorEastAsia" w:cstheme="minorEastAsia"/>
                <w:color w:val="auto"/>
                <w:sz w:val="21"/>
              </w:rPr>
            </w:pPr>
          </w:p>
        </w:tc>
        <w:tc>
          <w:tcPr>
            <w:tcW w:w="1359" w:type="dxa"/>
            <w:vAlign w:val="top"/>
          </w:tcPr>
          <w:p w14:paraId="3208FDC9">
            <w:pPr>
              <w:pStyle w:val="21"/>
              <w:spacing w:before="91" w:line="219" w:lineRule="auto"/>
              <w:ind w:left="122"/>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6"/>
                <w:sz w:val="20"/>
                <w:szCs w:val="20"/>
              </w:rPr>
              <w:t>资产总额(Z)</w:t>
            </w:r>
          </w:p>
        </w:tc>
        <w:tc>
          <w:tcPr>
            <w:tcW w:w="699" w:type="dxa"/>
            <w:vAlign w:val="top"/>
          </w:tcPr>
          <w:p w14:paraId="7C4CD6C8">
            <w:pPr>
              <w:pStyle w:val="21"/>
              <w:spacing w:before="91" w:line="220" w:lineRule="auto"/>
              <w:ind w:left="142"/>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4"/>
                <w:sz w:val="20"/>
                <w:szCs w:val="20"/>
              </w:rPr>
              <w:t>万元</w:t>
            </w:r>
          </w:p>
        </w:tc>
        <w:tc>
          <w:tcPr>
            <w:tcW w:w="1139" w:type="dxa"/>
            <w:vAlign w:val="top"/>
          </w:tcPr>
          <w:p w14:paraId="09565B3A">
            <w:pPr>
              <w:pStyle w:val="21"/>
              <w:spacing w:before="110" w:line="230" w:lineRule="auto"/>
              <w:ind w:left="11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Z≥&gt;80000</w:t>
            </w:r>
          </w:p>
        </w:tc>
        <w:tc>
          <w:tcPr>
            <w:tcW w:w="1698" w:type="dxa"/>
            <w:vAlign w:val="top"/>
          </w:tcPr>
          <w:p w14:paraId="4828DEE4">
            <w:pPr>
              <w:pStyle w:val="21"/>
              <w:spacing w:before="108" w:line="232" w:lineRule="auto"/>
              <w:ind w:left="195"/>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5000≤Z&lt;80000</w:t>
            </w:r>
          </w:p>
        </w:tc>
        <w:tc>
          <w:tcPr>
            <w:tcW w:w="1408" w:type="dxa"/>
            <w:vAlign w:val="top"/>
          </w:tcPr>
          <w:p w14:paraId="29912B9B">
            <w:pPr>
              <w:pStyle w:val="21"/>
              <w:spacing w:before="108" w:line="232" w:lineRule="auto"/>
              <w:ind w:left="146"/>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300≤Z&lt;5000</w:t>
            </w:r>
          </w:p>
        </w:tc>
        <w:tc>
          <w:tcPr>
            <w:tcW w:w="994" w:type="dxa"/>
            <w:vAlign w:val="top"/>
          </w:tcPr>
          <w:p w14:paraId="2AC8A1C3">
            <w:pPr>
              <w:pStyle w:val="21"/>
              <w:spacing w:before="110" w:line="230" w:lineRule="auto"/>
              <w:ind w:left="238"/>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Z&lt;300</w:t>
            </w:r>
          </w:p>
        </w:tc>
      </w:tr>
      <w:tr w14:paraId="02B98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2123" w:type="dxa"/>
            <w:vMerge w:val="restart"/>
            <w:tcBorders>
              <w:bottom w:val="nil"/>
            </w:tcBorders>
            <w:vAlign w:val="top"/>
          </w:tcPr>
          <w:p w14:paraId="44FEBDEA">
            <w:pPr>
              <w:pStyle w:val="21"/>
              <w:spacing w:before="301" w:line="220" w:lineRule="auto"/>
              <w:ind w:left="8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批发业</w:t>
            </w:r>
          </w:p>
        </w:tc>
        <w:tc>
          <w:tcPr>
            <w:tcW w:w="1359" w:type="dxa"/>
            <w:vAlign w:val="top"/>
          </w:tcPr>
          <w:p w14:paraId="7507DDC6">
            <w:pPr>
              <w:pStyle w:val="21"/>
              <w:spacing w:before="101" w:line="220" w:lineRule="auto"/>
              <w:ind w:left="122"/>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6"/>
                <w:sz w:val="20"/>
                <w:szCs w:val="20"/>
              </w:rPr>
              <w:t>从业人员(X)</w:t>
            </w:r>
          </w:p>
        </w:tc>
        <w:tc>
          <w:tcPr>
            <w:tcW w:w="699" w:type="dxa"/>
            <w:vAlign w:val="top"/>
          </w:tcPr>
          <w:p w14:paraId="133F6A17">
            <w:pPr>
              <w:pStyle w:val="21"/>
              <w:spacing w:before="104" w:line="222" w:lineRule="auto"/>
              <w:ind w:left="243"/>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人</w:t>
            </w:r>
          </w:p>
        </w:tc>
        <w:tc>
          <w:tcPr>
            <w:tcW w:w="1139" w:type="dxa"/>
            <w:vAlign w:val="top"/>
          </w:tcPr>
          <w:p w14:paraId="13ADAC7D">
            <w:pPr>
              <w:pStyle w:val="21"/>
              <w:spacing w:before="120" w:line="237" w:lineRule="auto"/>
              <w:ind w:left="26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X≥200</w:t>
            </w:r>
          </w:p>
        </w:tc>
        <w:tc>
          <w:tcPr>
            <w:tcW w:w="1698" w:type="dxa"/>
            <w:vAlign w:val="top"/>
          </w:tcPr>
          <w:p w14:paraId="778FBF77">
            <w:pPr>
              <w:pStyle w:val="21"/>
              <w:spacing w:before="118" w:line="236" w:lineRule="auto"/>
              <w:ind w:left="39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20≤X&lt;200</w:t>
            </w:r>
          </w:p>
        </w:tc>
        <w:tc>
          <w:tcPr>
            <w:tcW w:w="1408" w:type="dxa"/>
            <w:vAlign w:val="top"/>
          </w:tcPr>
          <w:p w14:paraId="78097C40">
            <w:pPr>
              <w:pStyle w:val="21"/>
              <w:spacing w:before="118" w:line="236" w:lineRule="auto"/>
              <w:ind w:left="347"/>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5≤X&lt;20</w:t>
            </w:r>
          </w:p>
        </w:tc>
        <w:tc>
          <w:tcPr>
            <w:tcW w:w="994" w:type="dxa"/>
            <w:vAlign w:val="top"/>
          </w:tcPr>
          <w:p w14:paraId="7811ACBA">
            <w:pPr>
              <w:pStyle w:val="21"/>
              <w:spacing w:before="118" w:line="236" w:lineRule="auto"/>
              <w:ind w:left="288"/>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X≤5</w:t>
            </w:r>
          </w:p>
        </w:tc>
      </w:tr>
      <w:tr w14:paraId="50961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2123" w:type="dxa"/>
            <w:vMerge w:val="continue"/>
            <w:tcBorders>
              <w:top w:val="nil"/>
            </w:tcBorders>
            <w:vAlign w:val="top"/>
          </w:tcPr>
          <w:p w14:paraId="435066C9">
            <w:pPr>
              <w:rPr>
                <w:rFonts w:hint="eastAsia" w:asciiTheme="minorEastAsia" w:hAnsiTheme="minorEastAsia" w:eastAsiaTheme="minorEastAsia" w:cstheme="minorEastAsia"/>
                <w:color w:val="auto"/>
                <w:sz w:val="21"/>
              </w:rPr>
            </w:pPr>
          </w:p>
        </w:tc>
        <w:tc>
          <w:tcPr>
            <w:tcW w:w="1359" w:type="dxa"/>
            <w:vAlign w:val="top"/>
          </w:tcPr>
          <w:p w14:paraId="08B69E85">
            <w:pPr>
              <w:pStyle w:val="21"/>
              <w:spacing w:before="101" w:line="219" w:lineRule="auto"/>
              <w:ind w:left="122"/>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6"/>
                <w:sz w:val="20"/>
                <w:szCs w:val="20"/>
              </w:rPr>
              <w:t>营业收入(I)</w:t>
            </w:r>
          </w:p>
        </w:tc>
        <w:tc>
          <w:tcPr>
            <w:tcW w:w="699" w:type="dxa"/>
            <w:vAlign w:val="top"/>
          </w:tcPr>
          <w:p w14:paraId="37498772">
            <w:pPr>
              <w:pStyle w:val="21"/>
              <w:spacing w:before="101" w:line="220" w:lineRule="auto"/>
              <w:ind w:left="142"/>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4"/>
                <w:sz w:val="20"/>
                <w:szCs w:val="20"/>
              </w:rPr>
              <w:t>万元</w:t>
            </w:r>
          </w:p>
        </w:tc>
        <w:tc>
          <w:tcPr>
            <w:tcW w:w="1139" w:type="dxa"/>
            <w:vAlign w:val="top"/>
          </w:tcPr>
          <w:p w14:paraId="728F9FE3">
            <w:pPr>
              <w:pStyle w:val="21"/>
              <w:spacing w:before="120" w:line="237" w:lineRule="auto"/>
              <w:ind w:left="16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Y≥40000</w:t>
            </w:r>
          </w:p>
        </w:tc>
        <w:tc>
          <w:tcPr>
            <w:tcW w:w="1698" w:type="dxa"/>
            <w:vAlign w:val="top"/>
          </w:tcPr>
          <w:p w14:paraId="3C242C2D">
            <w:pPr>
              <w:pStyle w:val="21"/>
              <w:spacing w:before="118" w:line="236" w:lineRule="auto"/>
              <w:ind w:left="195"/>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5000≤Y&lt;40000</w:t>
            </w:r>
          </w:p>
        </w:tc>
        <w:tc>
          <w:tcPr>
            <w:tcW w:w="1408" w:type="dxa"/>
            <w:vAlign w:val="top"/>
          </w:tcPr>
          <w:p w14:paraId="4650FE7F">
            <w:pPr>
              <w:pStyle w:val="21"/>
              <w:spacing w:before="118" w:line="236" w:lineRule="auto"/>
              <w:ind w:left="97"/>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1000≤Y&lt;5000</w:t>
            </w:r>
          </w:p>
        </w:tc>
        <w:tc>
          <w:tcPr>
            <w:tcW w:w="994" w:type="dxa"/>
            <w:vAlign w:val="top"/>
          </w:tcPr>
          <w:p w14:paraId="1B82CB4D">
            <w:pPr>
              <w:pStyle w:val="21"/>
              <w:spacing w:before="120"/>
              <w:ind w:left="18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Y&lt;1000</w:t>
            </w:r>
          </w:p>
        </w:tc>
      </w:tr>
      <w:tr w14:paraId="1A17E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2123" w:type="dxa"/>
            <w:vMerge w:val="restart"/>
            <w:tcBorders>
              <w:bottom w:val="nil"/>
            </w:tcBorders>
            <w:vAlign w:val="top"/>
          </w:tcPr>
          <w:p w14:paraId="60FC9F27">
            <w:pPr>
              <w:pStyle w:val="21"/>
              <w:spacing w:before="282" w:line="219" w:lineRule="auto"/>
              <w:ind w:left="8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零售业</w:t>
            </w:r>
          </w:p>
        </w:tc>
        <w:tc>
          <w:tcPr>
            <w:tcW w:w="1359" w:type="dxa"/>
            <w:vAlign w:val="top"/>
          </w:tcPr>
          <w:p w14:paraId="0A56AFC7">
            <w:pPr>
              <w:pStyle w:val="21"/>
              <w:spacing w:before="92" w:line="220" w:lineRule="auto"/>
              <w:ind w:left="122"/>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6"/>
                <w:sz w:val="20"/>
                <w:szCs w:val="20"/>
              </w:rPr>
              <w:t>从业人员(X)</w:t>
            </w:r>
          </w:p>
        </w:tc>
        <w:tc>
          <w:tcPr>
            <w:tcW w:w="699" w:type="dxa"/>
            <w:vAlign w:val="top"/>
          </w:tcPr>
          <w:p w14:paraId="563E5AB7">
            <w:pPr>
              <w:pStyle w:val="21"/>
              <w:spacing w:before="95" w:line="222" w:lineRule="auto"/>
              <w:ind w:left="243"/>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人</w:t>
            </w:r>
          </w:p>
        </w:tc>
        <w:tc>
          <w:tcPr>
            <w:tcW w:w="1139" w:type="dxa"/>
            <w:vAlign w:val="top"/>
          </w:tcPr>
          <w:p w14:paraId="44E99753">
            <w:pPr>
              <w:pStyle w:val="21"/>
              <w:spacing w:before="111" w:line="229" w:lineRule="auto"/>
              <w:ind w:left="26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X≥300</w:t>
            </w:r>
          </w:p>
        </w:tc>
        <w:tc>
          <w:tcPr>
            <w:tcW w:w="1698" w:type="dxa"/>
            <w:vAlign w:val="top"/>
          </w:tcPr>
          <w:p w14:paraId="2D3903A6">
            <w:pPr>
              <w:pStyle w:val="21"/>
              <w:spacing w:before="109" w:line="231" w:lineRule="auto"/>
              <w:ind w:left="39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50≤X&lt;300</w:t>
            </w:r>
          </w:p>
        </w:tc>
        <w:tc>
          <w:tcPr>
            <w:tcW w:w="1408" w:type="dxa"/>
            <w:vAlign w:val="top"/>
          </w:tcPr>
          <w:p w14:paraId="6810805A">
            <w:pPr>
              <w:pStyle w:val="21"/>
              <w:spacing w:before="109" w:line="231" w:lineRule="auto"/>
              <w:ind w:left="297"/>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3"/>
                <w:sz w:val="20"/>
                <w:szCs w:val="20"/>
              </w:rPr>
              <w:t>10≤X&lt;50</w:t>
            </w:r>
          </w:p>
        </w:tc>
        <w:tc>
          <w:tcPr>
            <w:tcW w:w="994" w:type="dxa"/>
            <w:vAlign w:val="top"/>
          </w:tcPr>
          <w:p w14:paraId="7620EB24">
            <w:pPr>
              <w:pStyle w:val="21"/>
              <w:spacing w:before="111" w:line="229" w:lineRule="auto"/>
              <w:ind w:left="288"/>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X&lt;10</w:t>
            </w:r>
          </w:p>
        </w:tc>
      </w:tr>
      <w:tr w14:paraId="6FF16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123" w:type="dxa"/>
            <w:vMerge w:val="continue"/>
            <w:tcBorders>
              <w:top w:val="nil"/>
            </w:tcBorders>
            <w:vAlign w:val="top"/>
          </w:tcPr>
          <w:p w14:paraId="42D267C1">
            <w:pPr>
              <w:rPr>
                <w:rFonts w:hint="eastAsia" w:asciiTheme="minorEastAsia" w:hAnsiTheme="minorEastAsia" w:eastAsiaTheme="minorEastAsia" w:cstheme="minorEastAsia"/>
                <w:color w:val="auto"/>
                <w:sz w:val="21"/>
              </w:rPr>
            </w:pPr>
          </w:p>
        </w:tc>
        <w:tc>
          <w:tcPr>
            <w:tcW w:w="1359" w:type="dxa"/>
            <w:vAlign w:val="top"/>
          </w:tcPr>
          <w:p w14:paraId="4E10ED5E">
            <w:pPr>
              <w:pStyle w:val="21"/>
              <w:spacing w:before="92" w:line="219" w:lineRule="auto"/>
              <w:ind w:left="122"/>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6"/>
                <w:sz w:val="20"/>
                <w:szCs w:val="20"/>
              </w:rPr>
              <w:t>营业收入(Y)</w:t>
            </w:r>
          </w:p>
        </w:tc>
        <w:tc>
          <w:tcPr>
            <w:tcW w:w="699" w:type="dxa"/>
            <w:vAlign w:val="top"/>
          </w:tcPr>
          <w:p w14:paraId="29D96D3F">
            <w:pPr>
              <w:pStyle w:val="21"/>
              <w:spacing w:before="92" w:line="220" w:lineRule="auto"/>
              <w:ind w:left="142"/>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4"/>
                <w:sz w:val="20"/>
                <w:szCs w:val="20"/>
              </w:rPr>
              <w:t>万元</w:t>
            </w:r>
          </w:p>
        </w:tc>
        <w:tc>
          <w:tcPr>
            <w:tcW w:w="1139" w:type="dxa"/>
            <w:vAlign w:val="top"/>
          </w:tcPr>
          <w:p w14:paraId="274E7ED0">
            <w:pPr>
              <w:pStyle w:val="21"/>
              <w:spacing w:before="112" w:line="237" w:lineRule="auto"/>
              <w:ind w:left="16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Y≥20000</w:t>
            </w:r>
          </w:p>
        </w:tc>
        <w:tc>
          <w:tcPr>
            <w:tcW w:w="1698" w:type="dxa"/>
            <w:vAlign w:val="top"/>
          </w:tcPr>
          <w:p w14:paraId="15F4F59B">
            <w:pPr>
              <w:pStyle w:val="21"/>
              <w:spacing w:before="109" w:line="236" w:lineRule="auto"/>
              <w:ind w:left="245"/>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500≤Y&lt;20000</w:t>
            </w:r>
          </w:p>
        </w:tc>
        <w:tc>
          <w:tcPr>
            <w:tcW w:w="1408" w:type="dxa"/>
            <w:vAlign w:val="top"/>
          </w:tcPr>
          <w:p w14:paraId="0745ADA5">
            <w:pPr>
              <w:pStyle w:val="21"/>
              <w:spacing w:before="109" w:line="236" w:lineRule="auto"/>
              <w:ind w:left="196"/>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3"/>
                <w:sz w:val="20"/>
                <w:szCs w:val="20"/>
              </w:rPr>
              <w:t>100≤Y&lt;500</w:t>
            </w:r>
          </w:p>
        </w:tc>
        <w:tc>
          <w:tcPr>
            <w:tcW w:w="994" w:type="dxa"/>
            <w:vAlign w:val="top"/>
          </w:tcPr>
          <w:p w14:paraId="4F3E050A">
            <w:pPr>
              <w:pStyle w:val="21"/>
              <w:spacing w:before="112" w:line="237" w:lineRule="auto"/>
              <w:ind w:left="238"/>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Y&lt;100</w:t>
            </w:r>
          </w:p>
        </w:tc>
      </w:tr>
      <w:tr w14:paraId="7A07E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2123" w:type="dxa"/>
            <w:vMerge w:val="restart"/>
            <w:tcBorders>
              <w:bottom w:val="nil"/>
            </w:tcBorders>
            <w:vAlign w:val="top"/>
          </w:tcPr>
          <w:p w14:paraId="6B80BD81">
            <w:pPr>
              <w:pStyle w:val="21"/>
              <w:spacing w:before="303" w:line="219" w:lineRule="auto"/>
              <w:ind w:left="8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交通运输业*</w:t>
            </w:r>
          </w:p>
        </w:tc>
        <w:tc>
          <w:tcPr>
            <w:tcW w:w="1359" w:type="dxa"/>
            <w:vAlign w:val="top"/>
          </w:tcPr>
          <w:p w14:paraId="7758BB17">
            <w:pPr>
              <w:pStyle w:val="21"/>
              <w:spacing w:before="113" w:line="220" w:lineRule="auto"/>
              <w:ind w:left="122"/>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6"/>
                <w:sz w:val="20"/>
                <w:szCs w:val="20"/>
              </w:rPr>
              <w:t>从业人员(X)</w:t>
            </w:r>
          </w:p>
        </w:tc>
        <w:tc>
          <w:tcPr>
            <w:tcW w:w="699" w:type="dxa"/>
            <w:vAlign w:val="top"/>
          </w:tcPr>
          <w:p w14:paraId="320623E1">
            <w:pPr>
              <w:pStyle w:val="21"/>
              <w:spacing w:before="116" w:line="222" w:lineRule="auto"/>
              <w:ind w:left="243"/>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人</w:t>
            </w:r>
          </w:p>
        </w:tc>
        <w:tc>
          <w:tcPr>
            <w:tcW w:w="1139" w:type="dxa"/>
            <w:vAlign w:val="top"/>
          </w:tcPr>
          <w:p w14:paraId="27B8126F">
            <w:pPr>
              <w:pStyle w:val="21"/>
              <w:spacing w:before="132" w:line="237" w:lineRule="auto"/>
              <w:ind w:left="21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x≥1000</w:t>
            </w:r>
          </w:p>
        </w:tc>
        <w:tc>
          <w:tcPr>
            <w:tcW w:w="1698" w:type="dxa"/>
            <w:vAlign w:val="top"/>
          </w:tcPr>
          <w:p w14:paraId="6EE220C7">
            <w:pPr>
              <w:pStyle w:val="21"/>
              <w:spacing w:before="130" w:line="236" w:lineRule="auto"/>
              <w:ind w:left="295"/>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300≤X&lt;1000</w:t>
            </w:r>
          </w:p>
        </w:tc>
        <w:tc>
          <w:tcPr>
            <w:tcW w:w="1408" w:type="dxa"/>
            <w:vAlign w:val="top"/>
          </w:tcPr>
          <w:p w14:paraId="5A3776FF">
            <w:pPr>
              <w:pStyle w:val="21"/>
              <w:spacing w:before="130" w:line="236" w:lineRule="auto"/>
              <w:ind w:left="247"/>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20≤K&lt;300</w:t>
            </w:r>
          </w:p>
        </w:tc>
        <w:tc>
          <w:tcPr>
            <w:tcW w:w="994" w:type="dxa"/>
            <w:vAlign w:val="top"/>
          </w:tcPr>
          <w:p w14:paraId="5542F706">
            <w:pPr>
              <w:pStyle w:val="21"/>
              <w:spacing w:before="132"/>
              <w:ind w:left="288"/>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X&lt;20</w:t>
            </w:r>
          </w:p>
        </w:tc>
      </w:tr>
      <w:tr w14:paraId="7DD67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2123" w:type="dxa"/>
            <w:vMerge w:val="continue"/>
            <w:tcBorders>
              <w:top w:val="nil"/>
            </w:tcBorders>
            <w:vAlign w:val="top"/>
          </w:tcPr>
          <w:p w14:paraId="26B0D35B">
            <w:pPr>
              <w:rPr>
                <w:rFonts w:hint="eastAsia" w:asciiTheme="minorEastAsia" w:hAnsiTheme="minorEastAsia" w:eastAsiaTheme="minorEastAsia" w:cstheme="minorEastAsia"/>
                <w:color w:val="auto"/>
                <w:sz w:val="21"/>
              </w:rPr>
            </w:pPr>
          </w:p>
        </w:tc>
        <w:tc>
          <w:tcPr>
            <w:tcW w:w="1359" w:type="dxa"/>
            <w:vAlign w:val="top"/>
          </w:tcPr>
          <w:p w14:paraId="07AFFEC8">
            <w:pPr>
              <w:pStyle w:val="21"/>
              <w:spacing w:before="94" w:line="219" w:lineRule="auto"/>
              <w:ind w:left="122"/>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6"/>
                <w:sz w:val="20"/>
                <w:szCs w:val="20"/>
              </w:rPr>
              <w:t>营业收入(I)</w:t>
            </w:r>
          </w:p>
        </w:tc>
        <w:tc>
          <w:tcPr>
            <w:tcW w:w="699" w:type="dxa"/>
            <w:vAlign w:val="top"/>
          </w:tcPr>
          <w:p w14:paraId="7802CF7D">
            <w:pPr>
              <w:pStyle w:val="21"/>
              <w:spacing w:before="94" w:line="220" w:lineRule="auto"/>
              <w:ind w:left="142"/>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4"/>
                <w:sz w:val="20"/>
                <w:szCs w:val="20"/>
              </w:rPr>
              <w:t>万元</w:t>
            </w:r>
          </w:p>
        </w:tc>
        <w:tc>
          <w:tcPr>
            <w:tcW w:w="1139" w:type="dxa"/>
            <w:vAlign w:val="top"/>
          </w:tcPr>
          <w:p w14:paraId="086CF944">
            <w:pPr>
              <w:pStyle w:val="21"/>
              <w:spacing w:before="114" w:line="227" w:lineRule="auto"/>
              <w:ind w:left="21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Y&gt;30000</w:t>
            </w:r>
          </w:p>
        </w:tc>
        <w:tc>
          <w:tcPr>
            <w:tcW w:w="1698" w:type="dxa"/>
            <w:vAlign w:val="top"/>
          </w:tcPr>
          <w:p w14:paraId="501768D1">
            <w:pPr>
              <w:pStyle w:val="21"/>
              <w:spacing w:before="111" w:line="229" w:lineRule="auto"/>
              <w:ind w:left="195"/>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3000≤Y&lt;30000</w:t>
            </w:r>
          </w:p>
        </w:tc>
        <w:tc>
          <w:tcPr>
            <w:tcW w:w="1408" w:type="dxa"/>
            <w:vAlign w:val="top"/>
          </w:tcPr>
          <w:p w14:paraId="3FF8AF41">
            <w:pPr>
              <w:pStyle w:val="21"/>
              <w:spacing w:before="111" w:line="229" w:lineRule="auto"/>
              <w:ind w:left="146"/>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200≤Y&lt;3000</w:t>
            </w:r>
          </w:p>
        </w:tc>
        <w:tc>
          <w:tcPr>
            <w:tcW w:w="994" w:type="dxa"/>
            <w:vAlign w:val="top"/>
          </w:tcPr>
          <w:p w14:paraId="246701C1">
            <w:pPr>
              <w:pStyle w:val="21"/>
              <w:spacing w:before="114" w:line="227" w:lineRule="auto"/>
              <w:ind w:left="238"/>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Y&lt;200</w:t>
            </w:r>
          </w:p>
        </w:tc>
      </w:tr>
      <w:tr w14:paraId="0078C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2123" w:type="dxa"/>
            <w:vMerge w:val="restart"/>
            <w:tcBorders>
              <w:bottom w:val="nil"/>
            </w:tcBorders>
            <w:vAlign w:val="top"/>
          </w:tcPr>
          <w:p w14:paraId="3B4F94F1">
            <w:pPr>
              <w:pStyle w:val="21"/>
              <w:spacing w:before="304" w:line="220" w:lineRule="auto"/>
              <w:ind w:left="8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仓储业*</w:t>
            </w:r>
          </w:p>
        </w:tc>
        <w:tc>
          <w:tcPr>
            <w:tcW w:w="1359" w:type="dxa"/>
            <w:vAlign w:val="top"/>
          </w:tcPr>
          <w:p w14:paraId="208F71AF">
            <w:pPr>
              <w:pStyle w:val="21"/>
              <w:spacing w:before="94" w:line="220" w:lineRule="auto"/>
              <w:ind w:left="122"/>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6"/>
                <w:sz w:val="20"/>
                <w:szCs w:val="20"/>
              </w:rPr>
              <w:t>从业人员(X)</w:t>
            </w:r>
          </w:p>
        </w:tc>
        <w:tc>
          <w:tcPr>
            <w:tcW w:w="699" w:type="dxa"/>
            <w:vAlign w:val="top"/>
          </w:tcPr>
          <w:p w14:paraId="433AE4F2">
            <w:pPr>
              <w:pStyle w:val="21"/>
              <w:spacing w:before="97" w:line="222" w:lineRule="auto"/>
              <w:ind w:left="243"/>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人</w:t>
            </w:r>
          </w:p>
        </w:tc>
        <w:tc>
          <w:tcPr>
            <w:tcW w:w="1139" w:type="dxa"/>
            <w:vAlign w:val="top"/>
          </w:tcPr>
          <w:p w14:paraId="2DD65D78">
            <w:pPr>
              <w:pStyle w:val="21"/>
              <w:spacing w:before="113" w:line="237" w:lineRule="auto"/>
              <w:ind w:left="26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X≥200</w:t>
            </w:r>
          </w:p>
        </w:tc>
        <w:tc>
          <w:tcPr>
            <w:tcW w:w="1698" w:type="dxa"/>
            <w:vAlign w:val="top"/>
          </w:tcPr>
          <w:p w14:paraId="55C02301">
            <w:pPr>
              <w:pStyle w:val="21"/>
              <w:spacing w:before="111" w:line="236" w:lineRule="auto"/>
              <w:ind w:left="34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3"/>
                <w:sz w:val="20"/>
                <w:szCs w:val="20"/>
              </w:rPr>
              <w:t>100≤X&lt;200</w:t>
            </w:r>
          </w:p>
        </w:tc>
        <w:tc>
          <w:tcPr>
            <w:tcW w:w="1408" w:type="dxa"/>
            <w:vAlign w:val="top"/>
          </w:tcPr>
          <w:p w14:paraId="38294E1E">
            <w:pPr>
              <w:pStyle w:val="21"/>
              <w:spacing w:before="111" w:line="236" w:lineRule="auto"/>
              <w:ind w:left="247"/>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20≤X&lt;100</w:t>
            </w:r>
          </w:p>
        </w:tc>
        <w:tc>
          <w:tcPr>
            <w:tcW w:w="994" w:type="dxa"/>
            <w:vAlign w:val="top"/>
          </w:tcPr>
          <w:p w14:paraId="6797C837">
            <w:pPr>
              <w:pStyle w:val="21"/>
              <w:spacing w:before="114" w:line="236" w:lineRule="auto"/>
              <w:ind w:left="288"/>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X&lt;20</w:t>
            </w:r>
          </w:p>
        </w:tc>
      </w:tr>
      <w:tr w14:paraId="605BA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123" w:type="dxa"/>
            <w:vMerge w:val="continue"/>
            <w:tcBorders>
              <w:top w:val="nil"/>
            </w:tcBorders>
            <w:vAlign w:val="top"/>
          </w:tcPr>
          <w:p w14:paraId="2F684060">
            <w:pPr>
              <w:rPr>
                <w:rFonts w:hint="eastAsia" w:asciiTheme="minorEastAsia" w:hAnsiTheme="minorEastAsia" w:eastAsiaTheme="minorEastAsia" w:cstheme="minorEastAsia"/>
                <w:color w:val="auto"/>
                <w:sz w:val="21"/>
              </w:rPr>
            </w:pPr>
          </w:p>
        </w:tc>
        <w:tc>
          <w:tcPr>
            <w:tcW w:w="1359" w:type="dxa"/>
            <w:vAlign w:val="top"/>
          </w:tcPr>
          <w:p w14:paraId="475EFC01">
            <w:pPr>
              <w:pStyle w:val="21"/>
              <w:spacing w:before="104" w:line="219" w:lineRule="auto"/>
              <w:ind w:left="122"/>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6"/>
                <w:sz w:val="20"/>
                <w:szCs w:val="20"/>
              </w:rPr>
              <w:t>营业收入(Y)</w:t>
            </w:r>
          </w:p>
        </w:tc>
        <w:tc>
          <w:tcPr>
            <w:tcW w:w="699" w:type="dxa"/>
            <w:vAlign w:val="top"/>
          </w:tcPr>
          <w:p w14:paraId="3D50F652">
            <w:pPr>
              <w:pStyle w:val="21"/>
              <w:spacing w:before="104" w:line="220" w:lineRule="auto"/>
              <w:ind w:left="142"/>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4"/>
                <w:sz w:val="20"/>
                <w:szCs w:val="20"/>
              </w:rPr>
              <w:t>万元</w:t>
            </w:r>
          </w:p>
        </w:tc>
        <w:tc>
          <w:tcPr>
            <w:tcW w:w="1139" w:type="dxa"/>
            <w:vAlign w:val="top"/>
          </w:tcPr>
          <w:p w14:paraId="503257FA">
            <w:pPr>
              <w:pStyle w:val="21"/>
              <w:spacing w:before="123"/>
              <w:ind w:left="21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Y&gt;30000</w:t>
            </w:r>
          </w:p>
        </w:tc>
        <w:tc>
          <w:tcPr>
            <w:tcW w:w="1698" w:type="dxa"/>
            <w:vAlign w:val="top"/>
          </w:tcPr>
          <w:p w14:paraId="1B449A36">
            <w:pPr>
              <w:pStyle w:val="21"/>
              <w:spacing w:before="121" w:line="236" w:lineRule="auto"/>
              <w:ind w:left="195"/>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1000≤Y&lt;30000</w:t>
            </w:r>
          </w:p>
        </w:tc>
        <w:tc>
          <w:tcPr>
            <w:tcW w:w="1408" w:type="dxa"/>
            <w:vAlign w:val="top"/>
          </w:tcPr>
          <w:p w14:paraId="23C66DD9">
            <w:pPr>
              <w:pStyle w:val="21"/>
              <w:spacing w:before="121" w:line="236" w:lineRule="auto"/>
              <w:ind w:left="146"/>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3"/>
                <w:sz w:val="20"/>
                <w:szCs w:val="20"/>
              </w:rPr>
              <w:t>100≤Y&lt;1000</w:t>
            </w:r>
          </w:p>
        </w:tc>
        <w:tc>
          <w:tcPr>
            <w:tcW w:w="994" w:type="dxa"/>
            <w:vAlign w:val="top"/>
          </w:tcPr>
          <w:p w14:paraId="5D8BD1C9">
            <w:pPr>
              <w:pStyle w:val="21"/>
              <w:spacing w:before="123"/>
              <w:ind w:left="238"/>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Y&lt;100</w:t>
            </w:r>
          </w:p>
        </w:tc>
      </w:tr>
      <w:tr w14:paraId="5E23D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123" w:type="dxa"/>
            <w:vMerge w:val="restart"/>
            <w:tcBorders>
              <w:bottom w:val="nil"/>
            </w:tcBorders>
            <w:vAlign w:val="top"/>
          </w:tcPr>
          <w:p w14:paraId="61924BA8">
            <w:pPr>
              <w:pStyle w:val="21"/>
              <w:spacing w:before="305" w:line="221" w:lineRule="auto"/>
              <w:ind w:left="8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邮政业</w:t>
            </w:r>
          </w:p>
        </w:tc>
        <w:tc>
          <w:tcPr>
            <w:tcW w:w="1359" w:type="dxa"/>
            <w:vAlign w:val="top"/>
          </w:tcPr>
          <w:p w14:paraId="5F2D8CDF">
            <w:pPr>
              <w:pStyle w:val="21"/>
              <w:spacing w:before="94" w:line="220" w:lineRule="auto"/>
              <w:ind w:left="122"/>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6"/>
                <w:sz w:val="20"/>
                <w:szCs w:val="20"/>
              </w:rPr>
              <w:t>从业人员(X)</w:t>
            </w:r>
          </w:p>
        </w:tc>
        <w:tc>
          <w:tcPr>
            <w:tcW w:w="699" w:type="dxa"/>
            <w:vAlign w:val="top"/>
          </w:tcPr>
          <w:p w14:paraId="41E9A514">
            <w:pPr>
              <w:pStyle w:val="21"/>
              <w:spacing w:before="97" w:line="222" w:lineRule="auto"/>
              <w:ind w:left="243"/>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人</w:t>
            </w:r>
          </w:p>
        </w:tc>
        <w:tc>
          <w:tcPr>
            <w:tcW w:w="1139" w:type="dxa"/>
            <w:vAlign w:val="top"/>
          </w:tcPr>
          <w:p w14:paraId="543730C2">
            <w:pPr>
              <w:pStyle w:val="21"/>
              <w:spacing w:before="113" w:line="236" w:lineRule="auto"/>
              <w:ind w:left="21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x≥1000</w:t>
            </w:r>
          </w:p>
        </w:tc>
        <w:tc>
          <w:tcPr>
            <w:tcW w:w="1698" w:type="dxa"/>
            <w:vAlign w:val="top"/>
          </w:tcPr>
          <w:p w14:paraId="22FB24A3">
            <w:pPr>
              <w:pStyle w:val="21"/>
              <w:spacing w:before="111" w:line="236" w:lineRule="auto"/>
              <w:ind w:left="295"/>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300≤X&lt;1000</w:t>
            </w:r>
          </w:p>
        </w:tc>
        <w:tc>
          <w:tcPr>
            <w:tcW w:w="1408" w:type="dxa"/>
            <w:vAlign w:val="top"/>
          </w:tcPr>
          <w:p w14:paraId="1625ED88">
            <w:pPr>
              <w:pStyle w:val="21"/>
              <w:spacing w:before="111" w:line="236" w:lineRule="auto"/>
              <w:ind w:left="247"/>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20≤X&lt;300</w:t>
            </w:r>
          </w:p>
        </w:tc>
        <w:tc>
          <w:tcPr>
            <w:tcW w:w="994" w:type="dxa"/>
            <w:vAlign w:val="top"/>
          </w:tcPr>
          <w:p w14:paraId="2BE6C773">
            <w:pPr>
              <w:pStyle w:val="21"/>
              <w:spacing w:before="114" w:line="235" w:lineRule="auto"/>
              <w:ind w:left="288"/>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X&lt;20</w:t>
            </w:r>
          </w:p>
        </w:tc>
      </w:tr>
      <w:tr w14:paraId="4E578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2123" w:type="dxa"/>
            <w:vMerge w:val="continue"/>
            <w:tcBorders>
              <w:top w:val="nil"/>
            </w:tcBorders>
            <w:vAlign w:val="top"/>
          </w:tcPr>
          <w:p w14:paraId="66280095">
            <w:pPr>
              <w:rPr>
                <w:rFonts w:hint="eastAsia" w:asciiTheme="minorEastAsia" w:hAnsiTheme="minorEastAsia" w:eastAsiaTheme="minorEastAsia" w:cstheme="minorEastAsia"/>
                <w:color w:val="auto"/>
                <w:sz w:val="21"/>
              </w:rPr>
            </w:pPr>
          </w:p>
        </w:tc>
        <w:tc>
          <w:tcPr>
            <w:tcW w:w="1359" w:type="dxa"/>
            <w:vAlign w:val="top"/>
          </w:tcPr>
          <w:p w14:paraId="28B19B6D">
            <w:pPr>
              <w:pStyle w:val="21"/>
              <w:spacing w:before="115" w:line="219" w:lineRule="auto"/>
              <w:ind w:left="122"/>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6"/>
                <w:sz w:val="20"/>
                <w:szCs w:val="20"/>
              </w:rPr>
              <w:t>营业收入(I)</w:t>
            </w:r>
          </w:p>
        </w:tc>
        <w:tc>
          <w:tcPr>
            <w:tcW w:w="699" w:type="dxa"/>
            <w:vAlign w:val="top"/>
          </w:tcPr>
          <w:p w14:paraId="40932190">
            <w:pPr>
              <w:pStyle w:val="21"/>
              <w:spacing w:before="115" w:line="220" w:lineRule="auto"/>
              <w:ind w:left="142"/>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4"/>
                <w:sz w:val="20"/>
                <w:szCs w:val="20"/>
              </w:rPr>
              <w:t>万元</w:t>
            </w:r>
          </w:p>
        </w:tc>
        <w:tc>
          <w:tcPr>
            <w:tcW w:w="1139" w:type="dxa"/>
            <w:vAlign w:val="top"/>
          </w:tcPr>
          <w:p w14:paraId="5D751F04">
            <w:pPr>
              <w:pStyle w:val="21"/>
              <w:spacing w:before="134"/>
              <w:ind w:left="21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Y&gt;30000</w:t>
            </w:r>
          </w:p>
        </w:tc>
        <w:tc>
          <w:tcPr>
            <w:tcW w:w="1698" w:type="dxa"/>
            <w:vAlign w:val="top"/>
          </w:tcPr>
          <w:p w14:paraId="7CA8DB80">
            <w:pPr>
              <w:pStyle w:val="21"/>
              <w:spacing w:before="132" w:line="236" w:lineRule="auto"/>
              <w:ind w:left="195"/>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2000≤Y&lt;30000</w:t>
            </w:r>
          </w:p>
        </w:tc>
        <w:tc>
          <w:tcPr>
            <w:tcW w:w="1408" w:type="dxa"/>
            <w:vAlign w:val="top"/>
          </w:tcPr>
          <w:p w14:paraId="04932CDA">
            <w:pPr>
              <w:pStyle w:val="21"/>
              <w:spacing w:before="132" w:line="236" w:lineRule="auto"/>
              <w:ind w:left="146"/>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3"/>
                <w:sz w:val="20"/>
                <w:szCs w:val="20"/>
              </w:rPr>
              <w:t>100≤Y&lt;2000</w:t>
            </w:r>
          </w:p>
        </w:tc>
        <w:tc>
          <w:tcPr>
            <w:tcW w:w="994" w:type="dxa"/>
            <w:vAlign w:val="top"/>
          </w:tcPr>
          <w:p w14:paraId="4E41CA9B">
            <w:pPr>
              <w:pStyle w:val="21"/>
              <w:spacing w:before="134"/>
              <w:ind w:left="238"/>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Y&lt;100</w:t>
            </w:r>
          </w:p>
        </w:tc>
      </w:tr>
      <w:tr w14:paraId="77B72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2123" w:type="dxa"/>
            <w:vMerge w:val="restart"/>
            <w:tcBorders>
              <w:bottom w:val="nil"/>
            </w:tcBorders>
            <w:vAlign w:val="top"/>
          </w:tcPr>
          <w:p w14:paraId="2A44CC0F">
            <w:pPr>
              <w:pStyle w:val="21"/>
              <w:spacing w:before="285" w:line="219" w:lineRule="auto"/>
              <w:ind w:left="8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住宿业</w:t>
            </w:r>
          </w:p>
        </w:tc>
        <w:tc>
          <w:tcPr>
            <w:tcW w:w="1359" w:type="dxa"/>
            <w:vAlign w:val="top"/>
          </w:tcPr>
          <w:p w14:paraId="04972F59">
            <w:pPr>
              <w:pStyle w:val="21"/>
              <w:spacing w:before="95" w:line="220" w:lineRule="auto"/>
              <w:ind w:left="122"/>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6"/>
                <w:sz w:val="20"/>
                <w:szCs w:val="20"/>
              </w:rPr>
              <w:t>从业人员(X)</w:t>
            </w:r>
          </w:p>
        </w:tc>
        <w:tc>
          <w:tcPr>
            <w:tcW w:w="699" w:type="dxa"/>
            <w:vAlign w:val="top"/>
          </w:tcPr>
          <w:p w14:paraId="65051659">
            <w:pPr>
              <w:pStyle w:val="21"/>
              <w:spacing w:before="98" w:line="222" w:lineRule="auto"/>
              <w:ind w:left="243"/>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人</w:t>
            </w:r>
          </w:p>
        </w:tc>
        <w:tc>
          <w:tcPr>
            <w:tcW w:w="1139" w:type="dxa"/>
            <w:vAlign w:val="top"/>
          </w:tcPr>
          <w:p w14:paraId="6DEB5AB5">
            <w:pPr>
              <w:pStyle w:val="21"/>
              <w:spacing w:before="115" w:line="225" w:lineRule="auto"/>
              <w:ind w:left="313"/>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X&gt;300</w:t>
            </w:r>
          </w:p>
        </w:tc>
        <w:tc>
          <w:tcPr>
            <w:tcW w:w="1698" w:type="dxa"/>
            <w:vAlign w:val="top"/>
          </w:tcPr>
          <w:p w14:paraId="6C00822E">
            <w:pPr>
              <w:pStyle w:val="21"/>
              <w:spacing w:before="113" w:line="227" w:lineRule="auto"/>
              <w:ind w:left="34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3"/>
                <w:sz w:val="20"/>
                <w:szCs w:val="20"/>
              </w:rPr>
              <w:t>100≤X&lt;300</w:t>
            </w:r>
          </w:p>
        </w:tc>
        <w:tc>
          <w:tcPr>
            <w:tcW w:w="1408" w:type="dxa"/>
            <w:vAlign w:val="top"/>
          </w:tcPr>
          <w:p w14:paraId="5A98EE39">
            <w:pPr>
              <w:pStyle w:val="21"/>
              <w:spacing w:before="113" w:line="227" w:lineRule="auto"/>
              <w:ind w:left="247"/>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3"/>
                <w:sz w:val="20"/>
                <w:szCs w:val="20"/>
              </w:rPr>
              <w:t>10≤X&lt;100</w:t>
            </w:r>
          </w:p>
        </w:tc>
        <w:tc>
          <w:tcPr>
            <w:tcW w:w="994" w:type="dxa"/>
            <w:vAlign w:val="top"/>
          </w:tcPr>
          <w:p w14:paraId="4C5A7EFC">
            <w:pPr>
              <w:pStyle w:val="21"/>
              <w:spacing w:before="115" w:line="225" w:lineRule="auto"/>
              <w:ind w:left="288"/>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X&lt;10</w:t>
            </w:r>
          </w:p>
        </w:tc>
      </w:tr>
      <w:tr w14:paraId="38F52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2123" w:type="dxa"/>
            <w:vMerge w:val="continue"/>
            <w:tcBorders>
              <w:top w:val="nil"/>
            </w:tcBorders>
            <w:vAlign w:val="top"/>
          </w:tcPr>
          <w:p w14:paraId="2C2802F2">
            <w:pPr>
              <w:rPr>
                <w:rFonts w:hint="eastAsia" w:asciiTheme="minorEastAsia" w:hAnsiTheme="minorEastAsia" w:eastAsiaTheme="minorEastAsia" w:cstheme="minorEastAsia"/>
                <w:color w:val="auto"/>
                <w:sz w:val="21"/>
              </w:rPr>
            </w:pPr>
          </w:p>
        </w:tc>
        <w:tc>
          <w:tcPr>
            <w:tcW w:w="1359" w:type="dxa"/>
            <w:vAlign w:val="top"/>
          </w:tcPr>
          <w:p w14:paraId="0216CAE8">
            <w:pPr>
              <w:pStyle w:val="21"/>
              <w:spacing w:before="96" w:line="219" w:lineRule="auto"/>
              <w:ind w:left="122"/>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6"/>
                <w:sz w:val="20"/>
                <w:szCs w:val="20"/>
              </w:rPr>
              <w:t>营业收入(Y)</w:t>
            </w:r>
          </w:p>
        </w:tc>
        <w:tc>
          <w:tcPr>
            <w:tcW w:w="699" w:type="dxa"/>
            <w:vAlign w:val="top"/>
          </w:tcPr>
          <w:p w14:paraId="18947FA1">
            <w:pPr>
              <w:pStyle w:val="21"/>
              <w:spacing w:before="96" w:line="220" w:lineRule="auto"/>
              <w:ind w:left="142"/>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4"/>
                <w:sz w:val="20"/>
                <w:szCs w:val="20"/>
              </w:rPr>
              <w:t>万元</w:t>
            </w:r>
          </w:p>
        </w:tc>
        <w:tc>
          <w:tcPr>
            <w:tcW w:w="1139" w:type="dxa"/>
            <w:vAlign w:val="top"/>
          </w:tcPr>
          <w:p w14:paraId="009F1DB1">
            <w:pPr>
              <w:pStyle w:val="21"/>
              <w:spacing w:before="116" w:line="234" w:lineRule="auto"/>
              <w:ind w:left="21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Y&gt;10000</w:t>
            </w:r>
          </w:p>
        </w:tc>
        <w:tc>
          <w:tcPr>
            <w:tcW w:w="1698" w:type="dxa"/>
            <w:vAlign w:val="top"/>
          </w:tcPr>
          <w:p w14:paraId="3CA40D8E">
            <w:pPr>
              <w:pStyle w:val="21"/>
              <w:spacing w:before="113" w:line="236" w:lineRule="auto"/>
              <w:ind w:left="195"/>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2000≤Y&lt;10000</w:t>
            </w:r>
          </w:p>
        </w:tc>
        <w:tc>
          <w:tcPr>
            <w:tcW w:w="1408" w:type="dxa"/>
            <w:vAlign w:val="top"/>
          </w:tcPr>
          <w:p w14:paraId="30DD3EAD">
            <w:pPr>
              <w:pStyle w:val="21"/>
              <w:spacing w:before="113" w:line="236" w:lineRule="auto"/>
              <w:ind w:left="146"/>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3"/>
                <w:sz w:val="20"/>
                <w:szCs w:val="20"/>
              </w:rPr>
              <w:t>100≤Y&lt;2000</w:t>
            </w:r>
          </w:p>
        </w:tc>
        <w:tc>
          <w:tcPr>
            <w:tcW w:w="994" w:type="dxa"/>
            <w:vAlign w:val="top"/>
          </w:tcPr>
          <w:p w14:paraId="55B35EF6">
            <w:pPr>
              <w:pStyle w:val="21"/>
              <w:spacing w:before="116" w:line="234" w:lineRule="auto"/>
              <w:ind w:left="238"/>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Y&lt;100</w:t>
            </w:r>
          </w:p>
        </w:tc>
      </w:tr>
      <w:tr w14:paraId="2E88B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123" w:type="dxa"/>
            <w:vMerge w:val="restart"/>
            <w:tcBorders>
              <w:bottom w:val="nil"/>
            </w:tcBorders>
            <w:vAlign w:val="top"/>
          </w:tcPr>
          <w:p w14:paraId="1F3B9195">
            <w:pPr>
              <w:pStyle w:val="21"/>
              <w:spacing w:before="306" w:line="219" w:lineRule="auto"/>
              <w:ind w:left="8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3"/>
                <w:sz w:val="20"/>
                <w:szCs w:val="20"/>
              </w:rPr>
              <w:t>餐饮业</w:t>
            </w:r>
          </w:p>
        </w:tc>
        <w:tc>
          <w:tcPr>
            <w:tcW w:w="1359" w:type="dxa"/>
            <w:vAlign w:val="top"/>
          </w:tcPr>
          <w:p w14:paraId="34F2AA1F">
            <w:pPr>
              <w:pStyle w:val="21"/>
              <w:spacing w:before="96" w:line="220" w:lineRule="auto"/>
              <w:ind w:left="122"/>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6"/>
                <w:sz w:val="20"/>
                <w:szCs w:val="20"/>
              </w:rPr>
              <w:t>从业人员(X)</w:t>
            </w:r>
          </w:p>
        </w:tc>
        <w:tc>
          <w:tcPr>
            <w:tcW w:w="699" w:type="dxa"/>
            <w:vAlign w:val="top"/>
          </w:tcPr>
          <w:p w14:paraId="0AFCACE5">
            <w:pPr>
              <w:pStyle w:val="21"/>
              <w:spacing w:before="99" w:line="222" w:lineRule="auto"/>
              <w:ind w:left="243"/>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人</w:t>
            </w:r>
          </w:p>
        </w:tc>
        <w:tc>
          <w:tcPr>
            <w:tcW w:w="1139" w:type="dxa"/>
            <w:vAlign w:val="top"/>
          </w:tcPr>
          <w:p w14:paraId="42F1532C">
            <w:pPr>
              <w:pStyle w:val="21"/>
              <w:spacing w:before="115" w:line="234" w:lineRule="auto"/>
              <w:ind w:left="26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X≥300</w:t>
            </w:r>
          </w:p>
        </w:tc>
        <w:tc>
          <w:tcPr>
            <w:tcW w:w="1698" w:type="dxa"/>
            <w:vAlign w:val="top"/>
          </w:tcPr>
          <w:p w14:paraId="4C804847">
            <w:pPr>
              <w:pStyle w:val="21"/>
              <w:spacing w:before="114" w:line="235" w:lineRule="auto"/>
              <w:ind w:left="34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3"/>
                <w:sz w:val="20"/>
                <w:szCs w:val="20"/>
              </w:rPr>
              <w:t>100≤X&lt;300</w:t>
            </w:r>
          </w:p>
        </w:tc>
        <w:tc>
          <w:tcPr>
            <w:tcW w:w="1408" w:type="dxa"/>
            <w:vAlign w:val="top"/>
          </w:tcPr>
          <w:p w14:paraId="0A2C6DED">
            <w:pPr>
              <w:pStyle w:val="21"/>
              <w:spacing w:before="114" w:line="235" w:lineRule="auto"/>
              <w:ind w:left="247"/>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3"/>
                <w:sz w:val="20"/>
                <w:szCs w:val="20"/>
              </w:rPr>
              <w:t>10≤X&lt;100</w:t>
            </w:r>
          </w:p>
        </w:tc>
        <w:tc>
          <w:tcPr>
            <w:tcW w:w="994" w:type="dxa"/>
            <w:vAlign w:val="top"/>
          </w:tcPr>
          <w:p w14:paraId="03C2AD0D">
            <w:pPr>
              <w:pStyle w:val="21"/>
              <w:spacing w:before="116" w:line="233" w:lineRule="auto"/>
              <w:ind w:left="288"/>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X&lt;10</w:t>
            </w:r>
          </w:p>
        </w:tc>
      </w:tr>
      <w:tr w14:paraId="3027C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123" w:type="dxa"/>
            <w:vMerge w:val="continue"/>
            <w:tcBorders>
              <w:top w:val="nil"/>
            </w:tcBorders>
            <w:vAlign w:val="top"/>
          </w:tcPr>
          <w:p w14:paraId="3A6BD434">
            <w:pPr>
              <w:rPr>
                <w:rFonts w:hint="eastAsia" w:asciiTheme="minorEastAsia" w:hAnsiTheme="minorEastAsia" w:eastAsiaTheme="minorEastAsia" w:cstheme="minorEastAsia"/>
                <w:color w:val="auto"/>
                <w:sz w:val="21"/>
              </w:rPr>
            </w:pPr>
          </w:p>
        </w:tc>
        <w:tc>
          <w:tcPr>
            <w:tcW w:w="1359" w:type="dxa"/>
            <w:vAlign w:val="top"/>
          </w:tcPr>
          <w:p w14:paraId="003FC076">
            <w:pPr>
              <w:pStyle w:val="21"/>
              <w:spacing w:before="107" w:line="219" w:lineRule="auto"/>
              <w:ind w:left="122"/>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6"/>
                <w:sz w:val="20"/>
                <w:szCs w:val="20"/>
              </w:rPr>
              <w:t>营业收入(I)</w:t>
            </w:r>
          </w:p>
        </w:tc>
        <w:tc>
          <w:tcPr>
            <w:tcW w:w="699" w:type="dxa"/>
            <w:vAlign w:val="top"/>
          </w:tcPr>
          <w:p w14:paraId="773254B1">
            <w:pPr>
              <w:pStyle w:val="21"/>
              <w:spacing w:before="107" w:line="220" w:lineRule="auto"/>
              <w:ind w:left="142"/>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4"/>
                <w:sz w:val="20"/>
                <w:szCs w:val="20"/>
              </w:rPr>
              <w:t>万元</w:t>
            </w:r>
          </w:p>
        </w:tc>
        <w:tc>
          <w:tcPr>
            <w:tcW w:w="1139" w:type="dxa"/>
            <w:vAlign w:val="top"/>
          </w:tcPr>
          <w:p w14:paraId="3DC1730C">
            <w:pPr>
              <w:pStyle w:val="21"/>
              <w:spacing w:before="126"/>
              <w:ind w:left="21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Y&gt;10000</w:t>
            </w:r>
          </w:p>
        </w:tc>
        <w:tc>
          <w:tcPr>
            <w:tcW w:w="1698" w:type="dxa"/>
            <w:vAlign w:val="top"/>
          </w:tcPr>
          <w:p w14:paraId="318990B6">
            <w:pPr>
              <w:pStyle w:val="21"/>
              <w:spacing w:before="124" w:line="236" w:lineRule="auto"/>
              <w:ind w:left="195"/>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2000≤Y&lt;10000</w:t>
            </w:r>
          </w:p>
        </w:tc>
        <w:tc>
          <w:tcPr>
            <w:tcW w:w="1408" w:type="dxa"/>
            <w:vAlign w:val="top"/>
          </w:tcPr>
          <w:p w14:paraId="5E5151AA">
            <w:pPr>
              <w:pStyle w:val="21"/>
              <w:spacing w:before="124" w:line="236" w:lineRule="auto"/>
              <w:ind w:left="146"/>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3"/>
                <w:sz w:val="20"/>
                <w:szCs w:val="20"/>
              </w:rPr>
              <w:t>100≤Y&lt;2000</w:t>
            </w:r>
          </w:p>
        </w:tc>
        <w:tc>
          <w:tcPr>
            <w:tcW w:w="994" w:type="dxa"/>
            <w:vAlign w:val="top"/>
          </w:tcPr>
          <w:p w14:paraId="4CD3BE5F">
            <w:pPr>
              <w:pStyle w:val="21"/>
              <w:spacing w:before="126"/>
              <w:ind w:left="238"/>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Y&lt;100</w:t>
            </w:r>
          </w:p>
        </w:tc>
      </w:tr>
      <w:tr w14:paraId="303A9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123" w:type="dxa"/>
            <w:vMerge w:val="restart"/>
            <w:tcBorders>
              <w:bottom w:val="nil"/>
            </w:tcBorders>
            <w:vAlign w:val="top"/>
          </w:tcPr>
          <w:p w14:paraId="77725750">
            <w:pPr>
              <w:pStyle w:val="21"/>
              <w:spacing w:before="305" w:line="219" w:lineRule="auto"/>
              <w:ind w:left="8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信息传输业*</w:t>
            </w:r>
          </w:p>
        </w:tc>
        <w:tc>
          <w:tcPr>
            <w:tcW w:w="1359" w:type="dxa"/>
            <w:vAlign w:val="top"/>
          </w:tcPr>
          <w:p w14:paraId="1860C413">
            <w:pPr>
              <w:pStyle w:val="21"/>
              <w:spacing w:before="97" w:line="220" w:lineRule="auto"/>
              <w:ind w:left="122"/>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6"/>
                <w:sz w:val="20"/>
                <w:szCs w:val="20"/>
              </w:rPr>
              <w:t>从业人员(X)</w:t>
            </w:r>
          </w:p>
        </w:tc>
        <w:tc>
          <w:tcPr>
            <w:tcW w:w="699" w:type="dxa"/>
            <w:vAlign w:val="top"/>
          </w:tcPr>
          <w:p w14:paraId="7F7A6616">
            <w:pPr>
              <w:pStyle w:val="21"/>
              <w:spacing w:before="100" w:line="222" w:lineRule="auto"/>
              <w:ind w:left="243"/>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人</w:t>
            </w:r>
          </w:p>
        </w:tc>
        <w:tc>
          <w:tcPr>
            <w:tcW w:w="1139" w:type="dxa"/>
            <w:vAlign w:val="top"/>
          </w:tcPr>
          <w:p w14:paraId="3E0D1E7C">
            <w:pPr>
              <w:pStyle w:val="21"/>
              <w:spacing w:before="116" w:line="233" w:lineRule="auto"/>
              <w:ind w:left="21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x≥2000</w:t>
            </w:r>
          </w:p>
        </w:tc>
        <w:tc>
          <w:tcPr>
            <w:tcW w:w="1698" w:type="dxa"/>
            <w:vAlign w:val="top"/>
          </w:tcPr>
          <w:p w14:paraId="68ECD5AD">
            <w:pPr>
              <w:pStyle w:val="21"/>
              <w:spacing w:before="114" w:line="235" w:lineRule="auto"/>
              <w:ind w:left="295"/>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3"/>
                <w:sz w:val="20"/>
                <w:szCs w:val="20"/>
              </w:rPr>
              <w:t>100≤X&lt;2000</w:t>
            </w:r>
          </w:p>
        </w:tc>
        <w:tc>
          <w:tcPr>
            <w:tcW w:w="1408" w:type="dxa"/>
            <w:vAlign w:val="top"/>
          </w:tcPr>
          <w:p w14:paraId="73FBF76E">
            <w:pPr>
              <w:pStyle w:val="21"/>
              <w:spacing w:before="114" w:line="235" w:lineRule="auto"/>
              <w:ind w:left="247"/>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3"/>
                <w:sz w:val="20"/>
                <w:szCs w:val="20"/>
              </w:rPr>
              <w:t>10≤X&lt;100</w:t>
            </w:r>
          </w:p>
        </w:tc>
        <w:tc>
          <w:tcPr>
            <w:tcW w:w="994" w:type="dxa"/>
            <w:vAlign w:val="top"/>
          </w:tcPr>
          <w:p w14:paraId="4A5B24A2">
            <w:pPr>
              <w:pStyle w:val="21"/>
              <w:spacing w:before="117" w:line="232" w:lineRule="auto"/>
              <w:ind w:left="288"/>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X&lt;10</w:t>
            </w:r>
          </w:p>
        </w:tc>
      </w:tr>
      <w:tr w14:paraId="294F4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123" w:type="dxa"/>
            <w:vMerge w:val="continue"/>
            <w:tcBorders>
              <w:top w:val="nil"/>
            </w:tcBorders>
            <w:vAlign w:val="top"/>
          </w:tcPr>
          <w:p w14:paraId="6D4B68CB">
            <w:pPr>
              <w:rPr>
                <w:rFonts w:hint="eastAsia" w:asciiTheme="minorEastAsia" w:hAnsiTheme="minorEastAsia" w:eastAsiaTheme="minorEastAsia" w:cstheme="minorEastAsia"/>
                <w:color w:val="auto"/>
                <w:sz w:val="21"/>
              </w:rPr>
            </w:pPr>
          </w:p>
        </w:tc>
        <w:tc>
          <w:tcPr>
            <w:tcW w:w="1359" w:type="dxa"/>
            <w:vAlign w:val="top"/>
          </w:tcPr>
          <w:p w14:paraId="2F9CADA7">
            <w:pPr>
              <w:pStyle w:val="21"/>
              <w:spacing w:before="108" w:line="219" w:lineRule="auto"/>
              <w:ind w:left="122"/>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6"/>
                <w:sz w:val="20"/>
                <w:szCs w:val="20"/>
              </w:rPr>
              <w:t>营业收入(Y)</w:t>
            </w:r>
          </w:p>
        </w:tc>
        <w:tc>
          <w:tcPr>
            <w:tcW w:w="699" w:type="dxa"/>
            <w:vAlign w:val="top"/>
          </w:tcPr>
          <w:p w14:paraId="21179A28">
            <w:pPr>
              <w:pStyle w:val="21"/>
              <w:spacing w:before="108" w:line="220" w:lineRule="auto"/>
              <w:ind w:left="142"/>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4"/>
                <w:sz w:val="20"/>
                <w:szCs w:val="20"/>
              </w:rPr>
              <w:t>万元</w:t>
            </w:r>
          </w:p>
        </w:tc>
        <w:tc>
          <w:tcPr>
            <w:tcW w:w="1139" w:type="dxa"/>
            <w:vAlign w:val="top"/>
          </w:tcPr>
          <w:p w14:paraId="75B775E2">
            <w:pPr>
              <w:pStyle w:val="21"/>
              <w:spacing w:before="127"/>
              <w:ind w:left="16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3"/>
                <w:sz w:val="20"/>
                <w:szCs w:val="20"/>
              </w:rPr>
              <w:t>I&gt;100000</w:t>
            </w:r>
          </w:p>
        </w:tc>
        <w:tc>
          <w:tcPr>
            <w:tcW w:w="1698" w:type="dxa"/>
            <w:vAlign w:val="top"/>
          </w:tcPr>
          <w:p w14:paraId="2B7D1D8E">
            <w:pPr>
              <w:pStyle w:val="21"/>
              <w:spacing w:before="125" w:line="236" w:lineRule="auto"/>
              <w:ind w:left="14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1000≤I&lt;100000</w:t>
            </w:r>
          </w:p>
        </w:tc>
        <w:tc>
          <w:tcPr>
            <w:tcW w:w="1408" w:type="dxa"/>
            <w:vAlign w:val="top"/>
          </w:tcPr>
          <w:p w14:paraId="4A317925">
            <w:pPr>
              <w:pStyle w:val="21"/>
              <w:spacing w:before="125" w:line="236" w:lineRule="auto"/>
              <w:ind w:left="146"/>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3"/>
                <w:sz w:val="20"/>
                <w:szCs w:val="20"/>
              </w:rPr>
              <w:t>100≤Y&lt;1000</w:t>
            </w:r>
          </w:p>
        </w:tc>
        <w:tc>
          <w:tcPr>
            <w:tcW w:w="994" w:type="dxa"/>
            <w:vAlign w:val="top"/>
          </w:tcPr>
          <w:p w14:paraId="6C02B175">
            <w:pPr>
              <w:pStyle w:val="21"/>
              <w:spacing w:before="127"/>
              <w:ind w:left="238"/>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Y&lt;100</w:t>
            </w:r>
          </w:p>
        </w:tc>
      </w:tr>
      <w:tr w14:paraId="15921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2123" w:type="dxa"/>
            <w:vMerge w:val="restart"/>
            <w:tcBorders>
              <w:bottom w:val="nil"/>
            </w:tcBorders>
            <w:vAlign w:val="top"/>
          </w:tcPr>
          <w:p w14:paraId="13E541A2">
            <w:pPr>
              <w:pStyle w:val="21"/>
              <w:spacing w:before="248" w:line="219" w:lineRule="auto"/>
              <w:ind w:left="8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软件和言息技术脇业</w:t>
            </w:r>
          </w:p>
        </w:tc>
        <w:tc>
          <w:tcPr>
            <w:tcW w:w="1359" w:type="dxa"/>
            <w:vAlign w:val="top"/>
          </w:tcPr>
          <w:p w14:paraId="65554929">
            <w:pPr>
              <w:pStyle w:val="21"/>
              <w:spacing w:before="68" w:line="214" w:lineRule="auto"/>
              <w:ind w:left="122"/>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6"/>
                <w:sz w:val="20"/>
                <w:szCs w:val="20"/>
              </w:rPr>
              <w:t>从业人员(X)</w:t>
            </w:r>
          </w:p>
        </w:tc>
        <w:tc>
          <w:tcPr>
            <w:tcW w:w="699" w:type="dxa"/>
            <w:vAlign w:val="top"/>
          </w:tcPr>
          <w:p w14:paraId="2CBFD029">
            <w:pPr>
              <w:pStyle w:val="21"/>
              <w:spacing w:before="71" w:line="211" w:lineRule="auto"/>
              <w:ind w:left="243"/>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人</w:t>
            </w:r>
          </w:p>
        </w:tc>
        <w:tc>
          <w:tcPr>
            <w:tcW w:w="1139" w:type="dxa"/>
            <w:vAlign w:val="top"/>
          </w:tcPr>
          <w:p w14:paraId="3A1A8508">
            <w:pPr>
              <w:pStyle w:val="21"/>
              <w:spacing w:before="87" w:line="196" w:lineRule="auto"/>
              <w:ind w:left="26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X≥300</w:t>
            </w:r>
          </w:p>
        </w:tc>
        <w:tc>
          <w:tcPr>
            <w:tcW w:w="1698" w:type="dxa"/>
            <w:vAlign w:val="top"/>
          </w:tcPr>
          <w:p w14:paraId="47E10249">
            <w:pPr>
              <w:pStyle w:val="21"/>
              <w:spacing w:before="85" w:line="198" w:lineRule="auto"/>
              <w:ind w:left="34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3"/>
                <w:sz w:val="20"/>
                <w:szCs w:val="20"/>
              </w:rPr>
              <w:t>100≤X&lt;300</w:t>
            </w:r>
          </w:p>
        </w:tc>
        <w:tc>
          <w:tcPr>
            <w:tcW w:w="1408" w:type="dxa"/>
            <w:vAlign w:val="top"/>
          </w:tcPr>
          <w:p w14:paraId="59F232F8">
            <w:pPr>
              <w:pStyle w:val="21"/>
              <w:spacing w:before="85" w:line="198" w:lineRule="auto"/>
              <w:ind w:left="247"/>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3"/>
                <w:sz w:val="20"/>
                <w:szCs w:val="20"/>
              </w:rPr>
              <w:t>10≤X&lt;100</w:t>
            </w:r>
          </w:p>
        </w:tc>
        <w:tc>
          <w:tcPr>
            <w:tcW w:w="994" w:type="dxa"/>
            <w:vAlign w:val="top"/>
          </w:tcPr>
          <w:p w14:paraId="0AC7DEDD">
            <w:pPr>
              <w:pStyle w:val="21"/>
              <w:spacing w:before="87" w:line="196" w:lineRule="auto"/>
              <w:ind w:left="288"/>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X&lt;10</w:t>
            </w:r>
          </w:p>
        </w:tc>
      </w:tr>
      <w:tr w14:paraId="4663D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2123" w:type="dxa"/>
            <w:vMerge w:val="continue"/>
            <w:tcBorders>
              <w:top w:val="nil"/>
            </w:tcBorders>
            <w:vAlign w:val="top"/>
          </w:tcPr>
          <w:p w14:paraId="447FDD9A">
            <w:pPr>
              <w:rPr>
                <w:rFonts w:hint="eastAsia" w:asciiTheme="minorEastAsia" w:hAnsiTheme="minorEastAsia" w:eastAsiaTheme="minorEastAsia" w:cstheme="minorEastAsia"/>
                <w:color w:val="auto"/>
                <w:sz w:val="21"/>
              </w:rPr>
            </w:pPr>
          </w:p>
        </w:tc>
        <w:tc>
          <w:tcPr>
            <w:tcW w:w="1359" w:type="dxa"/>
            <w:vAlign w:val="top"/>
          </w:tcPr>
          <w:p w14:paraId="7CA1763E">
            <w:pPr>
              <w:pStyle w:val="21"/>
              <w:spacing w:before="88" w:line="219" w:lineRule="auto"/>
              <w:ind w:left="122"/>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6"/>
                <w:sz w:val="20"/>
                <w:szCs w:val="20"/>
              </w:rPr>
              <w:t>营业收入(Y)</w:t>
            </w:r>
          </w:p>
        </w:tc>
        <w:tc>
          <w:tcPr>
            <w:tcW w:w="699" w:type="dxa"/>
            <w:vAlign w:val="top"/>
          </w:tcPr>
          <w:p w14:paraId="3C49F15C">
            <w:pPr>
              <w:pStyle w:val="21"/>
              <w:spacing w:before="88" w:line="220" w:lineRule="auto"/>
              <w:ind w:left="142"/>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4"/>
                <w:sz w:val="20"/>
                <w:szCs w:val="20"/>
              </w:rPr>
              <w:t>万元</w:t>
            </w:r>
          </w:p>
        </w:tc>
        <w:tc>
          <w:tcPr>
            <w:tcW w:w="1139" w:type="dxa"/>
            <w:vAlign w:val="top"/>
          </w:tcPr>
          <w:p w14:paraId="7914B716">
            <w:pPr>
              <w:pStyle w:val="21"/>
              <w:spacing w:before="108" w:line="214" w:lineRule="auto"/>
              <w:ind w:left="21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Y&gt;10000</w:t>
            </w:r>
          </w:p>
        </w:tc>
        <w:tc>
          <w:tcPr>
            <w:tcW w:w="1698" w:type="dxa"/>
            <w:vAlign w:val="top"/>
          </w:tcPr>
          <w:p w14:paraId="3C5242DC">
            <w:pPr>
              <w:pStyle w:val="21"/>
              <w:spacing w:before="106" w:line="216" w:lineRule="auto"/>
              <w:ind w:left="195"/>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1000≤Y&lt;10000</w:t>
            </w:r>
          </w:p>
        </w:tc>
        <w:tc>
          <w:tcPr>
            <w:tcW w:w="1408" w:type="dxa"/>
            <w:vAlign w:val="top"/>
          </w:tcPr>
          <w:p w14:paraId="5865A4C1">
            <w:pPr>
              <w:pStyle w:val="21"/>
              <w:spacing w:before="106" w:line="216" w:lineRule="auto"/>
              <w:ind w:left="196"/>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50≤Y&lt;1000</w:t>
            </w:r>
          </w:p>
        </w:tc>
        <w:tc>
          <w:tcPr>
            <w:tcW w:w="994" w:type="dxa"/>
            <w:vAlign w:val="top"/>
          </w:tcPr>
          <w:p w14:paraId="2F07F1F8">
            <w:pPr>
              <w:pStyle w:val="21"/>
              <w:spacing w:before="108" w:line="214" w:lineRule="auto"/>
              <w:ind w:left="288"/>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Y&lt;50</w:t>
            </w:r>
          </w:p>
        </w:tc>
      </w:tr>
      <w:tr w14:paraId="72568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123" w:type="dxa"/>
            <w:vMerge w:val="restart"/>
            <w:tcBorders>
              <w:bottom w:val="nil"/>
            </w:tcBorders>
            <w:vAlign w:val="top"/>
          </w:tcPr>
          <w:p w14:paraId="28E5AE33">
            <w:pPr>
              <w:pStyle w:val="21"/>
              <w:spacing w:before="238" w:line="219" w:lineRule="auto"/>
              <w:ind w:left="8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房地产开发经营</w:t>
            </w:r>
          </w:p>
        </w:tc>
        <w:tc>
          <w:tcPr>
            <w:tcW w:w="1359" w:type="dxa"/>
            <w:vAlign w:val="top"/>
          </w:tcPr>
          <w:p w14:paraId="21816431">
            <w:pPr>
              <w:pStyle w:val="21"/>
              <w:spacing w:before="78" w:line="219" w:lineRule="auto"/>
              <w:ind w:left="122"/>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6"/>
                <w:sz w:val="20"/>
                <w:szCs w:val="20"/>
              </w:rPr>
              <w:t>营业收入(V)</w:t>
            </w:r>
          </w:p>
        </w:tc>
        <w:tc>
          <w:tcPr>
            <w:tcW w:w="699" w:type="dxa"/>
            <w:vAlign w:val="top"/>
          </w:tcPr>
          <w:p w14:paraId="326EB45B">
            <w:pPr>
              <w:pStyle w:val="21"/>
              <w:spacing w:before="78" w:line="220" w:lineRule="auto"/>
              <w:ind w:left="142"/>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4"/>
                <w:sz w:val="20"/>
                <w:szCs w:val="20"/>
              </w:rPr>
              <w:t>万元</w:t>
            </w:r>
          </w:p>
        </w:tc>
        <w:tc>
          <w:tcPr>
            <w:tcW w:w="1139" w:type="dxa"/>
            <w:vAlign w:val="top"/>
          </w:tcPr>
          <w:p w14:paraId="669600CE">
            <w:pPr>
              <w:pStyle w:val="21"/>
              <w:spacing w:before="97" w:line="205" w:lineRule="auto"/>
              <w:ind w:left="11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3"/>
                <w:sz w:val="20"/>
                <w:szCs w:val="20"/>
              </w:rPr>
              <w:t>I≥200000</w:t>
            </w:r>
          </w:p>
        </w:tc>
        <w:tc>
          <w:tcPr>
            <w:tcW w:w="1698" w:type="dxa"/>
            <w:vAlign w:val="top"/>
          </w:tcPr>
          <w:p w14:paraId="61289FC6">
            <w:pPr>
              <w:pStyle w:val="21"/>
              <w:spacing w:before="95" w:line="207" w:lineRule="auto"/>
              <w:ind w:left="14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1000≤Y&lt;200000</w:t>
            </w:r>
          </w:p>
        </w:tc>
        <w:tc>
          <w:tcPr>
            <w:tcW w:w="1408" w:type="dxa"/>
            <w:vAlign w:val="top"/>
          </w:tcPr>
          <w:p w14:paraId="1C718CD2">
            <w:pPr>
              <w:pStyle w:val="21"/>
              <w:spacing w:before="95" w:line="207" w:lineRule="auto"/>
              <w:ind w:left="146"/>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3"/>
                <w:sz w:val="20"/>
                <w:szCs w:val="20"/>
              </w:rPr>
              <w:t>100≤Y&lt;1000</w:t>
            </w:r>
          </w:p>
        </w:tc>
        <w:tc>
          <w:tcPr>
            <w:tcW w:w="994" w:type="dxa"/>
            <w:vAlign w:val="top"/>
          </w:tcPr>
          <w:p w14:paraId="6A0C0DE1">
            <w:pPr>
              <w:pStyle w:val="21"/>
              <w:spacing w:before="97" w:line="205" w:lineRule="auto"/>
              <w:ind w:left="238"/>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Y&lt;100</w:t>
            </w:r>
          </w:p>
        </w:tc>
      </w:tr>
      <w:tr w14:paraId="7B3D0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2123" w:type="dxa"/>
            <w:vMerge w:val="continue"/>
            <w:tcBorders>
              <w:top w:val="nil"/>
            </w:tcBorders>
            <w:vAlign w:val="top"/>
          </w:tcPr>
          <w:p w14:paraId="3C6D5D0B">
            <w:pPr>
              <w:rPr>
                <w:rFonts w:hint="eastAsia" w:asciiTheme="minorEastAsia" w:hAnsiTheme="minorEastAsia" w:eastAsiaTheme="minorEastAsia" w:cstheme="minorEastAsia"/>
                <w:color w:val="auto"/>
                <w:sz w:val="21"/>
              </w:rPr>
            </w:pPr>
          </w:p>
        </w:tc>
        <w:tc>
          <w:tcPr>
            <w:tcW w:w="1359" w:type="dxa"/>
            <w:vAlign w:val="top"/>
          </w:tcPr>
          <w:p w14:paraId="136BE7F3">
            <w:pPr>
              <w:pStyle w:val="21"/>
              <w:spacing w:before="68" w:line="214" w:lineRule="auto"/>
              <w:ind w:left="122"/>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6"/>
                <w:sz w:val="20"/>
                <w:szCs w:val="20"/>
              </w:rPr>
              <w:t>资产总额(Z)</w:t>
            </w:r>
          </w:p>
        </w:tc>
        <w:tc>
          <w:tcPr>
            <w:tcW w:w="699" w:type="dxa"/>
            <w:vAlign w:val="top"/>
          </w:tcPr>
          <w:p w14:paraId="096B46BD">
            <w:pPr>
              <w:pStyle w:val="21"/>
              <w:spacing w:before="69" w:line="213" w:lineRule="auto"/>
              <w:ind w:left="142"/>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4"/>
                <w:sz w:val="20"/>
                <w:szCs w:val="20"/>
              </w:rPr>
              <w:t>万元</w:t>
            </w:r>
          </w:p>
        </w:tc>
        <w:tc>
          <w:tcPr>
            <w:tcW w:w="1139" w:type="dxa"/>
            <w:vAlign w:val="top"/>
          </w:tcPr>
          <w:p w14:paraId="62A8F19D">
            <w:pPr>
              <w:pStyle w:val="21"/>
              <w:spacing w:before="87" w:line="196" w:lineRule="auto"/>
              <w:ind w:left="16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Z≥10000</w:t>
            </w:r>
          </w:p>
        </w:tc>
        <w:tc>
          <w:tcPr>
            <w:tcW w:w="1698" w:type="dxa"/>
            <w:vAlign w:val="top"/>
          </w:tcPr>
          <w:p w14:paraId="78D3994D">
            <w:pPr>
              <w:pStyle w:val="21"/>
              <w:spacing w:before="85" w:line="198" w:lineRule="auto"/>
              <w:ind w:left="195"/>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5000≤Z&lt;10000</w:t>
            </w:r>
          </w:p>
        </w:tc>
        <w:tc>
          <w:tcPr>
            <w:tcW w:w="1408" w:type="dxa"/>
            <w:vAlign w:val="top"/>
          </w:tcPr>
          <w:p w14:paraId="53638CC2">
            <w:pPr>
              <w:pStyle w:val="21"/>
              <w:spacing w:before="85" w:line="198" w:lineRule="auto"/>
              <w:ind w:left="97"/>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2000≤Z&lt;5000</w:t>
            </w:r>
          </w:p>
        </w:tc>
        <w:tc>
          <w:tcPr>
            <w:tcW w:w="994" w:type="dxa"/>
            <w:vAlign w:val="top"/>
          </w:tcPr>
          <w:p w14:paraId="06B5F2AC">
            <w:pPr>
              <w:pStyle w:val="21"/>
              <w:spacing w:before="87" w:line="196" w:lineRule="auto"/>
              <w:ind w:left="18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Z&lt;2000</w:t>
            </w:r>
          </w:p>
        </w:tc>
      </w:tr>
      <w:tr w14:paraId="3C486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2123" w:type="dxa"/>
            <w:vMerge w:val="restart"/>
            <w:tcBorders>
              <w:bottom w:val="nil"/>
            </w:tcBorders>
            <w:vAlign w:val="top"/>
          </w:tcPr>
          <w:p w14:paraId="47B719C8">
            <w:pPr>
              <w:pStyle w:val="21"/>
              <w:spacing w:before="258" w:line="219" w:lineRule="auto"/>
              <w:ind w:left="8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物业管理</w:t>
            </w:r>
          </w:p>
        </w:tc>
        <w:tc>
          <w:tcPr>
            <w:tcW w:w="1359" w:type="dxa"/>
            <w:vAlign w:val="top"/>
          </w:tcPr>
          <w:p w14:paraId="6F2D91D5">
            <w:pPr>
              <w:pStyle w:val="21"/>
              <w:spacing w:before="88" w:line="220" w:lineRule="auto"/>
              <w:ind w:left="122"/>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6"/>
                <w:sz w:val="20"/>
                <w:szCs w:val="20"/>
              </w:rPr>
              <w:t>从业人员(X)</w:t>
            </w:r>
          </w:p>
        </w:tc>
        <w:tc>
          <w:tcPr>
            <w:tcW w:w="699" w:type="dxa"/>
            <w:vAlign w:val="top"/>
          </w:tcPr>
          <w:p w14:paraId="47602EF1">
            <w:pPr>
              <w:pStyle w:val="21"/>
              <w:spacing w:before="91" w:line="222" w:lineRule="auto"/>
              <w:ind w:left="243"/>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人</w:t>
            </w:r>
          </w:p>
        </w:tc>
        <w:tc>
          <w:tcPr>
            <w:tcW w:w="1139" w:type="dxa"/>
            <w:vAlign w:val="top"/>
          </w:tcPr>
          <w:p w14:paraId="52B59859">
            <w:pPr>
              <w:pStyle w:val="21"/>
              <w:spacing w:before="107" w:line="215" w:lineRule="auto"/>
              <w:ind w:left="21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x≥1000</w:t>
            </w:r>
          </w:p>
        </w:tc>
        <w:tc>
          <w:tcPr>
            <w:tcW w:w="1698" w:type="dxa"/>
            <w:vAlign w:val="top"/>
          </w:tcPr>
          <w:p w14:paraId="587C609D">
            <w:pPr>
              <w:pStyle w:val="21"/>
              <w:spacing w:before="106" w:line="216" w:lineRule="auto"/>
              <w:ind w:left="295"/>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300≤X&lt;1000</w:t>
            </w:r>
          </w:p>
        </w:tc>
        <w:tc>
          <w:tcPr>
            <w:tcW w:w="1408" w:type="dxa"/>
            <w:vAlign w:val="top"/>
          </w:tcPr>
          <w:p w14:paraId="0B9FC030">
            <w:pPr>
              <w:pStyle w:val="21"/>
              <w:spacing w:before="106" w:line="216" w:lineRule="auto"/>
              <w:ind w:left="196"/>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3"/>
                <w:sz w:val="20"/>
                <w:szCs w:val="20"/>
              </w:rPr>
              <w:t>100≤X&lt;300</w:t>
            </w:r>
          </w:p>
        </w:tc>
        <w:tc>
          <w:tcPr>
            <w:tcW w:w="994" w:type="dxa"/>
            <w:vAlign w:val="top"/>
          </w:tcPr>
          <w:p w14:paraId="3DF82D9C">
            <w:pPr>
              <w:pStyle w:val="21"/>
              <w:spacing w:before="108" w:line="214" w:lineRule="auto"/>
              <w:ind w:left="238"/>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X&lt;100</w:t>
            </w:r>
          </w:p>
        </w:tc>
      </w:tr>
      <w:tr w14:paraId="58E87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123" w:type="dxa"/>
            <w:vMerge w:val="continue"/>
            <w:tcBorders>
              <w:top w:val="nil"/>
            </w:tcBorders>
            <w:vAlign w:val="top"/>
          </w:tcPr>
          <w:p w14:paraId="7C993216">
            <w:pPr>
              <w:rPr>
                <w:rFonts w:hint="eastAsia" w:asciiTheme="minorEastAsia" w:hAnsiTheme="minorEastAsia" w:eastAsiaTheme="minorEastAsia" w:cstheme="minorEastAsia"/>
                <w:color w:val="auto"/>
                <w:sz w:val="21"/>
              </w:rPr>
            </w:pPr>
          </w:p>
        </w:tc>
        <w:tc>
          <w:tcPr>
            <w:tcW w:w="1359" w:type="dxa"/>
            <w:vAlign w:val="top"/>
          </w:tcPr>
          <w:p w14:paraId="6F055FAD">
            <w:pPr>
              <w:pStyle w:val="21"/>
              <w:spacing w:before="78" w:line="219" w:lineRule="auto"/>
              <w:ind w:left="122"/>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6"/>
                <w:sz w:val="20"/>
                <w:szCs w:val="20"/>
              </w:rPr>
              <w:t>营业收入(V)</w:t>
            </w:r>
          </w:p>
        </w:tc>
        <w:tc>
          <w:tcPr>
            <w:tcW w:w="699" w:type="dxa"/>
            <w:vAlign w:val="top"/>
          </w:tcPr>
          <w:p w14:paraId="2C7C1E63">
            <w:pPr>
              <w:pStyle w:val="21"/>
              <w:spacing w:before="78" w:line="220" w:lineRule="auto"/>
              <w:ind w:left="142"/>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4"/>
                <w:sz w:val="20"/>
                <w:szCs w:val="20"/>
              </w:rPr>
              <w:t>万元</w:t>
            </w:r>
          </w:p>
        </w:tc>
        <w:tc>
          <w:tcPr>
            <w:tcW w:w="1139" w:type="dxa"/>
            <w:vAlign w:val="top"/>
          </w:tcPr>
          <w:p w14:paraId="2399012A">
            <w:pPr>
              <w:pStyle w:val="21"/>
              <w:spacing w:before="97" w:line="205" w:lineRule="auto"/>
              <w:ind w:left="21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Y≥5000</w:t>
            </w:r>
          </w:p>
        </w:tc>
        <w:tc>
          <w:tcPr>
            <w:tcW w:w="1698" w:type="dxa"/>
            <w:vAlign w:val="top"/>
          </w:tcPr>
          <w:p w14:paraId="1B4BCBAE">
            <w:pPr>
              <w:pStyle w:val="21"/>
              <w:spacing w:before="95" w:line="207" w:lineRule="auto"/>
              <w:ind w:left="245"/>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1000≤Y&lt;5000</w:t>
            </w:r>
          </w:p>
        </w:tc>
        <w:tc>
          <w:tcPr>
            <w:tcW w:w="1408" w:type="dxa"/>
            <w:vAlign w:val="top"/>
          </w:tcPr>
          <w:p w14:paraId="4352F7FD">
            <w:pPr>
              <w:pStyle w:val="21"/>
              <w:spacing w:before="95" w:line="207" w:lineRule="auto"/>
              <w:ind w:left="146"/>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500≤Y&lt;1000</w:t>
            </w:r>
          </w:p>
        </w:tc>
        <w:tc>
          <w:tcPr>
            <w:tcW w:w="994" w:type="dxa"/>
            <w:vAlign w:val="top"/>
          </w:tcPr>
          <w:p w14:paraId="6EA412B5">
            <w:pPr>
              <w:pStyle w:val="21"/>
              <w:spacing w:before="97" w:line="205" w:lineRule="auto"/>
              <w:ind w:left="238"/>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Y&lt;500</w:t>
            </w:r>
          </w:p>
        </w:tc>
      </w:tr>
      <w:tr w14:paraId="69ADA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2123" w:type="dxa"/>
            <w:vMerge w:val="restart"/>
            <w:tcBorders>
              <w:bottom w:val="nil"/>
            </w:tcBorders>
            <w:vAlign w:val="top"/>
          </w:tcPr>
          <w:p w14:paraId="5E525BB3">
            <w:pPr>
              <w:pStyle w:val="21"/>
              <w:spacing w:before="248" w:line="219" w:lineRule="auto"/>
              <w:ind w:left="8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租赁和商务服务业</w:t>
            </w:r>
          </w:p>
        </w:tc>
        <w:tc>
          <w:tcPr>
            <w:tcW w:w="1359" w:type="dxa"/>
            <w:vAlign w:val="top"/>
          </w:tcPr>
          <w:p w14:paraId="2B39EE2C">
            <w:pPr>
              <w:pStyle w:val="21"/>
              <w:spacing w:before="69" w:line="213" w:lineRule="auto"/>
              <w:ind w:left="122"/>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6"/>
                <w:sz w:val="20"/>
                <w:szCs w:val="20"/>
              </w:rPr>
              <w:t>从业人员(X)</w:t>
            </w:r>
          </w:p>
        </w:tc>
        <w:tc>
          <w:tcPr>
            <w:tcW w:w="699" w:type="dxa"/>
            <w:vAlign w:val="top"/>
          </w:tcPr>
          <w:p w14:paraId="7ADB03B2">
            <w:pPr>
              <w:pStyle w:val="21"/>
              <w:spacing w:before="71" w:line="211" w:lineRule="auto"/>
              <w:ind w:left="243"/>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人</w:t>
            </w:r>
          </w:p>
        </w:tc>
        <w:tc>
          <w:tcPr>
            <w:tcW w:w="1139" w:type="dxa"/>
            <w:vAlign w:val="top"/>
          </w:tcPr>
          <w:p w14:paraId="650F257A">
            <w:pPr>
              <w:pStyle w:val="21"/>
              <w:spacing w:before="87" w:line="196" w:lineRule="auto"/>
              <w:ind w:left="26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X≥300</w:t>
            </w:r>
          </w:p>
        </w:tc>
        <w:tc>
          <w:tcPr>
            <w:tcW w:w="1698" w:type="dxa"/>
            <w:vAlign w:val="top"/>
          </w:tcPr>
          <w:p w14:paraId="0D0E6DD0">
            <w:pPr>
              <w:pStyle w:val="21"/>
              <w:spacing w:before="85" w:line="198" w:lineRule="auto"/>
              <w:ind w:left="34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3"/>
                <w:sz w:val="20"/>
                <w:szCs w:val="20"/>
              </w:rPr>
              <w:t>100≤X&lt;300</w:t>
            </w:r>
          </w:p>
        </w:tc>
        <w:tc>
          <w:tcPr>
            <w:tcW w:w="1408" w:type="dxa"/>
            <w:vAlign w:val="top"/>
          </w:tcPr>
          <w:p w14:paraId="524869A5">
            <w:pPr>
              <w:pStyle w:val="21"/>
              <w:spacing w:before="85" w:line="198" w:lineRule="auto"/>
              <w:ind w:left="247"/>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3"/>
                <w:sz w:val="20"/>
                <w:szCs w:val="20"/>
              </w:rPr>
              <w:t>10≤K&lt;100</w:t>
            </w:r>
          </w:p>
        </w:tc>
        <w:tc>
          <w:tcPr>
            <w:tcW w:w="994" w:type="dxa"/>
            <w:vAlign w:val="top"/>
          </w:tcPr>
          <w:p w14:paraId="360B9A51">
            <w:pPr>
              <w:pStyle w:val="21"/>
              <w:spacing w:before="88" w:line="195" w:lineRule="auto"/>
              <w:ind w:left="288"/>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X&lt;10</w:t>
            </w:r>
          </w:p>
        </w:tc>
      </w:tr>
      <w:tr w14:paraId="4ED53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2123" w:type="dxa"/>
            <w:vMerge w:val="continue"/>
            <w:tcBorders>
              <w:top w:val="nil"/>
            </w:tcBorders>
            <w:vAlign w:val="top"/>
          </w:tcPr>
          <w:p w14:paraId="678E91C8">
            <w:pPr>
              <w:rPr>
                <w:rFonts w:hint="eastAsia" w:asciiTheme="minorEastAsia" w:hAnsiTheme="minorEastAsia" w:eastAsiaTheme="minorEastAsia" w:cstheme="minorEastAsia"/>
                <w:color w:val="auto"/>
                <w:sz w:val="21"/>
              </w:rPr>
            </w:pPr>
          </w:p>
        </w:tc>
        <w:tc>
          <w:tcPr>
            <w:tcW w:w="1359" w:type="dxa"/>
            <w:vAlign w:val="top"/>
          </w:tcPr>
          <w:p w14:paraId="1350B3D7">
            <w:pPr>
              <w:pStyle w:val="21"/>
              <w:spacing w:before="88" w:line="219" w:lineRule="auto"/>
              <w:ind w:left="122"/>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6"/>
                <w:sz w:val="20"/>
                <w:szCs w:val="20"/>
              </w:rPr>
              <w:t>资产总额(Z)</w:t>
            </w:r>
          </w:p>
        </w:tc>
        <w:tc>
          <w:tcPr>
            <w:tcW w:w="699" w:type="dxa"/>
            <w:vAlign w:val="top"/>
          </w:tcPr>
          <w:p w14:paraId="2050DD38">
            <w:pPr>
              <w:pStyle w:val="21"/>
              <w:spacing w:before="88" w:line="220" w:lineRule="auto"/>
              <w:ind w:left="142"/>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4"/>
                <w:sz w:val="20"/>
                <w:szCs w:val="20"/>
              </w:rPr>
              <w:t>万元</w:t>
            </w:r>
          </w:p>
        </w:tc>
        <w:tc>
          <w:tcPr>
            <w:tcW w:w="1139" w:type="dxa"/>
            <w:vAlign w:val="top"/>
          </w:tcPr>
          <w:p w14:paraId="027EBDC0">
            <w:pPr>
              <w:pStyle w:val="21"/>
              <w:spacing w:before="107" w:line="215" w:lineRule="auto"/>
              <w:ind w:left="11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Z≥120000</w:t>
            </w:r>
          </w:p>
        </w:tc>
        <w:tc>
          <w:tcPr>
            <w:tcW w:w="1698" w:type="dxa"/>
            <w:vAlign w:val="top"/>
          </w:tcPr>
          <w:p w14:paraId="451ADAE6">
            <w:pPr>
              <w:pStyle w:val="21"/>
              <w:spacing w:before="106" w:line="216" w:lineRule="auto"/>
              <w:ind w:left="14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8000≤Z&lt;120000</w:t>
            </w:r>
          </w:p>
        </w:tc>
        <w:tc>
          <w:tcPr>
            <w:tcW w:w="1408" w:type="dxa"/>
            <w:vAlign w:val="top"/>
          </w:tcPr>
          <w:p w14:paraId="602D77F3">
            <w:pPr>
              <w:pStyle w:val="21"/>
              <w:spacing w:before="106" w:line="216" w:lineRule="auto"/>
              <w:ind w:left="146"/>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3"/>
                <w:sz w:val="20"/>
                <w:szCs w:val="20"/>
              </w:rPr>
              <w:t>100≤Z&lt;8000</w:t>
            </w:r>
          </w:p>
        </w:tc>
        <w:tc>
          <w:tcPr>
            <w:tcW w:w="994" w:type="dxa"/>
            <w:vAlign w:val="top"/>
          </w:tcPr>
          <w:p w14:paraId="7ED4185D">
            <w:pPr>
              <w:pStyle w:val="21"/>
              <w:spacing w:before="108" w:line="214" w:lineRule="auto"/>
              <w:ind w:left="238"/>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Z&lt;100</w:t>
            </w:r>
          </w:p>
        </w:tc>
      </w:tr>
      <w:tr w14:paraId="678DF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2123" w:type="dxa"/>
            <w:vAlign w:val="top"/>
          </w:tcPr>
          <w:p w14:paraId="5B770A63">
            <w:pPr>
              <w:pStyle w:val="21"/>
              <w:spacing w:before="98" w:line="219" w:lineRule="auto"/>
              <w:ind w:left="8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其他未列明行业*</w:t>
            </w:r>
          </w:p>
        </w:tc>
        <w:tc>
          <w:tcPr>
            <w:tcW w:w="1359" w:type="dxa"/>
            <w:vAlign w:val="top"/>
          </w:tcPr>
          <w:p w14:paraId="675F72A0">
            <w:pPr>
              <w:pStyle w:val="21"/>
              <w:spacing w:before="98" w:line="220" w:lineRule="auto"/>
              <w:ind w:left="122"/>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6"/>
                <w:sz w:val="20"/>
                <w:szCs w:val="20"/>
              </w:rPr>
              <w:t>从业人员(X)</w:t>
            </w:r>
          </w:p>
        </w:tc>
        <w:tc>
          <w:tcPr>
            <w:tcW w:w="699" w:type="dxa"/>
            <w:vAlign w:val="top"/>
          </w:tcPr>
          <w:p w14:paraId="71DA39A7">
            <w:pPr>
              <w:pStyle w:val="21"/>
              <w:spacing w:before="101" w:line="222" w:lineRule="auto"/>
              <w:ind w:left="243"/>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人</w:t>
            </w:r>
          </w:p>
        </w:tc>
        <w:tc>
          <w:tcPr>
            <w:tcW w:w="1139" w:type="dxa"/>
            <w:vAlign w:val="top"/>
          </w:tcPr>
          <w:p w14:paraId="30FE9DB1">
            <w:pPr>
              <w:pStyle w:val="21"/>
              <w:spacing w:before="117" w:line="237" w:lineRule="auto"/>
              <w:ind w:left="26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
                <w:sz w:val="20"/>
                <w:szCs w:val="20"/>
              </w:rPr>
              <w:t>X≥300</w:t>
            </w:r>
          </w:p>
        </w:tc>
        <w:tc>
          <w:tcPr>
            <w:tcW w:w="1698" w:type="dxa"/>
            <w:vAlign w:val="top"/>
          </w:tcPr>
          <w:p w14:paraId="2D27A3DE">
            <w:pPr>
              <w:pStyle w:val="21"/>
              <w:spacing w:before="115" w:line="236" w:lineRule="auto"/>
              <w:ind w:left="34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3"/>
                <w:sz w:val="20"/>
                <w:szCs w:val="20"/>
              </w:rPr>
              <w:t>100≤X&lt;300</w:t>
            </w:r>
          </w:p>
        </w:tc>
        <w:tc>
          <w:tcPr>
            <w:tcW w:w="1408" w:type="dxa"/>
            <w:vAlign w:val="top"/>
          </w:tcPr>
          <w:p w14:paraId="4E5EED9E">
            <w:pPr>
              <w:pStyle w:val="21"/>
              <w:spacing w:before="115" w:line="236" w:lineRule="auto"/>
              <w:ind w:left="247"/>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3"/>
                <w:sz w:val="20"/>
                <w:szCs w:val="20"/>
              </w:rPr>
              <w:t>10≤X&lt;100</w:t>
            </w:r>
          </w:p>
        </w:tc>
        <w:tc>
          <w:tcPr>
            <w:tcW w:w="994" w:type="dxa"/>
            <w:vAlign w:val="top"/>
          </w:tcPr>
          <w:p w14:paraId="47E7D2EA">
            <w:pPr>
              <w:pStyle w:val="21"/>
              <w:spacing w:before="118" w:line="236" w:lineRule="auto"/>
              <w:ind w:left="288"/>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2"/>
                <w:sz w:val="20"/>
                <w:szCs w:val="20"/>
              </w:rPr>
              <w:t>X&lt;10</w:t>
            </w:r>
          </w:p>
        </w:tc>
      </w:tr>
    </w:tbl>
    <w:p w14:paraId="61269DEE">
      <w:pPr>
        <w:pStyle w:val="10"/>
        <w:spacing w:line="267" w:lineRule="auto"/>
        <w:rPr>
          <w:rFonts w:hint="eastAsia" w:asciiTheme="minorEastAsia" w:hAnsiTheme="minorEastAsia" w:eastAsiaTheme="minorEastAsia" w:cstheme="minorEastAsia"/>
          <w:color w:val="auto"/>
        </w:rPr>
      </w:pPr>
    </w:p>
    <w:p w14:paraId="3DC9D60A">
      <w:pPr>
        <w:spacing w:before="62" w:line="221" w:lineRule="auto"/>
        <w:ind w:left="225"/>
        <w:rPr>
          <w:rFonts w:hint="eastAsia" w:asciiTheme="minorEastAsia" w:hAnsiTheme="minorEastAsia" w:eastAsiaTheme="minorEastAsia" w:cstheme="minorEastAsia"/>
          <w:color w:val="auto"/>
          <w:sz w:val="19"/>
          <w:szCs w:val="19"/>
        </w:rPr>
      </w:pPr>
      <w:r>
        <w:rPr>
          <w:rFonts w:hint="eastAsia" w:asciiTheme="minorEastAsia" w:hAnsiTheme="minorEastAsia" w:eastAsiaTheme="minorEastAsia" w:cstheme="minorEastAsia"/>
          <w:color w:val="auto"/>
          <w:spacing w:val="-9"/>
          <w:sz w:val="19"/>
          <w:szCs w:val="19"/>
        </w:rPr>
        <w:t>说</w:t>
      </w:r>
      <w:r>
        <w:rPr>
          <w:rFonts w:hint="eastAsia" w:asciiTheme="minorEastAsia" w:hAnsiTheme="minorEastAsia" w:eastAsiaTheme="minorEastAsia" w:cstheme="minorEastAsia"/>
          <w:color w:val="auto"/>
          <w:spacing w:val="-19"/>
          <w:sz w:val="19"/>
          <w:szCs w:val="19"/>
        </w:rPr>
        <w:t xml:space="preserve"> </w:t>
      </w:r>
      <w:r>
        <w:rPr>
          <w:rFonts w:hint="eastAsia" w:asciiTheme="minorEastAsia" w:hAnsiTheme="minorEastAsia" w:eastAsiaTheme="minorEastAsia" w:cstheme="minorEastAsia"/>
          <w:color w:val="auto"/>
          <w:spacing w:val="-9"/>
          <w:sz w:val="19"/>
          <w:szCs w:val="19"/>
        </w:rPr>
        <w:t>明</w:t>
      </w:r>
      <w:r>
        <w:rPr>
          <w:rFonts w:hint="eastAsia" w:asciiTheme="minorEastAsia" w:hAnsiTheme="minorEastAsia" w:eastAsiaTheme="minorEastAsia" w:cstheme="minorEastAsia"/>
          <w:color w:val="auto"/>
          <w:spacing w:val="-35"/>
          <w:sz w:val="19"/>
          <w:szCs w:val="19"/>
        </w:rPr>
        <w:t xml:space="preserve"> </w:t>
      </w:r>
      <w:r>
        <w:rPr>
          <w:rFonts w:hint="eastAsia" w:asciiTheme="minorEastAsia" w:hAnsiTheme="minorEastAsia" w:eastAsiaTheme="minorEastAsia" w:cstheme="minorEastAsia"/>
          <w:color w:val="auto"/>
          <w:spacing w:val="-9"/>
          <w:sz w:val="19"/>
          <w:szCs w:val="19"/>
        </w:rPr>
        <w:t>：</w:t>
      </w:r>
    </w:p>
    <w:p w14:paraId="331D265C">
      <w:pPr>
        <w:spacing w:before="154" w:line="213" w:lineRule="auto"/>
        <w:ind w:left="684"/>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4"/>
          <w:sz w:val="22"/>
          <w:szCs w:val="22"/>
        </w:rPr>
        <w:t>1.大型、中型和小型企业须同时满足所列指标的下限，否则下划一档；微型</w:t>
      </w:r>
      <w:r>
        <w:rPr>
          <w:rFonts w:hint="eastAsia" w:asciiTheme="minorEastAsia" w:hAnsiTheme="minorEastAsia" w:eastAsiaTheme="minorEastAsia" w:cstheme="minorEastAsia"/>
          <w:color w:val="auto"/>
          <w:spacing w:val="3"/>
          <w:sz w:val="22"/>
          <w:szCs w:val="22"/>
        </w:rPr>
        <w:t>企业只须满</w:t>
      </w:r>
    </w:p>
    <w:p w14:paraId="01912F88">
      <w:pPr>
        <w:spacing w:line="213" w:lineRule="auto"/>
        <w:rPr>
          <w:rFonts w:hint="eastAsia" w:asciiTheme="minorEastAsia" w:hAnsiTheme="minorEastAsia" w:eastAsiaTheme="minorEastAsia" w:cstheme="minorEastAsia"/>
          <w:color w:val="auto"/>
          <w:sz w:val="22"/>
          <w:szCs w:val="22"/>
        </w:rPr>
        <w:sectPr>
          <w:pgSz w:w="11900" w:h="16830"/>
          <w:pgMar w:top="1217" w:right="1254" w:bottom="991" w:left="1214" w:header="0" w:footer="847" w:gutter="0"/>
          <w:cols w:space="720" w:num="1"/>
        </w:sectPr>
      </w:pPr>
    </w:p>
    <w:p w14:paraId="57830755">
      <w:pPr>
        <w:spacing w:before="44" w:line="222" w:lineRule="auto"/>
        <w:ind w:left="3"/>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b/>
          <w:bCs/>
          <w:color w:val="auto"/>
          <w:spacing w:val="3"/>
          <w:sz w:val="22"/>
          <w:szCs w:val="22"/>
        </w:rPr>
        <w:t>足所列指标中的一项即可。</w:t>
      </w:r>
    </w:p>
    <w:p w14:paraId="1EF14214">
      <w:pPr>
        <w:spacing w:before="131" w:line="319" w:lineRule="auto"/>
        <w:ind w:firstLine="45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3"/>
          <w:sz w:val="22"/>
          <w:szCs w:val="22"/>
        </w:rPr>
        <w:t>2.附表中各行业的范围以《国民经济行业分类》(</w:t>
      </w:r>
      <w:r>
        <w:rPr>
          <w:rFonts w:hint="eastAsia" w:asciiTheme="minorEastAsia" w:hAnsiTheme="minorEastAsia" w:eastAsiaTheme="minorEastAsia" w:cstheme="minorEastAsia"/>
          <w:color w:val="auto"/>
          <w:sz w:val="22"/>
          <w:szCs w:val="22"/>
        </w:rPr>
        <w:t>GB</w:t>
      </w:r>
      <w:r>
        <w:rPr>
          <w:rFonts w:hint="eastAsia" w:asciiTheme="minorEastAsia" w:hAnsiTheme="minorEastAsia" w:eastAsiaTheme="minorEastAsia" w:cstheme="minorEastAsia"/>
          <w:color w:val="auto"/>
          <w:spacing w:val="3"/>
          <w:sz w:val="22"/>
          <w:szCs w:val="22"/>
        </w:rPr>
        <w:t>/T4754-2017)</w:t>
      </w:r>
      <w:r>
        <w:rPr>
          <w:rFonts w:hint="eastAsia" w:asciiTheme="minorEastAsia" w:hAnsiTheme="minorEastAsia" w:eastAsiaTheme="minorEastAsia" w:cstheme="minorEastAsia"/>
          <w:color w:val="auto"/>
          <w:spacing w:val="114"/>
          <w:sz w:val="22"/>
          <w:szCs w:val="22"/>
        </w:rPr>
        <w:t xml:space="preserve"> </w:t>
      </w:r>
      <w:r>
        <w:rPr>
          <w:rFonts w:hint="eastAsia" w:asciiTheme="minorEastAsia" w:hAnsiTheme="minorEastAsia" w:eastAsiaTheme="minorEastAsia" w:cstheme="minorEastAsia"/>
          <w:color w:val="auto"/>
          <w:spacing w:val="3"/>
          <w:sz w:val="22"/>
          <w:szCs w:val="22"/>
        </w:rPr>
        <w:t>为准。带*的项为行</w:t>
      </w:r>
      <w:r>
        <w:rPr>
          <w:rFonts w:hint="eastAsia" w:asciiTheme="minorEastAsia" w:hAnsiTheme="minorEastAsia" w:eastAsiaTheme="minorEastAsia" w:cstheme="minorEastAsia"/>
          <w:color w:val="auto"/>
          <w:sz w:val="22"/>
          <w:szCs w:val="22"/>
        </w:rPr>
        <w:t xml:space="preserve">  </w:t>
      </w:r>
      <w:r>
        <w:rPr>
          <w:rFonts w:hint="eastAsia" w:asciiTheme="minorEastAsia" w:hAnsiTheme="minorEastAsia" w:eastAsiaTheme="minorEastAsia" w:cstheme="minorEastAsia"/>
          <w:color w:val="auto"/>
          <w:spacing w:val="4"/>
          <w:sz w:val="22"/>
          <w:szCs w:val="22"/>
        </w:rPr>
        <w:t>业组合类别，其中，工业包括采矿业，制造业，电力、热力、燃气及水生产和供应业</w:t>
      </w:r>
      <w:r>
        <w:rPr>
          <w:rFonts w:hint="eastAsia" w:asciiTheme="minorEastAsia" w:hAnsiTheme="minorEastAsia" w:eastAsiaTheme="minorEastAsia" w:cstheme="minorEastAsia"/>
          <w:color w:val="auto"/>
          <w:spacing w:val="3"/>
          <w:sz w:val="22"/>
          <w:szCs w:val="22"/>
        </w:rPr>
        <w:t>；交通</w:t>
      </w:r>
      <w:r>
        <w:rPr>
          <w:rFonts w:hint="eastAsia" w:asciiTheme="minorEastAsia" w:hAnsiTheme="minorEastAsia" w:eastAsiaTheme="minorEastAsia" w:cstheme="minorEastAsia"/>
          <w:color w:val="auto"/>
          <w:sz w:val="22"/>
          <w:szCs w:val="22"/>
        </w:rPr>
        <w:t xml:space="preserve">  </w:t>
      </w:r>
      <w:r>
        <w:rPr>
          <w:rFonts w:hint="eastAsia" w:asciiTheme="minorEastAsia" w:hAnsiTheme="minorEastAsia" w:eastAsiaTheme="minorEastAsia" w:cstheme="minorEastAsia"/>
          <w:color w:val="auto"/>
          <w:spacing w:val="6"/>
          <w:sz w:val="22"/>
          <w:szCs w:val="22"/>
        </w:rPr>
        <w:t>运输业包括道路运输业，水上运输业，航空运输业，管道运输业，多式联运和运输代理业、</w:t>
      </w:r>
      <w:r>
        <w:rPr>
          <w:rFonts w:hint="eastAsia" w:asciiTheme="minorEastAsia" w:hAnsiTheme="minorEastAsia" w:eastAsiaTheme="minorEastAsia" w:cstheme="minorEastAsia"/>
          <w:color w:val="auto"/>
          <w:spacing w:val="18"/>
          <w:sz w:val="22"/>
          <w:szCs w:val="22"/>
        </w:rPr>
        <w:t xml:space="preserve"> </w:t>
      </w:r>
      <w:r>
        <w:rPr>
          <w:rFonts w:hint="eastAsia" w:asciiTheme="minorEastAsia" w:hAnsiTheme="minorEastAsia" w:eastAsiaTheme="minorEastAsia" w:cstheme="minorEastAsia"/>
          <w:color w:val="auto"/>
          <w:spacing w:val="4"/>
          <w:sz w:val="22"/>
          <w:szCs w:val="22"/>
        </w:rPr>
        <w:t>装卸搬运，不包括铁路运输业；仓储业包括通用仓储，低温仓储，危险品仓储，谷物、棉花</w:t>
      </w:r>
      <w:r>
        <w:rPr>
          <w:rFonts w:hint="eastAsia" w:asciiTheme="minorEastAsia" w:hAnsiTheme="minorEastAsia" w:eastAsiaTheme="minorEastAsia" w:cstheme="minorEastAsia"/>
          <w:color w:val="auto"/>
          <w:sz w:val="22"/>
          <w:szCs w:val="22"/>
        </w:rPr>
        <w:t xml:space="preserve">  </w:t>
      </w:r>
      <w:r>
        <w:rPr>
          <w:rFonts w:hint="eastAsia" w:asciiTheme="minorEastAsia" w:hAnsiTheme="minorEastAsia" w:eastAsiaTheme="minorEastAsia" w:cstheme="minorEastAsia"/>
          <w:color w:val="auto"/>
          <w:spacing w:val="1"/>
          <w:sz w:val="22"/>
          <w:szCs w:val="22"/>
        </w:rPr>
        <w:t>等农产品仓储，中药材仓储和其他仓储业；信息传输业包括电信、广播电视和卫星传输服务，</w:t>
      </w:r>
      <w:r>
        <w:rPr>
          <w:rFonts w:hint="eastAsia" w:asciiTheme="minorEastAsia" w:hAnsiTheme="minorEastAsia" w:eastAsiaTheme="minorEastAsia" w:cstheme="minorEastAsia"/>
          <w:color w:val="auto"/>
          <w:spacing w:val="18"/>
          <w:sz w:val="22"/>
          <w:szCs w:val="22"/>
        </w:rPr>
        <w:t xml:space="preserve"> </w:t>
      </w:r>
      <w:r>
        <w:rPr>
          <w:rFonts w:hint="eastAsia" w:asciiTheme="minorEastAsia" w:hAnsiTheme="minorEastAsia" w:eastAsiaTheme="minorEastAsia" w:cstheme="minorEastAsia"/>
          <w:color w:val="auto"/>
          <w:spacing w:val="4"/>
          <w:sz w:val="22"/>
          <w:szCs w:val="22"/>
        </w:rPr>
        <w:t>互联网和相关服务；其他未列明行业包括科学研究和技术服务业，水利、环境和公共设</w:t>
      </w:r>
      <w:r>
        <w:rPr>
          <w:rFonts w:hint="eastAsia" w:asciiTheme="minorEastAsia" w:hAnsiTheme="minorEastAsia" w:eastAsiaTheme="minorEastAsia" w:cstheme="minorEastAsia"/>
          <w:color w:val="auto"/>
          <w:spacing w:val="3"/>
          <w:sz w:val="22"/>
          <w:szCs w:val="22"/>
        </w:rPr>
        <w:t>施管</w:t>
      </w:r>
      <w:r>
        <w:rPr>
          <w:rFonts w:hint="eastAsia" w:asciiTheme="minorEastAsia" w:hAnsiTheme="minorEastAsia" w:eastAsiaTheme="minorEastAsia" w:cstheme="minorEastAsia"/>
          <w:color w:val="auto"/>
          <w:sz w:val="22"/>
          <w:szCs w:val="22"/>
        </w:rPr>
        <w:t xml:space="preserve">  </w:t>
      </w:r>
      <w:r>
        <w:rPr>
          <w:rFonts w:hint="eastAsia" w:asciiTheme="minorEastAsia" w:hAnsiTheme="minorEastAsia" w:eastAsiaTheme="minorEastAsia" w:cstheme="minorEastAsia"/>
          <w:color w:val="auto"/>
          <w:spacing w:val="4"/>
          <w:sz w:val="22"/>
          <w:szCs w:val="22"/>
        </w:rPr>
        <w:t>理业，居民服务、修理和其他服务业，社会工作，文化、体育和娱乐业，以及房地产中介服</w:t>
      </w:r>
      <w:r>
        <w:rPr>
          <w:rFonts w:hint="eastAsia" w:asciiTheme="minorEastAsia" w:hAnsiTheme="minorEastAsia" w:eastAsiaTheme="minorEastAsia" w:cstheme="minorEastAsia"/>
          <w:color w:val="auto"/>
          <w:sz w:val="22"/>
          <w:szCs w:val="22"/>
        </w:rPr>
        <w:t xml:space="preserve">  </w:t>
      </w:r>
      <w:r>
        <w:rPr>
          <w:rFonts w:hint="eastAsia" w:asciiTheme="minorEastAsia" w:hAnsiTheme="minorEastAsia" w:eastAsiaTheme="minorEastAsia" w:cstheme="minorEastAsia"/>
          <w:color w:val="auto"/>
          <w:spacing w:val="5"/>
          <w:sz w:val="22"/>
          <w:szCs w:val="22"/>
        </w:rPr>
        <w:t>务，其他房地产业等，不包括自有房地产经营活动。</w:t>
      </w:r>
    </w:p>
    <w:p w14:paraId="091B18A9">
      <w:pPr>
        <w:spacing w:before="227" w:line="322" w:lineRule="auto"/>
        <w:ind w:right="19" w:firstLine="47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2"/>
          <w:sz w:val="22"/>
          <w:szCs w:val="22"/>
        </w:rPr>
        <w:t>3.企业划分指标以现行统计制度为准。(1)从业人员，是指期末从业人员数，没有期</w:t>
      </w:r>
      <w:r>
        <w:rPr>
          <w:rFonts w:hint="eastAsia" w:asciiTheme="minorEastAsia" w:hAnsiTheme="minorEastAsia" w:eastAsiaTheme="minorEastAsia" w:cstheme="minorEastAsia"/>
          <w:color w:val="auto"/>
          <w:spacing w:val="6"/>
          <w:sz w:val="22"/>
          <w:szCs w:val="22"/>
        </w:rPr>
        <w:t xml:space="preserve"> </w:t>
      </w:r>
      <w:r>
        <w:rPr>
          <w:rFonts w:hint="eastAsia" w:asciiTheme="minorEastAsia" w:hAnsiTheme="minorEastAsia" w:eastAsiaTheme="minorEastAsia" w:cstheme="minorEastAsia"/>
          <w:color w:val="auto"/>
          <w:spacing w:val="12"/>
          <w:sz w:val="22"/>
          <w:szCs w:val="22"/>
        </w:rPr>
        <w:t>末从业人员数的，采用全年平均人员数代替。(2)营业收入，工业、建筑业、限额以上批</w:t>
      </w:r>
      <w:r>
        <w:rPr>
          <w:rFonts w:hint="eastAsia" w:asciiTheme="minorEastAsia" w:hAnsiTheme="minorEastAsia" w:eastAsiaTheme="minorEastAsia" w:cstheme="minorEastAsia"/>
          <w:color w:val="auto"/>
          <w:spacing w:val="3"/>
          <w:sz w:val="22"/>
          <w:szCs w:val="22"/>
        </w:rPr>
        <w:t xml:space="preserve">  </w:t>
      </w:r>
      <w:r>
        <w:rPr>
          <w:rFonts w:hint="eastAsia" w:asciiTheme="minorEastAsia" w:hAnsiTheme="minorEastAsia" w:eastAsiaTheme="minorEastAsia" w:cstheme="minorEastAsia"/>
          <w:color w:val="auto"/>
          <w:spacing w:val="4"/>
          <w:sz w:val="22"/>
          <w:szCs w:val="22"/>
        </w:rPr>
        <w:t>发和零售业、限额以上住宿和餐饮业以及其他设置主营业务收入指标的行业，采用主</w:t>
      </w:r>
      <w:r>
        <w:rPr>
          <w:rFonts w:hint="eastAsia" w:asciiTheme="minorEastAsia" w:hAnsiTheme="minorEastAsia" w:eastAsiaTheme="minorEastAsia" w:cstheme="minorEastAsia"/>
          <w:color w:val="auto"/>
          <w:spacing w:val="3"/>
          <w:sz w:val="22"/>
          <w:szCs w:val="22"/>
        </w:rPr>
        <w:t>营业务</w:t>
      </w:r>
      <w:r>
        <w:rPr>
          <w:rFonts w:hint="eastAsia" w:asciiTheme="minorEastAsia" w:hAnsiTheme="minorEastAsia" w:eastAsiaTheme="minorEastAsia" w:cstheme="minorEastAsia"/>
          <w:color w:val="auto"/>
          <w:sz w:val="22"/>
          <w:szCs w:val="22"/>
        </w:rPr>
        <w:t xml:space="preserve">  </w:t>
      </w:r>
      <w:r>
        <w:rPr>
          <w:rFonts w:hint="eastAsia" w:asciiTheme="minorEastAsia" w:hAnsiTheme="minorEastAsia" w:eastAsiaTheme="minorEastAsia" w:cstheme="minorEastAsia"/>
          <w:color w:val="auto"/>
          <w:spacing w:val="4"/>
          <w:sz w:val="22"/>
          <w:szCs w:val="22"/>
        </w:rPr>
        <w:t>收入；限额以下批发与零售业企业采用商品销售额代替；限额以下住宿与餐饮业企业采用营</w:t>
      </w:r>
      <w:r>
        <w:rPr>
          <w:rFonts w:hint="eastAsia" w:asciiTheme="minorEastAsia" w:hAnsiTheme="minorEastAsia" w:eastAsiaTheme="minorEastAsia" w:cstheme="minorEastAsia"/>
          <w:color w:val="auto"/>
          <w:spacing w:val="1"/>
          <w:sz w:val="22"/>
          <w:szCs w:val="22"/>
        </w:rPr>
        <w:t xml:space="preserve">  </w:t>
      </w:r>
      <w:r>
        <w:rPr>
          <w:rFonts w:hint="eastAsia" w:asciiTheme="minorEastAsia" w:hAnsiTheme="minorEastAsia" w:eastAsiaTheme="minorEastAsia" w:cstheme="minorEastAsia"/>
          <w:color w:val="auto"/>
          <w:spacing w:val="4"/>
          <w:sz w:val="22"/>
          <w:szCs w:val="22"/>
        </w:rPr>
        <w:t>业额代替；农、林、牧、</w:t>
      </w:r>
      <w:r>
        <w:rPr>
          <w:rFonts w:hint="eastAsia" w:asciiTheme="minorEastAsia" w:hAnsiTheme="minorEastAsia" w:eastAsiaTheme="minorEastAsia" w:cstheme="minorEastAsia"/>
          <w:color w:val="auto"/>
          <w:spacing w:val="-11"/>
          <w:sz w:val="22"/>
          <w:szCs w:val="22"/>
        </w:rPr>
        <w:t xml:space="preserve"> </w:t>
      </w:r>
      <w:r>
        <w:rPr>
          <w:rFonts w:hint="eastAsia" w:asciiTheme="minorEastAsia" w:hAnsiTheme="minorEastAsia" w:eastAsiaTheme="minorEastAsia" w:cstheme="minorEastAsia"/>
          <w:color w:val="auto"/>
          <w:spacing w:val="4"/>
          <w:sz w:val="22"/>
          <w:szCs w:val="22"/>
          <w:u w:val="single" w:color="auto"/>
        </w:rPr>
        <w:t>渔业企业</w:t>
      </w:r>
      <w:r>
        <w:rPr>
          <w:rFonts w:hint="eastAsia" w:asciiTheme="minorEastAsia" w:hAnsiTheme="minorEastAsia" w:eastAsiaTheme="minorEastAsia" w:cstheme="minorEastAsia"/>
          <w:color w:val="auto"/>
          <w:spacing w:val="4"/>
          <w:sz w:val="22"/>
          <w:szCs w:val="22"/>
        </w:rPr>
        <w:t>采用营业总收入代替；其他未设置主营业务收入的行业，</w:t>
      </w:r>
      <w:r>
        <w:rPr>
          <w:rFonts w:hint="eastAsia" w:asciiTheme="minorEastAsia" w:hAnsiTheme="minorEastAsia" w:eastAsiaTheme="minorEastAsia" w:cstheme="minorEastAsia"/>
          <w:color w:val="auto"/>
          <w:sz w:val="22"/>
          <w:szCs w:val="22"/>
        </w:rPr>
        <w:t xml:space="preserve"> </w:t>
      </w:r>
      <w:r>
        <w:rPr>
          <w:rFonts w:hint="eastAsia" w:asciiTheme="minorEastAsia" w:hAnsiTheme="minorEastAsia" w:eastAsiaTheme="minorEastAsia" w:cstheme="minorEastAsia"/>
          <w:color w:val="auto"/>
          <w:spacing w:val="14"/>
          <w:sz w:val="22"/>
          <w:szCs w:val="22"/>
        </w:rPr>
        <w:t>采用营业收入指标。(3)资产总额，采用资产总计代替。</w:t>
      </w:r>
    </w:p>
    <w:p w14:paraId="1EAAB3FE">
      <w:pPr>
        <w:spacing w:line="322" w:lineRule="auto"/>
        <w:rPr>
          <w:rFonts w:hint="eastAsia" w:asciiTheme="minorEastAsia" w:hAnsiTheme="minorEastAsia" w:eastAsiaTheme="minorEastAsia" w:cstheme="minorEastAsia"/>
          <w:color w:val="auto"/>
          <w:sz w:val="22"/>
          <w:szCs w:val="22"/>
        </w:rPr>
        <w:sectPr>
          <w:footerReference r:id="rId9" w:type="default"/>
          <w:pgSz w:w="11900" w:h="16830"/>
          <w:pgMar w:top="1120" w:right="1379" w:bottom="991" w:left="1440" w:header="0" w:footer="847" w:gutter="0"/>
          <w:cols w:space="720" w:num="1"/>
        </w:sectPr>
      </w:pPr>
    </w:p>
    <w:p w14:paraId="0BE94A08">
      <w:pPr>
        <w:pStyle w:val="2"/>
        <w:bidi w:val="0"/>
        <w:spacing w:line="360" w:lineRule="auto"/>
        <w:rPr>
          <w:rFonts w:hint="eastAsia"/>
          <w:color w:val="auto"/>
        </w:rPr>
      </w:pPr>
      <w:bookmarkStart w:id="9" w:name="_Toc25303"/>
      <w:r>
        <w:rPr>
          <w:rFonts w:hint="eastAsia"/>
          <w:color w:val="auto"/>
        </w:rPr>
        <w:t>第三章  投标人须知</w:t>
      </w:r>
      <w:bookmarkEnd w:id="9"/>
    </w:p>
    <w:p w14:paraId="7C21D1A0">
      <w:pPr>
        <w:pStyle w:val="3"/>
        <w:numPr>
          <w:ilvl w:val="1"/>
          <w:numId w:val="0"/>
        </w:numPr>
        <w:bidi w:val="0"/>
        <w:ind w:leftChars="0"/>
        <w:jc w:val="center"/>
        <w:rPr>
          <w:rFonts w:hint="eastAsia"/>
          <w:color w:val="auto"/>
        </w:rPr>
      </w:pPr>
      <w:r>
        <w:rPr>
          <w:rFonts w:hint="eastAsia"/>
          <w:color w:val="auto"/>
        </w:rPr>
        <w:t>第一节</w:t>
      </w:r>
      <w:r>
        <w:rPr>
          <w:rFonts w:hint="eastAsia"/>
          <w:color w:val="auto"/>
          <w:lang w:val="en-US" w:eastAsia="zh-CN"/>
        </w:rPr>
        <w:t xml:space="preserve"> </w:t>
      </w:r>
      <w:r>
        <w:rPr>
          <w:rFonts w:hint="eastAsia"/>
          <w:color w:val="auto"/>
        </w:rPr>
        <w:t>投标人须知前附表</w:t>
      </w:r>
    </w:p>
    <w:p w14:paraId="6AB57C8F">
      <w:pPr>
        <w:spacing w:before="5"/>
        <w:rPr>
          <w:rFonts w:hint="eastAsia" w:asciiTheme="minorEastAsia" w:hAnsiTheme="minorEastAsia" w:eastAsiaTheme="minorEastAsia" w:cstheme="minorEastAsia"/>
          <w:color w:val="auto"/>
        </w:rPr>
      </w:pPr>
    </w:p>
    <w:p w14:paraId="4D330DE2">
      <w:pPr>
        <w:spacing w:before="5"/>
        <w:rPr>
          <w:rFonts w:hint="eastAsia" w:asciiTheme="minorEastAsia" w:hAnsiTheme="minorEastAsia" w:eastAsiaTheme="minorEastAsia" w:cstheme="minorEastAsia"/>
          <w:color w:val="auto"/>
        </w:rPr>
      </w:pPr>
    </w:p>
    <w:tbl>
      <w:tblPr>
        <w:tblStyle w:val="20"/>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2138"/>
        <w:gridCol w:w="7306"/>
      </w:tblGrid>
      <w:tr w14:paraId="276D6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14" w:type="dxa"/>
            <w:vAlign w:val="top"/>
          </w:tcPr>
          <w:p w14:paraId="7F597F9A">
            <w:pPr>
              <w:pStyle w:val="21"/>
              <w:spacing w:before="103" w:line="294" w:lineRule="auto"/>
              <w:ind w:left="274" w:right="199" w:hanging="1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条款</w:t>
            </w:r>
            <w:r>
              <w:rPr>
                <w:rFonts w:hint="eastAsia" w:asciiTheme="minorEastAsia" w:hAnsiTheme="minorEastAsia" w:eastAsiaTheme="minorEastAsia" w:cstheme="minorEastAsia"/>
                <w:color w:val="auto"/>
              </w:rPr>
              <w:t xml:space="preserve"> 号</w:t>
            </w:r>
          </w:p>
        </w:tc>
        <w:tc>
          <w:tcPr>
            <w:tcW w:w="2138" w:type="dxa"/>
            <w:vAlign w:val="top"/>
          </w:tcPr>
          <w:p w14:paraId="2D802808">
            <w:pPr>
              <w:pStyle w:val="21"/>
              <w:spacing w:before="304" w:line="219" w:lineRule="auto"/>
              <w:ind w:left="62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项目内容</w:t>
            </w:r>
          </w:p>
        </w:tc>
        <w:tc>
          <w:tcPr>
            <w:tcW w:w="7306" w:type="dxa"/>
            <w:vAlign w:val="top"/>
          </w:tcPr>
          <w:p w14:paraId="5452F21A">
            <w:pPr>
              <w:pStyle w:val="21"/>
              <w:spacing w:before="304" w:line="219" w:lineRule="auto"/>
              <w:ind w:left="320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编列内容</w:t>
            </w:r>
          </w:p>
        </w:tc>
      </w:tr>
      <w:tr w14:paraId="2D4CB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14" w:type="dxa"/>
            <w:vAlign w:val="top"/>
          </w:tcPr>
          <w:p w14:paraId="58C85420">
            <w:pPr>
              <w:pStyle w:val="21"/>
              <w:spacing w:before="101" w:line="217" w:lineRule="auto"/>
              <w:ind w:left="9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w:t>
            </w:r>
          </w:p>
        </w:tc>
        <w:tc>
          <w:tcPr>
            <w:tcW w:w="2138" w:type="dxa"/>
            <w:vAlign w:val="top"/>
          </w:tcPr>
          <w:p w14:paraId="749A50D3">
            <w:pPr>
              <w:pStyle w:val="21"/>
              <w:spacing w:before="80" w:line="219" w:lineRule="auto"/>
              <w:ind w:left="1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rPr>
              <w:t>投标人的资格要求</w:t>
            </w:r>
          </w:p>
        </w:tc>
        <w:tc>
          <w:tcPr>
            <w:tcW w:w="7306" w:type="dxa"/>
            <w:vAlign w:val="top"/>
          </w:tcPr>
          <w:p w14:paraId="2DD5EFBD">
            <w:pPr>
              <w:pStyle w:val="21"/>
              <w:spacing w:before="78" w:line="218" w:lineRule="auto"/>
              <w:ind w:left="9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详见招标公告。</w:t>
            </w:r>
          </w:p>
        </w:tc>
      </w:tr>
      <w:tr w14:paraId="082E3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14" w:type="dxa"/>
            <w:vAlign w:val="top"/>
          </w:tcPr>
          <w:p w14:paraId="47C3D247">
            <w:pPr>
              <w:pStyle w:val="21"/>
              <w:spacing w:before="171" w:line="183" w:lineRule="auto"/>
              <w:ind w:left="9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6.1</w:t>
            </w:r>
          </w:p>
        </w:tc>
        <w:tc>
          <w:tcPr>
            <w:tcW w:w="2138" w:type="dxa"/>
            <w:vAlign w:val="top"/>
          </w:tcPr>
          <w:p w14:paraId="5E24D61A">
            <w:pPr>
              <w:pStyle w:val="21"/>
              <w:spacing w:before="90" w:line="220" w:lineRule="auto"/>
              <w:ind w:left="7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是否接受联合体投标</w:t>
            </w:r>
          </w:p>
        </w:tc>
        <w:tc>
          <w:tcPr>
            <w:tcW w:w="7306" w:type="dxa"/>
            <w:vAlign w:val="top"/>
          </w:tcPr>
          <w:p w14:paraId="488920C2">
            <w:pPr>
              <w:pStyle w:val="21"/>
              <w:spacing w:before="128" w:line="218" w:lineRule="auto"/>
              <w:ind w:left="9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详见招标公告。</w:t>
            </w:r>
          </w:p>
        </w:tc>
      </w:tr>
      <w:tr w14:paraId="6AD59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14" w:type="dxa"/>
            <w:vAlign w:val="top"/>
          </w:tcPr>
          <w:p w14:paraId="04705E13">
            <w:pPr>
              <w:pStyle w:val="21"/>
              <w:spacing w:before="112" w:line="233" w:lineRule="auto"/>
              <w:ind w:left="9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6.2</w:t>
            </w:r>
          </w:p>
        </w:tc>
        <w:tc>
          <w:tcPr>
            <w:tcW w:w="2138" w:type="dxa"/>
            <w:vAlign w:val="top"/>
          </w:tcPr>
          <w:p w14:paraId="583070B0">
            <w:pPr>
              <w:pStyle w:val="21"/>
              <w:spacing w:before="90" w:line="220" w:lineRule="auto"/>
              <w:ind w:left="29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联合体投标要求</w:t>
            </w:r>
          </w:p>
        </w:tc>
        <w:tc>
          <w:tcPr>
            <w:tcW w:w="7306" w:type="dxa"/>
            <w:vAlign w:val="top"/>
          </w:tcPr>
          <w:p w14:paraId="279E97AF">
            <w:pPr>
              <w:pStyle w:val="21"/>
              <w:spacing w:before="90" w:line="220" w:lineRule="auto"/>
              <w:ind w:left="9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rPr>
              <w:t>无。</w:t>
            </w:r>
          </w:p>
        </w:tc>
      </w:tr>
      <w:tr w14:paraId="65A3D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14" w:type="dxa"/>
            <w:vAlign w:val="top"/>
          </w:tcPr>
          <w:p w14:paraId="2528A821">
            <w:pPr>
              <w:spacing w:line="437" w:lineRule="auto"/>
              <w:rPr>
                <w:rFonts w:hint="eastAsia" w:asciiTheme="minorEastAsia" w:hAnsiTheme="minorEastAsia" w:eastAsiaTheme="minorEastAsia" w:cstheme="minorEastAsia"/>
                <w:color w:val="auto"/>
                <w:sz w:val="21"/>
              </w:rPr>
            </w:pPr>
          </w:p>
          <w:p w14:paraId="70C9742B">
            <w:pPr>
              <w:pStyle w:val="21"/>
              <w:spacing w:before="72" w:line="239" w:lineRule="auto"/>
              <w:ind w:left="9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7.2</w:t>
            </w:r>
          </w:p>
        </w:tc>
        <w:tc>
          <w:tcPr>
            <w:tcW w:w="2138" w:type="dxa"/>
            <w:vAlign w:val="top"/>
          </w:tcPr>
          <w:p w14:paraId="3FA80993">
            <w:pPr>
              <w:spacing w:line="416" w:lineRule="auto"/>
              <w:rPr>
                <w:rFonts w:hint="eastAsia" w:asciiTheme="minorEastAsia" w:hAnsiTheme="minorEastAsia" w:eastAsiaTheme="minorEastAsia" w:cstheme="minorEastAsia"/>
                <w:color w:val="auto"/>
                <w:sz w:val="21"/>
              </w:rPr>
            </w:pPr>
          </w:p>
          <w:p w14:paraId="0058EC72">
            <w:pPr>
              <w:pStyle w:val="21"/>
              <w:spacing w:before="71" w:line="219" w:lineRule="auto"/>
              <w:ind w:left="12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rPr>
              <w:t>是否允许转包/分包</w:t>
            </w:r>
          </w:p>
        </w:tc>
        <w:tc>
          <w:tcPr>
            <w:tcW w:w="7306" w:type="dxa"/>
            <w:tcBorders>
              <w:bottom w:val="nil"/>
            </w:tcBorders>
            <w:vAlign w:val="top"/>
          </w:tcPr>
          <w:p w14:paraId="036C9E35">
            <w:pPr>
              <w:pStyle w:val="21"/>
              <w:spacing w:before="140" w:line="219" w:lineRule="auto"/>
              <w:ind w:left="9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☑不允许分包</w:t>
            </w:r>
          </w:p>
          <w:p w14:paraId="0CCB8D43">
            <w:pPr>
              <w:pStyle w:val="21"/>
              <w:spacing w:before="149" w:line="184" w:lineRule="auto"/>
              <w:ind w:left="9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pict>
                <v:shape id="_x0000_s1026" o:spid="_x0000_s1026" o:spt="202" type="#_x0000_t202" style="position:absolute;left:0pt;margin-left:288.6pt;margin-top:11.95pt;height:17.1pt;width:27.05pt;z-index:251659264;mso-width-relative:page;mso-height-relative:page;" filled="f" stroked="f" coordsize="21600,21600">
                  <v:path/>
                  <v:fill on="f" focussize="0,0"/>
                  <v:stroke on="f"/>
                  <v:imagedata o:title=""/>
                  <o:lock v:ext="edit" aspectratio="f"/>
                  <v:textbox inset="0mm,0mm,0mm,0mm">
                    <w:txbxContent>
                      <w:p w14:paraId="5D64A6D1">
                        <w:pPr>
                          <w:pStyle w:val="21"/>
                          <w:spacing w:before="19" w:line="237" w:lineRule="auto"/>
                        </w:pPr>
                      </w:p>
                    </w:txbxContent>
                  </v:textbox>
                </v:shape>
              </w:pict>
            </w:r>
            <w:r>
              <w:rPr>
                <w:rFonts w:hint="eastAsia" w:asciiTheme="minorEastAsia" w:hAnsiTheme="minorEastAsia" w:eastAsiaTheme="minorEastAsia" w:cstheme="minorEastAsia"/>
                <w:color w:val="auto"/>
              </w:rPr>
              <w:t>口转包/分包内容：</w:t>
            </w:r>
          </w:p>
          <w:p w14:paraId="59DF34AE">
            <w:pPr>
              <w:pStyle w:val="21"/>
              <w:spacing w:before="180" w:line="184" w:lineRule="auto"/>
              <w:ind w:left="9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rPr>
              <w:t xml:space="preserve">□转包/分包金额或者比例：                          </w:t>
            </w:r>
          </w:p>
        </w:tc>
      </w:tr>
      <w:tr w14:paraId="16EDF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14" w:type="dxa"/>
            <w:vAlign w:val="top"/>
          </w:tcPr>
          <w:p w14:paraId="368AFDFA">
            <w:pPr>
              <w:pStyle w:val="21"/>
              <w:spacing w:before="302" w:line="239" w:lineRule="auto"/>
              <w:ind w:left="9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11.4</w:t>
            </w:r>
          </w:p>
        </w:tc>
        <w:tc>
          <w:tcPr>
            <w:tcW w:w="2138" w:type="dxa"/>
            <w:vAlign w:val="top"/>
          </w:tcPr>
          <w:p w14:paraId="2928D633">
            <w:pPr>
              <w:pStyle w:val="21"/>
              <w:spacing w:before="279" w:line="219" w:lineRule="auto"/>
              <w:ind w:left="4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媒体发布渠道</w:t>
            </w:r>
          </w:p>
        </w:tc>
        <w:tc>
          <w:tcPr>
            <w:tcW w:w="7306" w:type="dxa"/>
            <w:vAlign w:val="top"/>
          </w:tcPr>
          <w:p w14:paraId="1175173A">
            <w:pPr>
              <w:pStyle w:val="21"/>
              <w:spacing w:before="118" w:line="273" w:lineRule="auto"/>
              <w:ind w:firstLine="11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与本项目相关的政府采购业务澄清、更正及与之相关的事项将在招标公告中</w:t>
            </w:r>
            <w:r>
              <w:rPr>
                <w:rFonts w:hint="eastAsia" w:asciiTheme="minorEastAsia" w:hAnsiTheme="minorEastAsia" w:eastAsiaTheme="minorEastAsia" w:cstheme="minorEastAsia"/>
                <w:color w:val="auto"/>
                <w:spacing w:val="14"/>
              </w:rPr>
              <w:t xml:space="preserve"> </w:t>
            </w:r>
            <w:r>
              <w:rPr>
                <w:rFonts w:hint="eastAsia" w:asciiTheme="minorEastAsia" w:hAnsiTheme="minorEastAsia" w:eastAsiaTheme="minorEastAsia" w:cstheme="minorEastAsia"/>
                <w:color w:val="auto"/>
                <w:spacing w:val="4"/>
              </w:rPr>
              <w:t>“六、其他补充事宜”中网上查询地址上发布。</w:t>
            </w:r>
          </w:p>
        </w:tc>
      </w:tr>
      <w:tr w14:paraId="22CF6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14" w:type="dxa"/>
            <w:vAlign w:val="top"/>
          </w:tcPr>
          <w:p w14:paraId="2B598D4D">
            <w:pPr>
              <w:spacing w:line="449" w:lineRule="auto"/>
              <w:rPr>
                <w:rFonts w:hint="eastAsia" w:asciiTheme="minorEastAsia" w:hAnsiTheme="minorEastAsia" w:eastAsiaTheme="minorEastAsia" w:cstheme="minorEastAsia"/>
                <w:color w:val="auto"/>
                <w:sz w:val="21"/>
              </w:rPr>
            </w:pPr>
          </w:p>
          <w:p w14:paraId="25EDBBB9">
            <w:pPr>
              <w:pStyle w:val="21"/>
              <w:spacing w:before="72" w:line="239" w:lineRule="auto"/>
              <w:ind w:left="9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11.5</w:t>
            </w:r>
          </w:p>
        </w:tc>
        <w:tc>
          <w:tcPr>
            <w:tcW w:w="2138" w:type="dxa"/>
            <w:vAlign w:val="top"/>
          </w:tcPr>
          <w:p w14:paraId="6EA2CB71">
            <w:pPr>
              <w:spacing w:line="426" w:lineRule="auto"/>
              <w:rPr>
                <w:rFonts w:hint="eastAsia" w:asciiTheme="minorEastAsia" w:hAnsiTheme="minorEastAsia" w:eastAsiaTheme="minorEastAsia" w:cstheme="minorEastAsia"/>
                <w:color w:val="auto"/>
                <w:sz w:val="21"/>
              </w:rPr>
            </w:pPr>
          </w:p>
          <w:p w14:paraId="7190DAC1">
            <w:pPr>
              <w:pStyle w:val="21"/>
              <w:spacing w:before="72" w:line="219" w:lineRule="auto"/>
              <w:ind w:left="7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rPr>
              <w:t>是否组织标前答疑会</w:t>
            </w:r>
          </w:p>
        </w:tc>
        <w:tc>
          <w:tcPr>
            <w:tcW w:w="7306" w:type="dxa"/>
            <w:vAlign w:val="top"/>
          </w:tcPr>
          <w:p w14:paraId="7DDC425B">
            <w:pPr>
              <w:pStyle w:val="21"/>
              <w:spacing w:before="130" w:line="219" w:lineRule="auto"/>
              <w:ind w:left="9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☑不组织召开开标前答疑会</w:t>
            </w:r>
          </w:p>
          <w:p w14:paraId="5CDAA35B">
            <w:pPr>
              <w:pStyle w:val="21"/>
              <w:spacing w:before="129" w:line="219" w:lineRule="auto"/>
              <w:ind w:left="9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□组织召开开标前答疑会</w:t>
            </w:r>
          </w:p>
          <w:p w14:paraId="5B4F0C48">
            <w:pPr>
              <w:pStyle w:val="21"/>
              <w:spacing w:before="142" w:line="213" w:lineRule="auto"/>
              <w:ind w:left="9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会议开始时间：</w:t>
            </w:r>
            <w:r>
              <w:rPr>
                <w:rFonts w:hint="eastAsia" w:asciiTheme="minorEastAsia" w:hAnsiTheme="minorEastAsia" w:eastAsiaTheme="minorEastAsia" w:cstheme="minorEastAsia"/>
                <w:color w:val="auto"/>
                <w:spacing w:val="-2"/>
                <w:u w:val="dotted" w:color="auto"/>
              </w:rPr>
              <w:t xml:space="preserve">  </w:t>
            </w:r>
            <w:r>
              <w:rPr>
                <w:rFonts w:hint="eastAsia" w:asciiTheme="minorEastAsia" w:hAnsiTheme="minorEastAsia" w:eastAsiaTheme="minorEastAsia" w:cstheme="minorEastAsia"/>
                <w:color w:val="auto"/>
                <w:spacing w:val="-87"/>
              </w:rPr>
              <w:t xml:space="preserve"> </w:t>
            </w:r>
            <w:r>
              <w:rPr>
                <w:rFonts w:hint="eastAsia" w:asciiTheme="minorEastAsia" w:hAnsiTheme="minorEastAsia" w:eastAsiaTheme="minorEastAsia" w:cstheme="minorEastAsia"/>
                <w:color w:val="auto"/>
                <w:spacing w:val="-2"/>
              </w:rPr>
              <w:t>年_月_</w:t>
            </w:r>
            <w:r>
              <w:rPr>
                <w:rFonts w:hint="eastAsia" w:asciiTheme="minorEastAsia" w:hAnsiTheme="minorEastAsia" w:eastAsiaTheme="minorEastAsia" w:cstheme="minorEastAsia"/>
                <w:color w:val="auto"/>
                <w:spacing w:val="-62"/>
              </w:rPr>
              <w:t xml:space="preserve"> </w:t>
            </w:r>
            <w:r>
              <w:rPr>
                <w:rFonts w:hint="eastAsia" w:asciiTheme="minorEastAsia" w:hAnsiTheme="minorEastAsia" w:eastAsiaTheme="minorEastAsia" w:cstheme="minorEastAsia"/>
                <w:color w:val="auto"/>
                <w:spacing w:val="-2"/>
              </w:rPr>
              <w:t>日</w:t>
            </w:r>
            <w:r>
              <w:rPr>
                <w:rFonts w:hint="eastAsia" w:asciiTheme="minorEastAsia" w:hAnsiTheme="minorEastAsia" w:eastAsiaTheme="minorEastAsia" w:cstheme="minorEastAsia"/>
                <w:color w:val="auto"/>
                <w:spacing w:val="-108"/>
              </w:rPr>
              <w:t xml:space="preserve"> </w:t>
            </w:r>
            <w:r>
              <w:rPr>
                <w:rFonts w:hint="eastAsia" w:asciiTheme="minorEastAsia" w:hAnsiTheme="minorEastAsia" w:eastAsiaTheme="minorEastAsia" w:cstheme="minorEastAsia"/>
                <w:color w:val="auto"/>
                <w:spacing w:val="1"/>
                <w:u w:val="dotted" w:color="auto"/>
              </w:rPr>
              <w:t xml:space="preserve">  </w:t>
            </w:r>
            <w:r>
              <w:rPr>
                <w:rFonts w:hint="eastAsia" w:asciiTheme="minorEastAsia" w:hAnsiTheme="minorEastAsia" w:eastAsiaTheme="minorEastAsia" w:cstheme="minorEastAsia"/>
                <w:color w:val="auto"/>
                <w:spacing w:val="-89"/>
              </w:rPr>
              <w:t xml:space="preserve"> </w:t>
            </w:r>
            <w:r>
              <w:rPr>
                <w:rFonts w:hint="eastAsia" w:asciiTheme="minorEastAsia" w:hAnsiTheme="minorEastAsia" w:eastAsiaTheme="minorEastAsia" w:cstheme="minorEastAsia"/>
                <w:color w:val="auto"/>
                <w:spacing w:val="-2"/>
              </w:rPr>
              <w:t>时_分，逾期后果自负。会议地点：</w:t>
            </w:r>
            <w:r>
              <w:rPr>
                <w:rFonts w:hint="eastAsia" w:asciiTheme="minorEastAsia" w:hAnsiTheme="minorEastAsia" w:eastAsiaTheme="minorEastAsia" w:cstheme="minorEastAsia"/>
                <w:color w:val="auto"/>
                <w:spacing w:val="93"/>
              </w:rPr>
              <w:t xml:space="preserve"> </w:t>
            </w:r>
            <w:r>
              <w:rPr>
                <w:rFonts w:hint="eastAsia" w:asciiTheme="minorEastAsia" w:hAnsiTheme="minorEastAsia" w:eastAsiaTheme="minorEastAsia" w:cstheme="minorEastAsia"/>
                <w:color w:val="auto"/>
                <w:u w:val="dotted" w:color="auto"/>
              </w:rPr>
              <w:t xml:space="preserve">   </w:t>
            </w:r>
          </w:p>
        </w:tc>
      </w:tr>
      <w:tr w14:paraId="39518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14" w:type="dxa"/>
            <w:vAlign w:val="top"/>
          </w:tcPr>
          <w:p w14:paraId="7D67ED09">
            <w:pPr>
              <w:spacing w:line="255" w:lineRule="auto"/>
              <w:rPr>
                <w:rFonts w:hint="eastAsia" w:asciiTheme="minorEastAsia" w:hAnsiTheme="minorEastAsia" w:eastAsiaTheme="minorEastAsia" w:cstheme="minorEastAsia"/>
                <w:color w:val="auto"/>
                <w:sz w:val="21"/>
              </w:rPr>
            </w:pPr>
          </w:p>
          <w:p w14:paraId="379EA695">
            <w:pPr>
              <w:spacing w:line="255" w:lineRule="auto"/>
              <w:rPr>
                <w:rFonts w:hint="eastAsia" w:asciiTheme="minorEastAsia" w:hAnsiTheme="minorEastAsia" w:eastAsiaTheme="minorEastAsia" w:cstheme="minorEastAsia"/>
                <w:color w:val="auto"/>
                <w:sz w:val="21"/>
              </w:rPr>
            </w:pPr>
          </w:p>
          <w:p w14:paraId="541D6F29">
            <w:pPr>
              <w:spacing w:line="255" w:lineRule="auto"/>
              <w:rPr>
                <w:rFonts w:hint="eastAsia" w:asciiTheme="minorEastAsia" w:hAnsiTheme="minorEastAsia" w:eastAsiaTheme="minorEastAsia" w:cstheme="minorEastAsia"/>
                <w:color w:val="auto"/>
                <w:sz w:val="21"/>
              </w:rPr>
            </w:pPr>
          </w:p>
          <w:p w14:paraId="5C78CA78">
            <w:pPr>
              <w:spacing w:line="256" w:lineRule="auto"/>
              <w:rPr>
                <w:rFonts w:hint="eastAsia" w:asciiTheme="minorEastAsia" w:hAnsiTheme="minorEastAsia" w:eastAsiaTheme="minorEastAsia" w:cstheme="minorEastAsia"/>
                <w:color w:val="auto"/>
                <w:sz w:val="21"/>
              </w:rPr>
            </w:pPr>
          </w:p>
          <w:p w14:paraId="054D47C1">
            <w:pPr>
              <w:spacing w:line="256" w:lineRule="auto"/>
              <w:rPr>
                <w:rFonts w:hint="eastAsia" w:asciiTheme="minorEastAsia" w:hAnsiTheme="minorEastAsia" w:eastAsiaTheme="minorEastAsia" w:cstheme="minorEastAsia"/>
                <w:color w:val="auto"/>
                <w:sz w:val="21"/>
              </w:rPr>
            </w:pPr>
          </w:p>
          <w:p w14:paraId="2BD02B2E">
            <w:pPr>
              <w:spacing w:line="256" w:lineRule="auto"/>
              <w:rPr>
                <w:rFonts w:hint="eastAsia" w:asciiTheme="minorEastAsia" w:hAnsiTheme="minorEastAsia" w:eastAsiaTheme="minorEastAsia" w:cstheme="minorEastAsia"/>
                <w:color w:val="auto"/>
                <w:sz w:val="21"/>
              </w:rPr>
            </w:pPr>
          </w:p>
          <w:p w14:paraId="16169DD7">
            <w:pPr>
              <w:spacing w:line="256" w:lineRule="auto"/>
              <w:rPr>
                <w:rFonts w:hint="eastAsia" w:asciiTheme="minorEastAsia" w:hAnsiTheme="minorEastAsia" w:eastAsiaTheme="minorEastAsia" w:cstheme="minorEastAsia"/>
                <w:color w:val="auto"/>
                <w:sz w:val="21"/>
              </w:rPr>
            </w:pPr>
          </w:p>
          <w:p w14:paraId="6F1C9AC8">
            <w:pPr>
              <w:spacing w:line="256" w:lineRule="auto"/>
              <w:rPr>
                <w:rFonts w:hint="eastAsia" w:asciiTheme="minorEastAsia" w:hAnsiTheme="minorEastAsia" w:eastAsiaTheme="minorEastAsia" w:cstheme="minorEastAsia"/>
                <w:color w:val="auto"/>
                <w:sz w:val="21"/>
              </w:rPr>
            </w:pPr>
          </w:p>
          <w:p w14:paraId="4B158851">
            <w:pPr>
              <w:spacing w:line="256" w:lineRule="auto"/>
              <w:rPr>
                <w:rFonts w:hint="eastAsia" w:asciiTheme="minorEastAsia" w:hAnsiTheme="minorEastAsia" w:eastAsiaTheme="minorEastAsia" w:cstheme="minorEastAsia"/>
                <w:color w:val="auto"/>
                <w:sz w:val="21"/>
              </w:rPr>
            </w:pPr>
          </w:p>
          <w:p w14:paraId="1000332A">
            <w:pPr>
              <w:spacing w:line="256" w:lineRule="auto"/>
              <w:rPr>
                <w:rFonts w:hint="eastAsia" w:asciiTheme="minorEastAsia" w:hAnsiTheme="minorEastAsia" w:eastAsiaTheme="minorEastAsia" w:cstheme="minorEastAsia"/>
                <w:color w:val="auto"/>
                <w:sz w:val="21"/>
              </w:rPr>
            </w:pPr>
          </w:p>
          <w:p w14:paraId="07CD7D50">
            <w:pPr>
              <w:spacing w:line="256" w:lineRule="auto"/>
              <w:rPr>
                <w:rFonts w:hint="eastAsia" w:asciiTheme="minorEastAsia" w:hAnsiTheme="minorEastAsia" w:eastAsiaTheme="minorEastAsia" w:cstheme="minorEastAsia"/>
                <w:color w:val="auto"/>
                <w:sz w:val="21"/>
              </w:rPr>
            </w:pPr>
          </w:p>
          <w:p w14:paraId="64356EF8">
            <w:pPr>
              <w:spacing w:line="256" w:lineRule="auto"/>
              <w:rPr>
                <w:rFonts w:hint="eastAsia" w:asciiTheme="minorEastAsia" w:hAnsiTheme="minorEastAsia" w:eastAsiaTheme="minorEastAsia" w:cstheme="minorEastAsia"/>
                <w:color w:val="auto"/>
                <w:sz w:val="21"/>
              </w:rPr>
            </w:pPr>
          </w:p>
          <w:p w14:paraId="7155B3DA">
            <w:pPr>
              <w:spacing w:line="256" w:lineRule="auto"/>
              <w:rPr>
                <w:rFonts w:hint="eastAsia" w:asciiTheme="minorEastAsia" w:hAnsiTheme="minorEastAsia" w:eastAsiaTheme="minorEastAsia" w:cstheme="minorEastAsia"/>
                <w:color w:val="auto"/>
                <w:sz w:val="21"/>
              </w:rPr>
            </w:pPr>
          </w:p>
          <w:p w14:paraId="6C65C7C0">
            <w:pPr>
              <w:spacing w:line="256" w:lineRule="auto"/>
              <w:rPr>
                <w:rFonts w:hint="eastAsia" w:asciiTheme="minorEastAsia" w:hAnsiTheme="minorEastAsia" w:eastAsiaTheme="minorEastAsia" w:cstheme="minorEastAsia"/>
                <w:color w:val="auto"/>
                <w:sz w:val="21"/>
              </w:rPr>
            </w:pPr>
          </w:p>
          <w:p w14:paraId="3C2E0826">
            <w:pPr>
              <w:pStyle w:val="21"/>
              <w:spacing w:before="71" w:line="239" w:lineRule="auto"/>
              <w:ind w:left="9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13.1</w:t>
            </w:r>
          </w:p>
        </w:tc>
        <w:tc>
          <w:tcPr>
            <w:tcW w:w="2138" w:type="dxa"/>
            <w:vAlign w:val="top"/>
          </w:tcPr>
          <w:p w14:paraId="0F565A6F">
            <w:pPr>
              <w:spacing w:line="254" w:lineRule="auto"/>
              <w:rPr>
                <w:rFonts w:hint="eastAsia" w:asciiTheme="minorEastAsia" w:hAnsiTheme="minorEastAsia" w:eastAsiaTheme="minorEastAsia" w:cstheme="minorEastAsia"/>
                <w:color w:val="auto"/>
                <w:sz w:val="21"/>
              </w:rPr>
            </w:pPr>
          </w:p>
          <w:p w14:paraId="72ADD62D">
            <w:pPr>
              <w:spacing w:line="254" w:lineRule="auto"/>
              <w:rPr>
                <w:rFonts w:hint="eastAsia" w:asciiTheme="minorEastAsia" w:hAnsiTheme="minorEastAsia" w:eastAsiaTheme="minorEastAsia" w:cstheme="minorEastAsia"/>
                <w:color w:val="auto"/>
                <w:sz w:val="21"/>
              </w:rPr>
            </w:pPr>
          </w:p>
          <w:p w14:paraId="3E5CEA55">
            <w:pPr>
              <w:spacing w:line="254" w:lineRule="auto"/>
              <w:rPr>
                <w:rFonts w:hint="eastAsia" w:asciiTheme="minorEastAsia" w:hAnsiTheme="minorEastAsia" w:eastAsiaTheme="minorEastAsia" w:cstheme="minorEastAsia"/>
                <w:color w:val="auto"/>
                <w:sz w:val="21"/>
              </w:rPr>
            </w:pPr>
          </w:p>
          <w:p w14:paraId="14C58033">
            <w:pPr>
              <w:spacing w:line="254" w:lineRule="auto"/>
              <w:rPr>
                <w:rFonts w:hint="eastAsia" w:asciiTheme="minorEastAsia" w:hAnsiTheme="minorEastAsia" w:eastAsiaTheme="minorEastAsia" w:cstheme="minorEastAsia"/>
                <w:color w:val="auto"/>
                <w:sz w:val="21"/>
              </w:rPr>
            </w:pPr>
          </w:p>
          <w:p w14:paraId="68F33A00">
            <w:pPr>
              <w:spacing w:line="254" w:lineRule="auto"/>
              <w:rPr>
                <w:rFonts w:hint="eastAsia" w:asciiTheme="minorEastAsia" w:hAnsiTheme="minorEastAsia" w:eastAsiaTheme="minorEastAsia" w:cstheme="minorEastAsia"/>
                <w:color w:val="auto"/>
                <w:sz w:val="21"/>
              </w:rPr>
            </w:pPr>
          </w:p>
          <w:p w14:paraId="62F26017">
            <w:pPr>
              <w:spacing w:line="254" w:lineRule="auto"/>
              <w:rPr>
                <w:rFonts w:hint="eastAsia" w:asciiTheme="minorEastAsia" w:hAnsiTheme="minorEastAsia" w:eastAsiaTheme="minorEastAsia" w:cstheme="minorEastAsia"/>
                <w:color w:val="auto"/>
                <w:sz w:val="21"/>
              </w:rPr>
            </w:pPr>
          </w:p>
          <w:p w14:paraId="4E5487C9">
            <w:pPr>
              <w:spacing w:line="254" w:lineRule="auto"/>
              <w:rPr>
                <w:rFonts w:hint="eastAsia" w:asciiTheme="minorEastAsia" w:hAnsiTheme="minorEastAsia" w:eastAsiaTheme="minorEastAsia" w:cstheme="minorEastAsia"/>
                <w:color w:val="auto"/>
                <w:sz w:val="21"/>
              </w:rPr>
            </w:pPr>
          </w:p>
          <w:p w14:paraId="1B1C3A51">
            <w:pPr>
              <w:spacing w:line="254" w:lineRule="auto"/>
              <w:rPr>
                <w:rFonts w:hint="eastAsia" w:asciiTheme="minorEastAsia" w:hAnsiTheme="minorEastAsia" w:eastAsiaTheme="minorEastAsia" w:cstheme="minorEastAsia"/>
                <w:color w:val="auto"/>
                <w:sz w:val="21"/>
              </w:rPr>
            </w:pPr>
          </w:p>
          <w:p w14:paraId="2E26C670">
            <w:pPr>
              <w:spacing w:line="254" w:lineRule="auto"/>
              <w:rPr>
                <w:rFonts w:hint="eastAsia" w:asciiTheme="minorEastAsia" w:hAnsiTheme="minorEastAsia" w:eastAsiaTheme="minorEastAsia" w:cstheme="minorEastAsia"/>
                <w:color w:val="auto"/>
                <w:sz w:val="21"/>
              </w:rPr>
            </w:pPr>
          </w:p>
          <w:p w14:paraId="1B5BD5C5">
            <w:pPr>
              <w:spacing w:line="254" w:lineRule="auto"/>
              <w:rPr>
                <w:rFonts w:hint="eastAsia" w:asciiTheme="minorEastAsia" w:hAnsiTheme="minorEastAsia" w:eastAsiaTheme="minorEastAsia" w:cstheme="minorEastAsia"/>
                <w:color w:val="auto"/>
                <w:sz w:val="21"/>
              </w:rPr>
            </w:pPr>
          </w:p>
          <w:p w14:paraId="37598471">
            <w:pPr>
              <w:spacing w:line="254" w:lineRule="auto"/>
              <w:rPr>
                <w:rFonts w:hint="eastAsia" w:asciiTheme="minorEastAsia" w:hAnsiTheme="minorEastAsia" w:eastAsiaTheme="minorEastAsia" w:cstheme="minorEastAsia"/>
                <w:color w:val="auto"/>
                <w:sz w:val="21"/>
              </w:rPr>
            </w:pPr>
          </w:p>
          <w:p w14:paraId="686D3CE9">
            <w:pPr>
              <w:spacing w:line="255" w:lineRule="auto"/>
              <w:rPr>
                <w:rFonts w:hint="eastAsia" w:asciiTheme="minorEastAsia" w:hAnsiTheme="minorEastAsia" w:eastAsiaTheme="minorEastAsia" w:cstheme="minorEastAsia"/>
                <w:color w:val="auto"/>
                <w:sz w:val="21"/>
              </w:rPr>
            </w:pPr>
          </w:p>
          <w:p w14:paraId="7B78859B">
            <w:pPr>
              <w:spacing w:line="255" w:lineRule="auto"/>
              <w:rPr>
                <w:rFonts w:hint="eastAsia" w:asciiTheme="minorEastAsia" w:hAnsiTheme="minorEastAsia" w:eastAsiaTheme="minorEastAsia" w:cstheme="minorEastAsia"/>
                <w:color w:val="auto"/>
                <w:sz w:val="21"/>
              </w:rPr>
            </w:pPr>
          </w:p>
          <w:p w14:paraId="07314DB1">
            <w:pPr>
              <w:spacing w:line="255" w:lineRule="auto"/>
              <w:rPr>
                <w:rFonts w:hint="eastAsia" w:asciiTheme="minorEastAsia" w:hAnsiTheme="minorEastAsia" w:eastAsiaTheme="minorEastAsia" w:cstheme="minorEastAsia"/>
                <w:color w:val="auto"/>
                <w:sz w:val="21"/>
              </w:rPr>
            </w:pPr>
          </w:p>
          <w:p w14:paraId="6B31AA86">
            <w:pPr>
              <w:pStyle w:val="21"/>
              <w:spacing w:before="72" w:line="219" w:lineRule="auto"/>
              <w:ind w:left="1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rPr>
              <w:t>资格证明文件组成</w:t>
            </w:r>
          </w:p>
        </w:tc>
        <w:tc>
          <w:tcPr>
            <w:tcW w:w="7306" w:type="dxa"/>
            <w:vAlign w:val="top"/>
          </w:tcPr>
          <w:p w14:paraId="7B56BEAA">
            <w:pPr>
              <w:pStyle w:val="21"/>
              <w:spacing w:before="111" w:line="296" w:lineRule="auto"/>
              <w:ind w:left="92" w:right="3" w:firstLine="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1.投标人为法人或者其他组织的，提供营业执照等证明文件复</w:t>
            </w:r>
            <w:r>
              <w:rPr>
                <w:rFonts w:hint="eastAsia" w:asciiTheme="minorEastAsia" w:hAnsiTheme="minorEastAsia" w:eastAsiaTheme="minorEastAsia" w:cstheme="minorEastAsia"/>
                <w:color w:val="auto"/>
                <w:spacing w:val="-6"/>
              </w:rPr>
              <w:t>印件(如营业执</w:t>
            </w:r>
            <w:r>
              <w:rPr>
                <w:rFonts w:hint="eastAsia" w:asciiTheme="minorEastAsia" w:hAnsiTheme="minorEastAsia" w:eastAsiaTheme="minorEastAsia" w:cstheme="minorEastAsia"/>
                <w:color w:val="auto"/>
              </w:rPr>
              <w:t xml:space="preserve"> 照或者事业单位法人证书或者执业许可证等),投标人为自然人的，提供有</w:t>
            </w:r>
            <w:r>
              <w:rPr>
                <w:rFonts w:hint="eastAsia" w:asciiTheme="minorEastAsia" w:hAnsiTheme="minorEastAsia" w:eastAsiaTheme="minorEastAsia" w:cstheme="minorEastAsia"/>
                <w:color w:val="auto"/>
                <w:spacing w:val="5"/>
              </w:rPr>
              <w:t xml:space="preserve">  </w:t>
            </w:r>
            <w:r>
              <w:rPr>
                <w:rFonts w:hint="eastAsia" w:asciiTheme="minorEastAsia" w:hAnsiTheme="minorEastAsia" w:eastAsiaTheme="minorEastAsia" w:cstheme="minorEastAsia"/>
                <w:color w:val="auto"/>
              </w:rPr>
              <w:t>效身份证正反面复印件。(</w:t>
            </w:r>
            <w:r>
              <w:rPr>
                <w:rFonts w:hint="eastAsia" w:asciiTheme="minorEastAsia" w:hAnsiTheme="minorEastAsia" w:eastAsiaTheme="minorEastAsia" w:cstheme="minorEastAsia"/>
                <w:b/>
                <w:bCs/>
                <w:color w:val="auto"/>
              </w:rPr>
              <w:t>必须提供，否则作无效投标处理)</w:t>
            </w:r>
          </w:p>
          <w:p w14:paraId="50793AE7">
            <w:pPr>
              <w:pStyle w:val="21"/>
              <w:spacing w:before="111" w:line="296" w:lineRule="auto"/>
              <w:ind w:left="92" w:right="3" w:firstLine="9"/>
              <w:rPr>
                <w:rFonts w:hint="eastAsia" w:asciiTheme="minorEastAsia" w:hAnsiTheme="minorEastAsia" w:eastAsiaTheme="minorEastAsia" w:cstheme="minorEastAsia"/>
                <w:color w:val="auto"/>
                <w:spacing w:val="-5"/>
              </w:rPr>
            </w:pPr>
            <w:r>
              <w:rPr>
                <w:rFonts w:hint="eastAsia" w:asciiTheme="minorEastAsia" w:hAnsiTheme="minorEastAsia" w:eastAsiaTheme="minorEastAsia" w:cstheme="minorEastAsia"/>
                <w:color w:val="auto"/>
                <w:spacing w:val="-5"/>
              </w:rPr>
              <w:t>2.投标人依法缴纳税收的相关材料(提供税款所属时期为2025年</w:t>
            </w:r>
            <w:r>
              <w:rPr>
                <w:rFonts w:hint="eastAsia" w:asciiTheme="minorEastAsia" w:hAnsiTheme="minorEastAsia" w:eastAsiaTheme="minorEastAsia" w:cstheme="minorEastAsia"/>
                <w:color w:val="auto"/>
                <w:spacing w:val="-5"/>
                <w:lang w:val="en-US" w:eastAsia="zh-CN"/>
              </w:rPr>
              <w:t>5</w:t>
            </w:r>
            <w:r>
              <w:rPr>
                <w:rFonts w:hint="eastAsia" w:asciiTheme="minorEastAsia" w:hAnsiTheme="minorEastAsia" w:eastAsiaTheme="minorEastAsia" w:cstheme="minorEastAsia"/>
                <w:color w:val="auto"/>
                <w:spacing w:val="-5"/>
              </w:rPr>
              <w:t>月至投标文件提交截止时间止的任意</w:t>
            </w:r>
            <w:r>
              <w:rPr>
                <w:rFonts w:hint="eastAsia" w:asciiTheme="minorEastAsia" w:hAnsiTheme="minorEastAsia" w:eastAsiaTheme="minorEastAsia" w:cstheme="minorEastAsia"/>
                <w:color w:val="auto"/>
                <w:spacing w:val="-5"/>
                <w:lang w:val="en-US" w:eastAsia="zh-CN"/>
              </w:rPr>
              <w:t>1</w:t>
            </w:r>
            <w:r>
              <w:rPr>
                <w:rFonts w:hint="eastAsia" w:asciiTheme="minorEastAsia" w:hAnsiTheme="minorEastAsia" w:eastAsiaTheme="minorEastAsia" w:cstheme="minorEastAsia"/>
                <w:color w:val="auto"/>
                <w:spacing w:val="-5"/>
              </w:rPr>
              <w:t>个月依法缴纳税收的凭据复印件；依法免税 的投标人，必须提供相应文件证明其依法免税。从取得营业执照时间起到投标 文件提交截止时间为止不足要求月数的，只需提供从取得营业执照起的依法缴 纳税收相应证明文件)。(</w:t>
            </w:r>
            <w:r>
              <w:rPr>
                <w:rFonts w:hint="eastAsia" w:asciiTheme="minorEastAsia" w:hAnsiTheme="minorEastAsia" w:eastAsiaTheme="minorEastAsia" w:cstheme="minorEastAsia"/>
                <w:b/>
                <w:bCs/>
                <w:color w:val="auto"/>
              </w:rPr>
              <w:t>必须提供，否则作无效投标处理</w:t>
            </w:r>
            <w:r>
              <w:rPr>
                <w:rFonts w:hint="eastAsia" w:asciiTheme="minorEastAsia" w:hAnsiTheme="minorEastAsia" w:eastAsiaTheme="minorEastAsia" w:cstheme="minorEastAsia"/>
                <w:color w:val="auto"/>
                <w:spacing w:val="-5"/>
              </w:rPr>
              <w:t>)</w:t>
            </w:r>
          </w:p>
          <w:p w14:paraId="3D2E5679">
            <w:pPr>
              <w:pStyle w:val="21"/>
              <w:spacing w:before="111" w:line="296" w:lineRule="auto"/>
              <w:ind w:left="92" w:right="3" w:firstLine="9"/>
              <w:rPr>
                <w:rFonts w:hint="eastAsia" w:asciiTheme="minorEastAsia" w:hAnsiTheme="minorEastAsia" w:eastAsiaTheme="minorEastAsia" w:cstheme="minorEastAsia"/>
                <w:color w:val="auto"/>
                <w:spacing w:val="-5"/>
              </w:rPr>
            </w:pPr>
            <w:r>
              <w:rPr>
                <w:rFonts w:hint="eastAsia" w:asciiTheme="minorEastAsia" w:hAnsiTheme="minorEastAsia" w:eastAsiaTheme="minorEastAsia" w:cstheme="minorEastAsia"/>
                <w:color w:val="auto"/>
                <w:spacing w:val="-5"/>
              </w:rPr>
              <w:t>3.投标人依法缴纳社会保障资金的相关材料(提供税款所属时期或缴费起始时 间为2025年</w:t>
            </w:r>
            <w:r>
              <w:rPr>
                <w:rFonts w:hint="eastAsia" w:asciiTheme="minorEastAsia" w:hAnsiTheme="minorEastAsia" w:eastAsiaTheme="minorEastAsia" w:cstheme="minorEastAsia"/>
                <w:color w:val="auto"/>
                <w:spacing w:val="-5"/>
                <w:lang w:val="en-US" w:eastAsia="zh-CN"/>
              </w:rPr>
              <w:t>5</w:t>
            </w:r>
            <w:r>
              <w:rPr>
                <w:rFonts w:hint="eastAsia" w:asciiTheme="minorEastAsia" w:hAnsiTheme="minorEastAsia" w:eastAsiaTheme="minorEastAsia" w:cstheme="minorEastAsia"/>
                <w:color w:val="auto"/>
                <w:spacing w:val="-5"/>
              </w:rPr>
              <w:t>月至投标文件提交截止时间止的任意</w:t>
            </w:r>
            <w:r>
              <w:rPr>
                <w:rFonts w:hint="eastAsia" w:asciiTheme="minorEastAsia" w:hAnsiTheme="minorEastAsia" w:eastAsiaTheme="minorEastAsia" w:cstheme="minorEastAsia"/>
                <w:color w:val="auto"/>
                <w:spacing w:val="-5"/>
                <w:lang w:val="en-US" w:eastAsia="zh-CN"/>
              </w:rPr>
              <w:t>1</w:t>
            </w:r>
            <w:r>
              <w:rPr>
                <w:rFonts w:hint="eastAsia" w:asciiTheme="minorEastAsia" w:hAnsiTheme="minorEastAsia" w:eastAsiaTheme="minorEastAsia" w:cstheme="minorEastAsia"/>
                <w:color w:val="auto"/>
                <w:spacing w:val="-5"/>
              </w:rPr>
              <w:t>个月的依法缴纳社会保障资金的缴费凭证复印件；依法不需要缴纳社会保障资金的投标人，必须提 供相应文件证明不需要缴纳社会保障资金。从取得营业执照时间起到投标文件 提交截止时间为止不足要求月数的只需提供从取得营业执照起的依法缴纳社 会保障资金的相应证明文件)。(</w:t>
            </w:r>
            <w:r>
              <w:rPr>
                <w:rFonts w:hint="eastAsia" w:asciiTheme="minorEastAsia" w:hAnsiTheme="minorEastAsia" w:eastAsiaTheme="minorEastAsia" w:cstheme="minorEastAsia"/>
                <w:b/>
                <w:bCs/>
                <w:color w:val="auto"/>
              </w:rPr>
              <w:t>必须提供，否则作无效投标处理</w:t>
            </w:r>
            <w:r>
              <w:rPr>
                <w:rFonts w:hint="eastAsia" w:asciiTheme="minorEastAsia" w:hAnsiTheme="minorEastAsia" w:eastAsiaTheme="minorEastAsia" w:cstheme="minorEastAsia"/>
                <w:b w:val="0"/>
                <w:bCs w:val="0"/>
                <w:color w:val="auto"/>
              </w:rPr>
              <w:t>)</w:t>
            </w:r>
          </w:p>
          <w:p w14:paraId="136946A4">
            <w:pPr>
              <w:pStyle w:val="21"/>
              <w:spacing w:before="3" w:line="295" w:lineRule="auto"/>
              <w:ind w:left="92" w:right="1" w:firstLine="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4.投标人财务状况报告(提供</w:t>
            </w:r>
            <w:r>
              <w:rPr>
                <w:rFonts w:hint="eastAsia" w:asciiTheme="minorEastAsia" w:hAnsiTheme="minorEastAsia" w:eastAsiaTheme="minorEastAsia" w:cstheme="minorEastAsia"/>
                <w:color w:val="auto"/>
                <w:u w:val="single" w:color="auto"/>
              </w:rPr>
              <w:t>2024</w:t>
            </w:r>
            <w:r>
              <w:rPr>
                <w:rFonts w:hint="eastAsia" w:asciiTheme="minorEastAsia" w:hAnsiTheme="minorEastAsia" w:eastAsiaTheme="minorEastAsia" w:cstheme="minorEastAsia"/>
                <w:color w:val="auto"/>
              </w:rPr>
              <w:t>年度经审计的财务报告复印件</w:t>
            </w:r>
            <w:r>
              <w:rPr>
                <w:rFonts w:hint="eastAsia" w:asciiTheme="minorEastAsia" w:hAnsiTheme="minorEastAsia" w:eastAsiaTheme="minorEastAsia" w:cstheme="minorEastAsia"/>
                <w:color w:val="auto"/>
                <w:lang w:eastAsia="zh-CN"/>
              </w:rPr>
              <w:t>，</w:t>
            </w:r>
            <w:r>
              <w:rPr>
                <w:rFonts w:hint="eastAsia"/>
                <w:color w:val="auto"/>
                <w:szCs w:val="21"/>
              </w:rPr>
              <w:t>供应商属于</w:t>
            </w:r>
            <w:r>
              <w:rPr>
                <w:rFonts w:hint="eastAsia"/>
                <w:color w:val="auto"/>
              </w:rPr>
              <w:t>成立时间</w:t>
            </w:r>
            <w:r>
              <w:rPr>
                <w:rFonts w:hint="eastAsia"/>
                <w:color w:val="auto"/>
                <w:kern w:val="0"/>
              </w:rPr>
              <w:t>在规定年度之后</w:t>
            </w:r>
            <w:r>
              <w:rPr>
                <w:rFonts w:hint="eastAsia"/>
                <w:color w:val="auto"/>
              </w:rPr>
              <w:t>的</w:t>
            </w:r>
            <w:r>
              <w:rPr>
                <w:rFonts w:hint="eastAsia"/>
                <w:color w:val="auto"/>
                <w:lang w:val="en-US" w:eastAsia="zh-CN"/>
              </w:rPr>
              <w:t>在</w:t>
            </w:r>
            <w:r>
              <w:rPr>
                <w:rFonts w:hint="eastAsia" w:asciiTheme="minorEastAsia" w:hAnsiTheme="minorEastAsia" w:eastAsiaTheme="minorEastAsia" w:cstheme="minorEastAsia"/>
                <w:color w:val="auto"/>
              </w:rPr>
              <w:t>截标时</w:t>
            </w:r>
            <w:r>
              <w:rPr>
                <w:rFonts w:hint="eastAsia" w:asciiTheme="minorEastAsia" w:hAnsiTheme="minorEastAsia" w:eastAsiaTheme="minorEastAsia" w:cstheme="minorEastAsia"/>
                <w:color w:val="auto"/>
                <w:spacing w:val="-2"/>
              </w:rPr>
              <w:t>间前半年内至少一个月能反映财务状况的报表或者投标人自拟的截标时间前</w:t>
            </w:r>
            <w:r>
              <w:rPr>
                <w:rFonts w:hint="eastAsia" w:asciiTheme="minorEastAsia" w:hAnsiTheme="minorEastAsia" w:eastAsiaTheme="minorEastAsia" w:cstheme="minorEastAsia"/>
                <w:color w:val="auto"/>
              </w:rPr>
              <w:t>半年内至少一个月的财务情况说明)。(</w:t>
            </w:r>
            <w:r>
              <w:rPr>
                <w:rFonts w:hint="eastAsia" w:asciiTheme="minorEastAsia" w:hAnsiTheme="minorEastAsia" w:eastAsiaTheme="minorEastAsia" w:cstheme="minorEastAsia"/>
                <w:b/>
                <w:bCs/>
                <w:color w:val="auto"/>
              </w:rPr>
              <w:t>必须提供，否则作无效投标处理)</w:t>
            </w:r>
          </w:p>
          <w:p w14:paraId="5F9ED629">
            <w:pPr>
              <w:pStyle w:val="21"/>
              <w:spacing w:before="162" w:line="219" w:lineRule="auto"/>
              <w:ind w:left="9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5.本项目的特定资格要求：无。</w:t>
            </w:r>
          </w:p>
          <w:p w14:paraId="21435EB8">
            <w:pPr>
              <w:pStyle w:val="21"/>
              <w:spacing w:before="94" w:line="338" w:lineRule="auto"/>
              <w:ind w:left="62" w:firstLine="29"/>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color w:val="auto"/>
              </w:rPr>
              <w:t>6.声明函(格式后附)。(</w:t>
            </w:r>
            <w:r>
              <w:rPr>
                <w:rFonts w:hint="eastAsia" w:asciiTheme="minorEastAsia" w:hAnsiTheme="minorEastAsia" w:eastAsiaTheme="minorEastAsia" w:cstheme="minorEastAsia"/>
                <w:b/>
                <w:bCs/>
                <w:color w:val="auto"/>
              </w:rPr>
              <w:t>必须提供，否则作无效投标处理)</w:t>
            </w:r>
          </w:p>
          <w:p w14:paraId="170537EB">
            <w:pPr>
              <w:pStyle w:val="21"/>
              <w:spacing w:before="94" w:line="338" w:lineRule="auto"/>
              <w:ind w:left="62" w:firstLine="29"/>
              <w:rPr>
                <w:rFonts w:hint="default" w:asciiTheme="minorEastAsia" w:hAnsiTheme="minorEastAsia" w:eastAsiaTheme="minorEastAsia" w:cstheme="minorEastAsia"/>
                <w:b/>
                <w:bCs/>
                <w:color w:val="auto"/>
                <w:lang w:val="en-US"/>
              </w:rPr>
            </w:pPr>
            <w:r>
              <w:rPr>
                <w:rFonts w:hint="eastAsia" w:ascii="Times New Roman" w:hAnsi="Times New Roman" w:eastAsia="宋体" w:cs="Times New Roman"/>
                <w:color w:val="auto"/>
                <w:szCs w:val="21"/>
                <w:highlight w:val="none"/>
                <w:lang w:val="en-US" w:eastAsia="zh-CN"/>
              </w:rPr>
              <w:t>7.</w:t>
            </w:r>
            <w:bookmarkStart w:id="17" w:name="_GoBack"/>
            <w:r>
              <w:rPr>
                <w:rFonts w:hint="eastAsia" w:ascii="Times New Roman" w:hAnsi="Times New Roman" w:eastAsia="宋体" w:cs="Times New Roman"/>
                <w:b/>
                <w:bCs/>
                <w:color w:val="auto"/>
                <w:szCs w:val="21"/>
                <w:highlight w:val="none"/>
                <w:lang w:val="en-US" w:eastAsia="zh-CN"/>
              </w:rPr>
              <w:t>标段1</w:t>
            </w:r>
            <w:r>
              <w:rPr>
                <w:rFonts w:hint="eastAsia" w:ascii="Times New Roman" w:hAnsi="Times New Roman" w:eastAsia="宋体" w:cs="Times New Roman"/>
                <w:color w:val="auto"/>
                <w:szCs w:val="21"/>
                <w:highlight w:val="none"/>
                <w:lang w:val="en-US" w:eastAsia="zh-CN"/>
              </w:rPr>
              <w:t>为专门面向中小企业和小微企业采购的项目。供应商必须提供中小企业声明函。</w:t>
            </w:r>
            <w:bookmarkEnd w:id="17"/>
            <w:r>
              <w:rPr>
                <w:rFonts w:hint="eastAsia" w:ascii="Times New Roman" w:hAnsi="Times New Roman" w:eastAsia="宋体" w:cs="Times New Roman"/>
                <w:b/>
                <w:bCs/>
                <w:color w:val="auto"/>
                <w:szCs w:val="21"/>
                <w:highlight w:val="none"/>
                <w:lang w:val="en-US" w:eastAsia="zh-CN"/>
              </w:rPr>
              <w:t>（必须提供，否则响应文件按无效响应处理</w:t>
            </w:r>
            <w:r>
              <w:rPr>
                <w:rFonts w:hint="eastAsia" w:ascii="Times New Roman" w:hAnsi="Times New Roman" w:eastAsia="宋体" w:cs="Times New Roman"/>
                <w:color w:val="auto"/>
                <w:szCs w:val="21"/>
                <w:highlight w:val="none"/>
                <w:lang w:val="en-US" w:eastAsia="zh-CN"/>
              </w:rPr>
              <w:t>）</w:t>
            </w:r>
          </w:p>
          <w:p w14:paraId="715968CC">
            <w:pPr>
              <w:pStyle w:val="21"/>
              <w:spacing w:before="94" w:line="338" w:lineRule="auto"/>
              <w:ind w:left="62" w:firstLine="2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lang w:val="en-US" w:eastAsia="zh-CN"/>
              </w:rPr>
              <w:t>8</w:t>
            </w:r>
            <w:r>
              <w:rPr>
                <w:rFonts w:hint="eastAsia" w:asciiTheme="minorEastAsia" w:hAnsiTheme="minorEastAsia" w:eastAsiaTheme="minorEastAsia" w:cstheme="minorEastAsia"/>
                <w:color w:val="auto"/>
                <w:spacing w:val="-5"/>
              </w:rPr>
              <w:t>.除招标文件规定必须提供以外，投标人认为需要提供的其他证明材料(</w:t>
            </w:r>
            <w:r>
              <w:rPr>
                <w:rFonts w:hint="eastAsia" w:asciiTheme="minorEastAsia" w:hAnsiTheme="minorEastAsia" w:eastAsiaTheme="minorEastAsia" w:cstheme="minorEastAsia"/>
                <w:color w:val="auto"/>
                <w:spacing w:val="-6"/>
              </w:rPr>
              <w:t>格式</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spacing w:val="-1"/>
              </w:rPr>
              <w:t>自拟)。</w:t>
            </w:r>
          </w:p>
          <w:p w14:paraId="2C5B7205">
            <w:pPr>
              <w:pStyle w:val="21"/>
              <w:spacing w:before="86" w:line="219" w:lineRule="auto"/>
              <w:ind w:left="9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4"/>
              </w:rPr>
              <w:t>注：1.以上标明“必须提供”的材料属于复印件的扫描件的，必须加盖</w:t>
            </w:r>
            <w:r>
              <w:rPr>
                <w:rFonts w:hint="eastAsia" w:asciiTheme="minorEastAsia" w:hAnsiTheme="minorEastAsia" w:eastAsiaTheme="minorEastAsia" w:cstheme="minorEastAsia"/>
                <w:color w:val="auto"/>
                <w:spacing w:val="14"/>
              </w:rPr>
              <w:t xml:space="preserve"> </w:t>
            </w:r>
            <w:r>
              <w:rPr>
                <w:rFonts w:hint="eastAsia" w:asciiTheme="minorEastAsia" w:hAnsiTheme="minorEastAsia" w:eastAsiaTheme="minorEastAsia" w:cstheme="minorEastAsia"/>
                <w:b/>
                <w:bCs/>
                <w:color w:val="auto"/>
                <w:spacing w:val="-3"/>
              </w:rPr>
              <w:t>投标人公章，否则作无效投标处理。</w:t>
            </w:r>
          </w:p>
        </w:tc>
      </w:tr>
      <w:tr w14:paraId="78CD0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14" w:type="dxa"/>
            <w:vMerge w:val="restart"/>
            <w:tcBorders>
              <w:top w:val="nil"/>
            </w:tcBorders>
            <w:vAlign w:val="top"/>
          </w:tcPr>
          <w:p w14:paraId="60DE8AB3">
            <w:pPr>
              <w:rPr>
                <w:rFonts w:hint="eastAsia" w:asciiTheme="minorEastAsia" w:hAnsiTheme="minorEastAsia" w:eastAsiaTheme="minorEastAsia" w:cstheme="minorEastAsia"/>
                <w:color w:val="auto"/>
                <w:sz w:val="21"/>
              </w:rPr>
            </w:pPr>
          </w:p>
        </w:tc>
        <w:tc>
          <w:tcPr>
            <w:tcW w:w="2138" w:type="dxa"/>
            <w:vAlign w:val="top"/>
          </w:tcPr>
          <w:p w14:paraId="7ACDE1DC">
            <w:pPr>
              <w:spacing w:line="258" w:lineRule="auto"/>
              <w:rPr>
                <w:rFonts w:hint="eastAsia" w:asciiTheme="minorEastAsia" w:hAnsiTheme="minorEastAsia" w:eastAsiaTheme="minorEastAsia" w:cstheme="minorEastAsia"/>
                <w:color w:val="auto"/>
                <w:sz w:val="21"/>
              </w:rPr>
            </w:pPr>
          </w:p>
          <w:p w14:paraId="1E9EB148">
            <w:pPr>
              <w:spacing w:line="258" w:lineRule="auto"/>
              <w:rPr>
                <w:rFonts w:hint="eastAsia" w:asciiTheme="minorEastAsia" w:hAnsiTheme="minorEastAsia" w:eastAsiaTheme="minorEastAsia" w:cstheme="minorEastAsia"/>
                <w:color w:val="auto"/>
                <w:sz w:val="21"/>
              </w:rPr>
            </w:pPr>
          </w:p>
          <w:p w14:paraId="4BC117BA">
            <w:pPr>
              <w:spacing w:line="258" w:lineRule="auto"/>
              <w:rPr>
                <w:rFonts w:hint="eastAsia" w:asciiTheme="minorEastAsia" w:hAnsiTheme="minorEastAsia" w:eastAsiaTheme="minorEastAsia" w:cstheme="minorEastAsia"/>
                <w:color w:val="auto"/>
                <w:sz w:val="21"/>
              </w:rPr>
            </w:pPr>
          </w:p>
          <w:p w14:paraId="1CD28296">
            <w:pPr>
              <w:spacing w:line="258" w:lineRule="auto"/>
              <w:rPr>
                <w:rFonts w:hint="eastAsia" w:asciiTheme="minorEastAsia" w:hAnsiTheme="minorEastAsia" w:eastAsiaTheme="minorEastAsia" w:cstheme="minorEastAsia"/>
                <w:color w:val="auto"/>
                <w:sz w:val="21"/>
              </w:rPr>
            </w:pPr>
          </w:p>
          <w:p w14:paraId="12DC586D">
            <w:pPr>
              <w:spacing w:line="258" w:lineRule="auto"/>
              <w:rPr>
                <w:rFonts w:hint="eastAsia" w:asciiTheme="minorEastAsia" w:hAnsiTheme="minorEastAsia" w:eastAsiaTheme="minorEastAsia" w:cstheme="minorEastAsia"/>
                <w:color w:val="auto"/>
                <w:sz w:val="21"/>
              </w:rPr>
            </w:pPr>
          </w:p>
          <w:p w14:paraId="6245D2DB">
            <w:pPr>
              <w:spacing w:line="258" w:lineRule="auto"/>
              <w:rPr>
                <w:rFonts w:hint="eastAsia" w:asciiTheme="minorEastAsia" w:hAnsiTheme="minorEastAsia" w:eastAsiaTheme="minorEastAsia" w:cstheme="minorEastAsia"/>
                <w:color w:val="auto"/>
                <w:sz w:val="21"/>
              </w:rPr>
            </w:pPr>
          </w:p>
          <w:p w14:paraId="00D0BBF9">
            <w:pPr>
              <w:spacing w:line="258" w:lineRule="auto"/>
              <w:rPr>
                <w:rFonts w:hint="eastAsia" w:asciiTheme="minorEastAsia" w:hAnsiTheme="minorEastAsia" w:eastAsiaTheme="minorEastAsia" w:cstheme="minorEastAsia"/>
                <w:color w:val="auto"/>
                <w:sz w:val="21"/>
              </w:rPr>
            </w:pPr>
          </w:p>
          <w:p w14:paraId="0DAE7CF2">
            <w:pPr>
              <w:spacing w:line="258" w:lineRule="auto"/>
              <w:rPr>
                <w:rFonts w:hint="eastAsia" w:asciiTheme="minorEastAsia" w:hAnsiTheme="minorEastAsia" w:eastAsiaTheme="minorEastAsia" w:cstheme="minorEastAsia"/>
                <w:color w:val="auto"/>
                <w:sz w:val="21"/>
              </w:rPr>
            </w:pPr>
          </w:p>
          <w:p w14:paraId="69AA9337">
            <w:pPr>
              <w:spacing w:line="259" w:lineRule="auto"/>
              <w:rPr>
                <w:rFonts w:hint="eastAsia" w:asciiTheme="minorEastAsia" w:hAnsiTheme="minorEastAsia" w:eastAsiaTheme="minorEastAsia" w:cstheme="minorEastAsia"/>
                <w:color w:val="auto"/>
                <w:sz w:val="21"/>
              </w:rPr>
            </w:pPr>
          </w:p>
          <w:p w14:paraId="7AA991A4">
            <w:pPr>
              <w:spacing w:line="259" w:lineRule="auto"/>
              <w:rPr>
                <w:rFonts w:hint="eastAsia" w:asciiTheme="minorEastAsia" w:hAnsiTheme="minorEastAsia" w:eastAsiaTheme="minorEastAsia" w:cstheme="minorEastAsia"/>
                <w:color w:val="auto"/>
                <w:sz w:val="21"/>
              </w:rPr>
            </w:pPr>
          </w:p>
          <w:p w14:paraId="2595EC3B">
            <w:pPr>
              <w:pStyle w:val="21"/>
              <w:spacing w:before="72" w:line="219" w:lineRule="auto"/>
              <w:ind w:left="39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rPr>
              <w:t>商务文件组成</w:t>
            </w:r>
          </w:p>
        </w:tc>
        <w:tc>
          <w:tcPr>
            <w:tcW w:w="7306" w:type="dxa"/>
            <w:vAlign w:val="top"/>
          </w:tcPr>
          <w:p w14:paraId="17170BA5">
            <w:pPr>
              <w:pStyle w:val="21"/>
              <w:spacing w:before="95" w:line="219" w:lineRule="auto"/>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1.无串通投标行为的承诺函(格式后附);(</w:t>
            </w:r>
            <w:r>
              <w:rPr>
                <w:rFonts w:hint="eastAsia" w:asciiTheme="minorEastAsia" w:hAnsiTheme="minorEastAsia" w:eastAsiaTheme="minorEastAsia" w:cstheme="minorEastAsia"/>
                <w:b/>
                <w:bCs/>
                <w:color w:val="auto"/>
              </w:rPr>
              <w:t>必须提供，否则作无效投标处</w:t>
            </w:r>
            <w:r>
              <w:rPr>
                <w:rFonts w:hint="eastAsia" w:asciiTheme="minorEastAsia" w:hAnsiTheme="minorEastAsia" w:eastAsiaTheme="minorEastAsia" w:cstheme="minorEastAsia"/>
                <w:b/>
                <w:bCs/>
                <w:color w:val="auto"/>
                <w:spacing w:val="-1"/>
              </w:rPr>
              <w:t>理)</w:t>
            </w:r>
          </w:p>
          <w:p w14:paraId="6881714F">
            <w:pPr>
              <w:pStyle w:val="21"/>
              <w:spacing w:before="152" w:line="280" w:lineRule="auto"/>
              <w:ind w:left="204" w:hanging="10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rPr>
              <w:t>2.法定代表人身份证明及法定代表人有效身份证正反面复印件(格式后附</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b/>
                <w:bCs/>
                <w:color w:val="auto"/>
                <w:spacing w:val="-1"/>
              </w:rPr>
              <w:t>(除自然人投标外必须提供，否则作无效投标处理)</w:t>
            </w:r>
          </w:p>
          <w:p w14:paraId="135A4323">
            <w:pPr>
              <w:pStyle w:val="21"/>
              <w:spacing w:before="123" w:line="284" w:lineRule="auto"/>
              <w:ind w:left="204" w:hanging="10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3.法定代表人授权委托书及委托代理人有效身份证正反面复印件</w:t>
            </w:r>
            <w:r>
              <w:rPr>
                <w:rFonts w:hint="eastAsia" w:asciiTheme="minorEastAsia" w:hAnsiTheme="minorEastAsia" w:eastAsiaTheme="minorEastAsia" w:cstheme="minorEastAsia"/>
                <w:color w:val="auto"/>
                <w:spacing w:val="-6"/>
              </w:rPr>
              <w:t>(格式后附);</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b/>
                <w:bCs/>
                <w:color w:val="auto"/>
                <w:spacing w:val="-2"/>
              </w:rPr>
              <w:t>(委托时必须提供，否则作无效投标处理)</w:t>
            </w:r>
          </w:p>
          <w:p w14:paraId="1F27A4A5">
            <w:pPr>
              <w:pStyle w:val="21"/>
              <w:spacing w:before="119" w:line="219" w:lineRule="auto"/>
              <w:ind w:left="6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4.商务条款偏离表(格式后附);(</w:t>
            </w:r>
            <w:r>
              <w:rPr>
                <w:rFonts w:hint="eastAsia" w:asciiTheme="minorEastAsia" w:hAnsiTheme="minorEastAsia" w:eastAsiaTheme="minorEastAsia" w:cstheme="minorEastAsia"/>
                <w:b/>
                <w:bCs/>
                <w:color w:val="auto"/>
              </w:rPr>
              <w:t>必须提供，否则作无效投标处理)</w:t>
            </w:r>
          </w:p>
          <w:p w14:paraId="74F00C4B">
            <w:pPr>
              <w:pStyle w:val="21"/>
              <w:spacing w:before="142" w:line="219" w:lineRule="auto"/>
              <w:ind w:left="6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5.投标人情况介绍(格式自拟);</w:t>
            </w:r>
          </w:p>
          <w:p w14:paraId="58A62774">
            <w:pPr>
              <w:pStyle w:val="21"/>
              <w:spacing w:before="129" w:line="273" w:lineRule="auto"/>
              <w:ind w:left="111" w:hanging="1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1"/>
              </w:rPr>
              <w:t>6.除招标文件规定必须提供以外，投标人认为需要提供的其他证明材料(格式</w:t>
            </w:r>
            <w:r>
              <w:rPr>
                <w:rFonts w:hint="eastAsia" w:asciiTheme="minorEastAsia" w:hAnsiTheme="minorEastAsia" w:eastAsiaTheme="minorEastAsia" w:cstheme="minorEastAsia"/>
                <w:color w:val="auto"/>
                <w:spacing w:val="1"/>
              </w:rPr>
              <w:t xml:space="preserve">   </w:t>
            </w:r>
            <w:r>
              <w:rPr>
                <w:rFonts w:hint="eastAsia" w:asciiTheme="minorEastAsia" w:hAnsiTheme="minorEastAsia" w:eastAsiaTheme="minorEastAsia" w:cstheme="minorEastAsia"/>
                <w:color w:val="auto"/>
                <w:spacing w:val="-3"/>
              </w:rPr>
              <w:t>自拟)。(投标人根据“第二章采购需求”及“第四章评标方法和评标标准”</w:t>
            </w:r>
          </w:p>
          <w:p w14:paraId="1F041B59">
            <w:pPr>
              <w:pStyle w:val="21"/>
              <w:spacing w:before="169" w:line="219" w:lineRule="auto"/>
              <w:ind w:left="6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提供有关证明材料)。</w:t>
            </w:r>
          </w:p>
          <w:p w14:paraId="72938D63">
            <w:pPr>
              <w:pStyle w:val="21"/>
              <w:spacing w:before="117" w:line="331" w:lineRule="auto"/>
              <w:ind w:left="66" w:firstLine="2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12"/>
              </w:rPr>
              <w:t>注</w:t>
            </w:r>
            <w:r>
              <w:rPr>
                <w:rFonts w:hint="eastAsia" w:asciiTheme="minorEastAsia" w:hAnsiTheme="minorEastAsia" w:eastAsiaTheme="minorEastAsia" w:cstheme="minorEastAsia"/>
                <w:b/>
                <w:bCs/>
                <w:color w:val="auto"/>
                <w:spacing w:val="-11"/>
              </w:rPr>
              <w:t>：1.法定代表人授权委托书必须由法定代表人及委托代理人签字，并加盖</w:t>
            </w:r>
            <w:r>
              <w:rPr>
                <w:rFonts w:hint="eastAsia" w:asciiTheme="minorEastAsia" w:hAnsiTheme="minorEastAsia" w:eastAsiaTheme="minorEastAsia" w:cstheme="minorEastAsia"/>
                <w:b/>
                <w:bCs/>
                <w:color w:val="auto"/>
                <w:spacing w:val="-10"/>
              </w:rPr>
              <w:t>投</w:t>
            </w:r>
            <w:r>
              <w:rPr>
                <w:rFonts w:hint="eastAsia" w:asciiTheme="minorEastAsia" w:hAnsiTheme="minorEastAsia" w:eastAsiaTheme="minorEastAsia" w:cstheme="minorEastAsia"/>
                <w:color w:val="auto"/>
                <w:spacing w:val="14"/>
              </w:rPr>
              <w:t xml:space="preserve"> </w:t>
            </w:r>
            <w:r>
              <w:rPr>
                <w:rFonts w:hint="eastAsia" w:asciiTheme="minorEastAsia" w:hAnsiTheme="minorEastAsia" w:eastAsiaTheme="minorEastAsia" w:cstheme="minorEastAsia"/>
                <w:b/>
                <w:bCs/>
                <w:color w:val="auto"/>
                <w:spacing w:val="-3"/>
              </w:rPr>
              <w:t>标人公章，否则作无效投标处理。</w:t>
            </w:r>
          </w:p>
          <w:p w14:paraId="5B5D7F6E">
            <w:pPr>
              <w:pStyle w:val="21"/>
              <w:spacing w:before="2" w:line="276" w:lineRule="auto"/>
              <w:ind w:left="66" w:firstLine="45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12"/>
              </w:rPr>
              <w:t>2</w:t>
            </w:r>
            <w:r>
              <w:rPr>
                <w:rFonts w:hint="eastAsia" w:asciiTheme="minorEastAsia" w:hAnsiTheme="minorEastAsia" w:eastAsiaTheme="minorEastAsia" w:cstheme="minorEastAsia"/>
                <w:b/>
                <w:bCs/>
                <w:color w:val="auto"/>
                <w:spacing w:val="-11"/>
              </w:rPr>
              <w:t>.以上标明“必须提供”的材料属于复印件的扫描件的，必须加盖投标</w:t>
            </w:r>
            <w:r>
              <w:rPr>
                <w:rFonts w:hint="eastAsia" w:asciiTheme="minorEastAsia" w:hAnsiTheme="minorEastAsia" w:eastAsiaTheme="minorEastAsia" w:cstheme="minorEastAsia"/>
                <w:b/>
                <w:bCs/>
                <w:color w:val="auto"/>
                <w:spacing w:val="-10"/>
              </w:rPr>
              <w:t>人</w:t>
            </w:r>
            <w:r>
              <w:rPr>
                <w:rFonts w:hint="eastAsia" w:asciiTheme="minorEastAsia" w:hAnsiTheme="minorEastAsia" w:eastAsiaTheme="minorEastAsia" w:cstheme="minorEastAsia"/>
                <w:color w:val="auto"/>
                <w:spacing w:val="6"/>
              </w:rPr>
              <w:t xml:space="preserve"> </w:t>
            </w:r>
            <w:r>
              <w:rPr>
                <w:rFonts w:hint="eastAsia" w:asciiTheme="minorEastAsia" w:hAnsiTheme="minorEastAsia" w:eastAsiaTheme="minorEastAsia" w:cstheme="minorEastAsia"/>
                <w:b/>
                <w:bCs/>
                <w:color w:val="auto"/>
                <w:spacing w:val="-3"/>
              </w:rPr>
              <w:t>公章，否则作无效投标处理。</w:t>
            </w:r>
          </w:p>
        </w:tc>
      </w:tr>
      <w:tr w14:paraId="185DD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14" w:type="dxa"/>
            <w:vMerge w:val="continue"/>
            <w:tcBorders>
              <w:top w:val="nil"/>
              <w:bottom w:val="nil"/>
            </w:tcBorders>
            <w:vAlign w:val="top"/>
          </w:tcPr>
          <w:p w14:paraId="03CBB023">
            <w:pPr>
              <w:rPr>
                <w:rFonts w:hint="eastAsia" w:asciiTheme="minorEastAsia" w:hAnsiTheme="minorEastAsia" w:eastAsiaTheme="minorEastAsia" w:cstheme="minorEastAsia"/>
                <w:color w:val="auto"/>
                <w:sz w:val="21"/>
              </w:rPr>
            </w:pPr>
          </w:p>
        </w:tc>
        <w:tc>
          <w:tcPr>
            <w:tcW w:w="2138" w:type="dxa"/>
            <w:vAlign w:val="top"/>
          </w:tcPr>
          <w:p w14:paraId="7C74D941">
            <w:pPr>
              <w:spacing w:line="282" w:lineRule="auto"/>
              <w:rPr>
                <w:rFonts w:hint="eastAsia" w:asciiTheme="minorEastAsia" w:hAnsiTheme="minorEastAsia" w:eastAsiaTheme="minorEastAsia" w:cstheme="minorEastAsia"/>
                <w:color w:val="auto"/>
                <w:sz w:val="21"/>
              </w:rPr>
            </w:pPr>
          </w:p>
          <w:p w14:paraId="2E9FE022">
            <w:pPr>
              <w:spacing w:line="282" w:lineRule="auto"/>
              <w:rPr>
                <w:rFonts w:hint="eastAsia" w:asciiTheme="minorEastAsia" w:hAnsiTheme="minorEastAsia" w:eastAsiaTheme="minorEastAsia" w:cstheme="minorEastAsia"/>
                <w:color w:val="auto"/>
                <w:sz w:val="21"/>
              </w:rPr>
            </w:pPr>
          </w:p>
          <w:p w14:paraId="31D3A291">
            <w:pPr>
              <w:spacing w:line="283" w:lineRule="auto"/>
              <w:rPr>
                <w:rFonts w:hint="eastAsia" w:asciiTheme="minorEastAsia" w:hAnsiTheme="minorEastAsia" w:eastAsiaTheme="minorEastAsia" w:cstheme="minorEastAsia"/>
                <w:color w:val="auto"/>
                <w:sz w:val="21"/>
              </w:rPr>
            </w:pPr>
          </w:p>
          <w:p w14:paraId="152927E1">
            <w:pPr>
              <w:spacing w:line="283" w:lineRule="auto"/>
              <w:rPr>
                <w:rFonts w:hint="eastAsia" w:asciiTheme="minorEastAsia" w:hAnsiTheme="minorEastAsia" w:eastAsiaTheme="minorEastAsia" w:cstheme="minorEastAsia"/>
                <w:color w:val="auto"/>
                <w:sz w:val="21"/>
              </w:rPr>
            </w:pPr>
          </w:p>
          <w:p w14:paraId="662113ED">
            <w:pPr>
              <w:spacing w:line="283" w:lineRule="auto"/>
              <w:rPr>
                <w:rFonts w:hint="eastAsia" w:asciiTheme="minorEastAsia" w:hAnsiTheme="minorEastAsia" w:eastAsiaTheme="minorEastAsia" w:cstheme="minorEastAsia"/>
                <w:color w:val="auto"/>
                <w:sz w:val="21"/>
              </w:rPr>
            </w:pPr>
          </w:p>
          <w:p w14:paraId="65A615B4">
            <w:pPr>
              <w:pStyle w:val="21"/>
              <w:spacing w:before="72" w:line="219" w:lineRule="auto"/>
              <w:ind w:left="39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技术文件组成</w:t>
            </w:r>
          </w:p>
        </w:tc>
        <w:tc>
          <w:tcPr>
            <w:tcW w:w="7306" w:type="dxa"/>
            <w:vAlign w:val="top"/>
          </w:tcPr>
          <w:p w14:paraId="206FEB07">
            <w:pPr>
              <w:pStyle w:val="21"/>
              <w:spacing w:before="119" w:line="219" w:lineRule="auto"/>
              <w:ind w:left="6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r>
              <w:rPr>
                <w:rFonts w:hint="eastAsia" w:asciiTheme="minorEastAsia" w:hAnsiTheme="minorEastAsia" w:eastAsiaTheme="minorEastAsia" w:cstheme="minorEastAsia"/>
                <w:color w:val="auto"/>
                <w:lang w:val="en-US" w:eastAsia="zh-CN"/>
              </w:rPr>
              <w:t>项目要求及技术服务要求</w:t>
            </w:r>
            <w:r>
              <w:rPr>
                <w:rFonts w:hint="eastAsia" w:asciiTheme="minorEastAsia" w:hAnsiTheme="minorEastAsia" w:eastAsiaTheme="minorEastAsia" w:cstheme="minorEastAsia"/>
                <w:color w:val="auto"/>
              </w:rPr>
              <w:t>偏离表(格式后附);(</w:t>
            </w:r>
            <w:r>
              <w:rPr>
                <w:rFonts w:hint="eastAsia" w:asciiTheme="minorEastAsia" w:hAnsiTheme="minorEastAsia" w:eastAsiaTheme="minorEastAsia" w:cstheme="minorEastAsia"/>
                <w:b/>
                <w:bCs/>
                <w:color w:val="auto"/>
              </w:rPr>
              <w:t>必须提供，否则作无效投标处理)</w:t>
            </w:r>
          </w:p>
          <w:p w14:paraId="3AF624FE">
            <w:pPr>
              <w:pStyle w:val="21"/>
              <w:spacing w:before="172" w:line="219" w:lineRule="auto"/>
              <w:ind w:left="6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2.服务实施方案(格式自拟);</w:t>
            </w:r>
          </w:p>
          <w:p w14:paraId="15231A5A">
            <w:pPr>
              <w:pStyle w:val="21"/>
              <w:spacing w:before="129" w:line="219" w:lineRule="auto"/>
              <w:ind w:left="6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3.售后服务方案(格式自拟);</w:t>
            </w:r>
          </w:p>
          <w:p w14:paraId="6D0C335E">
            <w:pPr>
              <w:pStyle w:val="21"/>
              <w:spacing w:before="138" w:line="219" w:lineRule="auto"/>
              <w:ind w:left="6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4.项目实施人员一览表(格式后附);</w:t>
            </w:r>
          </w:p>
          <w:p w14:paraId="75FD4AD3">
            <w:pPr>
              <w:pStyle w:val="21"/>
              <w:spacing w:before="100" w:line="281" w:lineRule="auto"/>
              <w:ind w:left="62" w:firstLine="4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5.除招标文件规定必须提供以外，投标人需要说明的其他文件和说明(格式自</w:t>
            </w:r>
            <w:r>
              <w:rPr>
                <w:rFonts w:hint="eastAsia" w:asciiTheme="minorEastAsia" w:hAnsiTheme="minorEastAsia" w:eastAsiaTheme="minorEastAsia" w:cstheme="minorEastAsia"/>
                <w:color w:val="auto"/>
                <w:spacing w:val="13"/>
              </w:rPr>
              <w:t xml:space="preserve"> </w:t>
            </w:r>
            <w:r>
              <w:rPr>
                <w:rFonts w:hint="eastAsia" w:asciiTheme="minorEastAsia" w:hAnsiTheme="minorEastAsia" w:eastAsiaTheme="minorEastAsia" w:cstheme="minorEastAsia"/>
                <w:color w:val="auto"/>
                <w:spacing w:val="-7"/>
              </w:rPr>
              <w:t>拟 ) 。</w:t>
            </w:r>
          </w:p>
          <w:p w14:paraId="0FBD32DF">
            <w:pPr>
              <w:pStyle w:val="21"/>
              <w:spacing w:before="146" w:line="276" w:lineRule="auto"/>
              <w:ind w:left="66" w:firstLine="2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11"/>
              </w:rPr>
              <w:t>注：以上标明“必须提供”的材料属于复印件的扫描件的，必须加盖投标人公</w:t>
            </w:r>
            <w:r>
              <w:rPr>
                <w:rFonts w:hint="eastAsia" w:asciiTheme="minorEastAsia" w:hAnsiTheme="minorEastAsia" w:eastAsiaTheme="minorEastAsia" w:cstheme="minorEastAsia"/>
                <w:color w:val="auto"/>
                <w:spacing w:val="5"/>
              </w:rPr>
              <w:t xml:space="preserve"> </w:t>
            </w:r>
            <w:r>
              <w:rPr>
                <w:rFonts w:hint="eastAsia" w:asciiTheme="minorEastAsia" w:hAnsiTheme="minorEastAsia" w:eastAsiaTheme="minorEastAsia" w:cstheme="minorEastAsia"/>
                <w:b/>
                <w:bCs/>
                <w:color w:val="auto"/>
                <w:spacing w:val="-3"/>
              </w:rPr>
              <w:t>章，否则作无效投标处理。</w:t>
            </w:r>
          </w:p>
        </w:tc>
      </w:tr>
      <w:tr w14:paraId="31199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14" w:type="dxa"/>
            <w:vMerge w:val="continue"/>
            <w:tcBorders>
              <w:top w:val="nil"/>
            </w:tcBorders>
            <w:vAlign w:val="top"/>
          </w:tcPr>
          <w:p w14:paraId="28B07D8E">
            <w:pPr>
              <w:rPr>
                <w:rFonts w:hint="eastAsia" w:asciiTheme="minorEastAsia" w:hAnsiTheme="minorEastAsia" w:eastAsiaTheme="minorEastAsia" w:cstheme="minorEastAsia"/>
                <w:color w:val="auto"/>
                <w:sz w:val="21"/>
              </w:rPr>
            </w:pPr>
          </w:p>
        </w:tc>
        <w:tc>
          <w:tcPr>
            <w:tcW w:w="2138" w:type="dxa"/>
            <w:vAlign w:val="top"/>
          </w:tcPr>
          <w:p w14:paraId="2AA5DFC6">
            <w:pPr>
              <w:spacing w:line="251" w:lineRule="auto"/>
              <w:rPr>
                <w:rFonts w:hint="eastAsia" w:asciiTheme="minorEastAsia" w:hAnsiTheme="minorEastAsia" w:eastAsiaTheme="minorEastAsia" w:cstheme="minorEastAsia"/>
                <w:color w:val="auto"/>
                <w:sz w:val="21"/>
              </w:rPr>
            </w:pPr>
          </w:p>
          <w:p w14:paraId="3BD3D3A4">
            <w:pPr>
              <w:spacing w:line="251" w:lineRule="auto"/>
              <w:rPr>
                <w:rFonts w:hint="eastAsia" w:asciiTheme="minorEastAsia" w:hAnsiTheme="minorEastAsia" w:eastAsiaTheme="minorEastAsia" w:cstheme="minorEastAsia"/>
                <w:color w:val="auto"/>
                <w:sz w:val="21"/>
              </w:rPr>
            </w:pPr>
          </w:p>
          <w:p w14:paraId="5A342294">
            <w:pPr>
              <w:spacing w:line="252" w:lineRule="auto"/>
              <w:rPr>
                <w:rFonts w:hint="eastAsia" w:asciiTheme="minorEastAsia" w:hAnsiTheme="minorEastAsia" w:eastAsiaTheme="minorEastAsia" w:cstheme="minorEastAsia"/>
                <w:color w:val="auto"/>
                <w:sz w:val="21"/>
              </w:rPr>
            </w:pPr>
          </w:p>
          <w:p w14:paraId="1A412A26">
            <w:pPr>
              <w:spacing w:line="252" w:lineRule="auto"/>
              <w:rPr>
                <w:rFonts w:hint="eastAsia" w:asciiTheme="minorEastAsia" w:hAnsiTheme="minorEastAsia" w:eastAsiaTheme="minorEastAsia" w:cstheme="minorEastAsia"/>
                <w:color w:val="auto"/>
                <w:sz w:val="21"/>
              </w:rPr>
            </w:pPr>
          </w:p>
          <w:p w14:paraId="39C76A5C">
            <w:pPr>
              <w:pStyle w:val="21"/>
              <w:spacing w:before="71" w:line="218" w:lineRule="auto"/>
              <w:ind w:left="39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rPr>
              <w:t>报价文件组成</w:t>
            </w:r>
          </w:p>
        </w:tc>
        <w:tc>
          <w:tcPr>
            <w:tcW w:w="7306" w:type="dxa"/>
            <w:vAlign w:val="top"/>
          </w:tcPr>
          <w:p w14:paraId="5E222530">
            <w:pPr>
              <w:pStyle w:val="21"/>
              <w:spacing w:before="121" w:line="219" w:lineRule="auto"/>
              <w:ind w:left="6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1.投标函(格式后附);(</w:t>
            </w:r>
            <w:r>
              <w:rPr>
                <w:rFonts w:hint="eastAsia" w:asciiTheme="minorEastAsia" w:hAnsiTheme="minorEastAsia" w:eastAsiaTheme="minorEastAsia" w:cstheme="minorEastAsia"/>
                <w:b/>
                <w:bCs/>
                <w:color w:val="auto"/>
              </w:rPr>
              <w:t>必须提供，否则作无效投标处理)</w:t>
            </w:r>
          </w:p>
          <w:p w14:paraId="77F848BC">
            <w:pPr>
              <w:pStyle w:val="21"/>
              <w:spacing w:before="139" w:line="219" w:lineRule="auto"/>
              <w:ind w:left="6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2.开标一览表(格式后附);</w:t>
            </w:r>
            <w:r>
              <w:rPr>
                <w:rFonts w:hint="eastAsia" w:asciiTheme="minorEastAsia" w:hAnsiTheme="minorEastAsia" w:eastAsiaTheme="minorEastAsia" w:cstheme="minorEastAsia"/>
                <w:b/>
                <w:bCs/>
                <w:color w:val="auto"/>
              </w:rPr>
              <w:t>(必须提供，否则作无效投标处理)</w:t>
            </w:r>
          </w:p>
          <w:p w14:paraId="453A3EF5">
            <w:pPr>
              <w:pStyle w:val="21"/>
              <w:spacing w:before="139" w:line="219" w:lineRule="auto"/>
              <w:ind w:left="62"/>
              <w:rPr>
                <w:rFonts w:hint="default" w:asciiTheme="minorEastAsia" w:hAnsiTheme="minorEastAsia" w:eastAsiaTheme="minorEastAsia" w:cstheme="minorEastAsia"/>
                <w:b/>
                <w:bCs/>
                <w:color w:val="auto"/>
                <w:lang w:val="en-US" w:eastAsia="zh-CN"/>
              </w:rPr>
            </w:pPr>
            <w:r>
              <w:rPr>
                <w:rFonts w:hint="eastAsia" w:asciiTheme="minorEastAsia" w:hAnsiTheme="minorEastAsia" w:eastAsiaTheme="minorEastAsia" w:cstheme="minorEastAsia"/>
                <w:b w:val="0"/>
                <w:bCs w:val="0"/>
                <w:color w:val="auto"/>
                <w:lang w:val="en-US" w:eastAsia="zh-CN"/>
              </w:rPr>
              <w:t>3.开标一览表附件（按第二章采购需求对应标段附件完全响应提供）</w:t>
            </w:r>
            <w:r>
              <w:rPr>
                <w:rFonts w:hint="eastAsia" w:asciiTheme="minorEastAsia" w:hAnsiTheme="minorEastAsia" w:eastAsiaTheme="minorEastAsia" w:cstheme="minorEastAsia"/>
                <w:b/>
                <w:bCs/>
                <w:color w:val="auto"/>
              </w:rPr>
              <w:t>(必须提供，否则作无效投标处理)</w:t>
            </w:r>
          </w:p>
          <w:p w14:paraId="00C45058">
            <w:pPr>
              <w:pStyle w:val="21"/>
              <w:spacing w:before="133" w:line="301" w:lineRule="auto"/>
              <w:ind w:left="62" w:firstLine="2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lang w:val="en-US" w:eastAsia="zh-CN"/>
              </w:rPr>
              <w:t>4</w:t>
            </w:r>
            <w:r>
              <w:rPr>
                <w:rFonts w:hint="eastAsia" w:asciiTheme="minorEastAsia" w:hAnsiTheme="minorEastAsia" w:eastAsiaTheme="minorEastAsia" w:cstheme="minorEastAsia"/>
                <w:color w:val="auto"/>
                <w:spacing w:val="-3"/>
              </w:rPr>
              <w:t>.中小企业声明函或者残疾人福利性单位声明函(格式后附)或者供应商属于</w:t>
            </w:r>
            <w:r>
              <w:rPr>
                <w:rFonts w:hint="eastAsia" w:asciiTheme="minorEastAsia" w:hAnsiTheme="minorEastAsia" w:eastAsiaTheme="minorEastAsia" w:cstheme="minorEastAsia"/>
                <w:color w:val="auto"/>
                <w:spacing w:val="4"/>
              </w:rPr>
              <w:t xml:space="preserve"> </w:t>
            </w:r>
            <w:r>
              <w:rPr>
                <w:rFonts w:hint="eastAsia" w:asciiTheme="minorEastAsia" w:hAnsiTheme="minorEastAsia" w:eastAsiaTheme="minorEastAsia" w:cstheme="minorEastAsia"/>
                <w:color w:val="auto"/>
                <w:spacing w:val="-7"/>
              </w:rPr>
              <w:t>监狱企业的，提供由省级以上监狱管理局、戒毒管理</w:t>
            </w:r>
            <w:r>
              <w:rPr>
                <w:rFonts w:hint="eastAsia" w:asciiTheme="minorEastAsia" w:hAnsiTheme="minorEastAsia" w:eastAsiaTheme="minorEastAsia" w:cstheme="minorEastAsia"/>
                <w:color w:val="auto"/>
                <w:spacing w:val="-8"/>
              </w:rPr>
              <w:t>局(含新疆生产建设兵团)</w:t>
            </w:r>
            <w:r>
              <w:rPr>
                <w:rFonts w:hint="eastAsia" w:asciiTheme="minorEastAsia" w:hAnsiTheme="minorEastAsia" w:eastAsiaTheme="minorEastAsia" w:cstheme="minorEastAsia"/>
                <w:color w:val="auto"/>
              </w:rPr>
              <w:t xml:space="preserve"> 出具的属于监狱企业的证明文件；</w:t>
            </w:r>
            <w:r>
              <w:rPr>
                <w:rFonts w:hint="eastAsia" w:asciiTheme="minorEastAsia" w:hAnsiTheme="minorEastAsia" w:eastAsiaTheme="minorEastAsia" w:cstheme="minorEastAsia"/>
                <w:b/>
                <w:bCs/>
                <w:color w:val="auto"/>
              </w:rPr>
              <w:t>(如有请提供)</w:t>
            </w:r>
          </w:p>
          <w:p w14:paraId="4BAED003">
            <w:pPr>
              <w:pStyle w:val="21"/>
              <w:spacing w:before="111" w:line="218" w:lineRule="auto"/>
              <w:ind w:left="6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5</w:t>
            </w:r>
            <w:r>
              <w:rPr>
                <w:rFonts w:hint="eastAsia" w:asciiTheme="minorEastAsia" w:hAnsiTheme="minorEastAsia" w:eastAsiaTheme="minorEastAsia" w:cstheme="minorEastAsia"/>
                <w:color w:val="auto"/>
              </w:rPr>
              <w:t>.投标人针对报价需要说明的其他文件和说明(格式自拟)。</w:t>
            </w:r>
          </w:p>
        </w:tc>
      </w:tr>
      <w:tr w14:paraId="3045F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14" w:type="dxa"/>
            <w:vAlign w:val="top"/>
          </w:tcPr>
          <w:p w14:paraId="77E298E4">
            <w:pPr>
              <w:spacing w:line="332" w:lineRule="auto"/>
              <w:rPr>
                <w:rFonts w:hint="eastAsia" w:asciiTheme="minorEastAsia" w:hAnsiTheme="minorEastAsia" w:eastAsiaTheme="minorEastAsia" w:cstheme="minorEastAsia"/>
                <w:color w:val="auto"/>
                <w:sz w:val="21"/>
              </w:rPr>
            </w:pPr>
          </w:p>
          <w:p w14:paraId="667AF5A6">
            <w:pPr>
              <w:spacing w:line="332" w:lineRule="auto"/>
              <w:rPr>
                <w:rFonts w:hint="eastAsia" w:asciiTheme="minorEastAsia" w:hAnsiTheme="minorEastAsia" w:eastAsiaTheme="minorEastAsia" w:cstheme="minorEastAsia"/>
                <w:color w:val="auto"/>
                <w:sz w:val="21"/>
              </w:rPr>
            </w:pPr>
          </w:p>
          <w:p w14:paraId="56109AE3">
            <w:pPr>
              <w:pStyle w:val="21"/>
              <w:spacing w:before="71" w:line="239" w:lineRule="auto"/>
              <w:ind w:left="7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16.2</w:t>
            </w:r>
          </w:p>
        </w:tc>
        <w:tc>
          <w:tcPr>
            <w:tcW w:w="2138" w:type="dxa"/>
            <w:vAlign w:val="top"/>
          </w:tcPr>
          <w:p w14:paraId="53325836">
            <w:pPr>
              <w:spacing w:line="320" w:lineRule="auto"/>
              <w:rPr>
                <w:rFonts w:hint="eastAsia" w:asciiTheme="minorEastAsia" w:hAnsiTheme="minorEastAsia" w:eastAsiaTheme="minorEastAsia" w:cstheme="minorEastAsia"/>
                <w:color w:val="auto"/>
                <w:sz w:val="21"/>
              </w:rPr>
            </w:pPr>
          </w:p>
          <w:p w14:paraId="5F00F8D1">
            <w:pPr>
              <w:spacing w:line="320" w:lineRule="auto"/>
              <w:rPr>
                <w:rFonts w:hint="eastAsia" w:asciiTheme="minorEastAsia" w:hAnsiTheme="minorEastAsia" w:eastAsiaTheme="minorEastAsia" w:cstheme="minorEastAsia"/>
                <w:color w:val="auto"/>
                <w:sz w:val="21"/>
              </w:rPr>
            </w:pPr>
          </w:p>
          <w:p w14:paraId="2E40B439">
            <w:pPr>
              <w:pStyle w:val="21"/>
              <w:spacing w:before="72" w:line="218" w:lineRule="auto"/>
              <w:ind w:left="39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rPr>
              <w:t>投标报价要求</w:t>
            </w:r>
          </w:p>
        </w:tc>
        <w:tc>
          <w:tcPr>
            <w:tcW w:w="7306" w:type="dxa"/>
            <w:vAlign w:val="top"/>
          </w:tcPr>
          <w:p w14:paraId="1B85CAE5">
            <w:pPr>
              <w:pStyle w:val="21"/>
              <w:spacing w:before="26" w:line="218" w:lineRule="auto"/>
              <w:ind w:left="6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1.投标人须就《项目需求表》中全部的建设内容作完整唯一报价。</w:t>
            </w:r>
          </w:p>
          <w:p w14:paraId="31DC8D8B">
            <w:pPr>
              <w:pStyle w:val="21"/>
              <w:spacing w:before="138" w:line="303" w:lineRule="auto"/>
              <w:ind w:left="81" w:hanging="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8"/>
              </w:rPr>
              <w:t>2.本次报价须为人民币报价，包括：服务的所有费用，即采购、运输、劳务、</w:t>
            </w:r>
            <w:r>
              <w:rPr>
                <w:rFonts w:hint="eastAsia" w:asciiTheme="minorEastAsia" w:hAnsiTheme="minorEastAsia" w:eastAsiaTheme="minorEastAsia" w:cstheme="minorEastAsia"/>
                <w:color w:val="auto"/>
                <w:spacing w:val="13"/>
              </w:rPr>
              <w:t xml:space="preserve"> </w:t>
            </w:r>
            <w:r>
              <w:rPr>
                <w:rFonts w:hint="eastAsia" w:asciiTheme="minorEastAsia" w:hAnsiTheme="minorEastAsia" w:eastAsiaTheme="minorEastAsia" w:cstheme="minorEastAsia"/>
                <w:color w:val="auto"/>
                <w:spacing w:val="-11"/>
              </w:rPr>
              <w:t>管理、利润、税金、保险、协调、安装、调试、接口开发、培训、售后服</w:t>
            </w:r>
            <w:r>
              <w:rPr>
                <w:rFonts w:hint="eastAsia" w:asciiTheme="minorEastAsia" w:hAnsiTheme="minorEastAsia" w:eastAsiaTheme="minorEastAsia" w:cstheme="minorEastAsia"/>
                <w:color w:val="auto"/>
                <w:spacing w:val="-12"/>
              </w:rPr>
              <w:t>务本</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spacing w:val="-10"/>
              </w:rPr>
              <w:t>项目实施辅材、仓储费以及所有的不定因素的风险</w:t>
            </w:r>
            <w:r>
              <w:rPr>
                <w:rFonts w:hint="eastAsia" w:asciiTheme="minorEastAsia" w:hAnsiTheme="minorEastAsia" w:eastAsiaTheme="minorEastAsia" w:cstheme="minorEastAsia"/>
                <w:color w:val="auto"/>
                <w:spacing w:val="-11"/>
              </w:rPr>
              <w:t>等。对于本文件中明确列明</w:t>
            </w:r>
          </w:p>
        </w:tc>
      </w:tr>
      <w:tr w14:paraId="4D886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14" w:type="dxa"/>
            <w:vAlign w:val="top"/>
          </w:tcPr>
          <w:p w14:paraId="14892395">
            <w:pPr>
              <w:rPr>
                <w:rFonts w:hint="eastAsia" w:asciiTheme="minorEastAsia" w:hAnsiTheme="minorEastAsia" w:eastAsiaTheme="minorEastAsia" w:cstheme="minorEastAsia"/>
                <w:color w:val="auto"/>
                <w:sz w:val="21"/>
              </w:rPr>
            </w:pPr>
          </w:p>
        </w:tc>
        <w:tc>
          <w:tcPr>
            <w:tcW w:w="2138" w:type="dxa"/>
            <w:vAlign w:val="top"/>
          </w:tcPr>
          <w:p w14:paraId="58125C1A">
            <w:pPr>
              <w:rPr>
                <w:rFonts w:hint="eastAsia" w:asciiTheme="minorEastAsia" w:hAnsiTheme="minorEastAsia" w:eastAsiaTheme="minorEastAsia" w:cstheme="minorEastAsia"/>
                <w:color w:val="auto"/>
                <w:sz w:val="21"/>
              </w:rPr>
            </w:pPr>
          </w:p>
        </w:tc>
        <w:tc>
          <w:tcPr>
            <w:tcW w:w="7306" w:type="dxa"/>
            <w:vAlign w:val="top"/>
          </w:tcPr>
          <w:p w14:paraId="52A3D723">
            <w:pPr>
              <w:pStyle w:val="21"/>
              <w:spacing w:before="13" w:line="345" w:lineRule="auto"/>
              <w:ind w:left="81" w:right="2" w:hanging="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8"/>
              </w:rPr>
              <w:t>必须报价的货物或服务，投标人应分别报价。对于本文件中未列明，而投标人</w:t>
            </w:r>
            <w:r>
              <w:rPr>
                <w:rFonts w:hint="eastAsia" w:asciiTheme="minorEastAsia" w:hAnsiTheme="minorEastAsia" w:eastAsiaTheme="minorEastAsia" w:cstheme="minorEastAsia"/>
                <w:color w:val="auto"/>
                <w:spacing w:val="10"/>
              </w:rPr>
              <w:t xml:space="preserve"> </w:t>
            </w:r>
            <w:r>
              <w:rPr>
                <w:rFonts w:hint="eastAsia" w:asciiTheme="minorEastAsia" w:hAnsiTheme="minorEastAsia" w:eastAsiaTheme="minorEastAsia" w:cstheme="minorEastAsia"/>
                <w:color w:val="auto"/>
              </w:rPr>
              <w:t>认为必需的费用也需列入总报价。</w:t>
            </w:r>
          </w:p>
          <w:p w14:paraId="54B63ABE">
            <w:pPr>
              <w:pStyle w:val="21"/>
              <w:spacing w:before="87" w:line="330" w:lineRule="auto"/>
              <w:ind w:left="85" w:right="172" w:hanging="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3.不论投标结果如何，投标人均应自行承担所有与投标有关的全部费</w:t>
            </w:r>
            <w:r>
              <w:rPr>
                <w:rFonts w:hint="eastAsia" w:asciiTheme="minorEastAsia" w:hAnsiTheme="minorEastAsia" w:eastAsiaTheme="minorEastAsia" w:cstheme="minorEastAsia"/>
                <w:color w:val="auto"/>
                <w:spacing w:val="-1"/>
              </w:rPr>
              <w:t>用。</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b/>
                <w:bCs/>
                <w:color w:val="auto"/>
                <w:spacing w:val="-1"/>
              </w:rPr>
              <w:t>☑投标报价包含验收费用</w:t>
            </w:r>
          </w:p>
          <w:p w14:paraId="433077D7">
            <w:pPr>
              <w:pStyle w:val="21"/>
              <w:spacing w:before="1" w:line="217" w:lineRule="auto"/>
              <w:ind w:left="86"/>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1"/>
              </w:rPr>
              <w:t>口投标报价不包含验收费用</w:t>
            </w:r>
          </w:p>
        </w:tc>
      </w:tr>
      <w:tr w14:paraId="3A9EC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14" w:type="dxa"/>
            <w:vAlign w:val="top"/>
          </w:tcPr>
          <w:p w14:paraId="45ABD5CF">
            <w:pPr>
              <w:pStyle w:val="21"/>
              <w:spacing w:before="163" w:line="190" w:lineRule="auto"/>
              <w:ind w:left="6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17.2</w:t>
            </w:r>
          </w:p>
        </w:tc>
        <w:tc>
          <w:tcPr>
            <w:tcW w:w="2138" w:type="dxa"/>
            <w:vAlign w:val="top"/>
          </w:tcPr>
          <w:p w14:paraId="565E4C51">
            <w:pPr>
              <w:pStyle w:val="21"/>
              <w:spacing w:before="142" w:line="208" w:lineRule="auto"/>
              <w:ind w:left="5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投标有效期</w:t>
            </w:r>
          </w:p>
        </w:tc>
        <w:tc>
          <w:tcPr>
            <w:tcW w:w="7306" w:type="dxa"/>
            <w:vAlign w:val="top"/>
          </w:tcPr>
          <w:p w14:paraId="162F930B">
            <w:pPr>
              <w:pStyle w:val="21"/>
              <w:spacing w:before="142" w:line="208" w:lineRule="auto"/>
              <w:ind w:left="8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2"/>
              </w:rPr>
              <w:t>自投标截止之日起</w:t>
            </w:r>
            <w:r>
              <w:rPr>
                <w:rFonts w:hint="eastAsia" w:asciiTheme="minorEastAsia" w:hAnsiTheme="minorEastAsia" w:eastAsiaTheme="minorEastAsia" w:cstheme="minorEastAsia"/>
                <w:b/>
                <w:bCs/>
                <w:color w:val="auto"/>
                <w:spacing w:val="-12"/>
              </w:rPr>
              <w:t>60</w:t>
            </w:r>
            <w:r>
              <w:rPr>
                <w:rFonts w:hint="eastAsia" w:asciiTheme="minorEastAsia" w:hAnsiTheme="minorEastAsia" w:eastAsiaTheme="minorEastAsia" w:cstheme="minorEastAsia"/>
                <w:color w:val="auto"/>
                <w:spacing w:val="-12"/>
              </w:rPr>
              <w:t>日</w:t>
            </w:r>
            <w:r>
              <w:rPr>
                <w:rFonts w:hint="eastAsia" w:asciiTheme="minorEastAsia" w:hAnsiTheme="minorEastAsia" w:eastAsiaTheme="minorEastAsia" w:cstheme="minorEastAsia"/>
                <w:color w:val="auto"/>
                <w:spacing w:val="60"/>
              </w:rPr>
              <w:t xml:space="preserve"> </w:t>
            </w:r>
            <w:r>
              <w:rPr>
                <w:rFonts w:hint="eastAsia" w:asciiTheme="minorEastAsia" w:hAnsiTheme="minorEastAsia" w:eastAsiaTheme="minorEastAsia" w:cstheme="minorEastAsia"/>
                <w:color w:val="auto"/>
                <w:spacing w:val="-12"/>
              </w:rPr>
              <w:t>。</w:t>
            </w:r>
          </w:p>
        </w:tc>
      </w:tr>
      <w:tr w14:paraId="45A8C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14" w:type="dxa"/>
            <w:vAlign w:val="top"/>
          </w:tcPr>
          <w:p w14:paraId="079C6312">
            <w:pPr>
              <w:spacing w:line="251" w:lineRule="auto"/>
              <w:rPr>
                <w:rFonts w:hint="eastAsia" w:asciiTheme="minorEastAsia" w:hAnsiTheme="minorEastAsia" w:eastAsiaTheme="minorEastAsia" w:cstheme="minorEastAsia"/>
                <w:color w:val="auto"/>
                <w:sz w:val="21"/>
              </w:rPr>
            </w:pPr>
          </w:p>
          <w:p w14:paraId="1FBE45F8">
            <w:pPr>
              <w:spacing w:line="251" w:lineRule="auto"/>
              <w:rPr>
                <w:rFonts w:hint="eastAsia" w:asciiTheme="minorEastAsia" w:hAnsiTheme="minorEastAsia" w:eastAsiaTheme="minorEastAsia" w:cstheme="minorEastAsia"/>
                <w:color w:val="auto"/>
                <w:sz w:val="21"/>
              </w:rPr>
            </w:pPr>
          </w:p>
          <w:p w14:paraId="579404E8">
            <w:pPr>
              <w:spacing w:line="251" w:lineRule="auto"/>
              <w:rPr>
                <w:rFonts w:hint="eastAsia" w:asciiTheme="minorEastAsia" w:hAnsiTheme="minorEastAsia" w:eastAsiaTheme="minorEastAsia" w:cstheme="minorEastAsia"/>
                <w:color w:val="auto"/>
                <w:sz w:val="21"/>
              </w:rPr>
            </w:pPr>
          </w:p>
          <w:p w14:paraId="36D4E4D3">
            <w:pPr>
              <w:spacing w:line="251" w:lineRule="auto"/>
              <w:rPr>
                <w:rFonts w:hint="eastAsia" w:asciiTheme="minorEastAsia" w:hAnsiTheme="minorEastAsia" w:eastAsiaTheme="minorEastAsia" w:cstheme="minorEastAsia"/>
                <w:color w:val="auto"/>
                <w:sz w:val="21"/>
              </w:rPr>
            </w:pPr>
          </w:p>
          <w:p w14:paraId="2A0D3A31">
            <w:pPr>
              <w:spacing w:line="251" w:lineRule="auto"/>
              <w:rPr>
                <w:rFonts w:hint="eastAsia" w:asciiTheme="minorEastAsia" w:hAnsiTheme="minorEastAsia" w:eastAsiaTheme="minorEastAsia" w:cstheme="minorEastAsia"/>
                <w:color w:val="auto"/>
                <w:sz w:val="21"/>
              </w:rPr>
            </w:pPr>
          </w:p>
          <w:p w14:paraId="2C768A8E">
            <w:pPr>
              <w:spacing w:line="251" w:lineRule="auto"/>
              <w:rPr>
                <w:rFonts w:hint="eastAsia" w:asciiTheme="minorEastAsia" w:hAnsiTheme="minorEastAsia" w:eastAsiaTheme="minorEastAsia" w:cstheme="minorEastAsia"/>
                <w:color w:val="auto"/>
                <w:sz w:val="21"/>
              </w:rPr>
            </w:pPr>
          </w:p>
          <w:p w14:paraId="3AF40466">
            <w:pPr>
              <w:spacing w:line="251" w:lineRule="auto"/>
              <w:rPr>
                <w:rFonts w:hint="eastAsia" w:asciiTheme="minorEastAsia" w:hAnsiTheme="minorEastAsia" w:eastAsiaTheme="minorEastAsia" w:cstheme="minorEastAsia"/>
                <w:color w:val="auto"/>
                <w:sz w:val="21"/>
              </w:rPr>
            </w:pPr>
          </w:p>
          <w:p w14:paraId="5B7F927F">
            <w:pPr>
              <w:spacing w:line="252" w:lineRule="auto"/>
              <w:rPr>
                <w:rFonts w:hint="eastAsia" w:asciiTheme="minorEastAsia" w:hAnsiTheme="minorEastAsia" w:eastAsiaTheme="minorEastAsia" w:cstheme="minorEastAsia"/>
                <w:color w:val="auto"/>
                <w:sz w:val="21"/>
              </w:rPr>
            </w:pPr>
          </w:p>
          <w:p w14:paraId="140B4DFF">
            <w:pPr>
              <w:spacing w:line="252" w:lineRule="auto"/>
              <w:rPr>
                <w:rFonts w:hint="eastAsia" w:asciiTheme="minorEastAsia" w:hAnsiTheme="minorEastAsia" w:eastAsiaTheme="minorEastAsia" w:cstheme="minorEastAsia"/>
                <w:color w:val="auto"/>
                <w:sz w:val="21"/>
              </w:rPr>
            </w:pPr>
          </w:p>
          <w:p w14:paraId="21248AB1">
            <w:pPr>
              <w:spacing w:line="252" w:lineRule="auto"/>
              <w:rPr>
                <w:rFonts w:hint="eastAsia" w:asciiTheme="minorEastAsia" w:hAnsiTheme="minorEastAsia" w:eastAsiaTheme="minorEastAsia" w:cstheme="minorEastAsia"/>
                <w:color w:val="auto"/>
                <w:sz w:val="21"/>
              </w:rPr>
            </w:pPr>
          </w:p>
          <w:p w14:paraId="29EED57C">
            <w:pPr>
              <w:spacing w:line="252" w:lineRule="auto"/>
              <w:rPr>
                <w:rFonts w:hint="eastAsia" w:asciiTheme="minorEastAsia" w:hAnsiTheme="minorEastAsia" w:eastAsiaTheme="minorEastAsia" w:cstheme="minorEastAsia"/>
                <w:color w:val="auto"/>
                <w:sz w:val="21"/>
              </w:rPr>
            </w:pPr>
          </w:p>
          <w:p w14:paraId="0FAA3499">
            <w:pPr>
              <w:spacing w:line="252" w:lineRule="auto"/>
              <w:rPr>
                <w:rFonts w:hint="eastAsia" w:asciiTheme="minorEastAsia" w:hAnsiTheme="minorEastAsia" w:eastAsiaTheme="minorEastAsia" w:cstheme="minorEastAsia"/>
                <w:color w:val="auto"/>
                <w:sz w:val="21"/>
              </w:rPr>
            </w:pPr>
          </w:p>
          <w:p w14:paraId="7CCEE145">
            <w:pPr>
              <w:spacing w:line="252" w:lineRule="auto"/>
              <w:rPr>
                <w:rFonts w:hint="eastAsia" w:asciiTheme="minorEastAsia" w:hAnsiTheme="minorEastAsia" w:eastAsiaTheme="minorEastAsia" w:cstheme="minorEastAsia"/>
                <w:color w:val="auto"/>
                <w:sz w:val="21"/>
              </w:rPr>
            </w:pPr>
          </w:p>
          <w:p w14:paraId="6D81F10A">
            <w:pPr>
              <w:spacing w:line="252" w:lineRule="auto"/>
              <w:rPr>
                <w:rFonts w:hint="eastAsia" w:asciiTheme="minorEastAsia" w:hAnsiTheme="minorEastAsia" w:eastAsiaTheme="minorEastAsia" w:cstheme="minorEastAsia"/>
                <w:color w:val="auto"/>
                <w:sz w:val="21"/>
              </w:rPr>
            </w:pPr>
          </w:p>
          <w:p w14:paraId="41E45E4F">
            <w:pPr>
              <w:spacing w:line="252" w:lineRule="auto"/>
              <w:rPr>
                <w:rFonts w:hint="eastAsia" w:asciiTheme="minorEastAsia" w:hAnsiTheme="minorEastAsia" w:eastAsiaTheme="minorEastAsia" w:cstheme="minorEastAsia"/>
                <w:color w:val="auto"/>
                <w:sz w:val="21"/>
              </w:rPr>
            </w:pPr>
          </w:p>
          <w:p w14:paraId="080BF2D0">
            <w:pPr>
              <w:spacing w:line="252" w:lineRule="auto"/>
              <w:rPr>
                <w:rFonts w:hint="eastAsia" w:asciiTheme="minorEastAsia" w:hAnsiTheme="minorEastAsia" w:eastAsiaTheme="minorEastAsia" w:cstheme="minorEastAsia"/>
                <w:color w:val="auto"/>
                <w:sz w:val="21"/>
              </w:rPr>
            </w:pPr>
          </w:p>
          <w:p w14:paraId="187D1E68">
            <w:pPr>
              <w:spacing w:line="252" w:lineRule="auto"/>
              <w:rPr>
                <w:rFonts w:hint="eastAsia" w:asciiTheme="minorEastAsia" w:hAnsiTheme="minorEastAsia" w:eastAsiaTheme="minorEastAsia" w:cstheme="minorEastAsia"/>
                <w:color w:val="auto"/>
                <w:sz w:val="21"/>
              </w:rPr>
            </w:pPr>
          </w:p>
          <w:p w14:paraId="4A14A1A8">
            <w:pPr>
              <w:spacing w:line="252" w:lineRule="auto"/>
              <w:rPr>
                <w:rFonts w:hint="eastAsia" w:asciiTheme="minorEastAsia" w:hAnsiTheme="minorEastAsia" w:eastAsiaTheme="minorEastAsia" w:cstheme="minorEastAsia"/>
                <w:color w:val="auto"/>
                <w:sz w:val="21"/>
              </w:rPr>
            </w:pPr>
          </w:p>
          <w:p w14:paraId="28F2DFFB">
            <w:pPr>
              <w:spacing w:line="252" w:lineRule="auto"/>
              <w:rPr>
                <w:rFonts w:hint="eastAsia" w:asciiTheme="minorEastAsia" w:hAnsiTheme="minorEastAsia" w:eastAsiaTheme="minorEastAsia" w:cstheme="minorEastAsia"/>
                <w:color w:val="auto"/>
                <w:sz w:val="21"/>
              </w:rPr>
            </w:pPr>
          </w:p>
          <w:p w14:paraId="2D108396">
            <w:pPr>
              <w:pStyle w:val="21"/>
              <w:spacing w:before="71"/>
              <w:ind w:left="6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7"/>
              </w:rPr>
              <w:t>18</w:t>
            </w:r>
          </w:p>
        </w:tc>
        <w:tc>
          <w:tcPr>
            <w:tcW w:w="2138" w:type="dxa"/>
            <w:vAlign w:val="top"/>
          </w:tcPr>
          <w:p w14:paraId="314E0FEA">
            <w:pPr>
              <w:spacing w:line="250" w:lineRule="auto"/>
              <w:rPr>
                <w:rFonts w:hint="eastAsia" w:asciiTheme="minorEastAsia" w:hAnsiTheme="minorEastAsia" w:eastAsiaTheme="minorEastAsia" w:cstheme="minorEastAsia"/>
                <w:color w:val="auto"/>
                <w:sz w:val="21"/>
              </w:rPr>
            </w:pPr>
          </w:p>
          <w:p w14:paraId="5EA06148">
            <w:pPr>
              <w:spacing w:line="250" w:lineRule="auto"/>
              <w:rPr>
                <w:rFonts w:hint="eastAsia" w:asciiTheme="minorEastAsia" w:hAnsiTheme="minorEastAsia" w:eastAsiaTheme="minorEastAsia" w:cstheme="minorEastAsia"/>
                <w:color w:val="auto"/>
                <w:sz w:val="21"/>
              </w:rPr>
            </w:pPr>
          </w:p>
          <w:p w14:paraId="7917F8A3">
            <w:pPr>
              <w:spacing w:line="250" w:lineRule="auto"/>
              <w:rPr>
                <w:rFonts w:hint="eastAsia" w:asciiTheme="minorEastAsia" w:hAnsiTheme="minorEastAsia" w:eastAsiaTheme="minorEastAsia" w:cstheme="minorEastAsia"/>
                <w:color w:val="auto"/>
                <w:sz w:val="21"/>
              </w:rPr>
            </w:pPr>
          </w:p>
          <w:p w14:paraId="654ED929">
            <w:pPr>
              <w:spacing w:line="250" w:lineRule="auto"/>
              <w:rPr>
                <w:rFonts w:hint="eastAsia" w:asciiTheme="minorEastAsia" w:hAnsiTheme="minorEastAsia" w:eastAsiaTheme="minorEastAsia" w:cstheme="minorEastAsia"/>
                <w:color w:val="auto"/>
                <w:sz w:val="21"/>
              </w:rPr>
            </w:pPr>
          </w:p>
          <w:p w14:paraId="4CAA8B38">
            <w:pPr>
              <w:spacing w:line="250" w:lineRule="auto"/>
              <w:rPr>
                <w:rFonts w:hint="eastAsia" w:asciiTheme="minorEastAsia" w:hAnsiTheme="minorEastAsia" w:eastAsiaTheme="minorEastAsia" w:cstheme="minorEastAsia"/>
                <w:color w:val="auto"/>
                <w:sz w:val="21"/>
              </w:rPr>
            </w:pPr>
          </w:p>
          <w:p w14:paraId="14ED9355">
            <w:pPr>
              <w:spacing w:line="250" w:lineRule="auto"/>
              <w:rPr>
                <w:rFonts w:hint="eastAsia" w:asciiTheme="minorEastAsia" w:hAnsiTheme="minorEastAsia" w:eastAsiaTheme="minorEastAsia" w:cstheme="minorEastAsia"/>
                <w:color w:val="auto"/>
                <w:sz w:val="21"/>
              </w:rPr>
            </w:pPr>
          </w:p>
          <w:p w14:paraId="7AE7B570">
            <w:pPr>
              <w:spacing w:line="250" w:lineRule="auto"/>
              <w:rPr>
                <w:rFonts w:hint="eastAsia" w:asciiTheme="minorEastAsia" w:hAnsiTheme="minorEastAsia" w:eastAsiaTheme="minorEastAsia" w:cstheme="minorEastAsia"/>
                <w:color w:val="auto"/>
                <w:sz w:val="21"/>
              </w:rPr>
            </w:pPr>
          </w:p>
          <w:p w14:paraId="010940B4">
            <w:pPr>
              <w:spacing w:line="250" w:lineRule="auto"/>
              <w:rPr>
                <w:rFonts w:hint="eastAsia" w:asciiTheme="minorEastAsia" w:hAnsiTheme="minorEastAsia" w:eastAsiaTheme="minorEastAsia" w:cstheme="minorEastAsia"/>
                <w:color w:val="auto"/>
                <w:sz w:val="21"/>
              </w:rPr>
            </w:pPr>
          </w:p>
          <w:p w14:paraId="4362D94B">
            <w:pPr>
              <w:spacing w:line="250" w:lineRule="auto"/>
              <w:rPr>
                <w:rFonts w:hint="eastAsia" w:asciiTheme="minorEastAsia" w:hAnsiTheme="minorEastAsia" w:eastAsiaTheme="minorEastAsia" w:cstheme="minorEastAsia"/>
                <w:color w:val="auto"/>
                <w:sz w:val="21"/>
              </w:rPr>
            </w:pPr>
          </w:p>
          <w:p w14:paraId="5A1679BE">
            <w:pPr>
              <w:spacing w:line="251" w:lineRule="auto"/>
              <w:rPr>
                <w:rFonts w:hint="eastAsia" w:asciiTheme="minorEastAsia" w:hAnsiTheme="minorEastAsia" w:eastAsiaTheme="minorEastAsia" w:cstheme="minorEastAsia"/>
                <w:color w:val="auto"/>
                <w:sz w:val="21"/>
              </w:rPr>
            </w:pPr>
          </w:p>
          <w:p w14:paraId="0337F880">
            <w:pPr>
              <w:spacing w:line="251" w:lineRule="auto"/>
              <w:rPr>
                <w:rFonts w:hint="eastAsia" w:asciiTheme="minorEastAsia" w:hAnsiTheme="minorEastAsia" w:eastAsiaTheme="minorEastAsia" w:cstheme="minorEastAsia"/>
                <w:color w:val="auto"/>
                <w:sz w:val="21"/>
              </w:rPr>
            </w:pPr>
          </w:p>
          <w:p w14:paraId="54003961">
            <w:pPr>
              <w:spacing w:line="251" w:lineRule="auto"/>
              <w:rPr>
                <w:rFonts w:hint="eastAsia" w:asciiTheme="minorEastAsia" w:hAnsiTheme="minorEastAsia" w:eastAsiaTheme="minorEastAsia" w:cstheme="minorEastAsia"/>
                <w:color w:val="auto"/>
                <w:sz w:val="21"/>
              </w:rPr>
            </w:pPr>
          </w:p>
          <w:p w14:paraId="1BB96C5A">
            <w:pPr>
              <w:spacing w:line="251" w:lineRule="auto"/>
              <w:rPr>
                <w:rFonts w:hint="eastAsia" w:asciiTheme="minorEastAsia" w:hAnsiTheme="minorEastAsia" w:eastAsiaTheme="minorEastAsia" w:cstheme="minorEastAsia"/>
                <w:color w:val="auto"/>
                <w:sz w:val="21"/>
              </w:rPr>
            </w:pPr>
          </w:p>
          <w:p w14:paraId="5741F94F">
            <w:pPr>
              <w:spacing w:line="251" w:lineRule="auto"/>
              <w:rPr>
                <w:rFonts w:hint="eastAsia" w:asciiTheme="minorEastAsia" w:hAnsiTheme="minorEastAsia" w:eastAsiaTheme="minorEastAsia" w:cstheme="minorEastAsia"/>
                <w:color w:val="auto"/>
                <w:sz w:val="21"/>
              </w:rPr>
            </w:pPr>
          </w:p>
          <w:p w14:paraId="4648B4BF">
            <w:pPr>
              <w:spacing w:line="251" w:lineRule="auto"/>
              <w:rPr>
                <w:rFonts w:hint="eastAsia" w:asciiTheme="minorEastAsia" w:hAnsiTheme="minorEastAsia" w:eastAsiaTheme="minorEastAsia" w:cstheme="minorEastAsia"/>
                <w:color w:val="auto"/>
                <w:sz w:val="21"/>
              </w:rPr>
            </w:pPr>
          </w:p>
          <w:p w14:paraId="1E173D59">
            <w:pPr>
              <w:spacing w:line="251" w:lineRule="auto"/>
              <w:rPr>
                <w:rFonts w:hint="eastAsia" w:asciiTheme="minorEastAsia" w:hAnsiTheme="minorEastAsia" w:eastAsiaTheme="minorEastAsia" w:cstheme="minorEastAsia"/>
                <w:color w:val="auto"/>
                <w:sz w:val="21"/>
              </w:rPr>
            </w:pPr>
          </w:p>
          <w:p w14:paraId="43D1B5F7">
            <w:pPr>
              <w:spacing w:line="251" w:lineRule="auto"/>
              <w:rPr>
                <w:rFonts w:hint="eastAsia" w:asciiTheme="minorEastAsia" w:hAnsiTheme="minorEastAsia" w:eastAsiaTheme="minorEastAsia" w:cstheme="minorEastAsia"/>
                <w:color w:val="auto"/>
                <w:sz w:val="21"/>
              </w:rPr>
            </w:pPr>
          </w:p>
          <w:p w14:paraId="5698B909">
            <w:pPr>
              <w:spacing w:line="251" w:lineRule="auto"/>
              <w:rPr>
                <w:rFonts w:hint="eastAsia" w:asciiTheme="minorEastAsia" w:hAnsiTheme="minorEastAsia" w:eastAsiaTheme="minorEastAsia" w:cstheme="minorEastAsia"/>
                <w:color w:val="auto"/>
                <w:sz w:val="21"/>
              </w:rPr>
            </w:pPr>
          </w:p>
          <w:p w14:paraId="13A013E6">
            <w:pPr>
              <w:spacing w:line="251" w:lineRule="auto"/>
              <w:rPr>
                <w:rFonts w:hint="eastAsia" w:asciiTheme="minorEastAsia" w:hAnsiTheme="minorEastAsia" w:eastAsiaTheme="minorEastAsia" w:cstheme="minorEastAsia"/>
                <w:color w:val="auto"/>
                <w:sz w:val="21"/>
              </w:rPr>
            </w:pPr>
          </w:p>
          <w:p w14:paraId="54A42AFB">
            <w:pPr>
              <w:pStyle w:val="21"/>
              <w:spacing w:before="71" w:line="219" w:lineRule="auto"/>
              <w:ind w:left="2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投标保证金金额</w:t>
            </w:r>
          </w:p>
        </w:tc>
        <w:tc>
          <w:tcPr>
            <w:tcW w:w="7306" w:type="dxa"/>
            <w:vAlign w:val="top"/>
          </w:tcPr>
          <w:p w14:paraId="4E607595">
            <w:pPr>
              <w:pStyle w:val="21"/>
              <w:spacing w:before="106" w:line="219" w:lineRule="auto"/>
              <w:ind w:left="86"/>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3"/>
              </w:rPr>
              <w:t>☑本项目不需要缴纳投标保证金。</w:t>
            </w:r>
          </w:p>
          <w:p w14:paraId="7EC26B57">
            <w:pPr>
              <w:pStyle w:val="21"/>
              <w:spacing w:before="149" w:line="219" w:lineRule="auto"/>
              <w:ind w:left="86"/>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3"/>
              </w:rPr>
              <w:t>□本项目需要缴纳投标保证金，相关要求如下：</w:t>
            </w:r>
          </w:p>
          <w:p w14:paraId="6089E690">
            <w:pPr>
              <w:pStyle w:val="21"/>
              <w:spacing w:before="151" w:line="218" w:lineRule="auto"/>
              <w:ind w:left="8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1.投标保证金的缴纳方式：详见招标公告</w:t>
            </w:r>
          </w:p>
          <w:p w14:paraId="5FA99684">
            <w:pPr>
              <w:pStyle w:val="21"/>
              <w:spacing w:before="140" w:line="218" w:lineRule="auto"/>
              <w:ind w:left="8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2.投标保证金的金额：详见招标公告</w:t>
            </w:r>
          </w:p>
          <w:p w14:paraId="0F952EAF">
            <w:pPr>
              <w:pStyle w:val="21"/>
              <w:spacing w:before="121" w:line="302" w:lineRule="auto"/>
              <w:ind w:left="82" w:firstLine="2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4"/>
              </w:rPr>
              <w:t>3.投标保证金采用银行转贝长缴纳方式的，在</w:t>
            </w:r>
            <w:r>
              <w:rPr>
                <w:rFonts w:hint="eastAsia" w:asciiTheme="minorEastAsia" w:hAnsiTheme="minorEastAsia" w:eastAsiaTheme="minorEastAsia" w:cstheme="minorEastAsia"/>
                <w:color w:val="auto"/>
                <w:spacing w:val="-15"/>
              </w:rPr>
              <w:t>投标截止时间前交至采购代理机构</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spacing w:val="-8"/>
              </w:rPr>
              <w:t>指定账户并且到账，投标人应将银行转账底单的复印件作为投标保证金提交凭</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spacing w:val="-2"/>
              </w:rPr>
              <w:t>证，放置于商务文件中，</w:t>
            </w:r>
            <w:r>
              <w:rPr>
                <w:rFonts w:hint="eastAsia" w:asciiTheme="minorEastAsia" w:hAnsiTheme="minorEastAsia" w:eastAsiaTheme="minorEastAsia" w:cstheme="minorEastAsia"/>
                <w:b/>
                <w:bCs/>
                <w:color w:val="auto"/>
                <w:spacing w:val="-2"/>
              </w:rPr>
              <w:t>否则作无效投标处理。</w:t>
            </w:r>
          </w:p>
          <w:p w14:paraId="574AD4CF">
            <w:pPr>
              <w:pStyle w:val="21"/>
              <w:spacing w:before="111" w:line="316" w:lineRule="auto"/>
              <w:ind w:left="72" w:firstLine="3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9"/>
              </w:rPr>
              <w:t>4.投标保证金采用支票、汇票、本票或者金融机构、担保机构出具的保函等缴</w:t>
            </w:r>
            <w:r>
              <w:rPr>
                <w:rFonts w:hint="eastAsia" w:asciiTheme="minorEastAsia" w:hAnsiTheme="minorEastAsia" w:eastAsiaTheme="minorEastAsia" w:cstheme="minorEastAsia"/>
                <w:color w:val="auto"/>
                <w:spacing w:val="1"/>
              </w:rPr>
              <w:t xml:space="preserve"> </w:t>
            </w:r>
            <w:r>
              <w:rPr>
                <w:rFonts w:hint="eastAsia" w:asciiTheme="minorEastAsia" w:hAnsiTheme="minorEastAsia" w:eastAsiaTheme="minorEastAsia" w:cstheme="minorEastAsia"/>
                <w:color w:val="auto"/>
                <w:spacing w:val="-8"/>
              </w:rPr>
              <w:t>纳方式的，投标人应将支票、汇票、本票或者金融机构、担保机构出具的保函</w:t>
            </w:r>
            <w:r>
              <w:rPr>
                <w:rFonts w:hint="eastAsia" w:asciiTheme="minorEastAsia" w:hAnsiTheme="minorEastAsia" w:eastAsiaTheme="minorEastAsia" w:cstheme="minorEastAsia"/>
                <w:color w:val="auto"/>
                <w:spacing w:val="13"/>
              </w:rPr>
              <w:t xml:space="preserve"> </w:t>
            </w:r>
            <w:r>
              <w:rPr>
                <w:rFonts w:hint="eastAsia" w:asciiTheme="minorEastAsia" w:hAnsiTheme="minorEastAsia" w:eastAsiaTheme="minorEastAsia" w:cstheme="minorEastAsia"/>
                <w:color w:val="auto"/>
                <w:spacing w:val="-2"/>
              </w:rPr>
              <w:t>等的复印件或者金融机构、担保机构出具的电子保函作为投标保证金提交凭</w:t>
            </w:r>
            <w:r>
              <w:rPr>
                <w:rFonts w:hint="eastAsia" w:asciiTheme="minorEastAsia" w:hAnsiTheme="minorEastAsia" w:eastAsiaTheme="minorEastAsia" w:cstheme="minorEastAsia"/>
                <w:color w:val="auto"/>
                <w:spacing w:val="14"/>
              </w:rPr>
              <w:t xml:space="preserve"> </w:t>
            </w:r>
            <w:r>
              <w:rPr>
                <w:rFonts w:hint="eastAsia" w:asciiTheme="minorEastAsia" w:hAnsiTheme="minorEastAsia" w:eastAsiaTheme="minorEastAsia" w:cstheme="minorEastAsia"/>
                <w:color w:val="auto"/>
                <w:spacing w:val="-9"/>
              </w:rPr>
              <w:t>证，放置于商务文件中，</w:t>
            </w:r>
            <w:r>
              <w:rPr>
                <w:rFonts w:hint="eastAsia" w:asciiTheme="minorEastAsia" w:hAnsiTheme="minorEastAsia" w:eastAsiaTheme="minorEastAsia" w:cstheme="minorEastAsia"/>
                <w:b/>
                <w:bCs/>
                <w:color w:val="auto"/>
                <w:spacing w:val="-9"/>
              </w:rPr>
              <w:t>否则作无效投标处理</w:t>
            </w:r>
            <w:r>
              <w:rPr>
                <w:rFonts w:hint="eastAsia" w:asciiTheme="minorEastAsia" w:hAnsiTheme="minorEastAsia" w:eastAsiaTheme="minorEastAsia" w:cstheme="minorEastAsia"/>
                <w:color w:val="auto"/>
                <w:spacing w:val="-9"/>
              </w:rPr>
              <w:t>。投标人必须在投标截止时间前</w:t>
            </w:r>
            <w:r>
              <w:rPr>
                <w:rFonts w:hint="eastAsia" w:asciiTheme="minorEastAsia" w:hAnsiTheme="minorEastAsia" w:eastAsiaTheme="minorEastAsia" w:cstheme="minorEastAsia"/>
                <w:color w:val="auto"/>
                <w:spacing w:val="3"/>
              </w:rPr>
              <w:t xml:space="preserve"> </w:t>
            </w:r>
            <w:r>
              <w:rPr>
                <w:rFonts w:hint="eastAsia" w:asciiTheme="minorEastAsia" w:hAnsiTheme="minorEastAsia" w:eastAsiaTheme="minorEastAsia" w:cstheme="minorEastAsia"/>
                <w:color w:val="auto"/>
                <w:spacing w:val="-2"/>
              </w:rPr>
              <w:t>将支票、汇票、本票或者金融、担保机构出具的保函(电子保函除外)等原件</w:t>
            </w:r>
            <w:r>
              <w:rPr>
                <w:rFonts w:hint="eastAsia" w:asciiTheme="minorEastAsia" w:hAnsiTheme="minorEastAsia" w:eastAsiaTheme="minorEastAsia" w:cstheme="minorEastAsia"/>
                <w:color w:val="auto"/>
                <w:spacing w:val="16"/>
              </w:rPr>
              <w:t xml:space="preserve"> </w:t>
            </w:r>
            <w:r>
              <w:rPr>
                <w:rFonts w:hint="eastAsia" w:asciiTheme="minorEastAsia" w:hAnsiTheme="minorEastAsia" w:eastAsiaTheme="minorEastAsia" w:cstheme="minorEastAsia"/>
                <w:color w:val="auto"/>
              </w:rPr>
              <w:t>提交给采购代理机构，由采购代理机构向投标人出具回执，并妥善保管。</w:t>
            </w:r>
          </w:p>
          <w:p w14:paraId="2FBD509D">
            <w:pPr>
              <w:pStyle w:val="21"/>
              <w:spacing w:before="148" w:line="218" w:lineRule="auto"/>
              <w:ind w:left="8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5.缴纳投标保证金指定账户：详见招标公</w:t>
            </w:r>
            <w:r>
              <w:rPr>
                <w:rFonts w:hint="eastAsia" w:asciiTheme="minorEastAsia" w:hAnsiTheme="minorEastAsia" w:eastAsiaTheme="minorEastAsia" w:cstheme="minorEastAsia"/>
                <w:color w:val="auto"/>
                <w:spacing w:val="-1"/>
              </w:rPr>
              <w:t>告。</w:t>
            </w:r>
          </w:p>
          <w:p w14:paraId="423F75D0">
            <w:pPr>
              <w:pStyle w:val="21"/>
              <w:spacing w:before="123" w:line="277" w:lineRule="auto"/>
              <w:ind w:left="8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8"/>
              </w:rPr>
              <w:t>6.投标人为联合体的，可以由联合体中的一方或者多方共同缴纳投标保证金，</w:t>
            </w:r>
            <w:r>
              <w:rPr>
                <w:rFonts w:hint="eastAsia" w:asciiTheme="minorEastAsia" w:hAnsiTheme="minorEastAsia" w:eastAsiaTheme="minorEastAsia" w:cstheme="minorEastAsia"/>
                <w:color w:val="auto"/>
                <w:spacing w:val="11"/>
              </w:rPr>
              <w:t xml:space="preserve"> </w:t>
            </w:r>
            <w:r>
              <w:rPr>
                <w:rFonts w:hint="eastAsia" w:asciiTheme="minorEastAsia" w:hAnsiTheme="minorEastAsia" w:eastAsiaTheme="minorEastAsia" w:cstheme="minorEastAsia"/>
                <w:color w:val="auto"/>
                <w:spacing w:val="-3"/>
              </w:rPr>
              <w:t>其缴纳的投标保证金对联合体各方均具有约束力。</w:t>
            </w:r>
          </w:p>
          <w:p w14:paraId="110B059C">
            <w:pPr>
              <w:pStyle w:val="21"/>
              <w:spacing w:before="137" w:line="221" w:lineRule="auto"/>
              <w:ind w:left="86"/>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4"/>
              </w:rPr>
              <w:t>备注：</w:t>
            </w:r>
          </w:p>
          <w:p w14:paraId="7CF43E13">
            <w:pPr>
              <w:pStyle w:val="21"/>
              <w:spacing w:before="124" w:line="275" w:lineRule="auto"/>
              <w:ind w:left="86" w:right="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4"/>
              </w:rPr>
              <w:t>1.投标保证金在投标截止时间后提交的，或者不按规定缴纳方式缴纳的，或</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b/>
                <w:bCs/>
                <w:color w:val="auto"/>
                <w:spacing w:val="-3"/>
              </w:rPr>
              <w:t>者未足额缴纳的(包含保函额度不足的),视为无效投标保证金。</w:t>
            </w:r>
          </w:p>
          <w:p w14:paraId="764F12D2">
            <w:pPr>
              <w:pStyle w:val="21"/>
              <w:spacing w:before="146" w:line="278" w:lineRule="auto"/>
              <w:ind w:left="86" w:firstLine="2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11"/>
              </w:rPr>
              <w:t>2.投标人采用现金方式或者从个人账户(自然人投标除外)转出的投标保证金，</w:t>
            </w:r>
            <w:r>
              <w:rPr>
                <w:rFonts w:hint="eastAsia" w:asciiTheme="minorEastAsia" w:hAnsiTheme="minorEastAsia" w:eastAsiaTheme="minorEastAsia" w:cstheme="minorEastAsia"/>
                <w:color w:val="auto"/>
                <w:spacing w:val="11"/>
              </w:rPr>
              <w:t xml:space="preserve"> </w:t>
            </w:r>
            <w:r>
              <w:rPr>
                <w:rFonts w:hint="eastAsia" w:asciiTheme="minorEastAsia" w:hAnsiTheme="minorEastAsia" w:eastAsiaTheme="minorEastAsia" w:cstheme="minorEastAsia"/>
                <w:b/>
                <w:bCs/>
                <w:color w:val="auto"/>
                <w:spacing w:val="-6"/>
              </w:rPr>
              <w:t>视为无效投标保证金。</w:t>
            </w:r>
          </w:p>
          <w:p w14:paraId="2B17B6DF">
            <w:pPr>
              <w:pStyle w:val="21"/>
              <w:spacing w:before="136" w:line="219" w:lineRule="auto"/>
              <w:ind w:left="86"/>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3"/>
              </w:rPr>
              <w:t>3.支票、汇票或者本票出现无效或者背书情形的，视为无效投标保证金。</w:t>
            </w:r>
          </w:p>
          <w:p w14:paraId="3477DC3A">
            <w:pPr>
              <w:pStyle w:val="21"/>
              <w:spacing w:before="151" w:line="220" w:lineRule="auto"/>
              <w:ind w:left="86"/>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3"/>
              </w:rPr>
              <w:t>4.保函有效期低于投标有效期的，视为无效投标保证金。</w:t>
            </w:r>
          </w:p>
          <w:p w14:paraId="7F0F58F9">
            <w:pPr>
              <w:pStyle w:val="21"/>
              <w:spacing w:before="96" w:line="284" w:lineRule="auto"/>
              <w:ind w:left="86" w:right="7"/>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10"/>
              </w:rPr>
              <w:t>5.采用金融、担保机构出具保函的，必须为无条件保</w:t>
            </w:r>
            <w:r>
              <w:rPr>
                <w:rFonts w:hint="eastAsia" w:asciiTheme="minorEastAsia" w:hAnsiTheme="minorEastAsia" w:eastAsiaTheme="minorEastAsia" w:cstheme="minorEastAsia"/>
                <w:b/>
                <w:bCs/>
                <w:color w:val="auto"/>
                <w:spacing w:val="-11"/>
              </w:rPr>
              <w:t>函，否则视为无效投标保</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b/>
                <w:bCs/>
                <w:color w:val="auto"/>
                <w:spacing w:val="-4"/>
              </w:rPr>
              <w:t>证金。</w:t>
            </w:r>
          </w:p>
        </w:tc>
      </w:tr>
      <w:tr w14:paraId="533A2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14" w:type="dxa"/>
            <w:vAlign w:val="top"/>
          </w:tcPr>
          <w:p w14:paraId="7243908C">
            <w:pPr>
              <w:spacing w:line="322" w:lineRule="auto"/>
              <w:rPr>
                <w:rFonts w:hint="eastAsia" w:asciiTheme="minorEastAsia" w:hAnsiTheme="minorEastAsia" w:eastAsiaTheme="minorEastAsia" w:cstheme="minorEastAsia"/>
                <w:color w:val="auto"/>
                <w:sz w:val="21"/>
              </w:rPr>
            </w:pPr>
          </w:p>
          <w:p w14:paraId="0785EF55">
            <w:pPr>
              <w:spacing w:line="322" w:lineRule="auto"/>
              <w:rPr>
                <w:rFonts w:hint="eastAsia" w:asciiTheme="minorEastAsia" w:hAnsiTheme="minorEastAsia" w:eastAsiaTheme="minorEastAsia" w:cstheme="minorEastAsia"/>
                <w:color w:val="auto"/>
                <w:sz w:val="21"/>
              </w:rPr>
            </w:pPr>
          </w:p>
          <w:p w14:paraId="1414545C">
            <w:pPr>
              <w:pStyle w:val="21"/>
              <w:spacing w:before="71" w:line="239" w:lineRule="auto"/>
              <w:ind w:left="6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19.1</w:t>
            </w:r>
          </w:p>
        </w:tc>
        <w:tc>
          <w:tcPr>
            <w:tcW w:w="2138" w:type="dxa"/>
            <w:vAlign w:val="top"/>
          </w:tcPr>
          <w:p w14:paraId="436C34D6">
            <w:pPr>
              <w:spacing w:line="311" w:lineRule="auto"/>
              <w:rPr>
                <w:rFonts w:hint="eastAsia" w:asciiTheme="minorEastAsia" w:hAnsiTheme="minorEastAsia" w:eastAsiaTheme="minorEastAsia" w:cstheme="minorEastAsia"/>
                <w:color w:val="auto"/>
                <w:sz w:val="21"/>
              </w:rPr>
            </w:pPr>
          </w:p>
          <w:p w14:paraId="5514B305">
            <w:pPr>
              <w:spacing w:line="311" w:lineRule="auto"/>
              <w:rPr>
                <w:rFonts w:hint="eastAsia" w:asciiTheme="minorEastAsia" w:hAnsiTheme="minorEastAsia" w:eastAsiaTheme="minorEastAsia" w:cstheme="minorEastAsia"/>
                <w:color w:val="auto"/>
                <w:sz w:val="21"/>
              </w:rPr>
            </w:pPr>
          </w:p>
          <w:p w14:paraId="680B7204">
            <w:pPr>
              <w:pStyle w:val="21"/>
              <w:spacing w:before="72" w:line="219" w:lineRule="auto"/>
              <w:ind w:left="17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rPr>
              <w:t>投标文件编制要求</w:t>
            </w:r>
          </w:p>
        </w:tc>
        <w:tc>
          <w:tcPr>
            <w:tcW w:w="7306" w:type="dxa"/>
            <w:vAlign w:val="top"/>
          </w:tcPr>
          <w:p w14:paraId="6849C907">
            <w:pPr>
              <w:pStyle w:val="21"/>
              <w:spacing w:before="125" w:line="307" w:lineRule="auto"/>
              <w:ind w:left="81" w:right="2" w:hanging="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8"/>
              </w:rPr>
              <w:t>投标文件应按报价文件、资格证明文件、商务文件、技术文件分别编制，报价</w:t>
            </w:r>
            <w:r>
              <w:rPr>
                <w:rFonts w:hint="eastAsia" w:asciiTheme="minorEastAsia" w:hAnsiTheme="minorEastAsia" w:eastAsiaTheme="minorEastAsia" w:cstheme="minorEastAsia"/>
                <w:color w:val="auto"/>
                <w:spacing w:val="10"/>
              </w:rPr>
              <w:t xml:space="preserve"> </w:t>
            </w:r>
            <w:r>
              <w:rPr>
                <w:rFonts w:hint="eastAsia" w:asciiTheme="minorEastAsia" w:hAnsiTheme="minorEastAsia" w:eastAsiaTheme="minorEastAsia" w:cstheme="minorEastAsia"/>
                <w:color w:val="auto"/>
                <w:spacing w:val="-8"/>
              </w:rPr>
              <w:t>文件、资格证明文件分别生成电子文件，商务文件和技术文件按顺序合并生成</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spacing w:val="-2"/>
              </w:rPr>
              <w:t>电子文件。(</w:t>
            </w:r>
            <w:r>
              <w:rPr>
                <w:rFonts w:hint="eastAsia" w:asciiTheme="minorEastAsia" w:hAnsiTheme="minorEastAsia" w:eastAsiaTheme="minorEastAsia" w:cstheme="minorEastAsia"/>
                <w:b/>
                <w:bCs/>
                <w:color w:val="auto"/>
                <w:spacing w:val="-2"/>
              </w:rPr>
              <w:t>注：按照本招标文件“第六章投标文件格式”编写，第</w:t>
            </w:r>
            <w:r>
              <w:rPr>
                <w:rFonts w:hint="eastAsia" w:asciiTheme="minorEastAsia" w:hAnsiTheme="minorEastAsia" w:eastAsiaTheme="minorEastAsia" w:cstheme="minorEastAsia"/>
                <w:b/>
                <w:bCs/>
                <w:color w:val="auto"/>
                <w:spacing w:val="-3"/>
              </w:rPr>
              <w:t>六章未</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b/>
                <w:bCs/>
                <w:color w:val="auto"/>
              </w:rPr>
              <w:t>附格式的，由投标人自行拟定。)</w:t>
            </w:r>
          </w:p>
        </w:tc>
      </w:tr>
      <w:tr w14:paraId="74571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14" w:type="dxa"/>
            <w:vAlign w:val="top"/>
          </w:tcPr>
          <w:p w14:paraId="64EBC5A4">
            <w:pPr>
              <w:pStyle w:val="21"/>
              <w:spacing w:before="180" w:line="167" w:lineRule="auto"/>
              <w:ind w:left="6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20</w:t>
            </w:r>
          </w:p>
        </w:tc>
        <w:tc>
          <w:tcPr>
            <w:tcW w:w="2138" w:type="dxa"/>
            <w:vAlign w:val="top"/>
          </w:tcPr>
          <w:p w14:paraId="3BA10C79">
            <w:pPr>
              <w:pStyle w:val="21"/>
              <w:spacing w:before="128" w:line="211" w:lineRule="auto"/>
              <w:ind w:left="39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rPr>
              <w:t>备份投标文件</w:t>
            </w:r>
          </w:p>
        </w:tc>
        <w:tc>
          <w:tcPr>
            <w:tcW w:w="7306" w:type="dxa"/>
            <w:vAlign w:val="top"/>
          </w:tcPr>
          <w:p w14:paraId="2FC0E10D">
            <w:pPr>
              <w:pStyle w:val="21"/>
              <w:spacing w:before="87" w:line="219" w:lineRule="auto"/>
              <w:ind w:left="8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rPr>
              <w:t>本项目不接受备份投标文件。</w:t>
            </w:r>
          </w:p>
        </w:tc>
      </w:tr>
      <w:tr w14:paraId="3EFA3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14" w:type="dxa"/>
            <w:vMerge w:val="restart"/>
            <w:tcBorders>
              <w:bottom w:val="nil"/>
            </w:tcBorders>
            <w:vAlign w:val="top"/>
          </w:tcPr>
          <w:p w14:paraId="23EC175A">
            <w:pPr>
              <w:spacing w:line="335" w:lineRule="auto"/>
              <w:rPr>
                <w:rFonts w:hint="eastAsia" w:asciiTheme="minorEastAsia" w:hAnsiTheme="minorEastAsia" w:eastAsiaTheme="minorEastAsia" w:cstheme="minorEastAsia"/>
                <w:color w:val="auto"/>
                <w:sz w:val="21"/>
              </w:rPr>
            </w:pPr>
          </w:p>
          <w:p w14:paraId="7E0CAD08">
            <w:pPr>
              <w:spacing w:line="335" w:lineRule="auto"/>
              <w:rPr>
                <w:rFonts w:hint="eastAsia" w:asciiTheme="minorEastAsia" w:hAnsiTheme="minorEastAsia" w:eastAsiaTheme="minorEastAsia" w:cstheme="minorEastAsia"/>
                <w:color w:val="auto"/>
                <w:sz w:val="21"/>
              </w:rPr>
            </w:pPr>
          </w:p>
          <w:p w14:paraId="3AE4180F">
            <w:pPr>
              <w:pStyle w:val="21"/>
              <w:spacing w:before="71" w:line="239" w:lineRule="auto"/>
              <w:ind w:left="6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21.1</w:t>
            </w:r>
          </w:p>
        </w:tc>
        <w:tc>
          <w:tcPr>
            <w:tcW w:w="2138" w:type="dxa"/>
            <w:vAlign w:val="top"/>
          </w:tcPr>
          <w:p w14:paraId="5140FE6D">
            <w:pPr>
              <w:pStyle w:val="21"/>
              <w:spacing w:before="104" w:line="220" w:lineRule="auto"/>
              <w:ind w:left="4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投标截止时间</w:t>
            </w:r>
          </w:p>
        </w:tc>
        <w:tc>
          <w:tcPr>
            <w:tcW w:w="7306" w:type="dxa"/>
            <w:vAlign w:val="top"/>
          </w:tcPr>
          <w:p w14:paraId="0EEC108E">
            <w:pPr>
              <w:pStyle w:val="21"/>
              <w:spacing w:before="102" w:line="218" w:lineRule="auto"/>
              <w:ind w:left="8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详见招标公告</w:t>
            </w:r>
          </w:p>
        </w:tc>
      </w:tr>
      <w:tr w14:paraId="41AA1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14" w:type="dxa"/>
            <w:vMerge w:val="continue"/>
            <w:tcBorders>
              <w:top w:val="nil"/>
              <w:bottom w:val="nil"/>
            </w:tcBorders>
            <w:vAlign w:val="top"/>
          </w:tcPr>
          <w:p w14:paraId="431E4168">
            <w:pPr>
              <w:rPr>
                <w:rFonts w:hint="eastAsia" w:asciiTheme="minorEastAsia" w:hAnsiTheme="minorEastAsia" w:eastAsiaTheme="minorEastAsia" w:cstheme="minorEastAsia"/>
                <w:color w:val="auto"/>
                <w:sz w:val="21"/>
              </w:rPr>
            </w:pPr>
          </w:p>
        </w:tc>
        <w:tc>
          <w:tcPr>
            <w:tcW w:w="2138" w:type="dxa"/>
            <w:vAlign w:val="top"/>
          </w:tcPr>
          <w:p w14:paraId="20E1C4F9">
            <w:pPr>
              <w:pStyle w:val="21"/>
              <w:spacing w:before="99" w:line="220" w:lineRule="auto"/>
              <w:ind w:left="62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投标地点</w:t>
            </w:r>
          </w:p>
        </w:tc>
        <w:tc>
          <w:tcPr>
            <w:tcW w:w="7306" w:type="dxa"/>
            <w:vAlign w:val="top"/>
          </w:tcPr>
          <w:p w14:paraId="2506B49C">
            <w:pPr>
              <w:pStyle w:val="21"/>
              <w:spacing w:before="97" w:line="218" w:lineRule="auto"/>
              <w:ind w:left="8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详见招标公告</w:t>
            </w:r>
          </w:p>
        </w:tc>
      </w:tr>
      <w:tr w14:paraId="0D89C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14" w:type="dxa"/>
            <w:vMerge w:val="continue"/>
            <w:tcBorders>
              <w:top w:val="nil"/>
            </w:tcBorders>
            <w:vAlign w:val="top"/>
          </w:tcPr>
          <w:p w14:paraId="569F13C3">
            <w:pPr>
              <w:rPr>
                <w:rFonts w:hint="eastAsia" w:asciiTheme="minorEastAsia" w:hAnsiTheme="minorEastAsia" w:eastAsiaTheme="minorEastAsia" w:cstheme="minorEastAsia"/>
                <w:color w:val="auto"/>
                <w:sz w:val="21"/>
              </w:rPr>
            </w:pPr>
          </w:p>
        </w:tc>
        <w:tc>
          <w:tcPr>
            <w:tcW w:w="2138" w:type="dxa"/>
            <w:vAlign w:val="top"/>
          </w:tcPr>
          <w:p w14:paraId="4676A428">
            <w:pPr>
              <w:pStyle w:val="21"/>
              <w:spacing w:before="147" w:line="269" w:lineRule="auto"/>
              <w:ind w:left="290" w:right="54" w:hanging="21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投标人递交投标样品</w:t>
            </w:r>
            <w:r>
              <w:rPr>
                <w:rFonts w:hint="eastAsia" w:asciiTheme="minorEastAsia" w:hAnsiTheme="minorEastAsia" w:eastAsiaTheme="minorEastAsia" w:cstheme="minorEastAsia"/>
                <w:color w:val="auto"/>
                <w:spacing w:val="3"/>
              </w:rPr>
              <w:t xml:space="preserve"> </w:t>
            </w:r>
            <w:r>
              <w:rPr>
                <w:rFonts w:hint="eastAsia" w:asciiTheme="minorEastAsia" w:hAnsiTheme="minorEastAsia" w:eastAsiaTheme="minorEastAsia" w:cstheme="minorEastAsia"/>
                <w:color w:val="auto"/>
                <w:spacing w:val="2"/>
              </w:rPr>
              <w:t>截止时间及地点</w:t>
            </w:r>
          </w:p>
        </w:tc>
        <w:tc>
          <w:tcPr>
            <w:tcW w:w="7306" w:type="dxa"/>
            <w:vAlign w:val="top"/>
          </w:tcPr>
          <w:p w14:paraId="4404B6AD">
            <w:pPr>
              <w:pStyle w:val="21"/>
              <w:spacing w:before="129" w:line="219" w:lineRule="auto"/>
              <w:ind w:left="8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7"/>
              </w:rPr>
              <w:t>时 间</w:t>
            </w:r>
            <w:r>
              <w:rPr>
                <w:rFonts w:hint="eastAsia" w:asciiTheme="minorEastAsia" w:hAnsiTheme="minorEastAsia" w:eastAsiaTheme="minorEastAsia" w:cstheme="minorEastAsia"/>
                <w:color w:val="auto"/>
                <w:spacing w:val="14"/>
              </w:rPr>
              <w:t xml:space="preserve"> </w:t>
            </w:r>
            <w:r>
              <w:rPr>
                <w:rFonts w:hint="eastAsia" w:asciiTheme="minorEastAsia" w:hAnsiTheme="minorEastAsia" w:eastAsiaTheme="minorEastAsia" w:cstheme="minorEastAsia"/>
                <w:color w:val="auto"/>
                <w:spacing w:val="-17"/>
              </w:rPr>
              <w:t xml:space="preserve">：  </w:t>
            </w:r>
            <w:r>
              <w:rPr>
                <w:rFonts w:hint="eastAsia" w:asciiTheme="minorEastAsia" w:hAnsiTheme="minorEastAsia" w:eastAsiaTheme="minorEastAsia" w:cstheme="minorEastAsia"/>
                <w:color w:val="auto"/>
                <w:spacing w:val="-17"/>
                <w:u w:val="single" w:color="auto"/>
              </w:rPr>
              <w:t xml:space="preserve">  年</w:t>
            </w:r>
            <w:r>
              <w:rPr>
                <w:rFonts w:hint="eastAsia" w:asciiTheme="minorEastAsia" w:hAnsiTheme="minorEastAsia" w:eastAsiaTheme="minorEastAsia" w:cstheme="minorEastAsia"/>
                <w:color w:val="auto"/>
                <w:spacing w:val="18"/>
                <w:u w:val="single" w:color="auto"/>
              </w:rPr>
              <w:t xml:space="preserve">  </w:t>
            </w:r>
            <w:r>
              <w:rPr>
                <w:rFonts w:hint="eastAsia" w:asciiTheme="minorEastAsia" w:hAnsiTheme="minorEastAsia" w:eastAsiaTheme="minorEastAsia" w:cstheme="minorEastAsia"/>
                <w:color w:val="auto"/>
                <w:spacing w:val="-17"/>
                <w:u w:val="single" w:color="auto"/>
              </w:rPr>
              <w:t>月 日</w:t>
            </w:r>
            <w:r>
              <w:rPr>
                <w:rFonts w:hint="eastAsia" w:asciiTheme="minorEastAsia" w:hAnsiTheme="minorEastAsia" w:eastAsiaTheme="minorEastAsia" w:cstheme="minorEastAsia"/>
                <w:color w:val="auto"/>
                <w:spacing w:val="20"/>
                <w:u w:val="single" w:color="auto"/>
              </w:rPr>
              <w:t xml:space="preserve">  </w:t>
            </w:r>
            <w:r>
              <w:rPr>
                <w:rFonts w:hint="eastAsia" w:asciiTheme="minorEastAsia" w:hAnsiTheme="minorEastAsia" w:eastAsiaTheme="minorEastAsia" w:cstheme="minorEastAsia"/>
                <w:color w:val="auto"/>
                <w:spacing w:val="-17"/>
                <w:u w:val="single" w:color="auto"/>
              </w:rPr>
              <w:t>时</w:t>
            </w:r>
            <w:r>
              <w:rPr>
                <w:rFonts w:hint="eastAsia" w:asciiTheme="minorEastAsia" w:hAnsiTheme="minorEastAsia" w:eastAsiaTheme="minorEastAsia" w:cstheme="minorEastAsia"/>
                <w:color w:val="auto"/>
                <w:spacing w:val="17"/>
                <w:u w:val="single" w:color="auto"/>
              </w:rPr>
              <w:t xml:space="preserve">  </w:t>
            </w:r>
            <w:r>
              <w:rPr>
                <w:rFonts w:hint="eastAsia" w:asciiTheme="minorEastAsia" w:hAnsiTheme="minorEastAsia" w:eastAsiaTheme="minorEastAsia" w:cstheme="minorEastAsia"/>
                <w:color w:val="auto"/>
                <w:spacing w:val="-17"/>
                <w:u w:val="single" w:color="auto"/>
              </w:rPr>
              <w:t>分</w:t>
            </w:r>
            <w:r>
              <w:rPr>
                <w:rFonts w:hint="eastAsia" w:asciiTheme="minorEastAsia" w:hAnsiTheme="minorEastAsia" w:eastAsiaTheme="minorEastAsia" w:cstheme="minorEastAsia"/>
                <w:color w:val="auto"/>
                <w:spacing w:val="-17"/>
              </w:rPr>
              <w:t>( 北</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spacing w:val="-17"/>
              </w:rPr>
              <w:t>京</w:t>
            </w:r>
            <w:r>
              <w:rPr>
                <w:rFonts w:hint="eastAsia" w:asciiTheme="minorEastAsia" w:hAnsiTheme="minorEastAsia" w:eastAsiaTheme="minorEastAsia" w:cstheme="minorEastAsia"/>
                <w:color w:val="auto"/>
                <w:spacing w:val="4"/>
              </w:rPr>
              <w:t xml:space="preserve"> </w:t>
            </w:r>
            <w:r>
              <w:rPr>
                <w:rFonts w:hint="eastAsia" w:asciiTheme="minorEastAsia" w:hAnsiTheme="minorEastAsia" w:eastAsiaTheme="minorEastAsia" w:cstheme="minorEastAsia"/>
                <w:color w:val="auto"/>
                <w:spacing w:val="-17"/>
              </w:rPr>
              <w:t>时</w:t>
            </w:r>
            <w:r>
              <w:rPr>
                <w:rFonts w:hint="eastAsia" w:asciiTheme="minorEastAsia" w:hAnsiTheme="minorEastAsia" w:eastAsiaTheme="minorEastAsia" w:cstheme="minorEastAsia"/>
                <w:color w:val="auto"/>
                <w:spacing w:val="11"/>
              </w:rPr>
              <w:t xml:space="preserve"> </w:t>
            </w:r>
            <w:r>
              <w:rPr>
                <w:rFonts w:hint="eastAsia" w:asciiTheme="minorEastAsia" w:hAnsiTheme="minorEastAsia" w:eastAsiaTheme="minorEastAsia" w:cstheme="minorEastAsia"/>
                <w:color w:val="auto"/>
                <w:spacing w:val="-17"/>
              </w:rPr>
              <w:t>间</w:t>
            </w:r>
            <w:r>
              <w:rPr>
                <w:rFonts w:hint="eastAsia" w:asciiTheme="minorEastAsia" w:hAnsiTheme="minorEastAsia" w:eastAsiaTheme="minorEastAsia" w:cstheme="minorEastAsia"/>
                <w:color w:val="auto"/>
                <w:spacing w:val="-6"/>
              </w:rPr>
              <w:t xml:space="preserve"> </w:t>
            </w:r>
            <w:r>
              <w:rPr>
                <w:rFonts w:hint="eastAsia" w:asciiTheme="minorEastAsia" w:hAnsiTheme="minorEastAsia" w:eastAsiaTheme="minorEastAsia" w:cstheme="minorEastAsia"/>
                <w:color w:val="auto"/>
                <w:spacing w:val="-17"/>
              </w:rPr>
              <w:t>)</w:t>
            </w:r>
          </w:p>
          <w:p w14:paraId="3588D3A5">
            <w:pPr>
              <w:pStyle w:val="21"/>
              <w:spacing w:before="134" w:line="222" w:lineRule="auto"/>
              <w:ind w:left="8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地点：</w:t>
            </w:r>
          </w:p>
        </w:tc>
      </w:tr>
      <w:tr w14:paraId="0418F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14" w:type="dxa"/>
            <w:vAlign w:val="top"/>
          </w:tcPr>
          <w:p w14:paraId="62891C1B">
            <w:pPr>
              <w:pStyle w:val="21"/>
              <w:spacing w:before="111" w:line="225" w:lineRule="auto"/>
              <w:ind w:left="6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23</w:t>
            </w:r>
          </w:p>
        </w:tc>
        <w:tc>
          <w:tcPr>
            <w:tcW w:w="2138" w:type="dxa"/>
            <w:vAlign w:val="top"/>
          </w:tcPr>
          <w:p w14:paraId="56BCAA52">
            <w:pPr>
              <w:pStyle w:val="21"/>
              <w:spacing w:before="120" w:line="218" w:lineRule="auto"/>
              <w:ind w:left="29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开标时间、地点</w:t>
            </w:r>
          </w:p>
        </w:tc>
        <w:tc>
          <w:tcPr>
            <w:tcW w:w="7306" w:type="dxa"/>
            <w:vAlign w:val="top"/>
          </w:tcPr>
          <w:p w14:paraId="70F978F8">
            <w:pPr>
              <w:pStyle w:val="21"/>
              <w:spacing w:before="118" w:line="218" w:lineRule="auto"/>
              <w:ind w:left="8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详见招标公告</w:t>
            </w:r>
          </w:p>
        </w:tc>
      </w:tr>
      <w:tr w14:paraId="679E9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14" w:type="dxa"/>
            <w:vMerge w:val="restart"/>
            <w:tcBorders>
              <w:bottom w:val="nil"/>
            </w:tcBorders>
            <w:vAlign w:val="top"/>
          </w:tcPr>
          <w:p w14:paraId="76C00CDF">
            <w:pPr>
              <w:spacing w:line="257" w:lineRule="auto"/>
              <w:rPr>
                <w:rFonts w:hint="eastAsia" w:asciiTheme="minorEastAsia" w:hAnsiTheme="minorEastAsia" w:eastAsiaTheme="minorEastAsia" w:cstheme="minorEastAsia"/>
                <w:color w:val="auto"/>
                <w:sz w:val="21"/>
              </w:rPr>
            </w:pPr>
          </w:p>
          <w:p w14:paraId="71E9D3E7">
            <w:pPr>
              <w:spacing w:line="257" w:lineRule="auto"/>
              <w:rPr>
                <w:rFonts w:hint="eastAsia" w:asciiTheme="minorEastAsia" w:hAnsiTheme="minorEastAsia" w:eastAsiaTheme="minorEastAsia" w:cstheme="minorEastAsia"/>
                <w:color w:val="auto"/>
                <w:sz w:val="21"/>
              </w:rPr>
            </w:pPr>
          </w:p>
          <w:p w14:paraId="1241F255">
            <w:pPr>
              <w:spacing w:line="257" w:lineRule="auto"/>
              <w:rPr>
                <w:rFonts w:hint="eastAsia" w:asciiTheme="minorEastAsia" w:hAnsiTheme="minorEastAsia" w:eastAsiaTheme="minorEastAsia" w:cstheme="minorEastAsia"/>
                <w:color w:val="auto"/>
                <w:sz w:val="21"/>
              </w:rPr>
            </w:pPr>
          </w:p>
          <w:p w14:paraId="0AA73EF3">
            <w:pPr>
              <w:spacing w:line="257" w:lineRule="auto"/>
              <w:rPr>
                <w:rFonts w:hint="eastAsia" w:asciiTheme="minorEastAsia" w:hAnsiTheme="minorEastAsia" w:eastAsiaTheme="minorEastAsia" w:cstheme="minorEastAsia"/>
                <w:color w:val="auto"/>
                <w:sz w:val="21"/>
              </w:rPr>
            </w:pPr>
          </w:p>
          <w:p w14:paraId="2541F01C">
            <w:pPr>
              <w:spacing w:line="257" w:lineRule="auto"/>
              <w:rPr>
                <w:rFonts w:hint="eastAsia" w:asciiTheme="minorEastAsia" w:hAnsiTheme="minorEastAsia" w:eastAsiaTheme="minorEastAsia" w:cstheme="minorEastAsia"/>
                <w:color w:val="auto"/>
                <w:sz w:val="21"/>
              </w:rPr>
            </w:pPr>
          </w:p>
          <w:p w14:paraId="2344F74A">
            <w:pPr>
              <w:spacing w:line="257" w:lineRule="auto"/>
              <w:rPr>
                <w:rFonts w:hint="eastAsia" w:asciiTheme="minorEastAsia" w:hAnsiTheme="minorEastAsia" w:eastAsiaTheme="minorEastAsia" w:cstheme="minorEastAsia"/>
                <w:color w:val="auto"/>
                <w:sz w:val="21"/>
              </w:rPr>
            </w:pPr>
          </w:p>
          <w:p w14:paraId="293E49EF">
            <w:pPr>
              <w:spacing w:line="257" w:lineRule="auto"/>
              <w:rPr>
                <w:rFonts w:hint="eastAsia" w:asciiTheme="minorEastAsia" w:hAnsiTheme="minorEastAsia" w:eastAsiaTheme="minorEastAsia" w:cstheme="minorEastAsia"/>
                <w:color w:val="auto"/>
                <w:sz w:val="21"/>
              </w:rPr>
            </w:pPr>
          </w:p>
          <w:p w14:paraId="67204E12">
            <w:pPr>
              <w:spacing w:line="258" w:lineRule="auto"/>
              <w:rPr>
                <w:rFonts w:hint="eastAsia" w:asciiTheme="minorEastAsia" w:hAnsiTheme="minorEastAsia" w:eastAsiaTheme="minorEastAsia" w:cstheme="minorEastAsia"/>
                <w:color w:val="auto"/>
                <w:sz w:val="21"/>
              </w:rPr>
            </w:pPr>
          </w:p>
          <w:p w14:paraId="52B03C0E">
            <w:pPr>
              <w:spacing w:line="258" w:lineRule="auto"/>
              <w:rPr>
                <w:rFonts w:hint="eastAsia" w:asciiTheme="minorEastAsia" w:hAnsiTheme="minorEastAsia" w:eastAsiaTheme="minorEastAsia" w:cstheme="minorEastAsia"/>
                <w:color w:val="auto"/>
                <w:sz w:val="21"/>
              </w:rPr>
            </w:pPr>
          </w:p>
          <w:p w14:paraId="76A83CB0">
            <w:pPr>
              <w:pStyle w:val="21"/>
              <w:spacing w:before="72" w:line="239" w:lineRule="auto"/>
              <w:ind w:left="6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25.3</w:t>
            </w:r>
          </w:p>
          <w:p w14:paraId="15A76A18">
            <w:pPr>
              <w:pStyle w:val="21"/>
              <w:spacing w:before="96" w:line="222" w:lineRule="auto"/>
              <w:ind w:left="1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1"/>
              </w:rPr>
              <w:t>(2)</w:t>
            </w:r>
          </w:p>
        </w:tc>
        <w:tc>
          <w:tcPr>
            <w:tcW w:w="2138" w:type="dxa"/>
            <w:vAlign w:val="top"/>
          </w:tcPr>
          <w:p w14:paraId="119EF7D9">
            <w:pPr>
              <w:spacing w:line="465" w:lineRule="auto"/>
              <w:rPr>
                <w:rFonts w:hint="eastAsia" w:asciiTheme="minorEastAsia" w:hAnsiTheme="minorEastAsia" w:eastAsiaTheme="minorEastAsia" w:cstheme="minorEastAsia"/>
                <w:color w:val="auto"/>
                <w:sz w:val="21"/>
              </w:rPr>
            </w:pPr>
          </w:p>
          <w:p w14:paraId="5FECF621">
            <w:pPr>
              <w:pStyle w:val="21"/>
              <w:spacing w:before="72" w:line="219" w:lineRule="auto"/>
              <w:ind w:left="7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rPr>
              <w:t>投标人信用查询渠道</w:t>
            </w:r>
          </w:p>
        </w:tc>
        <w:tc>
          <w:tcPr>
            <w:tcW w:w="7306" w:type="dxa"/>
            <w:vAlign w:val="top"/>
          </w:tcPr>
          <w:p w14:paraId="728677AF">
            <w:pPr>
              <w:pStyle w:val="21"/>
              <w:spacing w:before="168" w:line="219" w:lineRule="auto"/>
              <w:ind w:left="8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采购人或者采购代理机构在资格审查结束前，对投标人进行信用查询。</w:t>
            </w:r>
          </w:p>
          <w:p w14:paraId="4ECEB2A5">
            <w:pPr>
              <w:pStyle w:val="21"/>
              <w:spacing w:before="144" w:line="296" w:lineRule="auto"/>
              <w:ind w:left="8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查询渠道：“信用中国”网站(</w:t>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"https://www.creditchina.gov.cn"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pacing w:val="-2"/>
              </w:rPr>
              <w:t>www.creditchina.gov.cn</w:t>
            </w:r>
            <w:r>
              <w:rPr>
                <w:rFonts w:hint="eastAsia" w:asciiTheme="minorEastAsia" w:hAnsiTheme="minorEastAsia" w:eastAsiaTheme="minorEastAsia" w:cstheme="minorEastAsia"/>
                <w:color w:val="auto"/>
                <w:spacing w:val="-2"/>
              </w:rPr>
              <w:fldChar w:fldCharType="end"/>
            </w:r>
            <w:r>
              <w:rPr>
                <w:rFonts w:hint="eastAsia" w:asciiTheme="minorEastAsia" w:hAnsiTheme="minorEastAsia" w:eastAsiaTheme="minorEastAsia" w:cstheme="minorEastAsia"/>
                <w:color w:val="auto"/>
                <w:spacing w:val="-2"/>
              </w:rPr>
              <w:t>)、中国政府采购网</w:t>
            </w:r>
            <w:r>
              <w:rPr>
                <w:rFonts w:hint="eastAsia" w:asciiTheme="minorEastAsia" w:hAnsiTheme="minorEastAsia" w:eastAsiaTheme="minorEastAsia" w:cstheme="minorEastAsia"/>
                <w:color w:val="auto"/>
                <w:spacing w:val="13"/>
              </w:rPr>
              <w:t xml:space="preserve"> </w:t>
            </w:r>
            <w:r>
              <w:rPr>
                <w:rFonts w:hint="eastAsia" w:asciiTheme="minorEastAsia" w:hAnsiTheme="minorEastAsia" w:eastAsiaTheme="minorEastAsia" w:cstheme="minorEastAsia"/>
                <w:color w:val="auto"/>
                <w:spacing w:val="-4"/>
              </w:rPr>
              <w:t>(</w:t>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"https://www.ccgp.gov.cn)。"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pacing w:val="-4"/>
              </w:rPr>
              <w:t>www.ccgp.gov.cn)。</w:t>
            </w:r>
            <w:r>
              <w:rPr>
                <w:rFonts w:hint="eastAsia" w:asciiTheme="minorEastAsia" w:hAnsiTheme="minorEastAsia" w:eastAsiaTheme="minorEastAsia" w:cstheme="minorEastAsia"/>
                <w:color w:val="auto"/>
                <w:spacing w:val="-4"/>
              </w:rPr>
              <w:fldChar w:fldCharType="end"/>
            </w:r>
          </w:p>
        </w:tc>
      </w:tr>
      <w:tr w14:paraId="108C1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14" w:type="dxa"/>
            <w:vMerge w:val="continue"/>
            <w:tcBorders>
              <w:top w:val="nil"/>
              <w:bottom w:val="nil"/>
            </w:tcBorders>
            <w:vAlign w:val="top"/>
          </w:tcPr>
          <w:p w14:paraId="2FDA6218">
            <w:pPr>
              <w:rPr>
                <w:rFonts w:hint="eastAsia" w:asciiTheme="minorEastAsia" w:hAnsiTheme="minorEastAsia" w:eastAsiaTheme="minorEastAsia" w:cstheme="minorEastAsia"/>
                <w:color w:val="auto"/>
                <w:sz w:val="21"/>
              </w:rPr>
            </w:pPr>
          </w:p>
        </w:tc>
        <w:tc>
          <w:tcPr>
            <w:tcW w:w="2138" w:type="dxa"/>
            <w:vAlign w:val="top"/>
          </w:tcPr>
          <w:p w14:paraId="54561225">
            <w:pPr>
              <w:pStyle w:val="21"/>
              <w:spacing w:before="141" w:line="219" w:lineRule="auto"/>
              <w:ind w:left="1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信用查询截止时点</w:t>
            </w:r>
          </w:p>
        </w:tc>
        <w:tc>
          <w:tcPr>
            <w:tcW w:w="7306" w:type="dxa"/>
            <w:vAlign w:val="top"/>
          </w:tcPr>
          <w:p w14:paraId="1C632BCF">
            <w:pPr>
              <w:pStyle w:val="21"/>
              <w:spacing w:before="151" w:line="219" w:lineRule="auto"/>
              <w:ind w:left="8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rPr>
              <w:t>资格审查结束前</w:t>
            </w:r>
          </w:p>
        </w:tc>
      </w:tr>
      <w:tr w14:paraId="59EFD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14" w:type="dxa"/>
            <w:vMerge w:val="continue"/>
            <w:tcBorders>
              <w:top w:val="nil"/>
              <w:bottom w:val="nil"/>
            </w:tcBorders>
            <w:vAlign w:val="top"/>
          </w:tcPr>
          <w:p w14:paraId="56806C49">
            <w:pPr>
              <w:rPr>
                <w:rFonts w:hint="eastAsia" w:asciiTheme="minorEastAsia" w:hAnsiTheme="minorEastAsia" w:eastAsiaTheme="minorEastAsia" w:cstheme="minorEastAsia"/>
                <w:color w:val="auto"/>
                <w:sz w:val="21"/>
              </w:rPr>
            </w:pPr>
          </w:p>
        </w:tc>
        <w:tc>
          <w:tcPr>
            <w:tcW w:w="2138" w:type="dxa"/>
            <w:vAlign w:val="top"/>
          </w:tcPr>
          <w:p w14:paraId="0A8E2E3B">
            <w:pPr>
              <w:pStyle w:val="21"/>
              <w:spacing w:before="121" w:line="276" w:lineRule="auto"/>
              <w:ind w:left="840" w:right="67" w:hanging="76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rPr>
              <w:t>查询记录和证据留存</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spacing w:val="-3"/>
              </w:rPr>
              <w:t>方式</w:t>
            </w:r>
          </w:p>
        </w:tc>
        <w:tc>
          <w:tcPr>
            <w:tcW w:w="7306" w:type="dxa"/>
            <w:vAlign w:val="top"/>
          </w:tcPr>
          <w:p w14:paraId="60972AEC">
            <w:pPr>
              <w:pStyle w:val="21"/>
              <w:spacing w:before="121" w:line="276" w:lineRule="auto"/>
              <w:ind w:left="81" w:hanging="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8"/>
              </w:rPr>
              <w:t>在查询网站中直接截图查询记录，截图作为</w:t>
            </w:r>
            <w:r>
              <w:rPr>
                <w:rFonts w:hint="eastAsia" w:asciiTheme="minorEastAsia" w:hAnsiTheme="minorEastAsia" w:eastAsiaTheme="minorEastAsia" w:cstheme="minorEastAsia"/>
                <w:color w:val="auto"/>
                <w:spacing w:val="-9"/>
              </w:rPr>
              <w:t>附件在“广西政府采购云平台”平</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spacing w:val="-1"/>
              </w:rPr>
              <w:t>台上传保存。</w:t>
            </w:r>
          </w:p>
        </w:tc>
      </w:tr>
      <w:tr w14:paraId="6FDBF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14" w:type="dxa"/>
            <w:vMerge w:val="continue"/>
            <w:tcBorders>
              <w:top w:val="nil"/>
            </w:tcBorders>
            <w:vAlign w:val="top"/>
          </w:tcPr>
          <w:p w14:paraId="5CF14F79">
            <w:pPr>
              <w:rPr>
                <w:rFonts w:hint="eastAsia" w:asciiTheme="minorEastAsia" w:hAnsiTheme="minorEastAsia" w:eastAsiaTheme="minorEastAsia" w:cstheme="minorEastAsia"/>
                <w:color w:val="auto"/>
                <w:sz w:val="21"/>
              </w:rPr>
            </w:pPr>
          </w:p>
        </w:tc>
        <w:tc>
          <w:tcPr>
            <w:tcW w:w="2138" w:type="dxa"/>
            <w:vAlign w:val="top"/>
          </w:tcPr>
          <w:p w14:paraId="15E21873">
            <w:pPr>
              <w:spacing w:line="242" w:lineRule="auto"/>
              <w:rPr>
                <w:rFonts w:hint="eastAsia" w:asciiTheme="minorEastAsia" w:hAnsiTheme="minorEastAsia" w:eastAsiaTheme="minorEastAsia" w:cstheme="minorEastAsia"/>
                <w:color w:val="auto"/>
                <w:sz w:val="21"/>
              </w:rPr>
            </w:pPr>
          </w:p>
          <w:p w14:paraId="157EFE51">
            <w:pPr>
              <w:spacing w:line="242" w:lineRule="auto"/>
              <w:rPr>
                <w:rFonts w:hint="eastAsia" w:asciiTheme="minorEastAsia" w:hAnsiTheme="minorEastAsia" w:eastAsiaTheme="minorEastAsia" w:cstheme="minorEastAsia"/>
                <w:color w:val="auto"/>
                <w:sz w:val="21"/>
              </w:rPr>
            </w:pPr>
          </w:p>
          <w:p w14:paraId="15E43F7B">
            <w:pPr>
              <w:spacing w:line="243" w:lineRule="auto"/>
              <w:rPr>
                <w:rFonts w:hint="eastAsia" w:asciiTheme="minorEastAsia" w:hAnsiTheme="minorEastAsia" w:eastAsiaTheme="minorEastAsia" w:cstheme="minorEastAsia"/>
                <w:color w:val="auto"/>
                <w:sz w:val="21"/>
              </w:rPr>
            </w:pPr>
          </w:p>
          <w:p w14:paraId="79547A5C">
            <w:pPr>
              <w:spacing w:line="243" w:lineRule="auto"/>
              <w:rPr>
                <w:rFonts w:hint="eastAsia" w:asciiTheme="minorEastAsia" w:hAnsiTheme="minorEastAsia" w:eastAsiaTheme="minorEastAsia" w:cstheme="minorEastAsia"/>
                <w:color w:val="auto"/>
                <w:sz w:val="21"/>
              </w:rPr>
            </w:pPr>
          </w:p>
          <w:p w14:paraId="72F485E1">
            <w:pPr>
              <w:spacing w:line="243" w:lineRule="auto"/>
              <w:rPr>
                <w:rFonts w:hint="eastAsia" w:asciiTheme="minorEastAsia" w:hAnsiTheme="minorEastAsia" w:eastAsiaTheme="minorEastAsia" w:cstheme="minorEastAsia"/>
                <w:color w:val="auto"/>
                <w:sz w:val="21"/>
              </w:rPr>
            </w:pPr>
          </w:p>
          <w:p w14:paraId="136E5863">
            <w:pPr>
              <w:pStyle w:val="21"/>
              <w:spacing w:before="71" w:line="219" w:lineRule="auto"/>
              <w:ind w:left="1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信用信息使用规则</w:t>
            </w:r>
          </w:p>
        </w:tc>
        <w:tc>
          <w:tcPr>
            <w:tcW w:w="7306" w:type="dxa"/>
            <w:vAlign w:val="top"/>
          </w:tcPr>
          <w:p w14:paraId="07B6D5E7">
            <w:pPr>
              <w:pStyle w:val="21"/>
              <w:spacing w:before="114" w:line="214" w:lineRule="auto"/>
              <w:ind w:left="7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rPr>
              <w:t>对在“信用中国”网站(</w:t>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"https://www.creditchina.gov.cn"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www</w:t>
            </w:r>
            <w:r>
              <w:rPr>
                <w:rFonts w:hint="eastAsia" w:asciiTheme="minorEastAsia" w:hAnsiTheme="minorEastAsia" w:eastAsiaTheme="minorEastAsia" w:cstheme="minorEastAsia"/>
                <w:color w:val="auto"/>
                <w:spacing w:val="1"/>
              </w:rPr>
              <w:t>.</w:t>
            </w:r>
            <w:r>
              <w:rPr>
                <w:rFonts w:hint="eastAsia" w:asciiTheme="minorEastAsia" w:hAnsiTheme="minorEastAsia" w:eastAsiaTheme="minorEastAsia" w:cstheme="minorEastAsia"/>
                <w:color w:val="auto"/>
              </w:rPr>
              <w:t>creditchina</w:t>
            </w:r>
            <w:r>
              <w:rPr>
                <w:rFonts w:hint="eastAsia" w:asciiTheme="minorEastAsia" w:hAnsiTheme="minorEastAsia" w:eastAsiaTheme="minorEastAsia" w:cstheme="minorEastAsia"/>
                <w:color w:val="auto"/>
                <w:spacing w:val="1"/>
              </w:rPr>
              <w:t>.</w:t>
            </w:r>
            <w:r>
              <w:rPr>
                <w:rFonts w:hint="eastAsia" w:asciiTheme="minorEastAsia" w:hAnsiTheme="minorEastAsia" w:eastAsiaTheme="minorEastAsia" w:cstheme="minorEastAsia"/>
                <w:color w:val="auto"/>
              </w:rPr>
              <w:t>gov</w:t>
            </w:r>
            <w:r>
              <w:rPr>
                <w:rFonts w:hint="eastAsia" w:asciiTheme="minorEastAsia" w:hAnsiTheme="minorEastAsia" w:eastAsiaTheme="minorEastAsia" w:cstheme="minorEastAsia"/>
                <w:color w:val="auto"/>
                <w:spacing w:val="1"/>
              </w:rPr>
              <w:t>.</w:t>
            </w:r>
            <w:r>
              <w:rPr>
                <w:rFonts w:hint="eastAsia" w:asciiTheme="minorEastAsia" w:hAnsiTheme="minorEastAsia" w:eastAsiaTheme="minorEastAsia" w:cstheme="minorEastAsia"/>
                <w:color w:val="auto"/>
              </w:rPr>
              <w:t>cn</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spacing w:val="1"/>
              </w:rPr>
              <w:t>)、中国政府</w:t>
            </w:r>
            <w:r>
              <w:rPr>
                <w:rFonts w:hint="eastAsia" w:asciiTheme="minorEastAsia" w:hAnsiTheme="minorEastAsia" w:eastAsiaTheme="minorEastAsia" w:cstheme="minorEastAsia"/>
                <w:color w:val="auto"/>
              </w:rPr>
              <w:t>采购网</w:t>
            </w:r>
          </w:p>
          <w:p w14:paraId="470A4407">
            <w:pPr>
              <w:pStyle w:val="21"/>
              <w:spacing w:before="134" w:line="318" w:lineRule="auto"/>
              <w:ind w:left="72" w:firstLine="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7"/>
              </w:rPr>
              <w:t>(</w:t>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"https://www.ccgp.gov.cn"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pacing w:val="-7"/>
              </w:rPr>
              <w:t>www.ccgp.gov.cn</w:t>
            </w:r>
            <w:r>
              <w:rPr>
                <w:rFonts w:hint="eastAsia" w:asciiTheme="minorEastAsia" w:hAnsiTheme="minorEastAsia" w:eastAsiaTheme="minorEastAsia" w:cstheme="minorEastAsia"/>
                <w:color w:val="auto"/>
                <w:spacing w:val="-7"/>
              </w:rPr>
              <w:fldChar w:fldCharType="end"/>
            </w:r>
            <w:r>
              <w:rPr>
                <w:rFonts w:hint="eastAsia" w:asciiTheme="minorEastAsia" w:hAnsiTheme="minorEastAsia" w:eastAsiaTheme="minorEastAsia" w:cstheme="minorEastAsia"/>
                <w:color w:val="auto"/>
                <w:spacing w:val="-7"/>
              </w:rPr>
              <w:t>)被列入失信被执行人、重大税收违法失信主体、政府采购</w:t>
            </w:r>
            <w:r>
              <w:rPr>
                <w:rFonts w:hint="eastAsia" w:asciiTheme="minorEastAsia" w:hAnsiTheme="minorEastAsia" w:eastAsiaTheme="minorEastAsia" w:cstheme="minorEastAsia"/>
                <w:color w:val="auto"/>
                <w:spacing w:val="4"/>
              </w:rPr>
              <w:t xml:space="preserve">  </w:t>
            </w:r>
            <w:r>
              <w:rPr>
                <w:rFonts w:hint="eastAsia" w:asciiTheme="minorEastAsia" w:hAnsiTheme="minorEastAsia" w:eastAsiaTheme="minorEastAsia" w:cstheme="minorEastAsia"/>
                <w:color w:val="auto"/>
                <w:spacing w:val="-11"/>
              </w:rPr>
              <w:t>严重违法失信行为记录名单及其他不符合《中华人民共</w:t>
            </w:r>
            <w:r>
              <w:rPr>
                <w:rFonts w:hint="eastAsia" w:asciiTheme="minorEastAsia" w:hAnsiTheme="minorEastAsia" w:eastAsiaTheme="minorEastAsia" w:cstheme="minorEastAsia"/>
                <w:color w:val="auto"/>
                <w:spacing w:val="-12"/>
              </w:rPr>
              <w:t>和国政府采购法》第二</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spacing w:val="-11"/>
              </w:rPr>
              <w:t>十二条规定条件的供应商，采购人或者采购代理机构</w:t>
            </w:r>
            <w:r>
              <w:rPr>
                <w:rFonts w:hint="eastAsia" w:asciiTheme="minorEastAsia" w:hAnsiTheme="minorEastAsia" w:eastAsiaTheme="minorEastAsia" w:cstheme="minorEastAsia"/>
                <w:color w:val="auto"/>
                <w:spacing w:val="-12"/>
              </w:rPr>
              <w:t>应当拒绝其参与政府采购</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spacing w:val="-11"/>
              </w:rPr>
              <w:t>活动。两个以上的自然人、法人或者其他组织组成一个联合</w:t>
            </w:r>
            <w:r>
              <w:rPr>
                <w:rFonts w:hint="eastAsia" w:asciiTheme="minorEastAsia" w:hAnsiTheme="minorEastAsia" w:eastAsiaTheme="minorEastAsia" w:cstheme="minorEastAsia"/>
                <w:color w:val="auto"/>
                <w:spacing w:val="-12"/>
              </w:rPr>
              <w:t>体，以一个供应商</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spacing w:val="-8"/>
              </w:rPr>
              <w:t>的身份共同参加政府采购活动的，应当对所</w:t>
            </w:r>
            <w:r>
              <w:rPr>
                <w:rFonts w:hint="eastAsia" w:asciiTheme="minorEastAsia" w:hAnsiTheme="minorEastAsia" w:eastAsiaTheme="minorEastAsia" w:cstheme="minorEastAsia"/>
                <w:color w:val="auto"/>
                <w:spacing w:val="-9"/>
              </w:rPr>
              <w:t>有联合体成员进行信用记录查询，</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spacing w:val="-3"/>
              </w:rPr>
              <w:t>联合体成员存在不良信用记录的，视同联合体存在不良信用记录。</w:t>
            </w:r>
          </w:p>
        </w:tc>
      </w:tr>
      <w:tr w14:paraId="19950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14" w:type="dxa"/>
            <w:vAlign w:val="top"/>
          </w:tcPr>
          <w:p w14:paraId="37C5A620">
            <w:pPr>
              <w:spacing w:line="242" w:lineRule="auto"/>
              <w:rPr>
                <w:rFonts w:hint="eastAsia" w:asciiTheme="minorEastAsia" w:hAnsiTheme="minorEastAsia" w:eastAsiaTheme="minorEastAsia" w:cstheme="minorEastAsia"/>
                <w:color w:val="auto"/>
                <w:sz w:val="21"/>
              </w:rPr>
            </w:pPr>
          </w:p>
          <w:p w14:paraId="0ABBDE79">
            <w:pPr>
              <w:pStyle w:val="21"/>
              <w:spacing w:before="72" w:line="239" w:lineRule="auto"/>
              <w:ind w:left="6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29.1</w:t>
            </w:r>
          </w:p>
        </w:tc>
        <w:tc>
          <w:tcPr>
            <w:tcW w:w="2138" w:type="dxa"/>
            <w:vAlign w:val="top"/>
          </w:tcPr>
          <w:p w14:paraId="3F1E8480">
            <w:pPr>
              <w:pStyle w:val="21"/>
              <w:spacing w:before="294" w:line="220" w:lineRule="auto"/>
              <w:ind w:left="62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评标方法</w:t>
            </w:r>
          </w:p>
        </w:tc>
        <w:tc>
          <w:tcPr>
            <w:tcW w:w="7306" w:type="dxa"/>
            <w:vAlign w:val="top"/>
          </w:tcPr>
          <w:p w14:paraId="20837123">
            <w:pPr>
              <w:pStyle w:val="21"/>
              <w:spacing w:before="114" w:line="220" w:lineRule="auto"/>
              <w:ind w:left="8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☑综合评分法</w:t>
            </w:r>
          </w:p>
          <w:p w14:paraId="5A392A1E">
            <w:pPr>
              <w:pStyle w:val="21"/>
              <w:spacing w:before="135" w:line="218" w:lineRule="auto"/>
              <w:ind w:left="8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rPr>
              <w:t>□最低评标价法</w:t>
            </w:r>
          </w:p>
        </w:tc>
      </w:tr>
      <w:tr w14:paraId="5704F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14" w:type="dxa"/>
            <w:vAlign w:val="top"/>
          </w:tcPr>
          <w:p w14:paraId="55B03BEC">
            <w:pPr>
              <w:spacing w:line="243" w:lineRule="auto"/>
              <w:rPr>
                <w:rFonts w:hint="eastAsia" w:asciiTheme="minorEastAsia" w:hAnsiTheme="minorEastAsia" w:eastAsiaTheme="minorEastAsia" w:cstheme="minorEastAsia"/>
                <w:color w:val="auto"/>
                <w:sz w:val="21"/>
              </w:rPr>
            </w:pPr>
          </w:p>
          <w:p w14:paraId="02D95D78">
            <w:pPr>
              <w:pStyle w:val="21"/>
              <w:spacing w:before="72" w:line="239" w:lineRule="auto"/>
              <w:ind w:left="6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29.2</w:t>
            </w:r>
          </w:p>
        </w:tc>
        <w:tc>
          <w:tcPr>
            <w:tcW w:w="2138" w:type="dxa"/>
            <w:vAlign w:val="top"/>
          </w:tcPr>
          <w:p w14:paraId="08473C35">
            <w:pPr>
              <w:pStyle w:val="21"/>
              <w:spacing w:before="295" w:line="219" w:lineRule="auto"/>
              <w:ind w:left="4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允许负偏离项</w:t>
            </w:r>
          </w:p>
        </w:tc>
        <w:tc>
          <w:tcPr>
            <w:tcW w:w="7306" w:type="dxa"/>
            <w:vAlign w:val="top"/>
          </w:tcPr>
          <w:p w14:paraId="67CF594C">
            <w:pPr>
              <w:pStyle w:val="21"/>
              <w:spacing w:before="145" w:line="270" w:lineRule="auto"/>
              <w:ind w:left="82" w:right="289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8"/>
                <w:u w:val="single" w:color="auto"/>
              </w:rPr>
              <w:t>商务条款评审中允许负偏离的条款数为0</w:t>
            </w:r>
            <w:r>
              <w:rPr>
                <w:rFonts w:hint="eastAsia" w:asciiTheme="minorEastAsia" w:hAnsiTheme="minorEastAsia" w:eastAsiaTheme="minorEastAsia" w:cstheme="minorEastAsia"/>
                <w:color w:val="auto"/>
                <w:spacing w:val="-8"/>
              </w:rPr>
              <w:t>项</w:t>
            </w:r>
            <w:r>
              <w:rPr>
                <w:rFonts w:hint="eastAsia" w:asciiTheme="minorEastAsia" w:hAnsiTheme="minorEastAsia" w:eastAsiaTheme="minorEastAsia" w:cstheme="minorEastAsia"/>
                <w:color w:val="auto"/>
                <w:spacing w:val="49"/>
              </w:rPr>
              <w:t xml:space="preserve"> </w:t>
            </w:r>
            <w:r>
              <w:rPr>
                <w:rFonts w:hint="eastAsia" w:asciiTheme="minorEastAsia" w:hAnsiTheme="minorEastAsia" w:eastAsiaTheme="minorEastAsia" w:cstheme="minorEastAsia"/>
                <w:color w:val="auto"/>
                <w:spacing w:val="-8"/>
              </w:rPr>
              <w:t>。</w:t>
            </w:r>
            <w:r>
              <w:rPr>
                <w:rFonts w:hint="eastAsia" w:asciiTheme="minorEastAsia" w:hAnsiTheme="minorEastAsia" w:eastAsiaTheme="minorEastAsia" w:cstheme="minorEastAsia"/>
                <w:color w:val="auto"/>
              </w:rPr>
              <w:t xml:space="preserve"> 技术需求评审中允许负偏离的条款数为0项。</w:t>
            </w:r>
          </w:p>
        </w:tc>
      </w:tr>
      <w:tr w14:paraId="7C295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14" w:type="dxa"/>
            <w:vAlign w:val="top"/>
          </w:tcPr>
          <w:p w14:paraId="172BCFEB">
            <w:pPr>
              <w:spacing w:line="316" w:lineRule="auto"/>
              <w:rPr>
                <w:rFonts w:hint="eastAsia" w:asciiTheme="minorEastAsia" w:hAnsiTheme="minorEastAsia" w:eastAsiaTheme="minorEastAsia" w:cstheme="minorEastAsia"/>
                <w:color w:val="auto"/>
                <w:sz w:val="21"/>
              </w:rPr>
            </w:pPr>
          </w:p>
          <w:p w14:paraId="3E4F1F79">
            <w:pPr>
              <w:spacing w:line="316" w:lineRule="auto"/>
              <w:rPr>
                <w:rFonts w:hint="eastAsia" w:asciiTheme="minorEastAsia" w:hAnsiTheme="minorEastAsia" w:eastAsiaTheme="minorEastAsia" w:cstheme="minorEastAsia"/>
                <w:color w:val="auto"/>
                <w:sz w:val="21"/>
              </w:rPr>
            </w:pPr>
          </w:p>
          <w:p w14:paraId="0BA315BE">
            <w:pPr>
              <w:pStyle w:val="21"/>
              <w:spacing w:before="71" w:line="239" w:lineRule="auto"/>
              <w:ind w:left="6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30.1</w:t>
            </w:r>
          </w:p>
        </w:tc>
        <w:tc>
          <w:tcPr>
            <w:tcW w:w="2138" w:type="dxa"/>
            <w:vAlign w:val="top"/>
          </w:tcPr>
          <w:p w14:paraId="0E255AEC">
            <w:pPr>
              <w:pStyle w:val="21"/>
              <w:spacing w:before="116" w:line="220" w:lineRule="auto"/>
              <w:ind w:left="7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rPr>
              <w:t>确定中标人时，出现</w:t>
            </w:r>
          </w:p>
          <w:p w14:paraId="2E0A65E7">
            <w:pPr>
              <w:pStyle w:val="21"/>
              <w:spacing w:before="127" w:line="219" w:lineRule="auto"/>
              <w:ind w:left="7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rPr>
              <w:t>中标候选人排名并列</w:t>
            </w:r>
          </w:p>
          <w:p w14:paraId="7BB56C88">
            <w:pPr>
              <w:pStyle w:val="21"/>
              <w:spacing w:before="129" w:line="220" w:lineRule="auto"/>
              <w:ind w:left="7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rPr>
              <w:t>的情形，确定中标人</w:t>
            </w:r>
          </w:p>
          <w:p w14:paraId="1051C6BA">
            <w:pPr>
              <w:pStyle w:val="21"/>
              <w:spacing w:before="138" w:line="221" w:lineRule="auto"/>
              <w:ind w:left="84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方式</w:t>
            </w:r>
          </w:p>
        </w:tc>
        <w:tc>
          <w:tcPr>
            <w:tcW w:w="7306" w:type="dxa"/>
            <w:vAlign w:val="top"/>
          </w:tcPr>
          <w:p w14:paraId="3AC3BEB4">
            <w:pPr>
              <w:pStyle w:val="21"/>
              <w:spacing w:before="125" w:line="323" w:lineRule="auto"/>
              <w:ind w:left="81" w:hanging="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8"/>
              </w:rPr>
              <w:t>采购人确定中标人时，出现中标候选人并列</w:t>
            </w:r>
            <w:r>
              <w:rPr>
                <w:rFonts w:hint="eastAsia" w:asciiTheme="minorEastAsia" w:hAnsiTheme="minorEastAsia" w:eastAsiaTheme="minorEastAsia" w:cstheme="minorEastAsia"/>
                <w:color w:val="auto"/>
                <w:spacing w:val="-9"/>
              </w:rPr>
              <w:t>的情形，采购人按以下的方式确定</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spacing w:val="-1"/>
              </w:rPr>
              <w:t>中标人：</w:t>
            </w:r>
          </w:p>
          <w:p w14:paraId="44BBA59F">
            <w:pPr>
              <w:pStyle w:val="21"/>
              <w:spacing w:line="219" w:lineRule="auto"/>
              <w:ind w:left="8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☑技术分得分高的优先、商务分得分高的优先的</w:t>
            </w:r>
            <w:r>
              <w:rPr>
                <w:rFonts w:hint="eastAsia" w:asciiTheme="minorEastAsia" w:hAnsiTheme="minorEastAsia" w:eastAsiaTheme="minorEastAsia" w:cstheme="minorEastAsia"/>
                <w:color w:val="auto"/>
                <w:spacing w:val="-1"/>
              </w:rPr>
              <w:t>顺序。</w:t>
            </w:r>
          </w:p>
          <w:p w14:paraId="7D7DF82A">
            <w:pPr>
              <w:pStyle w:val="21"/>
              <w:spacing w:before="178" w:line="196" w:lineRule="auto"/>
              <w:ind w:left="8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rPr>
              <w:t>□采取随机抽取的方式确定。</w:t>
            </w:r>
          </w:p>
        </w:tc>
      </w:tr>
      <w:tr w14:paraId="0CCDD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14" w:type="dxa"/>
            <w:vAlign w:val="top"/>
          </w:tcPr>
          <w:p w14:paraId="72300595">
            <w:pPr>
              <w:pStyle w:val="21"/>
              <w:spacing w:before="169" w:line="177" w:lineRule="auto"/>
              <w:ind w:left="6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35</w:t>
            </w:r>
          </w:p>
        </w:tc>
        <w:tc>
          <w:tcPr>
            <w:tcW w:w="2138" w:type="dxa"/>
            <w:vAlign w:val="top"/>
          </w:tcPr>
          <w:p w14:paraId="0C5FB781">
            <w:pPr>
              <w:pStyle w:val="21"/>
              <w:spacing w:before="136" w:line="204" w:lineRule="auto"/>
              <w:ind w:left="29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rPr>
              <w:t>履约保证金金额</w:t>
            </w:r>
          </w:p>
        </w:tc>
        <w:tc>
          <w:tcPr>
            <w:tcW w:w="7306" w:type="dxa"/>
            <w:vAlign w:val="top"/>
          </w:tcPr>
          <w:p w14:paraId="02C90BF2">
            <w:pPr>
              <w:pStyle w:val="21"/>
              <w:spacing w:before="134" w:line="318" w:lineRule="auto"/>
              <w:ind w:left="72" w:firstLine="9"/>
              <w:rPr>
                <w:rFonts w:hint="eastAsia" w:asciiTheme="minorEastAsia" w:hAnsiTheme="minorEastAsia" w:eastAsiaTheme="minorEastAsia" w:cstheme="minorEastAsia"/>
                <w:color w:val="auto"/>
                <w:spacing w:val="-11"/>
              </w:rPr>
            </w:pPr>
            <w:r>
              <w:rPr>
                <w:rFonts w:hint="eastAsia" w:asciiTheme="minorEastAsia" w:hAnsiTheme="minorEastAsia" w:eastAsiaTheme="minorEastAsia" w:cstheme="minorEastAsia"/>
                <w:color w:val="auto"/>
                <w:spacing w:val="-11"/>
              </w:rPr>
              <w:t>□本项目不收取履约保证金。</w:t>
            </w:r>
          </w:p>
          <w:p w14:paraId="21F7F773">
            <w:pPr>
              <w:pStyle w:val="21"/>
              <w:spacing w:before="134" w:line="318" w:lineRule="auto"/>
              <w:ind w:left="72" w:firstLine="9"/>
              <w:rPr>
                <w:rFonts w:hint="eastAsia" w:asciiTheme="minorEastAsia" w:hAnsiTheme="minorEastAsia" w:eastAsiaTheme="minorEastAsia" w:cstheme="minorEastAsia"/>
                <w:color w:val="auto"/>
                <w:spacing w:val="-11"/>
              </w:rPr>
            </w:pPr>
            <w:r>
              <w:rPr>
                <w:rFonts w:hint="eastAsia" w:asciiTheme="minorEastAsia" w:hAnsiTheme="minorEastAsia" w:eastAsiaTheme="minorEastAsia" w:cstheme="minorEastAsia"/>
                <w:color w:val="auto"/>
                <w:spacing w:val="-11"/>
              </w:rPr>
              <w:t>☑本项目收取履约保证金，具体规定如下：</w:t>
            </w:r>
          </w:p>
          <w:p w14:paraId="35207D8F">
            <w:pPr>
              <w:pStyle w:val="21"/>
              <w:spacing w:before="134" w:line="318" w:lineRule="auto"/>
              <w:ind w:left="72" w:firstLine="9"/>
              <w:rPr>
                <w:rFonts w:hint="eastAsia" w:asciiTheme="minorEastAsia" w:hAnsiTheme="minorEastAsia" w:eastAsiaTheme="minorEastAsia" w:cstheme="minorEastAsia"/>
                <w:color w:val="auto"/>
                <w:spacing w:val="-11"/>
              </w:rPr>
            </w:pPr>
            <w:r>
              <w:rPr>
                <w:rFonts w:hint="eastAsia" w:asciiTheme="minorEastAsia" w:hAnsiTheme="minorEastAsia" w:eastAsiaTheme="minorEastAsia" w:cstheme="minorEastAsia"/>
                <w:color w:val="auto"/>
                <w:spacing w:val="-11"/>
              </w:rPr>
              <w:t>履约保证金金额：</w:t>
            </w:r>
          </w:p>
          <w:p w14:paraId="45CB10EB">
            <w:pPr>
              <w:pStyle w:val="21"/>
              <w:spacing w:before="134" w:line="318" w:lineRule="auto"/>
              <w:ind w:left="72" w:firstLine="9"/>
              <w:rPr>
                <w:rFonts w:hint="eastAsia" w:asciiTheme="minorEastAsia" w:hAnsiTheme="minorEastAsia" w:eastAsiaTheme="minorEastAsia" w:cstheme="minorEastAsia"/>
                <w:color w:val="auto"/>
                <w:spacing w:val="-11"/>
              </w:rPr>
            </w:pPr>
            <w:r>
              <w:rPr>
                <w:rFonts w:hint="eastAsia" w:asciiTheme="minorEastAsia" w:hAnsiTheme="minorEastAsia" w:eastAsiaTheme="minorEastAsia" w:cstheme="minorEastAsia"/>
                <w:color w:val="auto"/>
                <w:spacing w:val="-11"/>
                <w:lang w:val="en-US" w:eastAsia="zh-CN"/>
              </w:rPr>
              <w:t>标段1：</w:t>
            </w:r>
            <w:r>
              <w:rPr>
                <w:rFonts w:hint="eastAsia" w:asciiTheme="minorEastAsia" w:hAnsiTheme="minorEastAsia" w:eastAsiaTheme="minorEastAsia" w:cstheme="minorEastAsia"/>
                <w:color w:val="auto"/>
                <w:spacing w:val="-11"/>
              </w:rPr>
              <w:t>政府采购合同金额的2%（供应商为中小微企业的，履约保证金为政府采购合同金额的2%，供应商提供声明函或证明材料）。</w:t>
            </w:r>
          </w:p>
          <w:p w14:paraId="3F7537C0">
            <w:pPr>
              <w:pStyle w:val="21"/>
              <w:spacing w:before="134" w:line="318" w:lineRule="auto"/>
              <w:ind w:left="72" w:firstLine="9"/>
              <w:rPr>
                <w:rFonts w:hint="eastAsia" w:asciiTheme="minorEastAsia" w:hAnsiTheme="minorEastAsia" w:eastAsiaTheme="minorEastAsia" w:cstheme="minorEastAsia"/>
                <w:color w:val="auto"/>
                <w:spacing w:val="-11"/>
              </w:rPr>
            </w:pPr>
            <w:r>
              <w:rPr>
                <w:rFonts w:hint="eastAsia" w:asciiTheme="minorEastAsia" w:hAnsiTheme="minorEastAsia" w:eastAsiaTheme="minorEastAsia" w:cstheme="minorEastAsia"/>
                <w:color w:val="auto"/>
                <w:spacing w:val="-11"/>
                <w:lang w:val="en-US" w:eastAsia="zh-CN"/>
              </w:rPr>
              <w:t>标段2：</w:t>
            </w:r>
            <w:r>
              <w:rPr>
                <w:rFonts w:hint="eastAsia" w:asciiTheme="minorEastAsia" w:hAnsiTheme="minorEastAsia" w:eastAsiaTheme="minorEastAsia" w:cstheme="minorEastAsia"/>
                <w:color w:val="auto"/>
                <w:spacing w:val="-11"/>
              </w:rPr>
              <w:t>政府采购合同金额的</w:t>
            </w:r>
            <w:r>
              <w:rPr>
                <w:rFonts w:hint="eastAsia" w:asciiTheme="minorEastAsia" w:hAnsiTheme="minorEastAsia" w:eastAsiaTheme="minorEastAsia" w:cstheme="minorEastAsia"/>
                <w:color w:val="auto"/>
                <w:spacing w:val="-11"/>
                <w:lang w:val="en-US" w:eastAsia="zh-CN"/>
              </w:rPr>
              <w:t>5</w:t>
            </w:r>
            <w:r>
              <w:rPr>
                <w:rFonts w:hint="eastAsia" w:asciiTheme="minorEastAsia" w:hAnsiTheme="minorEastAsia" w:eastAsiaTheme="minorEastAsia" w:cstheme="minorEastAsia"/>
                <w:color w:val="auto"/>
                <w:spacing w:val="-11"/>
              </w:rPr>
              <w:t>%。</w:t>
            </w:r>
          </w:p>
          <w:p w14:paraId="4454D69C">
            <w:pPr>
              <w:pStyle w:val="21"/>
              <w:spacing w:before="134" w:line="318" w:lineRule="auto"/>
              <w:ind w:left="72" w:firstLine="9"/>
              <w:rPr>
                <w:rFonts w:hint="eastAsia" w:asciiTheme="minorEastAsia" w:hAnsiTheme="minorEastAsia" w:eastAsiaTheme="minorEastAsia" w:cstheme="minorEastAsia"/>
                <w:color w:val="auto"/>
                <w:spacing w:val="-11"/>
              </w:rPr>
            </w:pPr>
            <w:r>
              <w:rPr>
                <w:rFonts w:hint="eastAsia" w:asciiTheme="minorEastAsia" w:hAnsiTheme="minorEastAsia" w:eastAsiaTheme="minorEastAsia" w:cstheme="minorEastAsia"/>
                <w:color w:val="auto"/>
                <w:spacing w:val="-11"/>
              </w:rPr>
              <w:t>履约保证金提交方式：银行转账、支票、汇票、本票或者金融、担保机构出具的保函等非现金方式。</w:t>
            </w:r>
          </w:p>
          <w:p w14:paraId="3582774A">
            <w:pPr>
              <w:pStyle w:val="21"/>
              <w:spacing w:before="134" w:line="318" w:lineRule="auto"/>
              <w:ind w:left="72" w:firstLine="9"/>
              <w:rPr>
                <w:rFonts w:hint="eastAsia" w:asciiTheme="minorEastAsia" w:hAnsiTheme="minorEastAsia" w:eastAsiaTheme="minorEastAsia" w:cstheme="minorEastAsia"/>
                <w:color w:val="auto"/>
                <w:spacing w:val="-11"/>
              </w:rPr>
            </w:pPr>
            <w:r>
              <w:rPr>
                <w:rFonts w:hint="eastAsia" w:asciiTheme="minorEastAsia" w:hAnsiTheme="minorEastAsia" w:eastAsiaTheme="minorEastAsia" w:cstheme="minorEastAsia"/>
                <w:color w:val="auto"/>
                <w:spacing w:val="-11"/>
              </w:rPr>
              <w:t>履约保证金退付方式、时间及条件：供应商若不能完全履行合同，履约保证金不返还；供应商若完全履行合同，按合同履行相关售后服务和配套服务，并对项目出现的质量及安全问题负责处理解决并承当一切费用，项目竣工验收合格质保期满后，供应商提交《广西壮族自治区政府采购项目合同验收书》及《政府采购项目履约保证金退付意见书》到采购人财务部门在收到合格材料后办理无息退还手续（不计利息）。</w:t>
            </w:r>
          </w:p>
          <w:p w14:paraId="1F5E8293">
            <w:pPr>
              <w:pStyle w:val="21"/>
              <w:spacing w:before="134" w:line="318" w:lineRule="auto"/>
              <w:ind w:left="72" w:firstLine="9"/>
              <w:rPr>
                <w:rFonts w:hint="eastAsia" w:asciiTheme="minorEastAsia" w:hAnsiTheme="minorEastAsia" w:eastAsiaTheme="minorEastAsia" w:cstheme="minorEastAsia"/>
                <w:color w:val="auto"/>
                <w:spacing w:val="-11"/>
              </w:rPr>
            </w:pPr>
            <w:r>
              <w:rPr>
                <w:rFonts w:hint="eastAsia" w:asciiTheme="minorEastAsia" w:hAnsiTheme="minorEastAsia" w:eastAsiaTheme="minorEastAsia" w:cstheme="minorEastAsia"/>
                <w:color w:val="auto"/>
                <w:spacing w:val="-11"/>
              </w:rPr>
              <w:t>履约保证金指定账户：</w:t>
            </w:r>
            <w:r>
              <w:rPr>
                <w:rFonts w:hint="eastAsia" w:asciiTheme="minorEastAsia" w:hAnsiTheme="minorEastAsia" w:eastAsiaTheme="minorEastAsia" w:cstheme="minorEastAsia"/>
                <w:color w:val="auto"/>
                <w:spacing w:val="-11"/>
                <w:lang w:val="en-US" w:eastAsia="zh-CN"/>
              </w:rPr>
              <w:t xml:space="preserve"> </w:t>
            </w:r>
            <w:r>
              <w:rPr>
                <w:rFonts w:hint="eastAsia" w:asciiTheme="minorEastAsia" w:hAnsiTheme="minorEastAsia" w:eastAsiaTheme="minorEastAsia" w:cstheme="minorEastAsia"/>
                <w:color w:val="auto"/>
                <w:spacing w:val="-11"/>
                <w:u w:val="single"/>
                <w:lang w:val="en-US" w:eastAsia="zh-CN"/>
              </w:rPr>
              <w:t xml:space="preserve">采购人指定账户 </w:t>
            </w:r>
          </w:p>
          <w:p w14:paraId="503D0A7D">
            <w:pPr>
              <w:pStyle w:val="21"/>
              <w:spacing w:before="134" w:line="318" w:lineRule="auto"/>
              <w:ind w:left="72" w:firstLine="9"/>
              <w:rPr>
                <w:rFonts w:hint="eastAsia" w:asciiTheme="minorEastAsia" w:hAnsiTheme="minorEastAsia" w:eastAsiaTheme="minorEastAsia" w:cstheme="minorEastAsia"/>
                <w:color w:val="auto"/>
                <w:spacing w:val="-11"/>
              </w:rPr>
            </w:pPr>
            <w:r>
              <w:rPr>
                <w:rFonts w:hint="eastAsia" w:asciiTheme="minorEastAsia" w:hAnsiTheme="minorEastAsia" w:eastAsiaTheme="minorEastAsia" w:cstheme="minorEastAsia"/>
                <w:color w:val="auto"/>
                <w:spacing w:val="-11"/>
              </w:rPr>
              <w:t>备注：</w:t>
            </w:r>
          </w:p>
          <w:p w14:paraId="7F1BFBEA">
            <w:pPr>
              <w:pStyle w:val="21"/>
              <w:spacing w:before="134" w:line="318" w:lineRule="auto"/>
              <w:ind w:left="72" w:firstLine="9"/>
              <w:rPr>
                <w:rFonts w:hint="eastAsia" w:asciiTheme="minorEastAsia" w:hAnsiTheme="minorEastAsia" w:eastAsiaTheme="minorEastAsia" w:cstheme="minorEastAsia"/>
                <w:color w:val="auto"/>
                <w:spacing w:val="-11"/>
              </w:rPr>
            </w:pPr>
            <w:r>
              <w:rPr>
                <w:rFonts w:hint="eastAsia" w:asciiTheme="minorEastAsia" w:hAnsiTheme="minorEastAsia" w:eastAsiaTheme="minorEastAsia" w:cstheme="minorEastAsia"/>
                <w:color w:val="auto"/>
                <w:spacing w:val="-11"/>
              </w:rPr>
              <w:t>1、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5%。</w:t>
            </w:r>
          </w:p>
          <w:p w14:paraId="31A54155">
            <w:pPr>
              <w:pStyle w:val="21"/>
              <w:spacing w:before="134" w:line="318" w:lineRule="auto"/>
              <w:ind w:left="72" w:firstLine="9"/>
              <w:rPr>
                <w:rFonts w:hint="eastAsia" w:asciiTheme="minorEastAsia" w:hAnsiTheme="minorEastAsia" w:eastAsiaTheme="minorEastAsia" w:cstheme="minorEastAsia"/>
                <w:color w:val="auto"/>
                <w:spacing w:val="-11"/>
              </w:rPr>
            </w:pPr>
            <w:r>
              <w:rPr>
                <w:rFonts w:hint="eastAsia" w:asciiTheme="minorEastAsia" w:hAnsiTheme="minorEastAsia" w:eastAsiaTheme="minorEastAsia" w:cstheme="minorEastAsia"/>
                <w:color w:val="auto"/>
                <w:spacing w:val="-11"/>
              </w:rPr>
              <w:t>2、履约保证金不足额缴纳的，或者金融、担保机构出具的保函额度不足的或者保函有效期低于合同履行期限（即签订采购合同之日起至履行完合同约定的权利及义务之日止）的，不予签订合同。</w:t>
            </w:r>
          </w:p>
          <w:p w14:paraId="6D046372">
            <w:pPr>
              <w:pStyle w:val="21"/>
              <w:spacing w:before="134" w:line="318" w:lineRule="auto"/>
              <w:ind w:left="72" w:firstLine="9"/>
              <w:rPr>
                <w:rFonts w:hint="eastAsia" w:asciiTheme="minorEastAsia" w:hAnsiTheme="minorEastAsia" w:eastAsiaTheme="minorEastAsia" w:cstheme="minorEastAsia"/>
                <w:color w:val="auto"/>
                <w:spacing w:val="-11"/>
              </w:rPr>
            </w:pPr>
            <w:r>
              <w:rPr>
                <w:rFonts w:hint="eastAsia" w:asciiTheme="minorEastAsia" w:hAnsiTheme="minorEastAsia" w:eastAsiaTheme="minorEastAsia" w:cstheme="minorEastAsia"/>
                <w:color w:val="auto"/>
                <w:spacing w:val="-11"/>
              </w:rPr>
              <w:t>3、采用金融、担保机构出具的保函的，必须为无条件保函，否则不予签订合同。</w:t>
            </w:r>
          </w:p>
          <w:p w14:paraId="16B63056">
            <w:pPr>
              <w:pStyle w:val="21"/>
              <w:spacing w:before="134" w:line="318" w:lineRule="auto"/>
              <w:ind w:left="72" w:firstLine="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1"/>
              </w:rPr>
              <w:t>4、供应商为联合体的，由联合体任意一方按规定提交的履约保证金，视为有效履约保证金。</w:t>
            </w:r>
          </w:p>
        </w:tc>
      </w:tr>
      <w:tr w14:paraId="5B673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14" w:type="dxa"/>
            <w:vAlign w:val="top"/>
          </w:tcPr>
          <w:p w14:paraId="4F7F97AA">
            <w:pPr>
              <w:spacing w:line="284" w:lineRule="auto"/>
              <w:rPr>
                <w:rFonts w:hint="eastAsia" w:asciiTheme="minorEastAsia" w:hAnsiTheme="minorEastAsia" w:eastAsiaTheme="minorEastAsia" w:cstheme="minorEastAsia"/>
                <w:color w:val="auto"/>
                <w:sz w:val="21"/>
              </w:rPr>
            </w:pPr>
          </w:p>
          <w:p w14:paraId="1A1CEB31">
            <w:pPr>
              <w:spacing w:line="284" w:lineRule="auto"/>
              <w:rPr>
                <w:rFonts w:hint="eastAsia" w:asciiTheme="minorEastAsia" w:hAnsiTheme="minorEastAsia" w:eastAsiaTheme="minorEastAsia" w:cstheme="minorEastAsia"/>
                <w:color w:val="auto"/>
                <w:sz w:val="21"/>
              </w:rPr>
            </w:pPr>
          </w:p>
          <w:p w14:paraId="76CF283E">
            <w:pPr>
              <w:spacing w:line="284" w:lineRule="auto"/>
              <w:rPr>
                <w:rFonts w:hint="eastAsia" w:asciiTheme="minorEastAsia" w:hAnsiTheme="minorEastAsia" w:eastAsiaTheme="minorEastAsia" w:cstheme="minorEastAsia"/>
                <w:color w:val="auto"/>
                <w:sz w:val="21"/>
              </w:rPr>
            </w:pPr>
          </w:p>
          <w:p w14:paraId="56F90E7E">
            <w:pPr>
              <w:pStyle w:val="21"/>
              <w:spacing w:before="71" w:line="239" w:lineRule="auto"/>
              <w:ind w:left="6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36.1</w:t>
            </w:r>
          </w:p>
        </w:tc>
        <w:tc>
          <w:tcPr>
            <w:tcW w:w="2138" w:type="dxa"/>
            <w:vAlign w:val="top"/>
          </w:tcPr>
          <w:p w14:paraId="4255BBF9">
            <w:pPr>
              <w:spacing w:line="276" w:lineRule="auto"/>
              <w:rPr>
                <w:rFonts w:hint="eastAsia" w:asciiTheme="minorEastAsia" w:hAnsiTheme="minorEastAsia" w:eastAsiaTheme="minorEastAsia" w:cstheme="minorEastAsia"/>
                <w:color w:val="auto"/>
                <w:sz w:val="21"/>
              </w:rPr>
            </w:pPr>
          </w:p>
          <w:p w14:paraId="23ECC6C9">
            <w:pPr>
              <w:spacing w:line="276" w:lineRule="auto"/>
              <w:rPr>
                <w:rFonts w:hint="eastAsia" w:asciiTheme="minorEastAsia" w:hAnsiTheme="minorEastAsia" w:eastAsiaTheme="minorEastAsia" w:cstheme="minorEastAsia"/>
                <w:color w:val="auto"/>
                <w:sz w:val="21"/>
              </w:rPr>
            </w:pPr>
          </w:p>
          <w:p w14:paraId="1313582F">
            <w:pPr>
              <w:spacing w:line="277" w:lineRule="auto"/>
              <w:rPr>
                <w:rFonts w:hint="eastAsia" w:asciiTheme="minorEastAsia" w:hAnsiTheme="minorEastAsia" w:eastAsiaTheme="minorEastAsia" w:cstheme="minorEastAsia"/>
                <w:color w:val="auto"/>
                <w:sz w:val="21"/>
              </w:rPr>
            </w:pPr>
          </w:p>
          <w:p w14:paraId="2AF9DAC8">
            <w:pPr>
              <w:pStyle w:val="21"/>
              <w:spacing w:before="71" w:line="219" w:lineRule="auto"/>
              <w:ind w:left="7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rPr>
              <w:t>签订合同携带的材料</w:t>
            </w:r>
          </w:p>
        </w:tc>
        <w:tc>
          <w:tcPr>
            <w:tcW w:w="7306" w:type="dxa"/>
            <w:vAlign w:val="top"/>
          </w:tcPr>
          <w:p w14:paraId="43735239">
            <w:pPr>
              <w:pStyle w:val="21"/>
              <w:spacing w:before="105" w:line="219" w:lineRule="auto"/>
              <w:ind w:left="8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rPr>
              <w:t>签订合同携带的证明材料：</w:t>
            </w:r>
          </w:p>
          <w:p w14:paraId="2843A732">
            <w:pPr>
              <w:pStyle w:val="21"/>
              <w:spacing w:before="139" w:line="336" w:lineRule="auto"/>
              <w:ind w:left="81" w:hanging="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委托代理人负责签订合同的，须携带有效的法定代表人(负责人)授权委托书</w:t>
            </w:r>
            <w:r>
              <w:rPr>
                <w:rFonts w:hint="eastAsia" w:asciiTheme="minorEastAsia" w:hAnsiTheme="minorEastAsia" w:eastAsiaTheme="minorEastAsia" w:cstheme="minorEastAsia"/>
                <w:color w:val="auto"/>
                <w:spacing w:val="1"/>
              </w:rPr>
              <w:t xml:space="preserve"> </w:t>
            </w:r>
            <w:r>
              <w:rPr>
                <w:rFonts w:hint="eastAsia" w:asciiTheme="minorEastAsia" w:hAnsiTheme="minorEastAsia" w:eastAsiaTheme="minorEastAsia" w:cstheme="minorEastAsia"/>
                <w:color w:val="auto"/>
                <w:spacing w:val="-1"/>
              </w:rPr>
              <w:t>及其委托代理人身份证原件等其他资格证件。</w:t>
            </w:r>
          </w:p>
          <w:p w14:paraId="40860E54">
            <w:pPr>
              <w:pStyle w:val="21"/>
              <w:spacing w:line="290" w:lineRule="auto"/>
              <w:ind w:left="81" w:right="173" w:hanging="1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法定代表人(负责人)负责签订合同的，须携带法定</w:t>
            </w:r>
            <w:r>
              <w:rPr>
                <w:rFonts w:hint="eastAsia" w:asciiTheme="minorEastAsia" w:hAnsiTheme="minorEastAsia" w:eastAsiaTheme="minorEastAsia" w:cstheme="minorEastAsia"/>
                <w:color w:val="auto"/>
                <w:spacing w:val="-1"/>
              </w:rPr>
              <w:t>代表人(负责人)身份证</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spacing w:val="-1"/>
              </w:rPr>
              <w:t>明原件及身份证原件等其他证明材料。</w:t>
            </w:r>
          </w:p>
        </w:tc>
      </w:tr>
      <w:tr w14:paraId="05222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14" w:type="dxa"/>
            <w:vMerge w:val="restart"/>
            <w:tcBorders>
              <w:bottom w:val="nil"/>
            </w:tcBorders>
            <w:vAlign w:val="top"/>
          </w:tcPr>
          <w:p w14:paraId="110B1810">
            <w:pPr>
              <w:spacing w:line="386" w:lineRule="auto"/>
              <w:rPr>
                <w:rFonts w:hint="eastAsia" w:asciiTheme="minorEastAsia" w:hAnsiTheme="minorEastAsia" w:eastAsiaTheme="minorEastAsia" w:cstheme="minorEastAsia"/>
                <w:color w:val="auto"/>
                <w:sz w:val="21"/>
              </w:rPr>
            </w:pPr>
          </w:p>
          <w:p w14:paraId="4639FEDF">
            <w:pPr>
              <w:pStyle w:val="21"/>
              <w:spacing w:before="72" w:line="239" w:lineRule="auto"/>
              <w:ind w:left="6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38.2.</w:t>
            </w:r>
          </w:p>
          <w:p w14:paraId="781CE9C5">
            <w:pPr>
              <w:pStyle w:val="21"/>
              <w:spacing w:before="125" w:line="241" w:lineRule="auto"/>
              <w:ind w:left="6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p>
        </w:tc>
        <w:tc>
          <w:tcPr>
            <w:tcW w:w="2138" w:type="dxa"/>
            <w:vAlign w:val="top"/>
          </w:tcPr>
          <w:p w14:paraId="5B188F7F">
            <w:pPr>
              <w:pStyle w:val="21"/>
              <w:spacing w:before="199" w:line="219" w:lineRule="auto"/>
              <w:ind w:left="29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rPr>
              <w:t>接收质疑函方式</w:t>
            </w:r>
          </w:p>
        </w:tc>
        <w:tc>
          <w:tcPr>
            <w:tcW w:w="7306" w:type="dxa"/>
            <w:vAlign w:val="top"/>
          </w:tcPr>
          <w:p w14:paraId="2E76D1FB">
            <w:pPr>
              <w:pStyle w:val="21"/>
              <w:spacing w:before="197" w:line="219" w:lineRule="auto"/>
              <w:ind w:left="8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rPr>
              <w:t>以书面形式</w:t>
            </w:r>
          </w:p>
        </w:tc>
      </w:tr>
      <w:tr w14:paraId="4DB93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14" w:type="dxa"/>
            <w:vMerge w:val="continue"/>
            <w:tcBorders>
              <w:top w:val="nil"/>
            </w:tcBorders>
            <w:vAlign w:val="top"/>
          </w:tcPr>
          <w:p w14:paraId="411FBA27">
            <w:pPr>
              <w:rPr>
                <w:rFonts w:hint="eastAsia" w:asciiTheme="minorEastAsia" w:hAnsiTheme="minorEastAsia" w:eastAsiaTheme="minorEastAsia" w:cstheme="minorEastAsia"/>
                <w:color w:val="auto"/>
                <w:sz w:val="21"/>
              </w:rPr>
            </w:pPr>
          </w:p>
        </w:tc>
        <w:tc>
          <w:tcPr>
            <w:tcW w:w="2138" w:type="dxa"/>
            <w:vAlign w:val="top"/>
          </w:tcPr>
          <w:p w14:paraId="2D67F242">
            <w:pPr>
              <w:pStyle w:val="21"/>
              <w:spacing w:before="108" w:line="275" w:lineRule="auto"/>
              <w:ind w:left="840" w:right="56" w:hanging="76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质疑联系部门及联系</w:t>
            </w:r>
            <w:r>
              <w:rPr>
                <w:rFonts w:hint="eastAsia" w:asciiTheme="minorEastAsia" w:hAnsiTheme="minorEastAsia" w:eastAsiaTheme="minorEastAsia" w:cstheme="minorEastAsia"/>
                <w:color w:val="auto"/>
                <w:spacing w:val="1"/>
              </w:rPr>
              <w:t xml:space="preserve"> </w:t>
            </w:r>
            <w:r>
              <w:rPr>
                <w:rFonts w:hint="eastAsia" w:asciiTheme="minorEastAsia" w:hAnsiTheme="minorEastAsia" w:eastAsiaTheme="minorEastAsia" w:cstheme="minorEastAsia"/>
                <w:color w:val="auto"/>
                <w:spacing w:val="-3"/>
              </w:rPr>
              <w:t>方式</w:t>
            </w:r>
          </w:p>
        </w:tc>
        <w:tc>
          <w:tcPr>
            <w:tcW w:w="7306" w:type="dxa"/>
            <w:vAlign w:val="top"/>
          </w:tcPr>
          <w:p w14:paraId="4F839633">
            <w:pPr>
              <w:pStyle w:val="21"/>
              <w:spacing w:before="107" w:line="219" w:lineRule="auto"/>
              <w:ind w:left="8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(1)名称：</w:t>
            </w:r>
            <w:r>
              <w:rPr>
                <w:rFonts w:hint="eastAsia" w:asciiTheme="minorEastAsia" w:hAnsiTheme="minorEastAsia" w:eastAsiaTheme="minorEastAsia" w:cstheme="minorEastAsia"/>
                <w:color w:val="auto"/>
                <w:spacing w:val="2"/>
                <w:lang w:eastAsia="zh-CN"/>
              </w:rPr>
              <w:t>广西雅长兰科植物国家级自然保护区管理中心</w:t>
            </w:r>
            <w:r>
              <w:rPr>
                <w:rFonts w:hint="eastAsia" w:asciiTheme="minorEastAsia" w:hAnsiTheme="minorEastAsia" w:eastAsiaTheme="minorEastAsia" w:cstheme="minorEastAsia"/>
                <w:color w:val="auto"/>
                <w:spacing w:val="2"/>
              </w:rPr>
              <w:t>(采购人)</w:t>
            </w:r>
          </w:p>
          <w:p w14:paraId="23BEC14A">
            <w:pPr>
              <w:pStyle w:val="21"/>
              <w:spacing w:before="172" w:line="187" w:lineRule="auto"/>
              <w:ind w:left="8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联系电话：0776-6230366</w:t>
            </w:r>
          </w:p>
        </w:tc>
      </w:tr>
      <w:tr w14:paraId="21CB3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14" w:type="dxa"/>
            <w:vMerge w:val="restart"/>
            <w:tcBorders>
              <w:bottom w:val="nil"/>
            </w:tcBorders>
            <w:vAlign w:val="top"/>
          </w:tcPr>
          <w:p w14:paraId="4110CFFD">
            <w:pPr>
              <w:rPr>
                <w:rFonts w:hint="eastAsia" w:asciiTheme="minorEastAsia" w:hAnsiTheme="minorEastAsia" w:eastAsiaTheme="minorEastAsia" w:cstheme="minorEastAsia"/>
                <w:color w:val="auto"/>
                <w:sz w:val="21"/>
              </w:rPr>
            </w:pPr>
          </w:p>
        </w:tc>
        <w:tc>
          <w:tcPr>
            <w:tcW w:w="2138" w:type="dxa"/>
            <w:vAlign w:val="top"/>
          </w:tcPr>
          <w:p w14:paraId="665364A3">
            <w:pPr>
              <w:rPr>
                <w:rFonts w:hint="eastAsia" w:asciiTheme="minorEastAsia" w:hAnsiTheme="minorEastAsia" w:eastAsiaTheme="minorEastAsia" w:cstheme="minorEastAsia"/>
                <w:color w:val="auto"/>
                <w:sz w:val="21"/>
              </w:rPr>
            </w:pPr>
          </w:p>
        </w:tc>
        <w:tc>
          <w:tcPr>
            <w:tcW w:w="7306" w:type="dxa"/>
            <w:vAlign w:val="top"/>
          </w:tcPr>
          <w:p w14:paraId="137ED9F3">
            <w:pPr>
              <w:pStyle w:val="21"/>
              <w:spacing w:before="112" w:line="219" w:lineRule="auto"/>
              <w:ind w:left="8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通讯地址：</w:t>
            </w:r>
            <w:r>
              <w:rPr>
                <w:rFonts w:hint="eastAsia" w:asciiTheme="minorEastAsia" w:hAnsiTheme="minorEastAsia" w:eastAsiaTheme="minorEastAsia" w:cstheme="minorEastAsia"/>
                <w:color w:val="auto"/>
                <w:lang w:eastAsia="zh-CN"/>
              </w:rPr>
              <w:t>南宁市青秀区民族大道192号鑫隆国际商业中心1号楼20层2001-2009</w:t>
            </w:r>
          </w:p>
          <w:p w14:paraId="07CC8210">
            <w:pPr>
              <w:pStyle w:val="21"/>
              <w:spacing w:before="159" w:line="219" w:lineRule="auto"/>
              <w:ind w:left="8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(2)名称：</w:t>
            </w:r>
            <w:r>
              <w:rPr>
                <w:rFonts w:hint="eastAsia" w:asciiTheme="minorEastAsia" w:hAnsiTheme="minorEastAsia" w:eastAsiaTheme="minorEastAsia" w:cstheme="minorEastAsia"/>
                <w:color w:val="auto"/>
                <w:spacing w:val="2"/>
                <w:lang w:eastAsia="zh-CN"/>
              </w:rPr>
              <w:t>广西合士嘉项目咨询有限公司</w:t>
            </w:r>
            <w:r>
              <w:rPr>
                <w:rFonts w:hint="eastAsia" w:asciiTheme="minorEastAsia" w:hAnsiTheme="minorEastAsia" w:eastAsiaTheme="minorEastAsia" w:cstheme="minorEastAsia"/>
                <w:color w:val="auto"/>
                <w:spacing w:val="2"/>
              </w:rPr>
              <w:t>(采购</w:t>
            </w:r>
            <w:r>
              <w:rPr>
                <w:rFonts w:hint="eastAsia" w:asciiTheme="minorEastAsia" w:hAnsiTheme="minorEastAsia" w:eastAsiaTheme="minorEastAsia" w:cstheme="minorEastAsia"/>
                <w:color w:val="auto"/>
                <w:spacing w:val="1"/>
              </w:rPr>
              <w:t>代理机构)</w:t>
            </w:r>
          </w:p>
          <w:p w14:paraId="4D6B8E5D">
            <w:pPr>
              <w:pStyle w:val="21"/>
              <w:spacing w:before="133" w:line="221" w:lineRule="auto"/>
              <w:ind w:left="82"/>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联系电话：</w:t>
            </w:r>
            <w:r>
              <w:rPr>
                <w:rFonts w:hint="eastAsia" w:asciiTheme="minorEastAsia" w:hAnsiTheme="minorEastAsia" w:eastAsiaTheme="minorEastAsia" w:cstheme="minorEastAsia"/>
                <w:color w:val="auto"/>
                <w:lang w:eastAsia="zh-CN"/>
              </w:rPr>
              <w:t>0771-5585523</w:t>
            </w:r>
          </w:p>
          <w:p w14:paraId="41CE1F4D">
            <w:pPr>
              <w:pStyle w:val="21"/>
              <w:spacing w:before="113" w:line="219" w:lineRule="auto"/>
              <w:ind w:left="82"/>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rPr>
              <w:t>通讯地址：</w:t>
            </w:r>
            <w:r>
              <w:rPr>
                <w:rFonts w:hint="eastAsia" w:asciiTheme="minorEastAsia" w:hAnsiTheme="minorEastAsia" w:eastAsiaTheme="minorEastAsia" w:cstheme="minorEastAsia"/>
                <w:color w:val="auto"/>
                <w:lang w:eastAsia="zh-CN"/>
              </w:rPr>
              <w:t>南宁市青秀区民族大道192号鑫隆国际商业中心1号楼20层2001-2009</w:t>
            </w:r>
          </w:p>
        </w:tc>
      </w:tr>
      <w:tr w14:paraId="590B5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14" w:type="dxa"/>
            <w:vMerge w:val="continue"/>
            <w:tcBorders>
              <w:top w:val="nil"/>
            </w:tcBorders>
            <w:vAlign w:val="top"/>
          </w:tcPr>
          <w:p w14:paraId="2F2876C4">
            <w:pPr>
              <w:rPr>
                <w:rFonts w:hint="eastAsia" w:asciiTheme="minorEastAsia" w:hAnsiTheme="minorEastAsia" w:eastAsiaTheme="minorEastAsia" w:cstheme="minorEastAsia"/>
                <w:color w:val="auto"/>
                <w:sz w:val="21"/>
              </w:rPr>
            </w:pPr>
          </w:p>
        </w:tc>
        <w:tc>
          <w:tcPr>
            <w:tcW w:w="2138" w:type="dxa"/>
            <w:vAlign w:val="top"/>
          </w:tcPr>
          <w:p w14:paraId="75184587">
            <w:pPr>
              <w:pStyle w:val="21"/>
              <w:spacing w:before="148" w:line="277" w:lineRule="auto"/>
              <w:ind w:left="720" w:right="87" w:hanging="65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现场提交质疑办理业</w:t>
            </w:r>
            <w:r>
              <w:rPr>
                <w:rFonts w:hint="eastAsia" w:asciiTheme="minorEastAsia" w:hAnsiTheme="minorEastAsia" w:eastAsiaTheme="minorEastAsia" w:cstheme="minorEastAsia"/>
                <w:color w:val="auto"/>
                <w:spacing w:val="6"/>
              </w:rPr>
              <w:t xml:space="preserve"> </w:t>
            </w:r>
            <w:r>
              <w:rPr>
                <w:rFonts w:hint="eastAsia" w:asciiTheme="minorEastAsia" w:hAnsiTheme="minorEastAsia" w:eastAsiaTheme="minorEastAsia" w:cstheme="minorEastAsia"/>
                <w:color w:val="auto"/>
                <w:spacing w:val="7"/>
              </w:rPr>
              <w:t>务时间</w:t>
            </w:r>
          </w:p>
        </w:tc>
        <w:tc>
          <w:tcPr>
            <w:tcW w:w="7306" w:type="dxa"/>
            <w:vAlign w:val="top"/>
          </w:tcPr>
          <w:p w14:paraId="238DC427">
            <w:pPr>
              <w:pStyle w:val="21"/>
              <w:spacing w:before="129" w:line="285" w:lineRule="auto"/>
              <w:ind w:left="82" w:right="71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质疑期内每个工作日(北京时间)上午8时00分到12时00分，下午15时</w:t>
            </w:r>
            <w:r>
              <w:rPr>
                <w:rFonts w:hint="eastAsia" w:asciiTheme="minorEastAsia" w:hAnsiTheme="minorEastAsia" w:eastAsiaTheme="minorEastAsia" w:cstheme="minorEastAsia"/>
                <w:color w:val="auto"/>
                <w:spacing w:val="11"/>
              </w:rPr>
              <w:t xml:space="preserve"> </w:t>
            </w:r>
            <w:r>
              <w:rPr>
                <w:rFonts w:hint="eastAsia" w:asciiTheme="minorEastAsia" w:hAnsiTheme="minorEastAsia" w:eastAsiaTheme="minorEastAsia" w:cstheme="minorEastAsia"/>
                <w:color w:val="auto"/>
                <w:spacing w:val="-1"/>
              </w:rPr>
              <w:t>00分到18时00分。</w:t>
            </w:r>
          </w:p>
        </w:tc>
      </w:tr>
      <w:tr w14:paraId="584CD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14" w:type="dxa"/>
            <w:vAlign w:val="top"/>
          </w:tcPr>
          <w:p w14:paraId="4CF5B163">
            <w:pPr>
              <w:spacing w:line="328" w:lineRule="auto"/>
              <w:rPr>
                <w:rFonts w:hint="eastAsia" w:asciiTheme="minorEastAsia" w:hAnsiTheme="minorEastAsia" w:eastAsiaTheme="minorEastAsia" w:cstheme="minorEastAsia"/>
                <w:color w:val="auto"/>
                <w:sz w:val="21"/>
              </w:rPr>
            </w:pPr>
          </w:p>
          <w:p w14:paraId="3B99BD17">
            <w:pPr>
              <w:spacing w:line="329" w:lineRule="auto"/>
              <w:rPr>
                <w:rFonts w:hint="eastAsia" w:asciiTheme="minorEastAsia" w:hAnsiTheme="minorEastAsia" w:eastAsiaTheme="minorEastAsia" w:cstheme="minorEastAsia"/>
                <w:color w:val="auto"/>
                <w:sz w:val="21"/>
              </w:rPr>
            </w:pPr>
          </w:p>
          <w:p w14:paraId="19FAACAC">
            <w:pPr>
              <w:pStyle w:val="21"/>
              <w:spacing w:before="71" w:line="239" w:lineRule="auto"/>
              <w:ind w:left="6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38.3.</w:t>
            </w:r>
          </w:p>
          <w:p w14:paraId="435EC3E8">
            <w:pPr>
              <w:pStyle w:val="21"/>
              <w:spacing w:before="115" w:line="241" w:lineRule="auto"/>
              <w:ind w:left="6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p>
        </w:tc>
        <w:tc>
          <w:tcPr>
            <w:tcW w:w="2138" w:type="dxa"/>
            <w:vAlign w:val="top"/>
          </w:tcPr>
          <w:p w14:paraId="25341FB9">
            <w:pPr>
              <w:spacing w:line="268" w:lineRule="auto"/>
              <w:rPr>
                <w:rFonts w:hint="eastAsia" w:asciiTheme="minorEastAsia" w:hAnsiTheme="minorEastAsia" w:eastAsiaTheme="minorEastAsia" w:cstheme="minorEastAsia"/>
                <w:color w:val="auto"/>
                <w:sz w:val="21"/>
              </w:rPr>
            </w:pPr>
          </w:p>
          <w:p w14:paraId="27E2355C">
            <w:pPr>
              <w:spacing w:line="268" w:lineRule="auto"/>
              <w:rPr>
                <w:rFonts w:hint="eastAsia" w:asciiTheme="minorEastAsia" w:hAnsiTheme="minorEastAsia" w:eastAsiaTheme="minorEastAsia" w:cstheme="minorEastAsia"/>
                <w:color w:val="auto"/>
                <w:sz w:val="21"/>
              </w:rPr>
            </w:pPr>
          </w:p>
          <w:p w14:paraId="30BDDF80">
            <w:pPr>
              <w:spacing w:line="269" w:lineRule="auto"/>
              <w:rPr>
                <w:rFonts w:hint="eastAsia" w:asciiTheme="minorEastAsia" w:hAnsiTheme="minorEastAsia" w:eastAsiaTheme="minorEastAsia" w:cstheme="minorEastAsia"/>
                <w:color w:val="auto"/>
                <w:sz w:val="21"/>
              </w:rPr>
            </w:pPr>
          </w:p>
          <w:p w14:paraId="17F5477B">
            <w:pPr>
              <w:pStyle w:val="21"/>
              <w:spacing w:before="71" w:line="220" w:lineRule="auto"/>
              <w:ind w:left="39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投诉受理方式</w:t>
            </w:r>
          </w:p>
        </w:tc>
        <w:tc>
          <w:tcPr>
            <w:tcW w:w="7306" w:type="dxa"/>
            <w:vAlign w:val="top"/>
          </w:tcPr>
          <w:p w14:paraId="619D427D">
            <w:pPr>
              <w:pStyle w:val="21"/>
              <w:spacing w:before="99" w:line="219" w:lineRule="auto"/>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1.受理方式：纸质方式受理，投诉书正、副本(经过质疑的事项才可投诉)。</w:t>
            </w:r>
          </w:p>
          <w:p w14:paraId="77B7A16A">
            <w:pPr>
              <w:pStyle w:val="21"/>
              <w:spacing w:before="151" w:line="221" w:lineRule="auto"/>
              <w:ind w:left="8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2.通讯方式</w:t>
            </w:r>
          </w:p>
          <w:p w14:paraId="4BF1DCDA">
            <w:pPr>
              <w:pStyle w:val="21"/>
              <w:spacing w:before="144" w:line="219" w:lineRule="auto"/>
              <w:ind w:left="82"/>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spacing w:val="2"/>
              </w:rPr>
              <w:t>名称：</w:t>
            </w:r>
            <w:r>
              <w:rPr>
                <w:rFonts w:hint="eastAsia" w:asciiTheme="minorEastAsia" w:hAnsiTheme="minorEastAsia" w:eastAsiaTheme="minorEastAsia" w:cstheme="minorEastAsia"/>
                <w:color w:val="auto"/>
                <w:spacing w:val="2"/>
                <w:lang w:val="en-US" w:eastAsia="zh-CN"/>
              </w:rPr>
              <w:t>广西壮族自治区政府采购监督管理处</w:t>
            </w:r>
          </w:p>
          <w:p w14:paraId="6C4B9765">
            <w:pPr>
              <w:pStyle w:val="21"/>
              <w:spacing w:before="139" w:line="219" w:lineRule="auto"/>
              <w:ind w:left="82"/>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rPr>
              <w:t>地址：</w:t>
            </w:r>
            <w:r>
              <w:rPr>
                <w:rFonts w:hint="eastAsia" w:asciiTheme="minorEastAsia" w:hAnsiTheme="minorEastAsia" w:eastAsiaTheme="minorEastAsia" w:cstheme="minorEastAsia"/>
                <w:color w:val="auto"/>
                <w:lang w:val="en-US" w:eastAsia="zh-CN"/>
              </w:rPr>
              <w:t>广西南宁市桃源路69号</w:t>
            </w:r>
          </w:p>
          <w:p w14:paraId="08E2D8F7">
            <w:pPr>
              <w:pStyle w:val="21"/>
              <w:spacing w:before="132" w:line="215" w:lineRule="auto"/>
              <w:ind w:left="82"/>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rPr>
              <w:t>联系电话：</w:t>
            </w:r>
            <w:r>
              <w:rPr>
                <w:rFonts w:hint="eastAsia" w:asciiTheme="minorEastAsia" w:hAnsiTheme="minorEastAsia" w:eastAsiaTheme="minorEastAsia" w:cstheme="minorEastAsia"/>
                <w:color w:val="auto"/>
                <w:lang w:val="en-US" w:eastAsia="zh-CN"/>
              </w:rPr>
              <w:t>0771-5531544</w:t>
            </w:r>
          </w:p>
        </w:tc>
      </w:tr>
      <w:tr w14:paraId="0E6DD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14" w:type="dxa"/>
            <w:vMerge w:val="restart"/>
            <w:tcBorders>
              <w:bottom w:val="nil"/>
            </w:tcBorders>
            <w:vAlign w:val="top"/>
          </w:tcPr>
          <w:p w14:paraId="371B6010">
            <w:pPr>
              <w:spacing w:line="241" w:lineRule="auto"/>
              <w:rPr>
                <w:rFonts w:hint="eastAsia" w:asciiTheme="minorEastAsia" w:hAnsiTheme="minorEastAsia" w:eastAsiaTheme="minorEastAsia" w:cstheme="minorEastAsia"/>
                <w:color w:val="auto"/>
                <w:sz w:val="21"/>
              </w:rPr>
            </w:pPr>
          </w:p>
          <w:p w14:paraId="6A8DF879">
            <w:pPr>
              <w:spacing w:line="241" w:lineRule="auto"/>
              <w:rPr>
                <w:rFonts w:hint="eastAsia" w:asciiTheme="minorEastAsia" w:hAnsiTheme="minorEastAsia" w:eastAsiaTheme="minorEastAsia" w:cstheme="minorEastAsia"/>
                <w:color w:val="auto"/>
                <w:sz w:val="21"/>
              </w:rPr>
            </w:pPr>
          </w:p>
          <w:p w14:paraId="235DAB18">
            <w:pPr>
              <w:spacing w:line="241" w:lineRule="auto"/>
              <w:rPr>
                <w:rFonts w:hint="eastAsia" w:asciiTheme="minorEastAsia" w:hAnsiTheme="minorEastAsia" w:eastAsiaTheme="minorEastAsia" w:cstheme="minorEastAsia"/>
                <w:color w:val="auto"/>
                <w:sz w:val="21"/>
              </w:rPr>
            </w:pPr>
          </w:p>
          <w:p w14:paraId="55E11E8B">
            <w:pPr>
              <w:spacing w:line="242" w:lineRule="auto"/>
              <w:rPr>
                <w:rFonts w:hint="eastAsia" w:asciiTheme="minorEastAsia" w:hAnsiTheme="minorEastAsia" w:eastAsiaTheme="minorEastAsia" w:cstheme="minorEastAsia"/>
                <w:color w:val="auto"/>
                <w:sz w:val="21"/>
              </w:rPr>
            </w:pPr>
          </w:p>
          <w:p w14:paraId="7A81719E">
            <w:pPr>
              <w:spacing w:line="242" w:lineRule="auto"/>
              <w:rPr>
                <w:rFonts w:hint="eastAsia" w:asciiTheme="minorEastAsia" w:hAnsiTheme="minorEastAsia" w:eastAsiaTheme="minorEastAsia" w:cstheme="minorEastAsia"/>
                <w:color w:val="auto"/>
                <w:sz w:val="21"/>
              </w:rPr>
            </w:pPr>
          </w:p>
          <w:p w14:paraId="1179F3D2">
            <w:pPr>
              <w:spacing w:line="242" w:lineRule="auto"/>
              <w:rPr>
                <w:rFonts w:hint="eastAsia" w:asciiTheme="minorEastAsia" w:hAnsiTheme="minorEastAsia" w:eastAsiaTheme="minorEastAsia" w:cstheme="minorEastAsia"/>
                <w:color w:val="auto"/>
                <w:sz w:val="21"/>
              </w:rPr>
            </w:pPr>
          </w:p>
          <w:p w14:paraId="59C5F953">
            <w:pPr>
              <w:spacing w:line="242" w:lineRule="auto"/>
              <w:rPr>
                <w:rFonts w:hint="eastAsia" w:asciiTheme="minorEastAsia" w:hAnsiTheme="minorEastAsia" w:eastAsiaTheme="minorEastAsia" w:cstheme="minorEastAsia"/>
                <w:color w:val="auto"/>
                <w:sz w:val="21"/>
              </w:rPr>
            </w:pPr>
          </w:p>
          <w:p w14:paraId="44EDFD50">
            <w:pPr>
              <w:spacing w:line="242" w:lineRule="auto"/>
              <w:rPr>
                <w:rFonts w:hint="eastAsia" w:asciiTheme="minorEastAsia" w:hAnsiTheme="minorEastAsia" w:eastAsiaTheme="minorEastAsia" w:cstheme="minorEastAsia"/>
                <w:color w:val="auto"/>
                <w:sz w:val="21"/>
              </w:rPr>
            </w:pPr>
          </w:p>
          <w:p w14:paraId="551870E2">
            <w:pPr>
              <w:spacing w:line="242" w:lineRule="auto"/>
              <w:rPr>
                <w:rFonts w:hint="eastAsia" w:asciiTheme="minorEastAsia" w:hAnsiTheme="minorEastAsia" w:eastAsiaTheme="minorEastAsia" w:cstheme="minorEastAsia"/>
                <w:color w:val="auto"/>
                <w:sz w:val="21"/>
              </w:rPr>
            </w:pPr>
          </w:p>
          <w:p w14:paraId="5A57752A">
            <w:pPr>
              <w:spacing w:line="242" w:lineRule="auto"/>
              <w:rPr>
                <w:rFonts w:hint="eastAsia" w:asciiTheme="minorEastAsia" w:hAnsiTheme="minorEastAsia" w:eastAsiaTheme="minorEastAsia" w:cstheme="minorEastAsia"/>
                <w:color w:val="auto"/>
                <w:sz w:val="21"/>
              </w:rPr>
            </w:pPr>
          </w:p>
          <w:p w14:paraId="1B4E4BC2">
            <w:pPr>
              <w:pStyle w:val="21"/>
              <w:spacing w:before="71"/>
              <w:ind w:left="6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40</w:t>
            </w:r>
          </w:p>
        </w:tc>
        <w:tc>
          <w:tcPr>
            <w:tcW w:w="2138" w:type="dxa"/>
            <w:vAlign w:val="top"/>
          </w:tcPr>
          <w:p w14:paraId="1634C1BC">
            <w:pPr>
              <w:spacing w:line="455" w:lineRule="auto"/>
              <w:rPr>
                <w:rFonts w:hint="eastAsia" w:asciiTheme="minorEastAsia" w:hAnsiTheme="minorEastAsia" w:eastAsiaTheme="minorEastAsia" w:cstheme="minorEastAsia"/>
                <w:color w:val="auto"/>
                <w:sz w:val="21"/>
              </w:rPr>
            </w:pPr>
          </w:p>
          <w:p w14:paraId="2E9F8FCC">
            <w:pPr>
              <w:pStyle w:val="21"/>
              <w:spacing w:before="72" w:line="299" w:lineRule="auto"/>
              <w:ind w:left="830" w:right="84" w:hanging="76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rPr>
              <w:t>采购代理服务费支付</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spacing w:val="-3"/>
              </w:rPr>
              <w:t>方式</w:t>
            </w:r>
          </w:p>
        </w:tc>
        <w:tc>
          <w:tcPr>
            <w:tcW w:w="7306" w:type="dxa"/>
            <w:vAlign w:val="top"/>
          </w:tcPr>
          <w:p w14:paraId="75A582B6">
            <w:pPr>
              <w:pStyle w:val="21"/>
              <w:spacing w:before="112" w:line="331" w:lineRule="auto"/>
              <w:ind w:left="82" w:right="1" w:firstLine="2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9"/>
              </w:rPr>
              <w:t>☑本项目采购代理服务费</w:t>
            </w:r>
            <w:r>
              <w:rPr>
                <w:rFonts w:hint="eastAsia" w:asciiTheme="minorEastAsia" w:hAnsiTheme="minorEastAsia" w:eastAsiaTheme="minorEastAsia" w:cstheme="minorEastAsia"/>
                <w:color w:val="auto"/>
                <w:spacing w:val="-9"/>
                <w:u w:val="single" w:color="auto"/>
              </w:rPr>
              <w:t>由中标人</w:t>
            </w:r>
            <w:r>
              <w:rPr>
                <w:rFonts w:hint="eastAsia" w:asciiTheme="minorEastAsia" w:hAnsiTheme="minorEastAsia" w:eastAsiaTheme="minorEastAsia" w:cstheme="minorEastAsia"/>
                <w:color w:val="auto"/>
                <w:spacing w:val="-9"/>
              </w:rPr>
              <w:t>在签订合同前，以银行转账、电汇等方式一</w:t>
            </w:r>
            <w:r>
              <w:rPr>
                <w:rFonts w:hint="eastAsia" w:asciiTheme="minorEastAsia" w:hAnsiTheme="minorEastAsia" w:eastAsiaTheme="minorEastAsia" w:cstheme="minorEastAsia"/>
                <w:color w:val="auto"/>
                <w:spacing w:val="6"/>
              </w:rPr>
              <w:t xml:space="preserve"> </w:t>
            </w:r>
            <w:r>
              <w:rPr>
                <w:rFonts w:hint="eastAsia" w:asciiTheme="minorEastAsia" w:hAnsiTheme="minorEastAsia" w:eastAsiaTheme="minorEastAsia" w:cstheme="minorEastAsia"/>
                <w:color w:val="auto"/>
                <w:spacing w:val="-1"/>
              </w:rPr>
              <w:t>次性向采购代理机构支付。</w:t>
            </w:r>
          </w:p>
          <w:p w14:paraId="30A10B52">
            <w:pPr>
              <w:pStyle w:val="21"/>
              <w:spacing w:line="218" w:lineRule="auto"/>
              <w:ind w:left="8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2"/>
              </w:rPr>
              <w:t>□</w:t>
            </w:r>
            <w:r>
              <w:rPr>
                <w:rFonts w:hint="eastAsia" w:asciiTheme="minorEastAsia" w:hAnsiTheme="minorEastAsia" w:eastAsiaTheme="minorEastAsia" w:cstheme="minorEastAsia"/>
                <w:color w:val="auto"/>
                <w:spacing w:val="-26"/>
              </w:rPr>
              <w:t xml:space="preserve"> </w:t>
            </w:r>
            <w:r>
              <w:rPr>
                <w:rFonts w:hint="eastAsia" w:asciiTheme="minorEastAsia" w:hAnsiTheme="minorEastAsia" w:eastAsiaTheme="minorEastAsia" w:cstheme="minorEastAsia"/>
                <w:color w:val="auto"/>
                <w:spacing w:val="-12"/>
              </w:rPr>
              <w:t>采</w:t>
            </w:r>
            <w:r>
              <w:rPr>
                <w:rFonts w:hint="eastAsia" w:asciiTheme="minorEastAsia" w:hAnsiTheme="minorEastAsia" w:eastAsiaTheme="minorEastAsia" w:cstheme="minorEastAsia"/>
                <w:color w:val="auto"/>
                <w:spacing w:val="-26"/>
              </w:rPr>
              <w:t xml:space="preserve"> </w:t>
            </w:r>
            <w:r>
              <w:rPr>
                <w:rFonts w:hint="eastAsia" w:asciiTheme="minorEastAsia" w:hAnsiTheme="minorEastAsia" w:eastAsiaTheme="minorEastAsia" w:cstheme="minorEastAsia"/>
                <w:color w:val="auto"/>
                <w:spacing w:val="-12"/>
              </w:rPr>
              <w:t>购</w:t>
            </w:r>
            <w:r>
              <w:rPr>
                <w:rFonts w:hint="eastAsia" w:asciiTheme="minorEastAsia" w:hAnsiTheme="minorEastAsia" w:eastAsiaTheme="minorEastAsia" w:cstheme="minorEastAsia"/>
                <w:color w:val="auto"/>
                <w:spacing w:val="-23"/>
              </w:rPr>
              <w:t xml:space="preserve"> </w:t>
            </w:r>
            <w:r>
              <w:rPr>
                <w:rFonts w:hint="eastAsia" w:asciiTheme="minorEastAsia" w:hAnsiTheme="minorEastAsia" w:eastAsiaTheme="minorEastAsia" w:cstheme="minorEastAsia"/>
                <w:color w:val="auto"/>
                <w:spacing w:val="-12"/>
              </w:rPr>
              <w:t>人</w:t>
            </w:r>
            <w:r>
              <w:rPr>
                <w:rFonts w:hint="eastAsia" w:asciiTheme="minorEastAsia" w:hAnsiTheme="minorEastAsia" w:eastAsiaTheme="minorEastAsia" w:cstheme="minorEastAsia"/>
                <w:color w:val="auto"/>
                <w:spacing w:val="-23"/>
              </w:rPr>
              <w:t xml:space="preserve"> </w:t>
            </w:r>
            <w:r>
              <w:rPr>
                <w:rFonts w:hint="eastAsia" w:asciiTheme="minorEastAsia" w:hAnsiTheme="minorEastAsia" w:eastAsiaTheme="minorEastAsia" w:cstheme="minorEastAsia"/>
                <w:color w:val="auto"/>
                <w:spacing w:val="-12"/>
              </w:rPr>
              <w:t>支</w:t>
            </w:r>
            <w:r>
              <w:rPr>
                <w:rFonts w:hint="eastAsia" w:asciiTheme="minorEastAsia" w:hAnsiTheme="minorEastAsia" w:eastAsiaTheme="minorEastAsia" w:cstheme="minorEastAsia"/>
                <w:color w:val="auto"/>
                <w:spacing w:val="-25"/>
              </w:rPr>
              <w:t xml:space="preserve"> </w:t>
            </w:r>
            <w:r>
              <w:rPr>
                <w:rFonts w:hint="eastAsia" w:asciiTheme="minorEastAsia" w:hAnsiTheme="minorEastAsia" w:eastAsiaTheme="minorEastAsia" w:cstheme="minorEastAsia"/>
                <w:color w:val="auto"/>
                <w:spacing w:val="-12"/>
              </w:rPr>
              <w:t>付 ：</w:t>
            </w:r>
            <w:r>
              <w:rPr>
                <w:rFonts w:hint="eastAsia" w:asciiTheme="minorEastAsia" w:hAnsiTheme="minorEastAsia" w:eastAsiaTheme="minorEastAsia" w:cstheme="minorEastAsia"/>
                <w:color w:val="auto"/>
                <w:spacing w:val="71"/>
                <w:u w:val="single" w:color="auto"/>
              </w:rPr>
              <w:t xml:space="preserve"> </w:t>
            </w:r>
            <w:r>
              <w:rPr>
                <w:rFonts w:hint="eastAsia" w:asciiTheme="minorEastAsia" w:hAnsiTheme="minorEastAsia" w:eastAsiaTheme="minorEastAsia" w:cstheme="minorEastAsia"/>
                <w:color w:val="auto"/>
                <w:spacing w:val="-12"/>
                <w:u w:val="single" w:color="auto"/>
              </w:rPr>
              <w:t>。</w:t>
            </w:r>
          </w:p>
          <w:p w14:paraId="25CAA7DC">
            <w:pPr>
              <w:pStyle w:val="21"/>
              <w:spacing w:before="159" w:line="200" w:lineRule="auto"/>
              <w:ind w:left="8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口本项目不收取采购代理服务费。</w:t>
            </w:r>
          </w:p>
        </w:tc>
      </w:tr>
      <w:tr w14:paraId="569DD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14" w:type="dxa"/>
            <w:vMerge w:val="continue"/>
            <w:tcBorders>
              <w:top w:val="nil"/>
              <w:bottom w:val="nil"/>
            </w:tcBorders>
            <w:vAlign w:val="top"/>
          </w:tcPr>
          <w:p w14:paraId="36A77C78">
            <w:pPr>
              <w:rPr>
                <w:rFonts w:hint="eastAsia" w:asciiTheme="minorEastAsia" w:hAnsiTheme="minorEastAsia" w:eastAsiaTheme="minorEastAsia" w:cstheme="minorEastAsia"/>
                <w:color w:val="auto"/>
                <w:sz w:val="21"/>
              </w:rPr>
            </w:pPr>
          </w:p>
        </w:tc>
        <w:tc>
          <w:tcPr>
            <w:tcW w:w="2138" w:type="dxa"/>
            <w:vAlign w:val="top"/>
          </w:tcPr>
          <w:p w14:paraId="37A3804F">
            <w:pPr>
              <w:spacing w:line="271" w:lineRule="auto"/>
              <w:rPr>
                <w:rFonts w:hint="eastAsia" w:asciiTheme="minorEastAsia" w:hAnsiTheme="minorEastAsia" w:eastAsiaTheme="minorEastAsia" w:cstheme="minorEastAsia"/>
                <w:color w:val="auto"/>
                <w:sz w:val="21"/>
              </w:rPr>
            </w:pPr>
          </w:p>
          <w:p w14:paraId="4A1D320C">
            <w:pPr>
              <w:spacing w:line="272" w:lineRule="auto"/>
              <w:rPr>
                <w:rFonts w:hint="eastAsia" w:asciiTheme="minorEastAsia" w:hAnsiTheme="minorEastAsia" w:eastAsiaTheme="minorEastAsia" w:cstheme="minorEastAsia"/>
                <w:color w:val="auto"/>
                <w:sz w:val="21"/>
              </w:rPr>
            </w:pPr>
          </w:p>
          <w:p w14:paraId="1F927AD2">
            <w:pPr>
              <w:spacing w:line="272" w:lineRule="auto"/>
              <w:rPr>
                <w:rFonts w:hint="eastAsia" w:asciiTheme="minorEastAsia" w:hAnsiTheme="minorEastAsia" w:eastAsiaTheme="minorEastAsia" w:cstheme="minorEastAsia"/>
                <w:color w:val="auto"/>
                <w:sz w:val="21"/>
              </w:rPr>
            </w:pPr>
          </w:p>
          <w:p w14:paraId="05DA46A2">
            <w:pPr>
              <w:pStyle w:val="21"/>
              <w:spacing w:before="71" w:line="219" w:lineRule="auto"/>
              <w:ind w:left="6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rPr>
              <w:t>采购代理费收取标准</w:t>
            </w:r>
          </w:p>
        </w:tc>
        <w:tc>
          <w:tcPr>
            <w:tcW w:w="7306" w:type="dxa"/>
            <w:vAlign w:val="top"/>
          </w:tcPr>
          <w:p w14:paraId="4BDA3E2A">
            <w:pPr>
              <w:pStyle w:val="21"/>
              <w:spacing w:before="120" w:line="338" w:lineRule="auto"/>
              <w:ind w:left="82" w:right="153" w:firstLine="1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以项目(</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中标金额/口采购预算/口暂定中标金额/口其他</w:t>
            </w:r>
            <w:r>
              <w:rPr>
                <w:rFonts w:hint="eastAsia" w:asciiTheme="minorEastAsia" w:hAnsiTheme="minorEastAsia" w:eastAsiaTheme="minorEastAsia" w:cstheme="minorEastAsia"/>
                <w:color w:val="auto"/>
                <w:spacing w:val="108"/>
                <w:u w:val="single" w:color="auto"/>
              </w:rPr>
              <w:t xml:space="preserve"> </w:t>
            </w:r>
            <w:r>
              <w:rPr>
                <w:rFonts w:hint="eastAsia" w:asciiTheme="minorEastAsia" w:hAnsiTheme="minorEastAsia" w:eastAsiaTheme="minorEastAsia" w:cstheme="minorEastAsia"/>
                <w:color w:val="auto"/>
              </w:rPr>
              <w:t xml:space="preserve">)为计费额， </w:t>
            </w:r>
            <w:r>
              <w:rPr>
                <w:rFonts w:hint="eastAsia" w:asciiTheme="minorEastAsia" w:hAnsiTheme="minorEastAsia" w:eastAsiaTheme="minorEastAsia" w:cstheme="minorEastAsia"/>
                <w:color w:val="auto"/>
                <w:spacing w:val="-1"/>
              </w:rPr>
              <w:t>按本须知正文第40.2条规定的收费计算标准采用差额定率累进法</w:t>
            </w:r>
            <w:r>
              <w:rPr>
                <w:rFonts w:hint="eastAsia" w:asciiTheme="minorEastAsia" w:hAnsiTheme="minorEastAsia" w:eastAsiaTheme="minorEastAsia" w:cstheme="minorEastAsia"/>
                <w:color w:val="auto"/>
                <w:spacing w:val="14"/>
              </w:rPr>
              <w:t xml:space="preserve"> </w:t>
            </w:r>
            <w:r>
              <w:rPr>
                <w:rFonts w:hint="eastAsia" w:asciiTheme="minorEastAsia" w:hAnsiTheme="minorEastAsia" w:eastAsiaTheme="minorEastAsia" w:cstheme="minorEastAsia"/>
                <w:color w:val="auto"/>
              </w:rPr>
              <w:t>计算出收费基准价格，采购代理收费以(</w:t>
            </w:r>
            <w:r>
              <w:rPr>
                <w:rFonts w:hint="eastAsia" w:asciiTheme="minorEastAsia" w:hAnsiTheme="minorEastAsia" w:eastAsiaTheme="minorEastAsia" w:cstheme="minorEastAsia"/>
                <w:color w:val="auto"/>
                <w:spacing w:val="-9"/>
              </w:rPr>
              <w:t>☑</w:t>
            </w:r>
            <w:r>
              <w:rPr>
                <w:rFonts w:hint="eastAsia" w:asciiTheme="minorEastAsia" w:hAnsiTheme="minorEastAsia" w:eastAsiaTheme="minorEastAsia" w:cstheme="minorEastAsia"/>
                <w:color w:val="auto"/>
              </w:rPr>
              <w:t>收费基准价格</w:t>
            </w:r>
            <w:r>
              <w:rPr>
                <w:rFonts w:hint="eastAsia" w:hAnsi="宋体" w:cs="宋体"/>
                <w:color w:val="auto"/>
                <w:sz w:val="21"/>
                <w:highlight w:val="none"/>
              </w:rPr>
              <w:t>/</w:t>
            </w:r>
            <w:r>
              <w:rPr>
                <w:rFonts w:hint="eastAsia" w:asciiTheme="minorEastAsia" w:hAnsiTheme="minorEastAsia" w:eastAsiaTheme="minorEastAsia" w:cstheme="minorEastAsia"/>
                <w:color w:val="auto"/>
              </w:rPr>
              <w:t>口收费基准价格下</w:t>
            </w:r>
            <w:r>
              <w:rPr>
                <w:rFonts w:hint="eastAsia" w:asciiTheme="minorEastAsia" w:hAnsiTheme="minorEastAsia" w:eastAsiaTheme="minorEastAsia" w:cstheme="minorEastAsia"/>
                <w:color w:val="auto"/>
                <w:spacing w:val="-1"/>
              </w:rPr>
              <w:t>浮</w:t>
            </w:r>
            <w:r>
              <w:rPr>
                <w:rFonts w:hint="eastAsia" w:asciiTheme="minorEastAsia" w:hAnsiTheme="minorEastAsia" w:eastAsiaTheme="minorEastAsia" w:cstheme="minorEastAsia"/>
                <w:color w:val="auto"/>
                <w:spacing w:val="-1"/>
                <w:lang w:val="en-US" w:eastAsia="zh-CN"/>
              </w:rPr>
              <w:t xml:space="preserve"> </w:t>
            </w:r>
            <w:r>
              <w:rPr>
                <w:rFonts w:hint="eastAsia" w:asciiTheme="minorEastAsia" w:hAnsiTheme="minorEastAsia" w:eastAsiaTheme="minorEastAsia" w:cstheme="minorEastAsia"/>
                <w:color w:val="auto"/>
                <w:spacing w:val="-1"/>
                <w:u w:val="none" w:color="auto"/>
                <w:lang w:val="en-US" w:eastAsia="zh-CN"/>
              </w:rPr>
              <w:t xml:space="preserve"> %</w:t>
            </w:r>
            <w:r>
              <w:rPr>
                <w:rFonts w:hint="eastAsia" w:hAnsi="宋体" w:cs="宋体"/>
                <w:color w:val="auto"/>
                <w:sz w:val="21"/>
                <w:highlight w:val="none"/>
              </w:rPr>
              <w:t>/</w:t>
            </w:r>
            <w:r>
              <w:rPr>
                <w:rFonts w:hint="eastAsia" w:asciiTheme="minorEastAsia" w:hAnsiTheme="minorEastAsia" w:eastAsiaTheme="minorEastAsia" w:cstheme="minorEastAsia"/>
                <w:color w:val="auto"/>
                <w:spacing w:val="-1"/>
                <w:u w:val="none" w:color="auto"/>
              </w:rPr>
              <w:t>口收费基准价格上浮</w:t>
            </w:r>
            <w:r>
              <w:rPr>
                <w:rFonts w:hint="eastAsia" w:asciiTheme="minorEastAsia" w:hAnsiTheme="minorEastAsia" w:eastAsiaTheme="minorEastAsia" w:cstheme="minorEastAsia"/>
                <w:color w:val="auto"/>
                <w:spacing w:val="-1"/>
                <w:u w:val="none" w:color="auto"/>
                <w:lang w:val="en-US" w:eastAsia="zh-CN"/>
              </w:rPr>
              <w:t xml:space="preserve"> </w:t>
            </w:r>
            <w:r>
              <w:rPr>
                <w:rFonts w:hint="eastAsia" w:asciiTheme="minorEastAsia" w:hAnsiTheme="minorEastAsia" w:eastAsiaTheme="minorEastAsia" w:cstheme="minorEastAsia"/>
                <w:color w:val="auto"/>
                <w:spacing w:val="-1"/>
                <w:u w:val="none" w:color="auto"/>
              </w:rPr>
              <w:t>%</w:t>
            </w:r>
            <w:r>
              <w:rPr>
                <w:rFonts w:hint="eastAsia" w:asciiTheme="minorEastAsia" w:hAnsiTheme="minorEastAsia" w:eastAsiaTheme="minorEastAsia" w:cstheme="minorEastAsia"/>
                <w:color w:val="auto"/>
                <w:spacing w:val="-1"/>
              </w:rPr>
              <w:t>)收取。</w:t>
            </w:r>
          </w:p>
          <w:p w14:paraId="6E7E8A49">
            <w:pPr>
              <w:pStyle w:val="21"/>
              <w:spacing w:line="181" w:lineRule="auto"/>
              <w:ind w:left="8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rPr>
              <w:t>口固定采购代理收费：</w:t>
            </w:r>
            <w:r>
              <w:rPr>
                <w:rFonts w:hint="eastAsia" w:asciiTheme="minorEastAsia" w:hAnsiTheme="minorEastAsia" w:eastAsiaTheme="minorEastAsia" w:cstheme="minorEastAsia"/>
                <w:color w:val="auto"/>
                <w:spacing w:val="6"/>
              </w:rPr>
              <w:t xml:space="preserve">        </w:t>
            </w:r>
            <w:r>
              <w:rPr>
                <w:rFonts w:hint="eastAsia" w:asciiTheme="minorEastAsia" w:hAnsiTheme="minorEastAsia" w:eastAsiaTheme="minorEastAsia" w:cstheme="minorEastAsia"/>
                <w:color w:val="auto"/>
                <w:spacing w:val="-1"/>
                <w:position w:val="-3"/>
              </w:rPr>
              <w:t>。</w:t>
            </w:r>
          </w:p>
        </w:tc>
      </w:tr>
      <w:tr w14:paraId="36F70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14" w:type="dxa"/>
            <w:vMerge w:val="continue"/>
            <w:tcBorders>
              <w:top w:val="nil"/>
            </w:tcBorders>
            <w:vAlign w:val="top"/>
          </w:tcPr>
          <w:p w14:paraId="4AC149E4">
            <w:pPr>
              <w:rPr>
                <w:rFonts w:hint="eastAsia" w:asciiTheme="minorEastAsia" w:hAnsiTheme="minorEastAsia" w:eastAsiaTheme="minorEastAsia" w:cstheme="minorEastAsia"/>
                <w:color w:val="auto"/>
                <w:sz w:val="21"/>
              </w:rPr>
            </w:pPr>
          </w:p>
        </w:tc>
        <w:tc>
          <w:tcPr>
            <w:tcW w:w="2138" w:type="dxa"/>
            <w:vAlign w:val="top"/>
          </w:tcPr>
          <w:p w14:paraId="0B36DB31">
            <w:pPr>
              <w:spacing w:line="459" w:lineRule="auto"/>
              <w:rPr>
                <w:rFonts w:hint="eastAsia" w:asciiTheme="minorEastAsia" w:hAnsiTheme="minorEastAsia" w:eastAsiaTheme="minorEastAsia" w:cstheme="minorEastAsia"/>
                <w:color w:val="auto"/>
                <w:sz w:val="21"/>
              </w:rPr>
            </w:pPr>
          </w:p>
          <w:p w14:paraId="302FBA02">
            <w:pPr>
              <w:pStyle w:val="21"/>
              <w:spacing w:before="71" w:line="330" w:lineRule="auto"/>
              <w:ind w:left="611" w:right="84" w:hanging="55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rPr>
              <w:t>采购代理服务费收款</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spacing w:val="4"/>
              </w:rPr>
              <w:t>账户信息</w:t>
            </w:r>
          </w:p>
        </w:tc>
        <w:tc>
          <w:tcPr>
            <w:tcW w:w="7306" w:type="dxa"/>
            <w:vAlign w:val="top"/>
          </w:tcPr>
          <w:p w14:paraId="4CE3E87B">
            <w:pPr>
              <w:pStyle w:val="21"/>
              <w:spacing w:before="133" w:line="219" w:lineRule="auto"/>
              <w:ind w:left="8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rPr>
              <w:t>开户名称：广西合士嘉项目咨询有限公司第四分公司</w:t>
            </w:r>
          </w:p>
          <w:p w14:paraId="4C1B86E3">
            <w:pPr>
              <w:pStyle w:val="21"/>
              <w:spacing w:before="130" w:line="219" w:lineRule="auto"/>
              <w:ind w:left="8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开户银行：桂林银行股份有限公司南宁东葛路支行</w:t>
            </w:r>
          </w:p>
          <w:p w14:paraId="65D37C42">
            <w:pPr>
              <w:pStyle w:val="21"/>
              <w:spacing w:before="159" w:line="220" w:lineRule="auto"/>
              <w:ind w:left="8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银行账号：660000019099200017</w:t>
            </w:r>
          </w:p>
        </w:tc>
      </w:tr>
      <w:tr w14:paraId="2158A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14" w:type="dxa"/>
            <w:vAlign w:val="top"/>
          </w:tcPr>
          <w:p w14:paraId="6742F429">
            <w:pPr>
              <w:spacing w:line="246" w:lineRule="auto"/>
              <w:rPr>
                <w:rFonts w:hint="eastAsia" w:asciiTheme="minorEastAsia" w:hAnsiTheme="minorEastAsia" w:eastAsiaTheme="minorEastAsia" w:cstheme="minorEastAsia"/>
                <w:color w:val="auto"/>
                <w:sz w:val="21"/>
              </w:rPr>
            </w:pPr>
          </w:p>
          <w:p w14:paraId="2474BF11">
            <w:pPr>
              <w:spacing w:line="247" w:lineRule="auto"/>
              <w:rPr>
                <w:rFonts w:hint="eastAsia" w:asciiTheme="minorEastAsia" w:hAnsiTheme="minorEastAsia" w:eastAsiaTheme="minorEastAsia" w:cstheme="minorEastAsia"/>
                <w:color w:val="auto"/>
                <w:sz w:val="21"/>
              </w:rPr>
            </w:pPr>
          </w:p>
          <w:p w14:paraId="445B82C7">
            <w:pPr>
              <w:spacing w:line="247" w:lineRule="auto"/>
              <w:rPr>
                <w:rFonts w:hint="eastAsia" w:asciiTheme="minorEastAsia" w:hAnsiTheme="minorEastAsia" w:eastAsiaTheme="minorEastAsia" w:cstheme="minorEastAsia"/>
                <w:color w:val="auto"/>
                <w:sz w:val="21"/>
              </w:rPr>
            </w:pPr>
          </w:p>
          <w:p w14:paraId="0FD26C4B">
            <w:pPr>
              <w:spacing w:line="247" w:lineRule="auto"/>
              <w:rPr>
                <w:rFonts w:hint="eastAsia" w:asciiTheme="minorEastAsia" w:hAnsiTheme="minorEastAsia" w:eastAsiaTheme="minorEastAsia" w:cstheme="minorEastAsia"/>
                <w:color w:val="auto"/>
                <w:sz w:val="21"/>
              </w:rPr>
            </w:pPr>
          </w:p>
          <w:p w14:paraId="4B97516F">
            <w:pPr>
              <w:spacing w:line="247" w:lineRule="auto"/>
              <w:rPr>
                <w:rFonts w:hint="eastAsia" w:asciiTheme="minorEastAsia" w:hAnsiTheme="minorEastAsia" w:eastAsiaTheme="minorEastAsia" w:cstheme="minorEastAsia"/>
                <w:color w:val="auto"/>
                <w:sz w:val="21"/>
              </w:rPr>
            </w:pPr>
          </w:p>
          <w:p w14:paraId="38DA6D03">
            <w:pPr>
              <w:spacing w:line="247" w:lineRule="auto"/>
              <w:rPr>
                <w:rFonts w:hint="eastAsia" w:asciiTheme="minorEastAsia" w:hAnsiTheme="minorEastAsia" w:eastAsiaTheme="minorEastAsia" w:cstheme="minorEastAsia"/>
                <w:color w:val="auto"/>
                <w:sz w:val="21"/>
              </w:rPr>
            </w:pPr>
          </w:p>
          <w:p w14:paraId="0086FC10">
            <w:pPr>
              <w:spacing w:line="247" w:lineRule="auto"/>
              <w:rPr>
                <w:rFonts w:hint="eastAsia" w:asciiTheme="minorEastAsia" w:hAnsiTheme="minorEastAsia" w:eastAsiaTheme="minorEastAsia" w:cstheme="minorEastAsia"/>
                <w:color w:val="auto"/>
                <w:sz w:val="21"/>
              </w:rPr>
            </w:pPr>
          </w:p>
          <w:p w14:paraId="26825B2A">
            <w:pPr>
              <w:spacing w:line="247" w:lineRule="auto"/>
              <w:rPr>
                <w:rFonts w:hint="eastAsia" w:asciiTheme="minorEastAsia" w:hAnsiTheme="minorEastAsia" w:eastAsiaTheme="minorEastAsia" w:cstheme="minorEastAsia"/>
                <w:color w:val="auto"/>
                <w:sz w:val="21"/>
              </w:rPr>
            </w:pPr>
          </w:p>
          <w:p w14:paraId="09455394">
            <w:pPr>
              <w:spacing w:line="247" w:lineRule="auto"/>
              <w:rPr>
                <w:rFonts w:hint="eastAsia" w:asciiTheme="minorEastAsia" w:hAnsiTheme="minorEastAsia" w:eastAsiaTheme="minorEastAsia" w:cstheme="minorEastAsia"/>
                <w:color w:val="auto"/>
                <w:sz w:val="21"/>
              </w:rPr>
            </w:pPr>
          </w:p>
          <w:p w14:paraId="2BF4C00C">
            <w:pPr>
              <w:pStyle w:val="21"/>
              <w:spacing w:before="72" w:line="239" w:lineRule="auto"/>
              <w:ind w:left="6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41.1</w:t>
            </w:r>
          </w:p>
        </w:tc>
        <w:tc>
          <w:tcPr>
            <w:tcW w:w="2138" w:type="dxa"/>
            <w:vAlign w:val="top"/>
          </w:tcPr>
          <w:p w14:paraId="6DB18644">
            <w:pPr>
              <w:spacing w:line="244" w:lineRule="auto"/>
              <w:rPr>
                <w:rFonts w:hint="eastAsia" w:asciiTheme="minorEastAsia" w:hAnsiTheme="minorEastAsia" w:eastAsiaTheme="minorEastAsia" w:cstheme="minorEastAsia"/>
                <w:color w:val="auto"/>
                <w:sz w:val="21"/>
              </w:rPr>
            </w:pPr>
          </w:p>
          <w:p w14:paraId="4862D427">
            <w:pPr>
              <w:spacing w:line="244" w:lineRule="auto"/>
              <w:rPr>
                <w:rFonts w:hint="eastAsia" w:asciiTheme="minorEastAsia" w:hAnsiTheme="minorEastAsia" w:eastAsiaTheme="minorEastAsia" w:cstheme="minorEastAsia"/>
                <w:color w:val="auto"/>
                <w:sz w:val="21"/>
              </w:rPr>
            </w:pPr>
          </w:p>
          <w:p w14:paraId="0E095BD2">
            <w:pPr>
              <w:spacing w:line="244" w:lineRule="auto"/>
              <w:rPr>
                <w:rFonts w:hint="eastAsia" w:asciiTheme="minorEastAsia" w:hAnsiTheme="minorEastAsia" w:eastAsiaTheme="minorEastAsia" w:cstheme="minorEastAsia"/>
                <w:color w:val="auto"/>
                <w:sz w:val="21"/>
              </w:rPr>
            </w:pPr>
          </w:p>
          <w:p w14:paraId="44DB1F9E">
            <w:pPr>
              <w:spacing w:line="244" w:lineRule="auto"/>
              <w:rPr>
                <w:rFonts w:hint="eastAsia" w:asciiTheme="minorEastAsia" w:hAnsiTheme="minorEastAsia" w:eastAsiaTheme="minorEastAsia" w:cstheme="minorEastAsia"/>
                <w:color w:val="auto"/>
                <w:sz w:val="21"/>
              </w:rPr>
            </w:pPr>
          </w:p>
          <w:p w14:paraId="540D24A7">
            <w:pPr>
              <w:spacing w:line="245" w:lineRule="auto"/>
              <w:rPr>
                <w:rFonts w:hint="eastAsia" w:asciiTheme="minorEastAsia" w:hAnsiTheme="minorEastAsia" w:eastAsiaTheme="minorEastAsia" w:cstheme="minorEastAsia"/>
                <w:color w:val="auto"/>
                <w:sz w:val="21"/>
              </w:rPr>
            </w:pPr>
          </w:p>
          <w:p w14:paraId="39C6F801">
            <w:pPr>
              <w:spacing w:line="245" w:lineRule="auto"/>
              <w:rPr>
                <w:rFonts w:hint="eastAsia" w:asciiTheme="minorEastAsia" w:hAnsiTheme="minorEastAsia" w:eastAsiaTheme="minorEastAsia" w:cstheme="minorEastAsia"/>
                <w:color w:val="auto"/>
                <w:sz w:val="21"/>
              </w:rPr>
            </w:pPr>
          </w:p>
          <w:p w14:paraId="7A219A0B">
            <w:pPr>
              <w:spacing w:line="245" w:lineRule="auto"/>
              <w:rPr>
                <w:rFonts w:hint="eastAsia" w:asciiTheme="minorEastAsia" w:hAnsiTheme="minorEastAsia" w:eastAsiaTheme="minorEastAsia" w:cstheme="minorEastAsia"/>
                <w:color w:val="auto"/>
                <w:sz w:val="21"/>
              </w:rPr>
            </w:pPr>
          </w:p>
          <w:p w14:paraId="53F8678E">
            <w:pPr>
              <w:spacing w:line="245" w:lineRule="auto"/>
              <w:rPr>
                <w:rFonts w:hint="eastAsia" w:asciiTheme="minorEastAsia" w:hAnsiTheme="minorEastAsia" w:eastAsiaTheme="minorEastAsia" w:cstheme="minorEastAsia"/>
                <w:color w:val="auto"/>
                <w:sz w:val="21"/>
              </w:rPr>
            </w:pPr>
          </w:p>
          <w:p w14:paraId="0D33FBC0">
            <w:pPr>
              <w:spacing w:line="245" w:lineRule="auto"/>
              <w:rPr>
                <w:rFonts w:hint="eastAsia" w:asciiTheme="minorEastAsia" w:hAnsiTheme="minorEastAsia" w:eastAsiaTheme="minorEastAsia" w:cstheme="minorEastAsia"/>
                <w:color w:val="auto"/>
                <w:sz w:val="21"/>
              </w:rPr>
            </w:pPr>
          </w:p>
          <w:p w14:paraId="6618738C">
            <w:pPr>
              <w:pStyle w:val="21"/>
              <w:spacing w:before="71" w:line="219" w:lineRule="auto"/>
              <w:ind w:left="83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解释</w:t>
            </w:r>
          </w:p>
        </w:tc>
        <w:tc>
          <w:tcPr>
            <w:tcW w:w="7306" w:type="dxa"/>
            <w:vAlign w:val="top"/>
          </w:tcPr>
          <w:p w14:paraId="65D70A07">
            <w:pPr>
              <w:pStyle w:val="21"/>
              <w:spacing w:before="109" w:line="337" w:lineRule="auto"/>
              <w:ind w:left="82" w:firstLine="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15"/>
              </w:rPr>
              <w:t>解</w:t>
            </w:r>
            <w:r>
              <w:rPr>
                <w:rFonts w:hint="eastAsia" w:asciiTheme="minorEastAsia" w:hAnsiTheme="minorEastAsia" w:eastAsiaTheme="minorEastAsia" w:cstheme="minorEastAsia"/>
                <w:color w:val="auto"/>
                <w:spacing w:val="-29"/>
              </w:rPr>
              <w:t xml:space="preserve"> </w:t>
            </w:r>
            <w:r>
              <w:rPr>
                <w:rFonts w:hint="eastAsia" w:asciiTheme="minorEastAsia" w:hAnsiTheme="minorEastAsia" w:eastAsiaTheme="minorEastAsia" w:cstheme="minorEastAsia"/>
                <w:b/>
                <w:bCs/>
                <w:color w:val="auto"/>
                <w:spacing w:val="-15"/>
              </w:rPr>
              <w:t>释</w:t>
            </w:r>
            <w:r>
              <w:rPr>
                <w:rFonts w:hint="eastAsia" w:asciiTheme="minorEastAsia" w:hAnsiTheme="minorEastAsia" w:eastAsiaTheme="minorEastAsia" w:cstheme="minorEastAsia"/>
                <w:color w:val="auto"/>
                <w:spacing w:val="-45"/>
              </w:rPr>
              <w:t xml:space="preserve"> </w:t>
            </w:r>
            <w:r>
              <w:rPr>
                <w:rFonts w:hint="eastAsia" w:asciiTheme="minorEastAsia" w:hAnsiTheme="minorEastAsia" w:eastAsiaTheme="minorEastAsia" w:cstheme="minorEastAsia"/>
                <w:b/>
                <w:bCs/>
                <w:color w:val="auto"/>
                <w:spacing w:val="-15"/>
              </w:rPr>
              <w:t>：</w:t>
            </w:r>
            <w:r>
              <w:rPr>
                <w:rFonts w:hint="eastAsia" w:asciiTheme="minorEastAsia" w:hAnsiTheme="minorEastAsia" w:eastAsiaTheme="minorEastAsia" w:cstheme="minorEastAsia"/>
                <w:color w:val="auto"/>
                <w:spacing w:val="-15"/>
              </w:rPr>
              <w:t>构成本招标文件的各个组成文件应互为解释，互为说明；除招标文件中</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spacing w:val="-4"/>
              </w:rPr>
              <w:t>有特别规定外，仅适用于招标投标阶段的规定，按更正公告(澄清公告</w:t>
            </w:r>
            <w:r>
              <w:rPr>
                <w:rFonts w:hint="eastAsia" w:asciiTheme="minorEastAsia" w:hAnsiTheme="minorEastAsia" w:eastAsiaTheme="minorEastAsia" w:cstheme="minorEastAsia"/>
                <w:color w:val="auto"/>
                <w:spacing w:val="-5"/>
              </w:rPr>
              <w:t>)、招</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spacing w:val="-8"/>
              </w:rPr>
              <w:t>标公告、采购需求、投标人须知、评标方法和评标标准、拟签订的合同文本、</w:t>
            </w:r>
            <w:r>
              <w:rPr>
                <w:rFonts w:hint="eastAsia" w:asciiTheme="minorEastAsia" w:hAnsiTheme="minorEastAsia" w:eastAsiaTheme="minorEastAsia" w:cstheme="minorEastAsia"/>
                <w:color w:val="auto"/>
                <w:spacing w:val="4"/>
              </w:rPr>
              <w:t xml:space="preserve"> </w:t>
            </w:r>
            <w:r>
              <w:rPr>
                <w:rFonts w:hint="eastAsia" w:asciiTheme="minorEastAsia" w:hAnsiTheme="minorEastAsia" w:eastAsiaTheme="minorEastAsia" w:cstheme="minorEastAsia"/>
                <w:color w:val="auto"/>
                <w:spacing w:val="-11"/>
              </w:rPr>
              <w:t>投标文件格式的先后顺序解释；同一组成文件中就同一事项的规定或者约定不</w:t>
            </w:r>
            <w:r>
              <w:rPr>
                <w:rFonts w:hint="eastAsia" w:asciiTheme="minorEastAsia" w:hAnsiTheme="minorEastAsia" w:eastAsiaTheme="minorEastAsia" w:cstheme="minorEastAsia"/>
                <w:color w:val="auto"/>
                <w:spacing w:val="4"/>
              </w:rPr>
              <w:t xml:space="preserve">  </w:t>
            </w:r>
            <w:r>
              <w:rPr>
                <w:rFonts w:hint="eastAsia" w:asciiTheme="minorEastAsia" w:hAnsiTheme="minorEastAsia" w:eastAsiaTheme="minorEastAsia" w:cstheme="minorEastAsia"/>
                <w:color w:val="auto"/>
                <w:spacing w:val="-11"/>
              </w:rPr>
              <w:t>一致的，以编排顺序在后者为准；同一组成文件不同版本之间有不一致的，以</w:t>
            </w:r>
            <w:r>
              <w:rPr>
                <w:rFonts w:hint="eastAsia" w:asciiTheme="minorEastAsia" w:hAnsiTheme="minorEastAsia" w:eastAsiaTheme="minorEastAsia" w:cstheme="minorEastAsia"/>
                <w:color w:val="auto"/>
                <w:spacing w:val="16"/>
              </w:rPr>
              <w:t xml:space="preserve"> </w:t>
            </w:r>
            <w:r>
              <w:rPr>
                <w:rFonts w:hint="eastAsia" w:asciiTheme="minorEastAsia" w:hAnsiTheme="minorEastAsia" w:eastAsiaTheme="minorEastAsia" w:cstheme="minorEastAsia"/>
                <w:color w:val="auto"/>
                <w:spacing w:val="-4"/>
              </w:rPr>
              <w:t>形成时间在后者为准；更正公告(澄清公告)与同步更新的</w:t>
            </w:r>
            <w:r>
              <w:rPr>
                <w:rFonts w:hint="eastAsia" w:asciiTheme="minorEastAsia" w:hAnsiTheme="minorEastAsia" w:eastAsiaTheme="minorEastAsia" w:cstheme="minorEastAsia"/>
                <w:color w:val="auto"/>
                <w:spacing w:val="-5"/>
              </w:rPr>
              <w:t>招标文件不一致时</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spacing w:val="-5"/>
              </w:rPr>
              <w:t>以更正公告(澄清公告)为准。按本款前述规定仍不能形成结论的，</w:t>
            </w:r>
            <w:r>
              <w:rPr>
                <w:rFonts w:hint="eastAsia" w:asciiTheme="minorEastAsia" w:hAnsiTheme="minorEastAsia" w:eastAsiaTheme="minorEastAsia" w:cstheme="minorEastAsia"/>
                <w:b/>
                <w:bCs/>
                <w:color w:val="auto"/>
                <w:spacing w:val="-5"/>
              </w:rPr>
              <w:t>由采购人</w:t>
            </w:r>
            <w:r>
              <w:rPr>
                <w:rFonts w:hint="eastAsia" w:asciiTheme="minorEastAsia" w:hAnsiTheme="minorEastAsia" w:eastAsiaTheme="minorEastAsia" w:cstheme="minorEastAsia"/>
                <w:color w:val="auto"/>
                <w:spacing w:val="5"/>
              </w:rPr>
              <w:t xml:space="preserve">  </w:t>
            </w:r>
            <w:r>
              <w:rPr>
                <w:rFonts w:hint="eastAsia" w:asciiTheme="minorEastAsia" w:hAnsiTheme="minorEastAsia" w:eastAsiaTheme="minorEastAsia" w:cstheme="minorEastAsia"/>
                <w:b/>
                <w:bCs/>
                <w:color w:val="auto"/>
                <w:spacing w:val="-6"/>
              </w:rPr>
              <w:t>或者采购代理机构负责解释。</w:t>
            </w:r>
          </w:p>
          <w:p w14:paraId="3B35D982">
            <w:pPr>
              <w:pStyle w:val="21"/>
              <w:spacing w:line="219" w:lineRule="auto"/>
              <w:ind w:left="86"/>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4"/>
              </w:rPr>
              <w:t>法律责任：</w:t>
            </w:r>
          </w:p>
          <w:p w14:paraId="2D1BDAF3">
            <w:pPr>
              <w:pStyle w:val="21"/>
              <w:spacing w:before="129" w:line="293" w:lineRule="auto"/>
              <w:ind w:left="12" w:firstLine="7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4"/>
              </w:rPr>
              <w:t>本采购文件根据《中华人民共和国政府采购法》、《中华人民共</w:t>
            </w:r>
            <w:r>
              <w:rPr>
                <w:rFonts w:hint="eastAsia" w:asciiTheme="minorEastAsia" w:hAnsiTheme="minorEastAsia" w:eastAsiaTheme="minorEastAsia" w:cstheme="minorEastAsia"/>
                <w:color w:val="auto"/>
                <w:spacing w:val="-15"/>
              </w:rPr>
              <w:t>和国民法典》、</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spacing w:val="-9"/>
              </w:rPr>
              <w:t>《中华人民共和国政府采购法实施条例》、《政府采购货物和服务招标投标管</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spacing w:val="-9"/>
              </w:rPr>
              <w:t>理办法》等有关法律、法规编制，参与本项目的各政府采购当事人依法享有上</w:t>
            </w:r>
            <w:r>
              <w:rPr>
                <w:rFonts w:hint="eastAsia" w:asciiTheme="minorEastAsia" w:hAnsiTheme="minorEastAsia" w:eastAsiaTheme="minorEastAsia" w:cstheme="minorEastAsia"/>
                <w:color w:val="auto"/>
              </w:rPr>
              <w:t>述法律法规所赋予的权利与义务。</w:t>
            </w:r>
          </w:p>
        </w:tc>
      </w:tr>
      <w:tr w14:paraId="00C2A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814" w:type="dxa"/>
            <w:vAlign w:val="top"/>
          </w:tcPr>
          <w:p w14:paraId="26EC4C40">
            <w:pPr>
              <w:spacing w:line="257" w:lineRule="auto"/>
              <w:rPr>
                <w:rFonts w:hint="eastAsia" w:asciiTheme="minorEastAsia" w:hAnsiTheme="minorEastAsia" w:eastAsiaTheme="minorEastAsia" w:cstheme="minorEastAsia"/>
                <w:color w:val="auto"/>
                <w:sz w:val="21"/>
              </w:rPr>
            </w:pPr>
          </w:p>
          <w:p w14:paraId="746E71AD">
            <w:pPr>
              <w:spacing w:line="257" w:lineRule="auto"/>
              <w:rPr>
                <w:rFonts w:hint="eastAsia" w:asciiTheme="minorEastAsia" w:hAnsiTheme="minorEastAsia" w:eastAsiaTheme="minorEastAsia" w:cstheme="minorEastAsia"/>
                <w:color w:val="auto"/>
                <w:sz w:val="21"/>
              </w:rPr>
            </w:pPr>
          </w:p>
          <w:p w14:paraId="2FE6C7EB">
            <w:pPr>
              <w:spacing w:line="257" w:lineRule="auto"/>
              <w:rPr>
                <w:rFonts w:hint="eastAsia" w:asciiTheme="minorEastAsia" w:hAnsiTheme="minorEastAsia" w:eastAsiaTheme="minorEastAsia" w:cstheme="minorEastAsia"/>
                <w:color w:val="auto"/>
                <w:sz w:val="21"/>
              </w:rPr>
            </w:pPr>
          </w:p>
          <w:p w14:paraId="4C889FE7">
            <w:pPr>
              <w:spacing w:line="257" w:lineRule="auto"/>
              <w:rPr>
                <w:rFonts w:hint="eastAsia" w:asciiTheme="minorEastAsia" w:hAnsiTheme="minorEastAsia" w:eastAsiaTheme="minorEastAsia" w:cstheme="minorEastAsia"/>
                <w:color w:val="auto"/>
                <w:sz w:val="21"/>
              </w:rPr>
            </w:pPr>
          </w:p>
          <w:p w14:paraId="3A4B1EEE">
            <w:pPr>
              <w:spacing w:line="257" w:lineRule="auto"/>
              <w:rPr>
                <w:rFonts w:hint="eastAsia" w:asciiTheme="minorEastAsia" w:hAnsiTheme="minorEastAsia" w:eastAsiaTheme="minorEastAsia" w:cstheme="minorEastAsia"/>
                <w:color w:val="auto"/>
                <w:sz w:val="21"/>
              </w:rPr>
            </w:pPr>
          </w:p>
          <w:p w14:paraId="15E406E1">
            <w:pPr>
              <w:spacing w:line="257" w:lineRule="auto"/>
              <w:rPr>
                <w:rFonts w:hint="eastAsia" w:asciiTheme="minorEastAsia" w:hAnsiTheme="minorEastAsia" w:eastAsiaTheme="minorEastAsia" w:cstheme="minorEastAsia"/>
                <w:color w:val="auto"/>
                <w:sz w:val="21"/>
              </w:rPr>
            </w:pPr>
          </w:p>
          <w:p w14:paraId="244ED6FF">
            <w:pPr>
              <w:spacing w:line="257" w:lineRule="auto"/>
              <w:rPr>
                <w:rFonts w:hint="eastAsia" w:asciiTheme="minorEastAsia" w:hAnsiTheme="minorEastAsia" w:eastAsiaTheme="minorEastAsia" w:cstheme="minorEastAsia"/>
                <w:color w:val="auto"/>
                <w:sz w:val="21"/>
              </w:rPr>
            </w:pPr>
          </w:p>
          <w:p w14:paraId="08BF6C52">
            <w:pPr>
              <w:spacing w:line="257" w:lineRule="auto"/>
              <w:rPr>
                <w:rFonts w:hint="eastAsia" w:asciiTheme="minorEastAsia" w:hAnsiTheme="minorEastAsia" w:eastAsiaTheme="minorEastAsia" w:cstheme="minorEastAsia"/>
                <w:color w:val="auto"/>
                <w:sz w:val="21"/>
              </w:rPr>
            </w:pPr>
          </w:p>
          <w:p w14:paraId="72BA19A1">
            <w:pPr>
              <w:spacing w:line="257" w:lineRule="auto"/>
              <w:rPr>
                <w:rFonts w:hint="eastAsia" w:asciiTheme="minorEastAsia" w:hAnsiTheme="minorEastAsia" w:eastAsiaTheme="minorEastAsia" w:cstheme="minorEastAsia"/>
                <w:color w:val="auto"/>
                <w:sz w:val="21"/>
              </w:rPr>
            </w:pPr>
          </w:p>
          <w:p w14:paraId="6BCA9D03">
            <w:pPr>
              <w:spacing w:line="257" w:lineRule="auto"/>
              <w:rPr>
                <w:rFonts w:hint="eastAsia" w:asciiTheme="minorEastAsia" w:hAnsiTheme="minorEastAsia" w:eastAsiaTheme="minorEastAsia" w:cstheme="minorEastAsia"/>
                <w:color w:val="auto"/>
                <w:sz w:val="21"/>
              </w:rPr>
            </w:pPr>
          </w:p>
          <w:p w14:paraId="40EE832D">
            <w:pPr>
              <w:spacing w:line="257" w:lineRule="auto"/>
              <w:rPr>
                <w:rFonts w:hint="eastAsia" w:asciiTheme="minorEastAsia" w:hAnsiTheme="minorEastAsia" w:eastAsiaTheme="minorEastAsia" w:cstheme="minorEastAsia"/>
                <w:color w:val="auto"/>
                <w:sz w:val="21"/>
              </w:rPr>
            </w:pPr>
          </w:p>
          <w:p w14:paraId="75A1B8B6">
            <w:pPr>
              <w:spacing w:line="257" w:lineRule="auto"/>
              <w:rPr>
                <w:rFonts w:hint="eastAsia" w:asciiTheme="minorEastAsia" w:hAnsiTheme="minorEastAsia" w:eastAsiaTheme="minorEastAsia" w:cstheme="minorEastAsia"/>
                <w:color w:val="auto"/>
                <w:sz w:val="21"/>
              </w:rPr>
            </w:pPr>
          </w:p>
          <w:p w14:paraId="54207246">
            <w:pPr>
              <w:spacing w:line="257" w:lineRule="auto"/>
              <w:rPr>
                <w:rFonts w:hint="eastAsia" w:asciiTheme="minorEastAsia" w:hAnsiTheme="minorEastAsia" w:eastAsiaTheme="minorEastAsia" w:cstheme="minorEastAsia"/>
                <w:color w:val="auto"/>
                <w:sz w:val="21"/>
              </w:rPr>
            </w:pPr>
          </w:p>
          <w:p w14:paraId="725211DB">
            <w:pPr>
              <w:spacing w:line="257" w:lineRule="auto"/>
              <w:rPr>
                <w:rFonts w:hint="eastAsia" w:asciiTheme="minorEastAsia" w:hAnsiTheme="minorEastAsia" w:eastAsiaTheme="minorEastAsia" w:cstheme="minorEastAsia"/>
                <w:color w:val="auto"/>
                <w:sz w:val="21"/>
              </w:rPr>
            </w:pPr>
          </w:p>
          <w:p w14:paraId="5877B120">
            <w:pPr>
              <w:pStyle w:val="21"/>
              <w:spacing w:before="71" w:line="239" w:lineRule="auto"/>
              <w:ind w:left="17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41.2</w:t>
            </w:r>
          </w:p>
        </w:tc>
        <w:tc>
          <w:tcPr>
            <w:tcW w:w="2138" w:type="dxa"/>
            <w:vAlign w:val="top"/>
          </w:tcPr>
          <w:p w14:paraId="467F372E">
            <w:pPr>
              <w:spacing w:line="255" w:lineRule="auto"/>
              <w:rPr>
                <w:rFonts w:hint="eastAsia" w:asciiTheme="minorEastAsia" w:hAnsiTheme="minorEastAsia" w:eastAsiaTheme="minorEastAsia" w:cstheme="minorEastAsia"/>
                <w:color w:val="auto"/>
                <w:sz w:val="21"/>
              </w:rPr>
            </w:pPr>
          </w:p>
          <w:p w14:paraId="10C65139">
            <w:pPr>
              <w:spacing w:line="255" w:lineRule="auto"/>
              <w:rPr>
                <w:rFonts w:hint="eastAsia" w:asciiTheme="minorEastAsia" w:hAnsiTheme="minorEastAsia" w:eastAsiaTheme="minorEastAsia" w:cstheme="minorEastAsia"/>
                <w:color w:val="auto"/>
                <w:sz w:val="21"/>
              </w:rPr>
            </w:pPr>
          </w:p>
          <w:p w14:paraId="089D8E6F">
            <w:pPr>
              <w:spacing w:line="255" w:lineRule="auto"/>
              <w:rPr>
                <w:rFonts w:hint="eastAsia" w:asciiTheme="minorEastAsia" w:hAnsiTheme="minorEastAsia" w:eastAsiaTheme="minorEastAsia" w:cstheme="minorEastAsia"/>
                <w:color w:val="auto"/>
                <w:sz w:val="21"/>
              </w:rPr>
            </w:pPr>
          </w:p>
          <w:p w14:paraId="090A870F">
            <w:pPr>
              <w:spacing w:line="255" w:lineRule="auto"/>
              <w:rPr>
                <w:rFonts w:hint="eastAsia" w:asciiTheme="minorEastAsia" w:hAnsiTheme="minorEastAsia" w:eastAsiaTheme="minorEastAsia" w:cstheme="minorEastAsia"/>
                <w:color w:val="auto"/>
                <w:sz w:val="21"/>
              </w:rPr>
            </w:pPr>
          </w:p>
          <w:p w14:paraId="11511C9A">
            <w:pPr>
              <w:spacing w:line="255" w:lineRule="auto"/>
              <w:rPr>
                <w:rFonts w:hint="eastAsia" w:asciiTheme="minorEastAsia" w:hAnsiTheme="minorEastAsia" w:eastAsiaTheme="minorEastAsia" w:cstheme="minorEastAsia"/>
                <w:color w:val="auto"/>
                <w:sz w:val="21"/>
              </w:rPr>
            </w:pPr>
          </w:p>
          <w:p w14:paraId="45962B42">
            <w:pPr>
              <w:spacing w:line="255" w:lineRule="auto"/>
              <w:rPr>
                <w:rFonts w:hint="eastAsia" w:asciiTheme="minorEastAsia" w:hAnsiTheme="minorEastAsia" w:eastAsiaTheme="minorEastAsia" w:cstheme="minorEastAsia"/>
                <w:color w:val="auto"/>
                <w:sz w:val="21"/>
              </w:rPr>
            </w:pPr>
          </w:p>
          <w:p w14:paraId="6DD30749">
            <w:pPr>
              <w:spacing w:line="255" w:lineRule="auto"/>
              <w:rPr>
                <w:rFonts w:hint="eastAsia" w:asciiTheme="minorEastAsia" w:hAnsiTheme="minorEastAsia" w:eastAsiaTheme="minorEastAsia" w:cstheme="minorEastAsia"/>
                <w:color w:val="auto"/>
                <w:sz w:val="21"/>
              </w:rPr>
            </w:pPr>
          </w:p>
          <w:p w14:paraId="7313F4BB">
            <w:pPr>
              <w:spacing w:line="255" w:lineRule="auto"/>
              <w:rPr>
                <w:rFonts w:hint="eastAsia" w:asciiTheme="minorEastAsia" w:hAnsiTheme="minorEastAsia" w:eastAsiaTheme="minorEastAsia" w:cstheme="minorEastAsia"/>
                <w:color w:val="auto"/>
                <w:sz w:val="21"/>
              </w:rPr>
            </w:pPr>
          </w:p>
          <w:p w14:paraId="3605B989">
            <w:pPr>
              <w:spacing w:line="256" w:lineRule="auto"/>
              <w:rPr>
                <w:rFonts w:hint="eastAsia" w:asciiTheme="minorEastAsia" w:hAnsiTheme="minorEastAsia" w:eastAsiaTheme="minorEastAsia" w:cstheme="minorEastAsia"/>
                <w:color w:val="auto"/>
                <w:sz w:val="21"/>
              </w:rPr>
            </w:pPr>
          </w:p>
          <w:p w14:paraId="3CA937AA">
            <w:pPr>
              <w:spacing w:line="256" w:lineRule="auto"/>
              <w:rPr>
                <w:rFonts w:hint="eastAsia" w:asciiTheme="minorEastAsia" w:hAnsiTheme="minorEastAsia" w:eastAsiaTheme="minorEastAsia" w:cstheme="minorEastAsia"/>
                <w:color w:val="auto"/>
                <w:sz w:val="21"/>
              </w:rPr>
            </w:pPr>
          </w:p>
          <w:p w14:paraId="2186309C">
            <w:pPr>
              <w:spacing w:line="256" w:lineRule="auto"/>
              <w:rPr>
                <w:rFonts w:hint="eastAsia" w:asciiTheme="minorEastAsia" w:hAnsiTheme="minorEastAsia" w:eastAsiaTheme="minorEastAsia" w:cstheme="minorEastAsia"/>
                <w:color w:val="auto"/>
                <w:sz w:val="21"/>
              </w:rPr>
            </w:pPr>
          </w:p>
          <w:p w14:paraId="4A7AFE7A">
            <w:pPr>
              <w:spacing w:line="256" w:lineRule="auto"/>
              <w:rPr>
                <w:rFonts w:hint="eastAsia" w:asciiTheme="minorEastAsia" w:hAnsiTheme="minorEastAsia" w:eastAsiaTheme="minorEastAsia" w:cstheme="minorEastAsia"/>
                <w:color w:val="auto"/>
                <w:sz w:val="21"/>
              </w:rPr>
            </w:pPr>
          </w:p>
          <w:p w14:paraId="6E7DB46E">
            <w:pPr>
              <w:spacing w:line="256" w:lineRule="auto"/>
              <w:rPr>
                <w:rFonts w:hint="eastAsia" w:asciiTheme="minorEastAsia" w:hAnsiTheme="minorEastAsia" w:eastAsiaTheme="minorEastAsia" w:cstheme="minorEastAsia"/>
                <w:color w:val="auto"/>
                <w:sz w:val="21"/>
              </w:rPr>
            </w:pPr>
          </w:p>
          <w:p w14:paraId="0ED127E0">
            <w:pPr>
              <w:spacing w:line="256" w:lineRule="auto"/>
              <w:rPr>
                <w:rFonts w:hint="eastAsia" w:asciiTheme="minorEastAsia" w:hAnsiTheme="minorEastAsia" w:eastAsiaTheme="minorEastAsia" w:cstheme="minorEastAsia"/>
                <w:color w:val="auto"/>
                <w:sz w:val="21"/>
              </w:rPr>
            </w:pPr>
          </w:p>
          <w:p w14:paraId="731FB424">
            <w:pPr>
              <w:pStyle w:val="21"/>
              <w:spacing w:before="72" w:line="219" w:lineRule="auto"/>
              <w:ind w:left="61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其他释义</w:t>
            </w:r>
          </w:p>
        </w:tc>
        <w:tc>
          <w:tcPr>
            <w:tcW w:w="7306" w:type="dxa"/>
            <w:vAlign w:val="top"/>
          </w:tcPr>
          <w:p w14:paraId="143A214E">
            <w:pPr>
              <w:pStyle w:val="21"/>
              <w:spacing w:before="120" w:line="316" w:lineRule="auto"/>
              <w:ind w:left="72" w:firstLine="43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8"/>
              </w:rPr>
              <w:t>1.本招标文件中描述投标人的“公章”是指根据我国对公章的</w:t>
            </w:r>
            <w:r>
              <w:rPr>
                <w:rFonts w:hint="eastAsia" w:asciiTheme="minorEastAsia" w:hAnsiTheme="minorEastAsia" w:eastAsiaTheme="minorEastAsia" w:cstheme="minorEastAsia"/>
                <w:color w:val="auto"/>
                <w:spacing w:val="-9"/>
              </w:rPr>
              <w:t>管理规定，</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spacing w:val="-5"/>
              </w:rPr>
              <w:t>用投标人法定主体行为名称制作的实物印章或投标人通过指定电子化政府采</w:t>
            </w:r>
            <w:r>
              <w:rPr>
                <w:rFonts w:hint="eastAsia" w:asciiTheme="minorEastAsia" w:hAnsiTheme="minorEastAsia" w:eastAsiaTheme="minorEastAsia" w:cstheme="minorEastAsia"/>
                <w:color w:val="auto"/>
                <w:spacing w:val="5"/>
              </w:rPr>
              <w:t xml:space="preserve">  </w:t>
            </w:r>
            <w:r>
              <w:rPr>
                <w:rFonts w:hint="eastAsia" w:asciiTheme="minorEastAsia" w:hAnsiTheme="minorEastAsia" w:eastAsiaTheme="minorEastAsia" w:cstheme="minorEastAsia"/>
                <w:color w:val="auto"/>
                <w:spacing w:val="-2"/>
              </w:rPr>
              <w:t>购平台办理数字证书(CA认证)获得的以法定主体行为名称制作的电子印章。</w:t>
            </w:r>
            <w:r>
              <w:rPr>
                <w:rFonts w:hint="eastAsia" w:asciiTheme="minorEastAsia" w:hAnsiTheme="minorEastAsia" w:eastAsiaTheme="minorEastAsia" w:cstheme="minorEastAsia"/>
                <w:color w:val="auto"/>
                <w:spacing w:val="15"/>
              </w:rPr>
              <w:t xml:space="preserve"> </w:t>
            </w:r>
            <w:r>
              <w:rPr>
                <w:rFonts w:hint="eastAsia" w:asciiTheme="minorEastAsia" w:hAnsiTheme="minorEastAsia" w:eastAsiaTheme="minorEastAsia" w:cstheme="minorEastAsia"/>
                <w:color w:val="auto"/>
                <w:spacing w:val="-8"/>
              </w:rPr>
              <w:t>除本招标文件有特殊规定外，投标人的财务章、部门章、分公司章、工</w:t>
            </w:r>
            <w:r>
              <w:rPr>
                <w:rFonts w:hint="eastAsia" w:asciiTheme="minorEastAsia" w:hAnsiTheme="minorEastAsia" w:eastAsiaTheme="minorEastAsia" w:cstheme="minorEastAsia"/>
                <w:color w:val="auto"/>
                <w:spacing w:val="-9"/>
              </w:rPr>
              <w:t>会章、</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spacing w:val="-11"/>
              </w:rPr>
              <w:t>合同章、投标专用章、业务专用章及银行的转账章、现金收讫章、现金付讫章</w:t>
            </w:r>
            <w:r>
              <w:rPr>
                <w:rFonts w:hint="eastAsia" w:asciiTheme="minorEastAsia" w:hAnsiTheme="minorEastAsia" w:eastAsiaTheme="minorEastAsia" w:cstheme="minorEastAsia"/>
                <w:color w:val="auto"/>
                <w:spacing w:val="2"/>
              </w:rPr>
              <w:t xml:space="preserve">  </w:t>
            </w:r>
            <w:r>
              <w:rPr>
                <w:rFonts w:hint="eastAsia" w:asciiTheme="minorEastAsia" w:hAnsiTheme="minorEastAsia" w:eastAsiaTheme="minorEastAsia" w:cstheme="minorEastAsia"/>
                <w:color w:val="auto"/>
                <w:spacing w:val="-1"/>
              </w:rPr>
              <w:t>等其他形式印章均不能代替公章。</w:t>
            </w:r>
          </w:p>
          <w:p w14:paraId="2A6317FC">
            <w:pPr>
              <w:pStyle w:val="21"/>
              <w:spacing w:before="120" w:line="302" w:lineRule="auto"/>
              <w:ind w:left="62" w:firstLine="44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8"/>
              </w:rPr>
              <w:t>2.本招标文件中描述投标人的“签字”是指投标</w:t>
            </w:r>
            <w:r>
              <w:rPr>
                <w:rFonts w:hint="eastAsia" w:asciiTheme="minorEastAsia" w:hAnsiTheme="minorEastAsia" w:eastAsiaTheme="minorEastAsia" w:cstheme="minorEastAsia"/>
                <w:color w:val="auto"/>
                <w:spacing w:val="-9"/>
              </w:rPr>
              <w:t>人通过指定电子化政府采</w:t>
            </w:r>
            <w:r>
              <w:rPr>
                <w:rFonts w:hint="eastAsia" w:asciiTheme="minorEastAsia" w:hAnsiTheme="minorEastAsia" w:eastAsiaTheme="minorEastAsia" w:cstheme="minorEastAsia"/>
                <w:color w:val="auto"/>
              </w:rPr>
              <w:t xml:space="preserve"> 购平台办理数字证书(CA认证)获得的以投标人法</w:t>
            </w:r>
            <w:r>
              <w:rPr>
                <w:rFonts w:hint="eastAsia" w:asciiTheme="minorEastAsia" w:hAnsiTheme="minorEastAsia" w:eastAsiaTheme="minorEastAsia" w:cstheme="minorEastAsia"/>
                <w:color w:val="auto"/>
                <w:spacing w:val="-1"/>
              </w:rPr>
              <w:t>定代表人或者委托代理人</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spacing w:val="2"/>
              </w:rPr>
              <w:t>姓名制作的电子印章或手写签字。</w:t>
            </w:r>
          </w:p>
          <w:p w14:paraId="2BC476BA">
            <w:pPr>
              <w:pStyle w:val="21"/>
              <w:spacing w:before="94" w:line="314" w:lineRule="auto"/>
              <w:ind w:left="82" w:firstLine="43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3.本招标文件所称的“电子签章”“电子签名”,</w:t>
            </w:r>
            <w:r>
              <w:rPr>
                <w:rFonts w:hint="eastAsia" w:asciiTheme="minorEastAsia" w:hAnsiTheme="minorEastAsia" w:eastAsiaTheme="minorEastAsia" w:cstheme="minorEastAsia"/>
                <w:color w:val="auto"/>
                <w:spacing w:val="-6"/>
              </w:rPr>
              <w:t>是指经广西政府采购云</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spacing w:val="-2"/>
              </w:rPr>
              <w:t>平台认可的CA认证的电子签名数据为表现形式的印章，可用于签署电子</w:t>
            </w:r>
            <w:r>
              <w:rPr>
                <w:rFonts w:hint="eastAsia" w:asciiTheme="minorEastAsia" w:hAnsiTheme="minorEastAsia" w:eastAsiaTheme="minorEastAsia" w:cstheme="minorEastAsia"/>
                <w:color w:val="auto"/>
                <w:spacing w:val="-3"/>
              </w:rPr>
              <w:t>投标</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spacing w:val="-8"/>
              </w:rPr>
              <w:t>文件，电子印章与实物印章具有同等法律效</w:t>
            </w:r>
            <w:r>
              <w:rPr>
                <w:rFonts w:hint="eastAsia" w:asciiTheme="minorEastAsia" w:hAnsiTheme="minorEastAsia" w:eastAsiaTheme="minorEastAsia" w:cstheme="minorEastAsia"/>
                <w:color w:val="auto"/>
                <w:spacing w:val="-9"/>
              </w:rPr>
              <w:t>力，不因其采用电子化表现形式而</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spacing w:val="1"/>
              </w:rPr>
              <w:t>否定其法律效力。</w:t>
            </w:r>
          </w:p>
          <w:p w14:paraId="276892CE">
            <w:pPr>
              <w:pStyle w:val="21"/>
              <w:spacing w:before="118" w:line="302" w:lineRule="auto"/>
              <w:ind w:left="82" w:firstLine="43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9"/>
              </w:rPr>
              <w:t>4.投标人为其他组织或者自然人时，本招标文件规定的法定代表人指负责</w:t>
            </w:r>
            <w:r>
              <w:rPr>
                <w:rFonts w:hint="eastAsia" w:asciiTheme="minorEastAsia" w:hAnsiTheme="minorEastAsia" w:eastAsiaTheme="minorEastAsia" w:cstheme="minorEastAsia"/>
                <w:color w:val="auto"/>
                <w:spacing w:val="10"/>
              </w:rPr>
              <w:t xml:space="preserve"> </w:t>
            </w:r>
            <w:r>
              <w:rPr>
                <w:rFonts w:hint="eastAsia" w:asciiTheme="minorEastAsia" w:hAnsiTheme="minorEastAsia" w:eastAsiaTheme="minorEastAsia" w:cstheme="minorEastAsia"/>
                <w:color w:val="auto"/>
                <w:spacing w:val="-8"/>
              </w:rPr>
              <w:t>人或者自然人。本招标文件所称负责人是指参加</w:t>
            </w:r>
            <w:r>
              <w:rPr>
                <w:rFonts w:hint="eastAsia" w:asciiTheme="minorEastAsia" w:hAnsiTheme="minorEastAsia" w:eastAsiaTheme="minorEastAsia" w:cstheme="minorEastAsia"/>
                <w:color w:val="auto"/>
                <w:spacing w:val="-9"/>
              </w:rPr>
              <w:t>投标的其他组织营业执照上的</w:t>
            </w:r>
            <w:r>
              <w:rPr>
                <w:rFonts w:hint="eastAsia" w:asciiTheme="minorEastAsia" w:hAnsiTheme="minorEastAsia" w:eastAsiaTheme="minorEastAsia" w:cstheme="minorEastAsia"/>
                <w:color w:val="auto"/>
              </w:rPr>
              <w:t xml:space="preserve"> 负责人，本招标文件所称自然人指参与投标的自然人本人。</w:t>
            </w:r>
          </w:p>
          <w:p w14:paraId="53A2DC0B">
            <w:pPr>
              <w:pStyle w:val="21"/>
              <w:spacing w:before="99" w:line="219" w:lineRule="auto"/>
              <w:ind w:left="51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5.</w:t>
            </w:r>
            <w:r>
              <w:rPr>
                <w:rFonts w:hint="eastAsia" w:asciiTheme="minorEastAsia" w:hAnsiTheme="minorEastAsia" w:eastAsiaTheme="minorEastAsia" w:cstheme="minorEastAsia"/>
                <w:color w:val="auto"/>
                <w:spacing w:val="-52"/>
              </w:rPr>
              <w:t xml:space="preserve"> </w:t>
            </w:r>
            <w:r>
              <w:rPr>
                <w:rFonts w:hint="eastAsia" w:asciiTheme="minorEastAsia" w:hAnsiTheme="minorEastAsia" w:eastAsiaTheme="minorEastAsia" w:cstheme="minorEastAsia"/>
                <w:color w:val="auto"/>
                <w:spacing w:val="-2"/>
              </w:rPr>
              <w:t>自然人投标的，招标文件规定盖公章处由自然人摁手指指印。</w:t>
            </w:r>
          </w:p>
          <w:p w14:paraId="41925388">
            <w:pPr>
              <w:pStyle w:val="21"/>
              <w:spacing w:before="146" w:line="277" w:lineRule="auto"/>
              <w:ind w:left="92" w:firstLine="40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6.本招标文件所称的“以上”“以下”“以内”“届满”,包括本数；所</w:t>
            </w:r>
            <w:r>
              <w:rPr>
                <w:rFonts w:hint="eastAsia" w:asciiTheme="minorEastAsia" w:hAnsiTheme="minorEastAsia" w:eastAsiaTheme="minorEastAsia" w:cstheme="minorEastAsia"/>
                <w:color w:val="auto"/>
                <w:spacing w:val="10"/>
              </w:rPr>
              <w:t xml:space="preserve"> </w:t>
            </w:r>
            <w:r>
              <w:rPr>
                <w:rFonts w:hint="eastAsia" w:asciiTheme="minorEastAsia" w:hAnsiTheme="minorEastAsia" w:eastAsiaTheme="minorEastAsia" w:cstheme="minorEastAsia"/>
                <w:color w:val="auto"/>
              </w:rPr>
              <w:t>称的“不满”“超过”“以外”,不包括本</w:t>
            </w:r>
            <w:r>
              <w:rPr>
                <w:rFonts w:hint="eastAsia" w:asciiTheme="minorEastAsia" w:hAnsiTheme="minorEastAsia" w:eastAsiaTheme="minorEastAsia" w:cstheme="minorEastAsia"/>
                <w:color w:val="auto"/>
                <w:spacing w:val="-1"/>
              </w:rPr>
              <w:t>数。</w:t>
            </w:r>
          </w:p>
        </w:tc>
      </w:tr>
    </w:tbl>
    <w:p w14:paraId="66921A25">
      <w:pPr>
        <w:rPr>
          <w:rFonts w:hint="eastAsia" w:asciiTheme="minorEastAsia" w:hAnsiTheme="minorEastAsia" w:eastAsiaTheme="minorEastAsia" w:cstheme="minorEastAsia"/>
          <w:color w:val="auto"/>
        </w:rPr>
        <w:sectPr>
          <w:footerReference r:id="rId10" w:type="default"/>
          <w:pgSz w:w="11900" w:h="16830"/>
          <w:pgMar w:top="1135" w:right="835" w:bottom="991" w:left="825" w:header="0" w:footer="847" w:gutter="0"/>
          <w:cols w:space="720" w:num="1"/>
        </w:sectPr>
      </w:pPr>
    </w:p>
    <w:p w14:paraId="009603FD">
      <w:pPr>
        <w:spacing w:before="64" w:line="219" w:lineRule="auto"/>
        <w:jc w:val="center"/>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bCs/>
          <w:color w:val="auto"/>
          <w:spacing w:val="15"/>
          <w:sz w:val="32"/>
          <w:szCs w:val="32"/>
        </w:rPr>
        <w:t>第二节</w:t>
      </w:r>
      <w:r>
        <w:rPr>
          <w:rFonts w:hint="eastAsia" w:asciiTheme="minorEastAsia" w:hAnsiTheme="minorEastAsia" w:eastAsiaTheme="minorEastAsia" w:cstheme="minorEastAsia"/>
          <w:b/>
          <w:bCs/>
          <w:color w:val="auto"/>
          <w:spacing w:val="15"/>
          <w:sz w:val="32"/>
          <w:szCs w:val="32"/>
          <w:lang w:val="en-US" w:eastAsia="zh-CN"/>
        </w:rPr>
        <w:t xml:space="preserve"> </w:t>
      </w:r>
      <w:r>
        <w:rPr>
          <w:rFonts w:hint="eastAsia" w:asciiTheme="minorEastAsia" w:hAnsiTheme="minorEastAsia" w:eastAsiaTheme="minorEastAsia" w:cstheme="minorEastAsia"/>
          <w:b/>
          <w:bCs/>
          <w:color w:val="auto"/>
          <w:spacing w:val="15"/>
          <w:sz w:val="32"/>
          <w:szCs w:val="32"/>
        </w:rPr>
        <w:t>投标人须知正文</w:t>
      </w:r>
    </w:p>
    <w:p w14:paraId="034D4811">
      <w:pPr>
        <w:pStyle w:val="10"/>
        <w:spacing w:line="242" w:lineRule="auto"/>
        <w:rPr>
          <w:rFonts w:hint="eastAsia" w:asciiTheme="minorEastAsia" w:hAnsiTheme="minorEastAsia" w:eastAsiaTheme="minorEastAsia" w:cstheme="minorEastAsia"/>
          <w:color w:val="auto"/>
        </w:rPr>
      </w:pPr>
    </w:p>
    <w:p w14:paraId="4F7D44A2">
      <w:pPr>
        <w:pStyle w:val="10"/>
        <w:spacing w:line="242" w:lineRule="auto"/>
        <w:rPr>
          <w:rFonts w:hint="eastAsia" w:asciiTheme="minorEastAsia" w:hAnsiTheme="minorEastAsia" w:eastAsiaTheme="minorEastAsia" w:cstheme="minorEastAsia"/>
          <w:color w:val="auto"/>
        </w:rPr>
      </w:pPr>
    </w:p>
    <w:p w14:paraId="7D6CC7C0">
      <w:pPr>
        <w:spacing w:before="104" w:line="220" w:lineRule="auto"/>
        <w:ind w:left="3704"/>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bCs/>
          <w:color w:val="auto"/>
          <w:spacing w:val="-28"/>
          <w:sz w:val="32"/>
          <w:szCs w:val="32"/>
        </w:rPr>
        <w:t>一</w:t>
      </w:r>
      <w:r>
        <w:rPr>
          <w:rFonts w:hint="eastAsia" w:asciiTheme="minorEastAsia" w:hAnsiTheme="minorEastAsia" w:eastAsiaTheme="minorEastAsia" w:cstheme="minorEastAsia"/>
          <w:color w:val="auto"/>
          <w:spacing w:val="-104"/>
          <w:sz w:val="32"/>
          <w:szCs w:val="32"/>
        </w:rPr>
        <w:t xml:space="preserve"> </w:t>
      </w:r>
      <w:r>
        <w:rPr>
          <w:rFonts w:hint="eastAsia" w:asciiTheme="minorEastAsia" w:hAnsiTheme="minorEastAsia" w:eastAsiaTheme="minorEastAsia" w:cstheme="minorEastAsia"/>
          <w:b/>
          <w:bCs/>
          <w:color w:val="auto"/>
          <w:spacing w:val="-28"/>
          <w:sz w:val="32"/>
          <w:szCs w:val="32"/>
        </w:rPr>
        <w:t>、总</w:t>
      </w:r>
      <w:r>
        <w:rPr>
          <w:rFonts w:hint="eastAsia" w:asciiTheme="minorEastAsia" w:hAnsiTheme="minorEastAsia" w:eastAsiaTheme="minorEastAsia" w:cstheme="minorEastAsia"/>
          <w:color w:val="auto"/>
          <w:spacing w:val="25"/>
          <w:sz w:val="32"/>
          <w:szCs w:val="32"/>
        </w:rPr>
        <w:t xml:space="preserve">  </w:t>
      </w:r>
      <w:r>
        <w:rPr>
          <w:rFonts w:hint="eastAsia" w:asciiTheme="minorEastAsia" w:hAnsiTheme="minorEastAsia" w:eastAsiaTheme="minorEastAsia" w:cstheme="minorEastAsia"/>
          <w:b/>
          <w:bCs/>
          <w:color w:val="auto"/>
          <w:spacing w:val="-28"/>
          <w:sz w:val="32"/>
          <w:szCs w:val="32"/>
        </w:rPr>
        <w:t>则</w:t>
      </w:r>
    </w:p>
    <w:p w14:paraId="75884B86">
      <w:pPr>
        <w:spacing w:before="295" w:line="223" w:lineRule="auto"/>
        <w:ind w:left="51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7"/>
          <w:sz w:val="21"/>
          <w:szCs w:val="21"/>
        </w:rPr>
        <w:t>1.适</w:t>
      </w:r>
      <w:r>
        <w:rPr>
          <w:rFonts w:hint="eastAsia" w:asciiTheme="minorEastAsia" w:hAnsiTheme="minorEastAsia" w:eastAsiaTheme="minorEastAsia" w:cstheme="minorEastAsia"/>
          <w:color w:val="auto"/>
          <w:spacing w:val="-42"/>
          <w:sz w:val="21"/>
          <w:szCs w:val="21"/>
        </w:rPr>
        <w:t xml:space="preserve"> </w:t>
      </w:r>
      <w:r>
        <w:rPr>
          <w:rFonts w:hint="eastAsia" w:asciiTheme="minorEastAsia" w:hAnsiTheme="minorEastAsia" w:eastAsiaTheme="minorEastAsia" w:cstheme="minorEastAsia"/>
          <w:b/>
          <w:bCs/>
          <w:color w:val="auto"/>
          <w:spacing w:val="-7"/>
          <w:sz w:val="21"/>
          <w:szCs w:val="21"/>
        </w:rPr>
        <w:t>用</w:t>
      </w:r>
      <w:r>
        <w:rPr>
          <w:rFonts w:hint="eastAsia" w:asciiTheme="minorEastAsia" w:hAnsiTheme="minorEastAsia" w:eastAsiaTheme="minorEastAsia" w:cstheme="minorEastAsia"/>
          <w:color w:val="auto"/>
          <w:spacing w:val="-45"/>
          <w:sz w:val="21"/>
          <w:szCs w:val="21"/>
        </w:rPr>
        <w:t xml:space="preserve"> </w:t>
      </w:r>
      <w:r>
        <w:rPr>
          <w:rFonts w:hint="eastAsia" w:asciiTheme="minorEastAsia" w:hAnsiTheme="minorEastAsia" w:eastAsiaTheme="minorEastAsia" w:cstheme="minorEastAsia"/>
          <w:b/>
          <w:bCs/>
          <w:color w:val="auto"/>
          <w:spacing w:val="-7"/>
          <w:sz w:val="21"/>
          <w:szCs w:val="21"/>
        </w:rPr>
        <w:t>范</w:t>
      </w:r>
      <w:r>
        <w:rPr>
          <w:rFonts w:hint="eastAsia" w:asciiTheme="minorEastAsia" w:hAnsiTheme="minorEastAsia" w:eastAsiaTheme="minorEastAsia" w:cstheme="minorEastAsia"/>
          <w:color w:val="auto"/>
          <w:spacing w:val="-35"/>
          <w:sz w:val="21"/>
          <w:szCs w:val="21"/>
        </w:rPr>
        <w:t xml:space="preserve"> </w:t>
      </w:r>
      <w:r>
        <w:rPr>
          <w:rFonts w:hint="eastAsia" w:asciiTheme="minorEastAsia" w:hAnsiTheme="minorEastAsia" w:eastAsiaTheme="minorEastAsia" w:cstheme="minorEastAsia"/>
          <w:b/>
          <w:bCs/>
          <w:color w:val="auto"/>
          <w:spacing w:val="-7"/>
          <w:sz w:val="21"/>
          <w:szCs w:val="21"/>
        </w:rPr>
        <w:t>围</w:t>
      </w:r>
    </w:p>
    <w:p w14:paraId="069C28B9">
      <w:pPr>
        <w:spacing w:before="166" w:line="314" w:lineRule="auto"/>
        <w:ind w:right="64" w:firstLine="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1.1适用法律：本项目采购人、采购代理机构、投标人、评标委员会的相关行为均受《中华人</w:t>
      </w:r>
      <w:r>
        <w:rPr>
          <w:rFonts w:hint="eastAsia" w:asciiTheme="minorEastAsia" w:hAnsiTheme="minorEastAsia" w:eastAsiaTheme="minorEastAsia" w:cstheme="minorEastAsia"/>
          <w:color w:val="auto"/>
          <w:spacing w:val="11"/>
          <w:sz w:val="21"/>
          <w:szCs w:val="21"/>
        </w:rPr>
        <w:t xml:space="preserve"> </w:t>
      </w:r>
      <w:r>
        <w:rPr>
          <w:rFonts w:hint="eastAsia" w:asciiTheme="minorEastAsia" w:hAnsiTheme="minorEastAsia" w:eastAsiaTheme="minorEastAsia" w:cstheme="minorEastAsia"/>
          <w:color w:val="auto"/>
          <w:spacing w:val="-1"/>
          <w:sz w:val="21"/>
          <w:szCs w:val="21"/>
        </w:rPr>
        <w:t>民共和国政府采购法》、《中华人民共和国政府</w:t>
      </w:r>
      <w:r>
        <w:rPr>
          <w:rFonts w:hint="eastAsia" w:asciiTheme="minorEastAsia" w:hAnsiTheme="minorEastAsia" w:eastAsiaTheme="minorEastAsia" w:cstheme="minorEastAsia"/>
          <w:color w:val="auto"/>
          <w:spacing w:val="-2"/>
          <w:sz w:val="21"/>
          <w:szCs w:val="21"/>
        </w:rPr>
        <w:t>采购法实施条例》、《政府采购货物和服务招标投</w:t>
      </w:r>
      <w:r>
        <w:rPr>
          <w:rFonts w:hint="eastAsia" w:asciiTheme="minorEastAsia" w:hAnsiTheme="minorEastAsia" w:eastAsiaTheme="minorEastAsia" w:cstheme="minorEastAsia"/>
          <w:color w:val="auto"/>
          <w:sz w:val="21"/>
          <w:szCs w:val="21"/>
        </w:rPr>
        <w:t xml:space="preserve"> 标管理办法》及本项目本级和上级财政部门政府采购有关规定的约束和保护。</w:t>
      </w:r>
    </w:p>
    <w:p w14:paraId="4095FDFF">
      <w:pPr>
        <w:spacing w:before="139" w:line="213"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1.2本招标文件适用于本项目的所有采购程序和环节(法律、法规另有规定的，从其规</w:t>
      </w:r>
      <w:r>
        <w:rPr>
          <w:rFonts w:hint="eastAsia" w:asciiTheme="minorEastAsia" w:hAnsiTheme="minorEastAsia" w:eastAsiaTheme="minorEastAsia" w:cstheme="minorEastAsia"/>
          <w:color w:val="auto"/>
          <w:spacing w:val="-4"/>
          <w:sz w:val="21"/>
          <w:szCs w:val="21"/>
        </w:rPr>
        <w:t>定)。</w:t>
      </w:r>
    </w:p>
    <w:p w14:paraId="15EF549E">
      <w:pPr>
        <w:spacing w:before="239" w:line="223"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2.定</w:t>
      </w:r>
      <w:r>
        <w:rPr>
          <w:rFonts w:hint="eastAsia" w:asciiTheme="minorEastAsia" w:hAnsiTheme="minorEastAsia" w:eastAsiaTheme="minorEastAsia" w:cstheme="minorEastAsia"/>
          <w:color w:val="auto"/>
          <w:spacing w:val="-6"/>
          <w:sz w:val="21"/>
          <w:szCs w:val="21"/>
        </w:rPr>
        <w:t xml:space="preserve"> </w:t>
      </w:r>
      <w:r>
        <w:rPr>
          <w:rFonts w:hint="eastAsia" w:asciiTheme="minorEastAsia" w:hAnsiTheme="minorEastAsia" w:eastAsiaTheme="minorEastAsia" w:cstheme="minorEastAsia"/>
          <w:color w:val="auto"/>
          <w:spacing w:val="6"/>
          <w:sz w:val="21"/>
          <w:szCs w:val="21"/>
        </w:rPr>
        <w:t>义</w:t>
      </w:r>
    </w:p>
    <w:p w14:paraId="70D91CE5">
      <w:pPr>
        <w:spacing w:before="155" w:line="222"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2.1“采购人”是指依法进行政府采购的国家机关、事业单位、团体组织。</w:t>
      </w:r>
    </w:p>
    <w:p w14:paraId="243F4D85">
      <w:pPr>
        <w:spacing w:before="166" w:line="221"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2.2“采购代理机构”指政府采购集中采购机构和集中采购机构以外的</w:t>
      </w:r>
      <w:r>
        <w:rPr>
          <w:rFonts w:hint="eastAsia" w:asciiTheme="minorEastAsia" w:hAnsiTheme="minorEastAsia" w:eastAsiaTheme="minorEastAsia" w:cstheme="minorEastAsia"/>
          <w:color w:val="auto"/>
          <w:spacing w:val="3"/>
          <w:sz w:val="21"/>
          <w:szCs w:val="21"/>
        </w:rPr>
        <w:t>采购代理机构。</w:t>
      </w:r>
    </w:p>
    <w:p w14:paraId="54944D63">
      <w:pPr>
        <w:spacing w:before="159" w:line="221"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2.3“供应商”是指向采购人提供货物、</w:t>
      </w:r>
      <w:r>
        <w:rPr>
          <w:rFonts w:hint="eastAsia" w:asciiTheme="minorEastAsia" w:hAnsiTheme="minorEastAsia" w:eastAsiaTheme="minorEastAsia" w:cstheme="minorEastAsia"/>
          <w:color w:val="auto"/>
          <w:spacing w:val="1"/>
          <w:sz w:val="21"/>
          <w:szCs w:val="21"/>
        </w:rPr>
        <w:t>工程或者服务的法人、其他组织或者自然人。</w:t>
      </w:r>
    </w:p>
    <w:p w14:paraId="518E8DCF">
      <w:pPr>
        <w:spacing w:before="149" w:line="222"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2.4“投标人”是指响应招标、参加投标竞争的法人、非法</w:t>
      </w:r>
      <w:r>
        <w:rPr>
          <w:rFonts w:hint="eastAsia" w:asciiTheme="minorEastAsia" w:hAnsiTheme="minorEastAsia" w:eastAsiaTheme="minorEastAsia" w:cstheme="minorEastAsia"/>
          <w:color w:val="auto"/>
          <w:spacing w:val="1"/>
          <w:sz w:val="21"/>
          <w:szCs w:val="21"/>
        </w:rPr>
        <w:t>人组织或者自然人。</w:t>
      </w:r>
    </w:p>
    <w:p w14:paraId="1F240475">
      <w:pPr>
        <w:spacing w:before="147" w:line="221"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2.5“服务”是指除货物和工程以外的其他政府采购对象。</w:t>
      </w:r>
    </w:p>
    <w:p w14:paraId="4B5C45AA">
      <w:pPr>
        <w:spacing w:before="160" w:line="290" w:lineRule="auto"/>
        <w:ind w:right="61" w:firstLine="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2.6“书面形式”是指合同书、信件和数据电文(包括电报、电传、传真、短信</w:t>
      </w:r>
      <w:r>
        <w:rPr>
          <w:rFonts w:hint="eastAsia" w:asciiTheme="minorEastAsia" w:hAnsiTheme="minorEastAsia" w:eastAsiaTheme="minorEastAsia" w:cstheme="minorEastAsia"/>
          <w:color w:val="auto"/>
          <w:spacing w:val="3"/>
          <w:sz w:val="21"/>
          <w:szCs w:val="21"/>
        </w:rPr>
        <w:t>、电子数据交</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5"/>
          <w:sz w:val="21"/>
          <w:szCs w:val="21"/>
        </w:rPr>
        <w:t>换和电子邮件)等可以有形地表现所载内容的形式。</w:t>
      </w:r>
    </w:p>
    <w:p w14:paraId="63856037">
      <w:pPr>
        <w:spacing w:before="139" w:line="287" w:lineRule="auto"/>
        <w:ind w:right="68" w:firstLine="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2.7“实质性要求”是指招标文件中已经指明不满足投标无效的条款，或者不能负偏离的条</w:t>
      </w:r>
      <w:r>
        <w:rPr>
          <w:rFonts w:hint="eastAsia" w:asciiTheme="minorEastAsia" w:hAnsiTheme="minorEastAsia" w:eastAsiaTheme="minorEastAsia" w:cstheme="minorEastAsia"/>
          <w:color w:val="auto"/>
          <w:spacing w:val="14"/>
          <w:sz w:val="21"/>
          <w:szCs w:val="21"/>
        </w:rPr>
        <w:t xml:space="preserve"> </w:t>
      </w:r>
      <w:r>
        <w:rPr>
          <w:rFonts w:hint="eastAsia" w:asciiTheme="minorEastAsia" w:hAnsiTheme="minorEastAsia" w:eastAsiaTheme="minorEastAsia" w:cstheme="minorEastAsia"/>
          <w:color w:val="auto"/>
          <w:spacing w:val="1"/>
          <w:sz w:val="21"/>
          <w:szCs w:val="21"/>
        </w:rPr>
        <w:t>款，或者采购需求中带“★”的条款。</w:t>
      </w:r>
    </w:p>
    <w:p w14:paraId="2E7BC901">
      <w:pPr>
        <w:spacing w:before="168" w:line="304" w:lineRule="auto"/>
        <w:ind w:right="63" w:firstLine="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2.8“正偏离”,是指投标文件对招标文件“采购需求”中有关条款作出的</w:t>
      </w:r>
      <w:r>
        <w:rPr>
          <w:rFonts w:hint="eastAsia" w:asciiTheme="minorEastAsia" w:hAnsiTheme="minorEastAsia" w:eastAsiaTheme="minorEastAsia" w:cstheme="minorEastAsia"/>
          <w:color w:val="auto"/>
          <w:spacing w:val="3"/>
          <w:sz w:val="21"/>
          <w:szCs w:val="21"/>
        </w:rPr>
        <w:t>响应优于条款要求</w:t>
      </w:r>
      <w:r>
        <w:rPr>
          <w:rFonts w:hint="eastAsia" w:asciiTheme="minorEastAsia" w:hAnsiTheme="minorEastAsia" w:eastAsiaTheme="minorEastAsia" w:cstheme="minorEastAsia"/>
          <w:color w:val="auto"/>
          <w:sz w:val="21"/>
          <w:szCs w:val="21"/>
        </w:rPr>
        <w:t xml:space="preserve"> 并有利于采购人的情形。</w:t>
      </w:r>
    </w:p>
    <w:p w14:paraId="00F917DE">
      <w:pPr>
        <w:spacing w:before="148" w:line="278" w:lineRule="auto"/>
        <w:ind w:right="66" w:firstLine="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2.9“负偏离”,是指投标文件对招标文件“采购需求”中有关条款</w:t>
      </w:r>
      <w:r>
        <w:rPr>
          <w:rFonts w:hint="eastAsia" w:asciiTheme="minorEastAsia" w:hAnsiTheme="minorEastAsia" w:eastAsiaTheme="minorEastAsia" w:cstheme="minorEastAsia"/>
          <w:color w:val="auto"/>
          <w:spacing w:val="3"/>
          <w:sz w:val="21"/>
          <w:szCs w:val="21"/>
        </w:rPr>
        <w:t>作出的响应不满足条款要</w:t>
      </w:r>
      <w:r>
        <w:rPr>
          <w:rFonts w:hint="eastAsia" w:asciiTheme="minorEastAsia" w:hAnsiTheme="minorEastAsia" w:eastAsiaTheme="minorEastAsia" w:cstheme="minorEastAsia"/>
          <w:color w:val="auto"/>
          <w:sz w:val="21"/>
          <w:szCs w:val="21"/>
        </w:rPr>
        <w:t xml:space="preserve"> 求，导致采购人要求不能得到满足的情形。</w:t>
      </w:r>
    </w:p>
    <w:p w14:paraId="254C8CD6">
      <w:pPr>
        <w:spacing w:before="177" w:line="221"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2.10“允许负偏离的条款”是指采购需求中的不属于“实质性要求”的条款。</w:t>
      </w:r>
    </w:p>
    <w:p w14:paraId="7708784A">
      <w:pPr>
        <w:spacing w:before="219" w:line="222"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8"/>
          <w:sz w:val="21"/>
          <w:szCs w:val="21"/>
        </w:rPr>
        <w:t>3.投标人的资格要求</w:t>
      </w:r>
    </w:p>
    <w:p w14:paraId="3FCEAC69">
      <w:pPr>
        <w:spacing w:before="167" w:line="221"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投标人的资格要求详见“招标公告”。</w:t>
      </w:r>
    </w:p>
    <w:p w14:paraId="262E7F76">
      <w:pPr>
        <w:spacing w:before="191" w:line="222"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4.投</w:t>
      </w:r>
      <w:r>
        <w:rPr>
          <w:rFonts w:hint="eastAsia" w:asciiTheme="minorEastAsia" w:hAnsiTheme="minorEastAsia" w:eastAsiaTheme="minorEastAsia" w:cstheme="minorEastAsia"/>
          <w:color w:val="auto"/>
          <w:spacing w:val="-46"/>
          <w:sz w:val="21"/>
          <w:szCs w:val="21"/>
        </w:rPr>
        <w:t xml:space="preserve"> </w:t>
      </w:r>
      <w:r>
        <w:rPr>
          <w:rFonts w:hint="eastAsia" w:asciiTheme="minorEastAsia" w:hAnsiTheme="minorEastAsia" w:eastAsiaTheme="minorEastAsia" w:cstheme="minorEastAsia"/>
          <w:color w:val="auto"/>
          <w:spacing w:val="-1"/>
          <w:sz w:val="21"/>
          <w:szCs w:val="21"/>
        </w:rPr>
        <w:t>标</w:t>
      </w:r>
      <w:r>
        <w:rPr>
          <w:rFonts w:hint="eastAsia" w:asciiTheme="minorEastAsia" w:hAnsiTheme="minorEastAsia" w:eastAsiaTheme="minorEastAsia" w:cstheme="minorEastAsia"/>
          <w:color w:val="auto"/>
          <w:spacing w:val="-43"/>
          <w:sz w:val="21"/>
          <w:szCs w:val="21"/>
        </w:rPr>
        <w:t xml:space="preserve"> </w:t>
      </w:r>
      <w:r>
        <w:rPr>
          <w:rFonts w:hint="eastAsia" w:asciiTheme="minorEastAsia" w:hAnsiTheme="minorEastAsia" w:eastAsiaTheme="minorEastAsia" w:cstheme="minorEastAsia"/>
          <w:color w:val="auto"/>
          <w:spacing w:val="-1"/>
          <w:sz w:val="21"/>
          <w:szCs w:val="21"/>
        </w:rPr>
        <w:t>委</w:t>
      </w:r>
      <w:r>
        <w:rPr>
          <w:rFonts w:hint="eastAsia" w:asciiTheme="minorEastAsia" w:hAnsiTheme="minorEastAsia" w:eastAsiaTheme="minorEastAsia" w:cstheme="minorEastAsia"/>
          <w:color w:val="auto"/>
          <w:spacing w:val="-46"/>
          <w:sz w:val="21"/>
          <w:szCs w:val="21"/>
        </w:rPr>
        <w:t xml:space="preserve"> </w:t>
      </w:r>
      <w:r>
        <w:rPr>
          <w:rFonts w:hint="eastAsia" w:asciiTheme="minorEastAsia" w:hAnsiTheme="minorEastAsia" w:eastAsiaTheme="minorEastAsia" w:cstheme="minorEastAsia"/>
          <w:color w:val="auto"/>
          <w:spacing w:val="-1"/>
          <w:sz w:val="21"/>
          <w:szCs w:val="21"/>
        </w:rPr>
        <w:t>托</w:t>
      </w:r>
    </w:p>
    <w:p w14:paraId="1F7BCD7B">
      <w:pPr>
        <w:spacing w:before="147" w:line="369" w:lineRule="auto"/>
        <w:ind w:firstLine="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投标人代表参加投标活动过程中必须携带个人有效身份证件。如投标人代表不是法定代表人，</w:t>
      </w:r>
      <w:r>
        <w:rPr>
          <w:rFonts w:hint="eastAsia" w:asciiTheme="minorEastAsia" w:hAnsiTheme="minorEastAsia" w:eastAsiaTheme="minorEastAsia" w:cstheme="minorEastAsia"/>
          <w:color w:val="auto"/>
          <w:spacing w:val="13"/>
          <w:sz w:val="21"/>
          <w:szCs w:val="21"/>
        </w:rPr>
        <w:t xml:space="preserve"> </w:t>
      </w:r>
      <w:r>
        <w:rPr>
          <w:rFonts w:hint="eastAsia" w:asciiTheme="minorEastAsia" w:hAnsiTheme="minorEastAsia" w:eastAsiaTheme="minorEastAsia" w:cstheme="minorEastAsia"/>
          <w:color w:val="auto"/>
          <w:spacing w:val="8"/>
          <w:sz w:val="21"/>
          <w:szCs w:val="21"/>
        </w:rPr>
        <w:t>须持有法定代表人授权委托书(按第六章要求格式填写)。</w:t>
      </w:r>
    </w:p>
    <w:p w14:paraId="1D362806">
      <w:pPr>
        <w:spacing w:before="31" w:line="222" w:lineRule="auto"/>
        <w:ind w:left="5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5.投</w:t>
      </w:r>
      <w:r>
        <w:rPr>
          <w:rFonts w:hint="eastAsia" w:asciiTheme="minorEastAsia" w:hAnsiTheme="minorEastAsia" w:eastAsiaTheme="minorEastAsia" w:cstheme="minorEastAsia"/>
          <w:color w:val="auto"/>
          <w:spacing w:val="-45"/>
          <w:sz w:val="21"/>
          <w:szCs w:val="21"/>
        </w:rPr>
        <w:t xml:space="preserve"> </w:t>
      </w:r>
      <w:r>
        <w:rPr>
          <w:rFonts w:hint="eastAsia" w:asciiTheme="minorEastAsia" w:hAnsiTheme="minorEastAsia" w:eastAsiaTheme="minorEastAsia" w:cstheme="minorEastAsia"/>
          <w:color w:val="auto"/>
          <w:spacing w:val="-1"/>
          <w:sz w:val="21"/>
          <w:szCs w:val="21"/>
        </w:rPr>
        <w:t>标</w:t>
      </w:r>
      <w:r>
        <w:rPr>
          <w:rFonts w:hint="eastAsia" w:asciiTheme="minorEastAsia" w:hAnsiTheme="minorEastAsia" w:eastAsiaTheme="minorEastAsia" w:cstheme="minorEastAsia"/>
          <w:color w:val="auto"/>
          <w:spacing w:val="-43"/>
          <w:sz w:val="21"/>
          <w:szCs w:val="21"/>
        </w:rPr>
        <w:t xml:space="preserve"> </w:t>
      </w:r>
      <w:r>
        <w:rPr>
          <w:rFonts w:hint="eastAsia" w:asciiTheme="minorEastAsia" w:hAnsiTheme="minorEastAsia" w:eastAsiaTheme="minorEastAsia" w:cstheme="minorEastAsia"/>
          <w:color w:val="auto"/>
          <w:spacing w:val="-1"/>
          <w:sz w:val="21"/>
          <w:szCs w:val="21"/>
        </w:rPr>
        <w:t>费</w:t>
      </w:r>
      <w:r>
        <w:rPr>
          <w:rFonts w:hint="eastAsia" w:asciiTheme="minorEastAsia" w:hAnsiTheme="minorEastAsia" w:eastAsiaTheme="minorEastAsia" w:cstheme="minorEastAsia"/>
          <w:color w:val="auto"/>
          <w:spacing w:val="-41"/>
          <w:sz w:val="21"/>
          <w:szCs w:val="21"/>
        </w:rPr>
        <w:t xml:space="preserve"> </w:t>
      </w:r>
      <w:r>
        <w:rPr>
          <w:rFonts w:hint="eastAsia" w:asciiTheme="minorEastAsia" w:hAnsiTheme="minorEastAsia" w:eastAsiaTheme="minorEastAsia" w:cstheme="minorEastAsia"/>
          <w:color w:val="auto"/>
          <w:spacing w:val="-1"/>
          <w:sz w:val="21"/>
          <w:szCs w:val="21"/>
        </w:rPr>
        <w:t>用</w:t>
      </w:r>
    </w:p>
    <w:p w14:paraId="1617FA3E">
      <w:pPr>
        <w:spacing w:before="167" w:line="366" w:lineRule="auto"/>
        <w:ind w:right="68" w:firstLine="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投标费用：投标人应承担参与本次采购活动有关的所有费用，</w:t>
      </w:r>
      <w:r>
        <w:rPr>
          <w:rFonts w:hint="eastAsia" w:asciiTheme="minorEastAsia" w:hAnsiTheme="minorEastAsia" w:eastAsiaTheme="minorEastAsia" w:cstheme="minorEastAsia"/>
          <w:color w:val="auto"/>
          <w:spacing w:val="-2"/>
          <w:sz w:val="21"/>
          <w:szCs w:val="21"/>
        </w:rPr>
        <w:t>包括但不限于勘查现场、编制投</w:t>
      </w:r>
      <w:r>
        <w:rPr>
          <w:rFonts w:hint="eastAsia" w:asciiTheme="minorEastAsia" w:hAnsiTheme="minorEastAsia" w:eastAsiaTheme="minorEastAsia" w:cstheme="minorEastAsia"/>
          <w:color w:val="auto"/>
          <w:sz w:val="21"/>
          <w:szCs w:val="21"/>
        </w:rPr>
        <w:t xml:space="preserve"> 标文件、参加澄清说明、签订合同等，不论投标结果如何，均应自行承担。</w:t>
      </w:r>
    </w:p>
    <w:p w14:paraId="288BA6B0">
      <w:pPr>
        <w:spacing w:before="26" w:line="222"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8"/>
          <w:sz w:val="21"/>
          <w:szCs w:val="21"/>
        </w:rPr>
        <w:t>6.联合体投标</w:t>
      </w:r>
    </w:p>
    <w:p w14:paraId="605BAEE2">
      <w:pPr>
        <w:spacing w:before="178" w:line="213"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6.1本项目是否接受联合体投标，详见“投标人须知前附表”。</w:t>
      </w:r>
    </w:p>
    <w:p w14:paraId="7C822DEB">
      <w:pPr>
        <w:spacing w:line="213" w:lineRule="auto"/>
        <w:rPr>
          <w:rFonts w:hint="eastAsia" w:asciiTheme="minorEastAsia" w:hAnsiTheme="minorEastAsia" w:eastAsiaTheme="minorEastAsia" w:cstheme="minorEastAsia"/>
          <w:color w:val="auto"/>
          <w:sz w:val="21"/>
          <w:szCs w:val="21"/>
        </w:rPr>
        <w:sectPr>
          <w:footerReference r:id="rId11" w:type="default"/>
          <w:pgSz w:w="11900" w:h="16830"/>
          <w:pgMar w:top="1394" w:right="1425" w:bottom="991" w:left="1440" w:header="0" w:footer="847" w:gutter="0"/>
          <w:cols w:space="720" w:num="1"/>
        </w:sectPr>
      </w:pPr>
    </w:p>
    <w:p w14:paraId="59AC8F02">
      <w:pPr>
        <w:spacing w:before="42" w:line="213" w:lineRule="auto"/>
        <w:ind w:left="41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6.2如接受联合体投标，联合体投标要求详见“投标人须知前附表”。</w:t>
      </w:r>
    </w:p>
    <w:p w14:paraId="063E8D76">
      <w:pPr>
        <w:spacing w:before="164" w:line="329" w:lineRule="auto"/>
        <w:ind w:firstLine="41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6.3根据《政府采购促进中小企业发展管理办法》(财库[</w:t>
      </w:r>
      <w:r>
        <w:rPr>
          <w:rFonts w:hint="eastAsia" w:asciiTheme="minorEastAsia" w:hAnsiTheme="minorEastAsia" w:eastAsiaTheme="minorEastAsia" w:cstheme="minorEastAsia"/>
          <w:color w:val="auto"/>
          <w:spacing w:val="5"/>
          <w:sz w:val="21"/>
          <w:szCs w:val="21"/>
        </w:rPr>
        <w:t>2020]46号)第九条，《广西壮族自</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5"/>
          <w:sz w:val="21"/>
          <w:szCs w:val="21"/>
        </w:rPr>
        <w:t>治区财政厅关于贯彻落实政府采购支持中小企业发展政策的通知》(桂财采〔2022〕31号)规定，</w:t>
      </w:r>
      <w:r>
        <w:rPr>
          <w:rFonts w:hint="eastAsia" w:asciiTheme="minorEastAsia" w:hAnsiTheme="minorEastAsia" w:eastAsiaTheme="minorEastAsia" w:cstheme="minorEastAsia"/>
          <w:color w:val="auto"/>
          <w:spacing w:val="13"/>
          <w:sz w:val="21"/>
          <w:szCs w:val="21"/>
        </w:rPr>
        <w:t xml:space="preserve"> </w:t>
      </w:r>
      <w:r>
        <w:rPr>
          <w:rFonts w:hint="eastAsia" w:asciiTheme="minorEastAsia" w:hAnsiTheme="minorEastAsia" w:eastAsiaTheme="minorEastAsia" w:cstheme="minorEastAsia"/>
          <w:color w:val="auto"/>
          <w:spacing w:val="-1"/>
          <w:sz w:val="21"/>
          <w:szCs w:val="21"/>
        </w:rPr>
        <w:t>接受大中型企业与小微企业组成联合体的采购项目，对</w:t>
      </w:r>
      <w:r>
        <w:rPr>
          <w:rFonts w:hint="eastAsia" w:asciiTheme="minorEastAsia" w:hAnsiTheme="minorEastAsia" w:eastAsiaTheme="minorEastAsia" w:cstheme="minorEastAsia"/>
          <w:color w:val="auto"/>
          <w:spacing w:val="-2"/>
          <w:sz w:val="21"/>
          <w:szCs w:val="21"/>
        </w:rPr>
        <w:t>于联合协议约定小微企业的合同份额占到合</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4"/>
          <w:sz w:val="21"/>
          <w:szCs w:val="21"/>
        </w:rPr>
        <w:t>同总金额30%以上的，采购人、采购代理</w:t>
      </w:r>
      <w:r>
        <w:rPr>
          <w:rFonts w:hint="eastAsia" w:asciiTheme="minorEastAsia" w:hAnsiTheme="minorEastAsia" w:eastAsiaTheme="minorEastAsia" w:cstheme="minorEastAsia"/>
          <w:color w:val="auto"/>
          <w:spacing w:val="3"/>
          <w:sz w:val="21"/>
          <w:szCs w:val="21"/>
        </w:rPr>
        <w:t>机构应当对联合体的报价给予4%-6%的扣除，用扣除后的</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1"/>
          <w:sz w:val="21"/>
          <w:szCs w:val="21"/>
        </w:rPr>
        <w:t>价格参加评审。组成联合体的小微企业与联合体内其他企业、分包企业之间存在直接控股、管理关</w:t>
      </w:r>
      <w:r>
        <w:rPr>
          <w:rFonts w:hint="eastAsia" w:asciiTheme="minorEastAsia" w:hAnsiTheme="minorEastAsia" w:eastAsiaTheme="minorEastAsia" w:cstheme="minorEastAsia"/>
          <w:color w:val="auto"/>
          <w:spacing w:val="4"/>
          <w:sz w:val="21"/>
          <w:szCs w:val="21"/>
        </w:rPr>
        <w:t xml:space="preserve"> </w:t>
      </w:r>
      <w:r>
        <w:rPr>
          <w:rFonts w:hint="eastAsia" w:asciiTheme="minorEastAsia" w:hAnsiTheme="minorEastAsia" w:eastAsiaTheme="minorEastAsia" w:cstheme="minorEastAsia"/>
          <w:color w:val="auto"/>
          <w:spacing w:val="-1"/>
          <w:sz w:val="21"/>
          <w:szCs w:val="21"/>
        </w:rPr>
        <w:t>系的，不享受价格扣除优惠政策。</w:t>
      </w:r>
    </w:p>
    <w:p w14:paraId="0AF00AC8">
      <w:pPr>
        <w:spacing w:before="267" w:line="222" w:lineRule="auto"/>
        <w:ind w:left="4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7.转</w:t>
      </w:r>
      <w:r>
        <w:rPr>
          <w:rFonts w:hint="eastAsia" w:asciiTheme="minorEastAsia" w:hAnsiTheme="minorEastAsia" w:eastAsiaTheme="minorEastAsia" w:cstheme="minorEastAsia"/>
          <w:color w:val="auto"/>
          <w:spacing w:val="-46"/>
          <w:sz w:val="21"/>
          <w:szCs w:val="21"/>
        </w:rPr>
        <w:t xml:space="preserve"> </w:t>
      </w:r>
      <w:r>
        <w:rPr>
          <w:rFonts w:hint="eastAsia" w:asciiTheme="minorEastAsia" w:hAnsiTheme="minorEastAsia" w:eastAsiaTheme="minorEastAsia" w:cstheme="minorEastAsia"/>
          <w:color w:val="auto"/>
          <w:spacing w:val="-4"/>
          <w:sz w:val="21"/>
          <w:szCs w:val="21"/>
        </w:rPr>
        <w:t>包</w:t>
      </w:r>
      <w:r>
        <w:rPr>
          <w:rFonts w:hint="eastAsia" w:asciiTheme="minorEastAsia" w:hAnsiTheme="minorEastAsia" w:eastAsiaTheme="minorEastAsia" w:cstheme="minorEastAsia"/>
          <w:color w:val="auto"/>
          <w:spacing w:val="-40"/>
          <w:sz w:val="21"/>
          <w:szCs w:val="21"/>
        </w:rPr>
        <w:t xml:space="preserve"> </w:t>
      </w:r>
      <w:r>
        <w:rPr>
          <w:rFonts w:hint="eastAsia" w:asciiTheme="minorEastAsia" w:hAnsiTheme="minorEastAsia" w:eastAsiaTheme="minorEastAsia" w:cstheme="minorEastAsia"/>
          <w:color w:val="auto"/>
          <w:spacing w:val="-4"/>
          <w:sz w:val="21"/>
          <w:szCs w:val="21"/>
        </w:rPr>
        <w:t>与</w:t>
      </w:r>
      <w:r>
        <w:rPr>
          <w:rFonts w:hint="eastAsia" w:asciiTheme="minorEastAsia" w:hAnsiTheme="minorEastAsia" w:eastAsiaTheme="minorEastAsia" w:cstheme="minorEastAsia"/>
          <w:color w:val="auto"/>
          <w:spacing w:val="-44"/>
          <w:sz w:val="21"/>
          <w:szCs w:val="21"/>
        </w:rPr>
        <w:t xml:space="preserve"> </w:t>
      </w:r>
      <w:r>
        <w:rPr>
          <w:rFonts w:hint="eastAsia" w:asciiTheme="minorEastAsia" w:hAnsiTheme="minorEastAsia" w:eastAsiaTheme="minorEastAsia" w:cstheme="minorEastAsia"/>
          <w:color w:val="auto"/>
          <w:spacing w:val="-4"/>
          <w:sz w:val="21"/>
          <w:szCs w:val="21"/>
        </w:rPr>
        <w:t>分</w:t>
      </w:r>
      <w:r>
        <w:rPr>
          <w:rFonts w:hint="eastAsia" w:asciiTheme="minorEastAsia" w:hAnsiTheme="minorEastAsia" w:eastAsiaTheme="minorEastAsia" w:cstheme="minorEastAsia"/>
          <w:color w:val="auto"/>
          <w:spacing w:val="-50"/>
          <w:sz w:val="21"/>
          <w:szCs w:val="21"/>
        </w:rPr>
        <w:t xml:space="preserve"> </w:t>
      </w:r>
      <w:r>
        <w:rPr>
          <w:rFonts w:hint="eastAsia" w:asciiTheme="minorEastAsia" w:hAnsiTheme="minorEastAsia" w:eastAsiaTheme="minorEastAsia" w:cstheme="minorEastAsia"/>
          <w:color w:val="auto"/>
          <w:spacing w:val="-4"/>
          <w:sz w:val="21"/>
          <w:szCs w:val="21"/>
        </w:rPr>
        <w:t>包</w:t>
      </w:r>
    </w:p>
    <w:p w14:paraId="367D6504">
      <w:pPr>
        <w:spacing w:before="154" w:line="222" w:lineRule="auto"/>
        <w:ind w:left="42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5"/>
          <w:sz w:val="21"/>
          <w:szCs w:val="21"/>
        </w:rPr>
        <w:t>7.1本项目不允许转包。</w:t>
      </w:r>
    </w:p>
    <w:p w14:paraId="37FAF3CC">
      <w:pPr>
        <w:spacing w:before="169" w:line="303" w:lineRule="auto"/>
        <w:ind w:right="90" w:firstLine="41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7.2本项目是否允许分包详见“投标人须知前附表”,本项</w:t>
      </w:r>
      <w:r>
        <w:rPr>
          <w:rFonts w:hint="eastAsia" w:asciiTheme="minorEastAsia" w:hAnsiTheme="minorEastAsia" w:eastAsiaTheme="minorEastAsia" w:cstheme="minorEastAsia"/>
          <w:color w:val="auto"/>
          <w:spacing w:val="3"/>
          <w:sz w:val="21"/>
          <w:szCs w:val="21"/>
        </w:rPr>
        <w:t>目不允许违法分包。投标人根据招</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4"/>
          <w:sz w:val="21"/>
          <w:szCs w:val="21"/>
        </w:rPr>
        <w:t>标文件的规定和采购项目的实际情况，拟在中标后将中标项目</w:t>
      </w:r>
      <w:r>
        <w:rPr>
          <w:rFonts w:hint="eastAsia" w:asciiTheme="minorEastAsia" w:hAnsiTheme="minorEastAsia" w:eastAsiaTheme="minorEastAsia" w:cstheme="minorEastAsia"/>
          <w:color w:val="auto"/>
          <w:spacing w:val="3"/>
          <w:sz w:val="21"/>
          <w:szCs w:val="21"/>
        </w:rPr>
        <w:t>的非主体、非关键性工作分包的，</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1"/>
          <w:sz w:val="21"/>
          <w:szCs w:val="21"/>
        </w:rPr>
        <w:t>应当在投标文件中载明分包承担主体，分包承担主体应当具备相应资质条件且不得再次分包。</w:t>
      </w:r>
    </w:p>
    <w:p w14:paraId="614E9045">
      <w:pPr>
        <w:spacing w:before="169" w:line="337" w:lineRule="auto"/>
        <w:ind w:firstLine="41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7.3根据《政府采购促进中小企业发展管理办法》(财库</w:t>
      </w:r>
      <w:r>
        <w:rPr>
          <w:rFonts w:hint="eastAsia" w:asciiTheme="minorEastAsia" w:hAnsiTheme="minorEastAsia" w:eastAsiaTheme="minorEastAsia" w:cstheme="minorEastAsia"/>
          <w:color w:val="auto"/>
          <w:spacing w:val="5"/>
          <w:sz w:val="21"/>
          <w:szCs w:val="21"/>
        </w:rPr>
        <w:t>[2020]46号)第九条及《广西壮族自</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5"/>
          <w:sz w:val="21"/>
          <w:szCs w:val="21"/>
        </w:rPr>
        <w:t>治区财政厅关于贯彻落实政府采购支持中小企业发展政策的通知》(桂财采〔2022〕31号)规定，</w:t>
      </w:r>
      <w:r>
        <w:rPr>
          <w:rFonts w:hint="eastAsia" w:asciiTheme="minorEastAsia" w:hAnsiTheme="minorEastAsia" w:eastAsiaTheme="minorEastAsia" w:cstheme="minorEastAsia"/>
          <w:color w:val="auto"/>
          <w:spacing w:val="13"/>
          <w:sz w:val="21"/>
          <w:szCs w:val="21"/>
        </w:rPr>
        <w:t xml:space="preserve"> </w:t>
      </w:r>
      <w:r>
        <w:rPr>
          <w:rFonts w:hint="eastAsia" w:asciiTheme="minorEastAsia" w:hAnsiTheme="minorEastAsia" w:eastAsiaTheme="minorEastAsia" w:cstheme="minorEastAsia"/>
          <w:color w:val="auto"/>
          <w:spacing w:val="-1"/>
          <w:sz w:val="21"/>
          <w:szCs w:val="21"/>
        </w:rPr>
        <w:t>允许大中型企业向一家或者多家小微企业分包的采购项目，对于分包意向协</w:t>
      </w:r>
      <w:r>
        <w:rPr>
          <w:rFonts w:hint="eastAsia" w:asciiTheme="minorEastAsia" w:hAnsiTheme="minorEastAsia" w:eastAsiaTheme="minorEastAsia" w:cstheme="minorEastAsia"/>
          <w:color w:val="auto"/>
          <w:spacing w:val="-2"/>
          <w:sz w:val="21"/>
          <w:szCs w:val="21"/>
        </w:rPr>
        <w:t>议约定小微企业的合同</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3"/>
          <w:sz w:val="21"/>
          <w:szCs w:val="21"/>
        </w:rPr>
        <w:t>份额占到合同总金额30%以上的，采购人、采购代理机构应当对大中型企业的报价给予4%-6%的扣</w:t>
      </w:r>
      <w:r>
        <w:rPr>
          <w:rFonts w:hint="eastAsia" w:asciiTheme="minorEastAsia" w:hAnsiTheme="minorEastAsia" w:eastAsiaTheme="minorEastAsia" w:cstheme="minorEastAsia"/>
          <w:color w:val="auto"/>
          <w:spacing w:val="7"/>
          <w:sz w:val="21"/>
          <w:szCs w:val="21"/>
        </w:rPr>
        <w:t xml:space="preserve">  </w:t>
      </w:r>
      <w:r>
        <w:rPr>
          <w:rFonts w:hint="eastAsia" w:asciiTheme="minorEastAsia" w:hAnsiTheme="minorEastAsia" w:eastAsiaTheme="minorEastAsia" w:cstheme="minorEastAsia"/>
          <w:color w:val="auto"/>
          <w:spacing w:val="1"/>
          <w:sz w:val="21"/>
          <w:szCs w:val="21"/>
        </w:rPr>
        <w:t>除，用扣除后的价格参加评审。接受分包的小微企业与分包企业之间存在直接</w:t>
      </w:r>
      <w:r>
        <w:rPr>
          <w:rFonts w:hint="eastAsia" w:asciiTheme="minorEastAsia" w:hAnsiTheme="minorEastAsia" w:eastAsiaTheme="minorEastAsia" w:cstheme="minorEastAsia"/>
          <w:color w:val="auto"/>
          <w:sz w:val="21"/>
          <w:szCs w:val="21"/>
        </w:rPr>
        <w:t>控股、管理关系的， 不享受价格扣除优惠政策。</w:t>
      </w:r>
    </w:p>
    <w:p w14:paraId="13C77CCF">
      <w:pPr>
        <w:spacing w:before="217" w:line="221" w:lineRule="auto"/>
        <w:ind w:left="4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2"/>
          <w:sz w:val="21"/>
          <w:szCs w:val="21"/>
        </w:rPr>
        <w:t>8.特别说明：</w:t>
      </w:r>
    </w:p>
    <w:p w14:paraId="511F493A">
      <w:pPr>
        <w:spacing w:before="159" w:line="295" w:lineRule="auto"/>
        <w:ind w:right="55" w:firstLine="41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8.1如果本招标文件要求投标人提供资格、信誉、荣誉、业绩与企业认证等材料的，贝投标人</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1"/>
          <w:sz w:val="21"/>
          <w:szCs w:val="21"/>
        </w:rPr>
        <w:t>所提供的以上材料必须为该投标人所拥有。</w:t>
      </w:r>
    </w:p>
    <w:p w14:paraId="178972B7">
      <w:pPr>
        <w:spacing w:before="140" w:line="299" w:lineRule="auto"/>
        <w:ind w:right="71" w:firstLine="41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8.2投标人应仔细阅读招标文件的所有内容，按照招标</w:t>
      </w:r>
      <w:r>
        <w:rPr>
          <w:rFonts w:hint="eastAsia" w:asciiTheme="minorEastAsia" w:hAnsiTheme="minorEastAsia" w:eastAsiaTheme="minorEastAsia" w:cstheme="minorEastAsia"/>
          <w:color w:val="auto"/>
          <w:spacing w:val="1"/>
          <w:sz w:val="21"/>
          <w:szCs w:val="21"/>
        </w:rPr>
        <w:t>文件的要求提交投标文件，并对所提供</w:t>
      </w:r>
      <w:r>
        <w:rPr>
          <w:rFonts w:hint="eastAsia" w:asciiTheme="minorEastAsia" w:hAnsiTheme="minorEastAsia" w:eastAsiaTheme="minorEastAsia" w:cstheme="minorEastAsia"/>
          <w:color w:val="auto"/>
          <w:sz w:val="21"/>
          <w:szCs w:val="21"/>
        </w:rPr>
        <w:t xml:space="preserve"> 的全部资料的真实性承担法律责任。</w:t>
      </w:r>
    </w:p>
    <w:p w14:paraId="1D07AF11">
      <w:pPr>
        <w:spacing w:before="149" w:line="311" w:lineRule="auto"/>
        <w:ind w:right="74" w:firstLine="41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8.3投标人在投标活动中提供任何虚假材料，将</w:t>
      </w:r>
      <w:r>
        <w:rPr>
          <w:rFonts w:hint="eastAsia" w:asciiTheme="minorEastAsia" w:hAnsiTheme="minorEastAsia" w:eastAsiaTheme="minorEastAsia" w:cstheme="minorEastAsia"/>
          <w:color w:val="auto"/>
          <w:spacing w:val="1"/>
          <w:sz w:val="21"/>
          <w:szCs w:val="21"/>
        </w:rPr>
        <w:t>报监管部门查处；中标后发现的，中标人须依</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4"/>
          <w:sz w:val="21"/>
          <w:szCs w:val="21"/>
        </w:rPr>
        <w:t>照《中华人民共和国消费者权益保护法》规定赔偿采购人，且民事赔偿并不免除违法投标人</w:t>
      </w:r>
      <w:r>
        <w:rPr>
          <w:rFonts w:hint="eastAsia" w:asciiTheme="minorEastAsia" w:hAnsiTheme="minorEastAsia" w:eastAsiaTheme="minorEastAsia" w:cstheme="minorEastAsia"/>
          <w:color w:val="auto"/>
          <w:spacing w:val="3"/>
          <w:sz w:val="21"/>
          <w:szCs w:val="21"/>
        </w:rPr>
        <w:t>的行</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2"/>
          <w:sz w:val="21"/>
          <w:szCs w:val="21"/>
        </w:rPr>
        <w:t>政与刑事责任。</w:t>
      </w:r>
    </w:p>
    <w:p w14:paraId="372489F2">
      <w:pPr>
        <w:spacing w:before="220" w:line="222" w:lineRule="auto"/>
        <w:ind w:left="4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7"/>
          <w:sz w:val="21"/>
          <w:szCs w:val="21"/>
        </w:rPr>
        <w:t>9.回避与串通投标</w:t>
      </w:r>
    </w:p>
    <w:p w14:paraId="2FE27BFF">
      <w:pPr>
        <w:spacing w:before="154" w:line="213" w:lineRule="auto"/>
        <w:ind w:left="42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9.1在政府采购活动中，采购人员及相关人员与供应商有下列利害关系之一的，应当回避：</w:t>
      </w:r>
    </w:p>
    <w:p w14:paraId="1EE47598">
      <w:pPr>
        <w:spacing w:before="171" w:line="213" w:lineRule="auto"/>
        <w:ind w:left="4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(1)参加采购活动前3年内与供应商存在劳动关系；</w:t>
      </w:r>
    </w:p>
    <w:p w14:paraId="691D1396">
      <w:pPr>
        <w:spacing w:before="157" w:line="213" w:lineRule="auto"/>
        <w:ind w:left="4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(2)参加采购活动前3年内担任供应商的董事、监事；</w:t>
      </w:r>
    </w:p>
    <w:p w14:paraId="27199065">
      <w:pPr>
        <w:spacing w:before="158" w:line="213" w:lineRule="auto"/>
        <w:ind w:left="4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(3)参加采购活动前3年内是供应商的控股股东或者实际控制人；</w:t>
      </w:r>
    </w:p>
    <w:p w14:paraId="2774C0EF">
      <w:pPr>
        <w:spacing w:before="176" w:line="292" w:lineRule="auto"/>
        <w:ind w:right="92" w:firstLine="4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(4)与供应商的法定代表人或者负责人有夫妻、直系血亲、三代以内旁系血亲或者近姻亲关</w:t>
      </w:r>
      <w:r>
        <w:rPr>
          <w:rFonts w:hint="eastAsia" w:asciiTheme="minorEastAsia" w:hAnsiTheme="minorEastAsia" w:eastAsiaTheme="minorEastAsia" w:cstheme="minorEastAsia"/>
          <w:color w:val="auto"/>
          <w:spacing w:val="12"/>
          <w:sz w:val="21"/>
          <w:szCs w:val="21"/>
        </w:rPr>
        <w:t xml:space="preserve"> </w:t>
      </w:r>
      <w:r>
        <w:rPr>
          <w:rFonts w:hint="eastAsia" w:asciiTheme="minorEastAsia" w:hAnsiTheme="minorEastAsia" w:eastAsiaTheme="minorEastAsia" w:cstheme="minorEastAsia"/>
          <w:color w:val="auto"/>
          <w:spacing w:val="-4"/>
          <w:sz w:val="21"/>
          <w:szCs w:val="21"/>
        </w:rPr>
        <w:t>系；</w:t>
      </w:r>
    </w:p>
    <w:p w14:paraId="2E3A7687">
      <w:pPr>
        <w:spacing w:before="147" w:line="222" w:lineRule="auto"/>
        <w:ind w:left="4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(5)与供应商有其他可能影响政府采购活动公平、公正进</w:t>
      </w:r>
      <w:r>
        <w:rPr>
          <w:rFonts w:hint="eastAsia" w:asciiTheme="minorEastAsia" w:hAnsiTheme="minorEastAsia" w:eastAsiaTheme="minorEastAsia" w:cstheme="minorEastAsia"/>
          <w:color w:val="auto"/>
          <w:spacing w:val="3"/>
          <w:sz w:val="21"/>
          <w:szCs w:val="21"/>
        </w:rPr>
        <w:t>行的关系。</w:t>
      </w:r>
    </w:p>
    <w:p w14:paraId="385E997E">
      <w:pPr>
        <w:spacing w:before="158" w:line="213" w:lineRule="auto"/>
        <w:ind w:left="41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供应商认为采购人员及相关人员与其他供应商有利害关</w:t>
      </w:r>
      <w:r>
        <w:rPr>
          <w:rFonts w:hint="eastAsia" w:asciiTheme="minorEastAsia" w:hAnsiTheme="minorEastAsia" w:eastAsiaTheme="minorEastAsia" w:cstheme="minorEastAsia"/>
          <w:color w:val="auto"/>
          <w:spacing w:val="-2"/>
          <w:sz w:val="21"/>
          <w:szCs w:val="21"/>
        </w:rPr>
        <w:t>系的，可以向采购人或者采购代理机构</w:t>
      </w:r>
    </w:p>
    <w:p w14:paraId="4C29DB13">
      <w:pPr>
        <w:spacing w:line="213" w:lineRule="auto"/>
        <w:rPr>
          <w:rFonts w:hint="eastAsia" w:asciiTheme="minorEastAsia" w:hAnsiTheme="minorEastAsia" w:eastAsiaTheme="minorEastAsia" w:cstheme="minorEastAsia"/>
          <w:color w:val="auto"/>
          <w:sz w:val="21"/>
          <w:szCs w:val="21"/>
        </w:rPr>
        <w:sectPr>
          <w:footerReference r:id="rId12" w:type="default"/>
          <w:pgSz w:w="11900" w:h="16830"/>
          <w:pgMar w:top="1115" w:right="1404" w:bottom="991" w:left="1430" w:header="0" w:footer="847" w:gutter="0"/>
          <w:cols w:space="720" w:num="1"/>
        </w:sectPr>
      </w:pPr>
    </w:p>
    <w:p w14:paraId="51F95499">
      <w:pPr>
        <w:spacing w:before="43" w:line="360" w:lineRule="auto"/>
        <w:ind w:right="10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书面提出回避申请，并说明理由。采购人或者采购代理机构应当及时询问</w:t>
      </w:r>
      <w:r>
        <w:rPr>
          <w:rFonts w:hint="eastAsia" w:asciiTheme="minorEastAsia" w:hAnsiTheme="minorEastAsia" w:eastAsiaTheme="minorEastAsia" w:cstheme="minorEastAsia"/>
          <w:color w:val="auto"/>
          <w:spacing w:val="-2"/>
          <w:sz w:val="21"/>
          <w:szCs w:val="21"/>
        </w:rPr>
        <w:t>被申请回避人员，有利害</w:t>
      </w:r>
      <w:r>
        <w:rPr>
          <w:rFonts w:hint="eastAsia" w:asciiTheme="minorEastAsia" w:hAnsiTheme="minorEastAsia" w:eastAsiaTheme="minorEastAsia" w:cstheme="minorEastAsia"/>
          <w:color w:val="auto"/>
          <w:sz w:val="21"/>
          <w:szCs w:val="21"/>
        </w:rPr>
        <w:t xml:space="preserve"> 关系的被申请回避人员应当回避。</w:t>
      </w:r>
    </w:p>
    <w:p w14:paraId="0D768158">
      <w:pPr>
        <w:spacing w:before="1" w:line="212"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9.2有下列情形之一的视为投标人相互串通投标，投标文件将被视为无效：</w:t>
      </w:r>
    </w:p>
    <w:p w14:paraId="06AA9FE0">
      <w:pPr>
        <w:spacing w:before="167" w:line="213" w:lineRule="auto"/>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(1)不同投标人的投标文件由同一单位或者个人</w:t>
      </w:r>
      <w:r>
        <w:rPr>
          <w:rFonts w:hint="eastAsia" w:asciiTheme="minorEastAsia" w:hAnsiTheme="minorEastAsia" w:eastAsiaTheme="minorEastAsia" w:cstheme="minorEastAsia"/>
          <w:color w:val="auto"/>
          <w:spacing w:val="-1"/>
          <w:sz w:val="21"/>
          <w:szCs w:val="21"/>
        </w:rPr>
        <w:t>编制；或者不同投标人报名的IP</w:t>
      </w:r>
      <w:r>
        <w:rPr>
          <w:rFonts w:hint="eastAsia" w:asciiTheme="minorEastAsia" w:hAnsiTheme="minorEastAsia" w:eastAsiaTheme="minorEastAsia" w:cstheme="minorEastAsia"/>
          <w:color w:val="auto"/>
          <w:spacing w:val="-26"/>
          <w:sz w:val="21"/>
          <w:szCs w:val="21"/>
        </w:rPr>
        <w:t xml:space="preserve"> </w:t>
      </w:r>
      <w:r>
        <w:rPr>
          <w:rFonts w:hint="eastAsia" w:asciiTheme="minorEastAsia" w:hAnsiTheme="minorEastAsia" w:eastAsiaTheme="minorEastAsia" w:cstheme="minorEastAsia"/>
          <w:color w:val="auto"/>
          <w:spacing w:val="-1"/>
          <w:sz w:val="21"/>
          <w:szCs w:val="21"/>
        </w:rPr>
        <w:t>地址一致的；</w:t>
      </w:r>
    </w:p>
    <w:p w14:paraId="4DB7442C">
      <w:pPr>
        <w:spacing w:before="167" w:line="213" w:lineRule="auto"/>
        <w:ind w:left="5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5"/>
          <w:sz w:val="21"/>
          <w:szCs w:val="21"/>
        </w:rPr>
        <w:t>(2)不同投标人委托同一单位或者个人办</w:t>
      </w:r>
      <w:r>
        <w:rPr>
          <w:rFonts w:hint="eastAsia" w:asciiTheme="minorEastAsia" w:hAnsiTheme="minorEastAsia" w:eastAsiaTheme="minorEastAsia" w:cstheme="minorEastAsia"/>
          <w:color w:val="auto"/>
          <w:spacing w:val="4"/>
          <w:sz w:val="21"/>
          <w:szCs w:val="21"/>
        </w:rPr>
        <w:t>理投标事宜；</w:t>
      </w:r>
    </w:p>
    <w:p w14:paraId="41CCC18A">
      <w:pPr>
        <w:spacing w:before="167" w:line="213" w:lineRule="auto"/>
        <w:ind w:left="5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5"/>
          <w:sz w:val="21"/>
          <w:szCs w:val="21"/>
        </w:rPr>
        <w:t>(3)不同的投标人的投标文件载明的项目管理员为同一个人；</w:t>
      </w:r>
    </w:p>
    <w:p w14:paraId="38519ED4">
      <w:pPr>
        <w:spacing w:before="168" w:line="213" w:lineRule="auto"/>
        <w:ind w:left="5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5"/>
          <w:sz w:val="21"/>
          <w:szCs w:val="21"/>
        </w:rPr>
        <w:t>(4)不同投标人的电子投标文件异常一致或者投标报价呈规律性差</w:t>
      </w:r>
      <w:r>
        <w:rPr>
          <w:rFonts w:hint="eastAsia" w:asciiTheme="minorEastAsia" w:hAnsiTheme="minorEastAsia" w:eastAsiaTheme="minorEastAsia" w:cstheme="minorEastAsia"/>
          <w:color w:val="auto"/>
          <w:spacing w:val="4"/>
          <w:sz w:val="21"/>
          <w:szCs w:val="21"/>
        </w:rPr>
        <w:t>异；</w:t>
      </w:r>
    </w:p>
    <w:p w14:paraId="5D454D2D">
      <w:pPr>
        <w:spacing w:before="168" w:line="213" w:lineRule="auto"/>
        <w:ind w:left="5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(5)不同投标人的投标文件相互混装；</w:t>
      </w:r>
    </w:p>
    <w:p w14:paraId="0FDAB72D">
      <w:pPr>
        <w:spacing w:before="166" w:line="221" w:lineRule="auto"/>
        <w:ind w:left="5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(6)不同投标人的投标保证金从同一单位或者个人账户转出。</w:t>
      </w:r>
    </w:p>
    <w:p w14:paraId="1AFC9A2A">
      <w:pPr>
        <w:spacing w:before="160" w:line="213"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9.3供应商有下列情形之一的，属于恶意串通行为，将报同级监督管理部门：</w:t>
      </w:r>
    </w:p>
    <w:p w14:paraId="7F3F7A58">
      <w:pPr>
        <w:spacing w:before="157" w:line="287" w:lineRule="auto"/>
        <w:ind w:right="112" w:firstLine="5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(1)供应商直接或者间接从采购人或者采购代理机构处获得其他供应商的</w:t>
      </w:r>
      <w:r>
        <w:rPr>
          <w:rFonts w:hint="eastAsia" w:asciiTheme="minorEastAsia" w:hAnsiTheme="minorEastAsia" w:eastAsiaTheme="minorEastAsia" w:cstheme="minorEastAsia"/>
          <w:color w:val="auto"/>
          <w:spacing w:val="3"/>
          <w:sz w:val="21"/>
          <w:szCs w:val="21"/>
        </w:rPr>
        <w:t>相关信息并修改其</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1"/>
          <w:sz w:val="21"/>
          <w:szCs w:val="21"/>
        </w:rPr>
        <w:t>投标文件；</w:t>
      </w:r>
    </w:p>
    <w:p w14:paraId="6990DEB1">
      <w:pPr>
        <w:spacing w:before="168" w:line="213" w:lineRule="auto"/>
        <w:ind w:left="5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(2)供应商按照采购人或者采购代理机构的授意撤换、修改投标文件；</w:t>
      </w:r>
    </w:p>
    <w:p w14:paraId="1436ACF0">
      <w:pPr>
        <w:spacing w:before="168" w:line="213" w:lineRule="auto"/>
        <w:ind w:left="5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(3)供应商之间协商报价、技术方案等投标文</w:t>
      </w:r>
      <w:r>
        <w:rPr>
          <w:rFonts w:hint="eastAsia" w:asciiTheme="minorEastAsia" w:hAnsiTheme="minorEastAsia" w:eastAsiaTheme="minorEastAsia" w:cstheme="minorEastAsia"/>
          <w:color w:val="auto"/>
          <w:spacing w:val="3"/>
          <w:sz w:val="21"/>
          <w:szCs w:val="21"/>
        </w:rPr>
        <w:t>件的实质性内容；</w:t>
      </w:r>
    </w:p>
    <w:p w14:paraId="6CBBED23">
      <w:pPr>
        <w:spacing w:before="157" w:line="213" w:lineRule="auto"/>
        <w:ind w:right="20"/>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(4)属于同一集团、协会、商会等组织成员的供应商按照该组织要求协同参加政府采</w:t>
      </w:r>
      <w:r>
        <w:rPr>
          <w:rFonts w:hint="eastAsia" w:asciiTheme="minorEastAsia" w:hAnsiTheme="minorEastAsia" w:eastAsiaTheme="minorEastAsia" w:cstheme="minorEastAsia"/>
          <w:color w:val="auto"/>
          <w:sz w:val="21"/>
          <w:szCs w:val="21"/>
        </w:rPr>
        <w:t>购活动；</w:t>
      </w:r>
    </w:p>
    <w:p w14:paraId="6E754748">
      <w:pPr>
        <w:spacing w:before="158" w:line="291" w:lineRule="auto"/>
        <w:ind w:right="111" w:firstLine="5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(5)供应商之间事先约定一致抬高或者压低投标报价，或者在招标项目中事</w:t>
      </w:r>
      <w:r>
        <w:rPr>
          <w:rFonts w:hint="eastAsia" w:asciiTheme="minorEastAsia" w:hAnsiTheme="minorEastAsia" w:eastAsiaTheme="minorEastAsia" w:cstheme="minorEastAsia"/>
          <w:color w:val="auto"/>
          <w:spacing w:val="3"/>
          <w:sz w:val="21"/>
          <w:szCs w:val="21"/>
        </w:rPr>
        <w:t>先约定轮流以高</w:t>
      </w:r>
      <w:r>
        <w:rPr>
          <w:rFonts w:hint="eastAsia" w:asciiTheme="minorEastAsia" w:hAnsiTheme="minorEastAsia" w:eastAsiaTheme="minorEastAsia" w:cstheme="minorEastAsia"/>
          <w:color w:val="auto"/>
          <w:sz w:val="21"/>
          <w:szCs w:val="21"/>
        </w:rPr>
        <w:t xml:space="preserve"> 价位或者低价位中标，或者事先约定由某一特定供应商中标，然后再参加投标；</w:t>
      </w:r>
    </w:p>
    <w:p w14:paraId="2EB7E3AF">
      <w:pPr>
        <w:spacing w:before="178" w:line="213" w:lineRule="auto"/>
        <w:ind w:left="5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(6)供应商之间商定部分供应商放弃参加政府采购活动或者放弃中标；</w:t>
      </w:r>
    </w:p>
    <w:p w14:paraId="0C5C1DF2">
      <w:pPr>
        <w:spacing w:before="149" w:line="295" w:lineRule="auto"/>
        <w:ind w:right="112" w:firstLine="5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(7)供应商与采购人或者采购代理机构之间、供应商相互之间，为谋求特</w:t>
      </w:r>
      <w:r>
        <w:rPr>
          <w:rFonts w:hint="eastAsia" w:asciiTheme="minorEastAsia" w:hAnsiTheme="minorEastAsia" w:eastAsiaTheme="minorEastAsia" w:cstheme="minorEastAsia"/>
          <w:color w:val="auto"/>
          <w:spacing w:val="3"/>
          <w:sz w:val="21"/>
          <w:szCs w:val="21"/>
        </w:rPr>
        <w:t>定供应商中标或者</w:t>
      </w:r>
      <w:r>
        <w:rPr>
          <w:rFonts w:hint="eastAsia" w:asciiTheme="minorEastAsia" w:hAnsiTheme="minorEastAsia" w:eastAsiaTheme="minorEastAsia" w:cstheme="minorEastAsia"/>
          <w:color w:val="auto"/>
          <w:sz w:val="21"/>
          <w:szCs w:val="21"/>
        </w:rPr>
        <w:t xml:space="preserve"> 排斥其他供应商的其他串通行为。</w:t>
      </w:r>
    </w:p>
    <w:p w14:paraId="3BB95ABC">
      <w:pPr>
        <w:pStyle w:val="10"/>
        <w:spacing w:line="253" w:lineRule="auto"/>
        <w:rPr>
          <w:rFonts w:hint="eastAsia" w:asciiTheme="minorEastAsia" w:hAnsiTheme="minorEastAsia" w:eastAsiaTheme="minorEastAsia" w:cstheme="minorEastAsia"/>
          <w:color w:val="auto"/>
        </w:rPr>
      </w:pPr>
    </w:p>
    <w:p w14:paraId="4579FCFF">
      <w:pPr>
        <w:pStyle w:val="10"/>
        <w:spacing w:line="253" w:lineRule="auto"/>
        <w:rPr>
          <w:rFonts w:hint="eastAsia" w:asciiTheme="minorEastAsia" w:hAnsiTheme="minorEastAsia" w:eastAsiaTheme="minorEastAsia" w:cstheme="minorEastAsia"/>
          <w:color w:val="auto"/>
        </w:rPr>
      </w:pPr>
    </w:p>
    <w:p w14:paraId="6F564411">
      <w:pPr>
        <w:pStyle w:val="10"/>
        <w:spacing w:line="254" w:lineRule="auto"/>
        <w:rPr>
          <w:rFonts w:hint="eastAsia" w:asciiTheme="minorEastAsia" w:hAnsiTheme="minorEastAsia" w:eastAsiaTheme="minorEastAsia" w:cstheme="minorEastAsia"/>
          <w:color w:val="auto"/>
        </w:rPr>
      </w:pPr>
    </w:p>
    <w:p w14:paraId="5507E352">
      <w:pPr>
        <w:spacing w:before="104" w:line="219" w:lineRule="auto"/>
        <w:ind w:left="3554"/>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bCs/>
          <w:color w:val="auto"/>
          <w:spacing w:val="-3"/>
          <w:sz w:val="32"/>
          <w:szCs w:val="32"/>
        </w:rPr>
        <w:t>二、招标文件</w:t>
      </w:r>
    </w:p>
    <w:p w14:paraId="481103C8">
      <w:pPr>
        <w:spacing w:before="279" w:line="222" w:lineRule="auto"/>
        <w:ind w:left="5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3"/>
          <w:sz w:val="21"/>
          <w:szCs w:val="21"/>
        </w:rPr>
        <w:t>10.招标文件的组成</w:t>
      </w:r>
    </w:p>
    <w:p w14:paraId="597F2E19">
      <w:pPr>
        <w:spacing w:before="158" w:line="213"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1"/>
          <w:sz w:val="21"/>
          <w:szCs w:val="21"/>
        </w:rPr>
        <w:t>第一章招标公告；</w:t>
      </w:r>
    </w:p>
    <w:p w14:paraId="4D6DA2F4">
      <w:pPr>
        <w:spacing w:before="167" w:line="213"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1"/>
          <w:sz w:val="21"/>
          <w:szCs w:val="21"/>
        </w:rPr>
        <w:t>第二章采购需求；</w:t>
      </w:r>
    </w:p>
    <w:p w14:paraId="08EE9C1F">
      <w:pPr>
        <w:spacing w:before="158" w:line="213"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1"/>
          <w:sz w:val="21"/>
          <w:szCs w:val="21"/>
        </w:rPr>
        <w:t>第三章投标人须知；</w:t>
      </w:r>
    </w:p>
    <w:p w14:paraId="253F5777">
      <w:pPr>
        <w:spacing w:before="168" w:line="213"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第四章评标方法和评标标准；</w:t>
      </w:r>
    </w:p>
    <w:p w14:paraId="71FD646C">
      <w:pPr>
        <w:spacing w:before="168" w:line="213"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第五章拟签订的合同文本；</w:t>
      </w:r>
    </w:p>
    <w:p w14:paraId="70879B01">
      <w:pPr>
        <w:spacing w:before="157" w:line="213"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第六章投标文件格式；</w:t>
      </w:r>
    </w:p>
    <w:p w14:paraId="0C2C37D7">
      <w:pPr>
        <w:spacing w:before="186" w:line="220"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0"/>
          <w:sz w:val="21"/>
          <w:szCs w:val="21"/>
        </w:rPr>
        <w:t>第七章质疑、投诉材料格式</w:t>
      </w:r>
    </w:p>
    <w:p w14:paraId="11065153">
      <w:pPr>
        <w:spacing w:before="143" w:line="366" w:lineRule="auto"/>
        <w:ind w:right="118" w:firstLine="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根据本章第11.1项的规定对招标文件所做的澄清、修改，构成</w:t>
      </w:r>
      <w:r>
        <w:rPr>
          <w:rFonts w:hint="eastAsia" w:asciiTheme="minorEastAsia" w:hAnsiTheme="minorEastAsia" w:eastAsiaTheme="minorEastAsia" w:cstheme="minorEastAsia"/>
          <w:color w:val="auto"/>
          <w:spacing w:val="3"/>
          <w:sz w:val="21"/>
          <w:szCs w:val="21"/>
        </w:rPr>
        <w:t>招标文件的组成部分。当招标</w:t>
      </w:r>
      <w:r>
        <w:rPr>
          <w:rFonts w:hint="eastAsia" w:asciiTheme="minorEastAsia" w:hAnsiTheme="minorEastAsia" w:eastAsiaTheme="minorEastAsia" w:cstheme="minorEastAsia"/>
          <w:color w:val="auto"/>
          <w:sz w:val="21"/>
          <w:szCs w:val="21"/>
        </w:rPr>
        <w:t xml:space="preserve"> 文件与招标文件的澄清和修改就同一内容的表述不一致时，以最后澄清或修改公告为准。</w:t>
      </w:r>
    </w:p>
    <w:p w14:paraId="69CDBC92">
      <w:pPr>
        <w:spacing w:before="25" w:line="221" w:lineRule="auto"/>
        <w:ind w:left="5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2"/>
          <w:sz w:val="21"/>
          <w:szCs w:val="21"/>
        </w:rPr>
        <w:t>11.招标文件的澄清、修改、现场考察和答疑会</w:t>
      </w:r>
    </w:p>
    <w:p w14:paraId="666CC408">
      <w:pPr>
        <w:spacing w:before="167" w:line="213" w:lineRule="auto"/>
        <w:ind w:left="52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1"/>
          <w:sz w:val="21"/>
          <w:szCs w:val="21"/>
        </w:rPr>
        <w:t>11.1采购人或者采购代理机构可以对已发出的招标文件进行必要的</w:t>
      </w:r>
      <w:r>
        <w:rPr>
          <w:rFonts w:hint="eastAsia" w:asciiTheme="minorEastAsia" w:hAnsiTheme="minorEastAsia" w:eastAsiaTheme="minorEastAsia" w:cstheme="minorEastAsia"/>
          <w:b/>
          <w:bCs/>
          <w:color w:val="auto"/>
          <w:spacing w:val="-2"/>
          <w:sz w:val="21"/>
          <w:szCs w:val="21"/>
        </w:rPr>
        <w:t>澄清或者修改，但不得改</w:t>
      </w:r>
    </w:p>
    <w:p w14:paraId="799E78CA">
      <w:pPr>
        <w:spacing w:line="213" w:lineRule="auto"/>
        <w:rPr>
          <w:rFonts w:hint="eastAsia" w:asciiTheme="minorEastAsia" w:hAnsiTheme="minorEastAsia" w:eastAsiaTheme="minorEastAsia" w:cstheme="minorEastAsia"/>
          <w:color w:val="auto"/>
          <w:sz w:val="21"/>
          <w:szCs w:val="21"/>
        </w:rPr>
        <w:sectPr>
          <w:footerReference r:id="rId13" w:type="default"/>
          <w:pgSz w:w="11900" w:h="16830"/>
          <w:pgMar w:top="1105" w:right="1374" w:bottom="991" w:left="1440" w:header="0" w:footer="847" w:gutter="0"/>
          <w:cols w:space="720" w:num="1"/>
        </w:sectPr>
      </w:pPr>
    </w:p>
    <w:p w14:paraId="55184306">
      <w:pPr>
        <w:spacing w:before="42" w:line="352" w:lineRule="auto"/>
        <w:ind w:right="98"/>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变采购标的和资格条件。澄清或者修改应当在原招标公告发布媒体</w:t>
      </w:r>
      <w:r>
        <w:rPr>
          <w:rFonts w:hint="eastAsia" w:asciiTheme="minorEastAsia" w:hAnsiTheme="minorEastAsia" w:eastAsiaTheme="minorEastAsia" w:cstheme="minorEastAsia"/>
          <w:color w:val="auto"/>
          <w:spacing w:val="3"/>
          <w:sz w:val="21"/>
          <w:szCs w:val="21"/>
        </w:rPr>
        <w:t>上发布澄清公告。澄清或者修</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1"/>
          <w:sz w:val="21"/>
          <w:szCs w:val="21"/>
        </w:rPr>
        <w:t>改的内容为招标文件的组成部分。</w:t>
      </w:r>
    </w:p>
    <w:p w14:paraId="7F3B4E8A">
      <w:pPr>
        <w:spacing w:before="1" w:line="305" w:lineRule="auto"/>
        <w:ind w:right="78" w:firstLine="41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11.2 投标人应认真审阅本招标文件，如有疑问，或发现其中有误或有要求不合理的，应在投</w:t>
      </w:r>
      <w:r>
        <w:rPr>
          <w:rFonts w:hint="eastAsia" w:asciiTheme="minorEastAsia" w:hAnsiTheme="minorEastAsia" w:eastAsiaTheme="minorEastAsia" w:cstheme="minorEastAsia"/>
          <w:color w:val="auto"/>
          <w:spacing w:val="7"/>
          <w:sz w:val="21"/>
          <w:szCs w:val="21"/>
        </w:rPr>
        <w:t xml:space="preserve"> </w:t>
      </w:r>
      <w:r>
        <w:rPr>
          <w:rFonts w:hint="eastAsia" w:asciiTheme="minorEastAsia" w:hAnsiTheme="minorEastAsia" w:eastAsiaTheme="minorEastAsia" w:cstheme="minorEastAsia"/>
          <w:color w:val="auto"/>
          <w:spacing w:val="4"/>
          <w:sz w:val="21"/>
          <w:szCs w:val="21"/>
        </w:rPr>
        <w:t>标人须知前附表规定的投标截止时间前以书面形式要求采购人或采购代理机构对招标文件予以澄</w:t>
      </w:r>
      <w:r>
        <w:rPr>
          <w:rFonts w:hint="eastAsia" w:asciiTheme="minorEastAsia" w:hAnsiTheme="minorEastAsia" w:eastAsiaTheme="minorEastAsia" w:cstheme="minorEastAsia"/>
          <w:color w:val="auto"/>
          <w:spacing w:val="7"/>
          <w:sz w:val="21"/>
          <w:szCs w:val="21"/>
        </w:rPr>
        <w:t xml:space="preserve"> </w:t>
      </w:r>
      <w:r>
        <w:rPr>
          <w:rFonts w:hint="eastAsia" w:asciiTheme="minorEastAsia" w:hAnsiTheme="minorEastAsia" w:eastAsiaTheme="minorEastAsia" w:cstheme="minorEastAsia"/>
          <w:color w:val="auto"/>
          <w:sz w:val="21"/>
          <w:szCs w:val="21"/>
        </w:rPr>
        <w:t>清；否则，由此产生的后果由投标人自行负责。</w:t>
      </w:r>
    </w:p>
    <w:p w14:paraId="474E96C4">
      <w:pPr>
        <w:spacing w:before="178" w:line="332" w:lineRule="auto"/>
        <w:ind w:firstLine="41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11.3采购人或者采购代理机构可以对已发出的招标文件进行必要的澄清或者修改。澄清或者</w:t>
      </w:r>
      <w:r>
        <w:rPr>
          <w:rFonts w:hint="eastAsia" w:asciiTheme="minorEastAsia" w:hAnsiTheme="minorEastAsia" w:eastAsiaTheme="minorEastAsia" w:cstheme="minorEastAsia"/>
          <w:color w:val="auto"/>
          <w:spacing w:val="2"/>
          <w:sz w:val="21"/>
          <w:szCs w:val="21"/>
        </w:rPr>
        <w:t xml:space="preserve">  </w:t>
      </w:r>
      <w:r>
        <w:rPr>
          <w:rFonts w:hint="eastAsia" w:asciiTheme="minorEastAsia" w:hAnsiTheme="minorEastAsia" w:eastAsiaTheme="minorEastAsia" w:cstheme="minorEastAsia"/>
          <w:color w:val="auto"/>
          <w:spacing w:val="1"/>
          <w:sz w:val="21"/>
          <w:szCs w:val="21"/>
        </w:rPr>
        <w:t>修改的内容可能影响投标文件编制的，采购人或者采购代理机构应当在投标截止时间至少15日前，</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1"/>
          <w:sz w:val="21"/>
          <w:szCs w:val="21"/>
        </w:rPr>
        <w:t>以书面形式通知(在“投标人须知前附表”规定的政府采购信息发布媒体上发布更正公告及平台短</w:t>
      </w:r>
      <w:r>
        <w:rPr>
          <w:rFonts w:hint="eastAsia" w:asciiTheme="minorEastAsia" w:hAnsiTheme="minorEastAsia" w:eastAsiaTheme="minorEastAsia" w:cstheme="minorEastAsia"/>
          <w:color w:val="auto"/>
          <w:spacing w:val="4"/>
          <w:sz w:val="21"/>
          <w:szCs w:val="21"/>
        </w:rPr>
        <w:t xml:space="preserve">  </w:t>
      </w:r>
      <w:r>
        <w:rPr>
          <w:rFonts w:hint="eastAsia" w:asciiTheme="minorEastAsia" w:hAnsiTheme="minorEastAsia" w:eastAsiaTheme="minorEastAsia" w:cstheme="minorEastAsia"/>
          <w:color w:val="auto"/>
          <w:spacing w:val="1"/>
          <w:sz w:val="21"/>
          <w:szCs w:val="21"/>
        </w:rPr>
        <w:t>信通知)所有获取招标文件的潜在投标人；不足15日的，采购人或者采购代理机构应当顺延提交投</w:t>
      </w:r>
      <w:r>
        <w:rPr>
          <w:rFonts w:hint="eastAsia" w:asciiTheme="minorEastAsia" w:hAnsiTheme="minorEastAsia" w:eastAsiaTheme="minorEastAsia" w:cstheme="minorEastAsia"/>
          <w:color w:val="auto"/>
          <w:spacing w:val="3"/>
          <w:sz w:val="21"/>
          <w:szCs w:val="21"/>
        </w:rPr>
        <w:t xml:space="preserve">  </w:t>
      </w:r>
      <w:r>
        <w:rPr>
          <w:rFonts w:hint="eastAsia" w:asciiTheme="minorEastAsia" w:hAnsiTheme="minorEastAsia" w:eastAsiaTheme="minorEastAsia" w:cstheme="minorEastAsia"/>
          <w:color w:val="auto"/>
          <w:sz w:val="21"/>
          <w:szCs w:val="21"/>
        </w:rPr>
        <w:t>标文件的截止时间。</w:t>
      </w:r>
    </w:p>
    <w:p w14:paraId="7E68B090">
      <w:pPr>
        <w:spacing w:before="139" w:line="359" w:lineRule="auto"/>
        <w:ind w:right="90" w:firstLine="419"/>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澄清或者更正公告在招标公告发布媒体上发布，一经发布，视作已以书面形式</w:t>
      </w:r>
      <w:r>
        <w:rPr>
          <w:rFonts w:hint="eastAsia" w:asciiTheme="minorEastAsia" w:hAnsiTheme="minorEastAsia" w:eastAsiaTheme="minorEastAsia" w:cstheme="minorEastAsia"/>
          <w:color w:val="auto"/>
          <w:spacing w:val="-2"/>
          <w:sz w:val="21"/>
          <w:szCs w:val="21"/>
        </w:rPr>
        <w:t>通知所有获取招</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1"/>
          <w:sz w:val="21"/>
          <w:szCs w:val="21"/>
        </w:rPr>
        <w:t>标文件的潜在投标人，不再另行通知，所有潜在投标人应密切关注招标公</w:t>
      </w:r>
      <w:r>
        <w:rPr>
          <w:rFonts w:hint="eastAsia" w:asciiTheme="minorEastAsia" w:hAnsiTheme="minorEastAsia" w:eastAsiaTheme="minorEastAsia" w:cstheme="minorEastAsia"/>
          <w:color w:val="auto"/>
          <w:spacing w:val="-2"/>
          <w:sz w:val="21"/>
          <w:szCs w:val="21"/>
        </w:rPr>
        <w:t>告发布媒体，因未能及时</w:t>
      </w:r>
      <w:r>
        <w:rPr>
          <w:rFonts w:hint="eastAsia" w:asciiTheme="minorEastAsia" w:hAnsiTheme="minorEastAsia" w:eastAsiaTheme="minorEastAsia" w:cstheme="minorEastAsia"/>
          <w:color w:val="auto"/>
          <w:sz w:val="21"/>
          <w:szCs w:val="21"/>
        </w:rPr>
        <w:t xml:space="preserve"> 获知，由此产生的后果均应自行承担。</w:t>
      </w:r>
    </w:p>
    <w:p w14:paraId="48D271E8">
      <w:pPr>
        <w:spacing w:before="6" w:line="356" w:lineRule="auto"/>
        <w:ind w:right="97" w:firstLine="41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11.4采购人和采购代理机构可以视采购具体情况，变更投标截止</w:t>
      </w:r>
      <w:r>
        <w:rPr>
          <w:rFonts w:hint="eastAsia" w:asciiTheme="minorEastAsia" w:hAnsiTheme="minorEastAsia" w:eastAsiaTheme="minorEastAsia" w:cstheme="minorEastAsia"/>
          <w:color w:val="auto"/>
          <w:spacing w:val="3"/>
          <w:sz w:val="21"/>
          <w:szCs w:val="21"/>
        </w:rPr>
        <w:t>时间和开标时间，将变更时</w:t>
      </w:r>
      <w:r>
        <w:rPr>
          <w:rFonts w:hint="eastAsia" w:asciiTheme="minorEastAsia" w:hAnsiTheme="minorEastAsia" w:eastAsiaTheme="minorEastAsia" w:cstheme="minorEastAsia"/>
          <w:color w:val="auto"/>
          <w:sz w:val="21"/>
          <w:szCs w:val="21"/>
        </w:rPr>
        <w:t xml:space="preserve"> 间将在“投标人须知前附表”规定的政府采购信息发布媒体上发布更正公告。</w:t>
      </w:r>
    </w:p>
    <w:p w14:paraId="37EC0A99">
      <w:pPr>
        <w:spacing w:before="1" w:line="366" w:lineRule="auto"/>
        <w:ind w:right="91" w:firstLine="41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11.5采购人或者采购代理机构可以在招标文件提供期限截止后，组织已获取招</w:t>
      </w:r>
      <w:r>
        <w:rPr>
          <w:rFonts w:hint="eastAsia" w:asciiTheme="minorEastAsia" w:hAnsiTheme="minorEastAsia" w:eastAsiaTheme="minorEastAsia" w:cstheme="minorEastAsia"/>
          <w:color w:val="auto"/>
          <w:spacing w:val="3"/>
          <w:sz w:val="21"/>
          <w:szCs w:val="21"/>
        </w:rPr>
        <w:t>标文件的潜在</w:t>
      </w:r>
      <w:r>
        <w:rPr>
          <w:rFonts w:hint="eastAsia" w:asciiTheme="minorEastAsia" w:hAnsiTheme="minorEastAsia" w:eastAsiaTheme="minorEastAsia" w:cstheme="minorEastAsia"/>
          <w:color w:val="auto"/>
          <w:sz w:val="21"/>
          <w:szCs w:val="21"/>
        </w:rPr>
        <w:t xml:space="preserve"> 投标人现场考察或者召开开标前答疑会，具体详见“投标人须知前附表”。</w:t>
      </w:r>
    </w:p>
    <w:p w14:paraId="551E3464">
      <w:pPr>
        <w:spacing w:before="277" w:line="219" w:lineRule="auto"/>
        <w:ind w:left="3064"/>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bCs/>
          <w:color w:val="auto"/>
          <w:spacing w:val="-3"/>
          <w:sz w:val="32"/>
          <w:szCs w:val="32"/>
        </w:rPr>
        <w:t>三、投标文件的编制</w:t>
      </w:r>
    </w:p>
    <w:p w14:paraId="70FC91E2">
      <w:pPr>
        <w:pStyle w:val="10"/>
        <w:spacing w:line="248" w:lineRule="auto"/>
        <w:rPr>
          <w:rFonts w:hint="eastAsia" w:asciiTheme="minorEastAsia" w:hAnsiTheme="minorEastAsia" w:eastAsiaTheme="minorEastAsia" w:cstheme="minorEastAsia"/>
          <w:color w:val="auto"/>
        </w:rPr>
      </w:pPr>
    </w:p>
    <w:p w14:paraId="62F7E6CC">
      <w:pPr>
        <w:spacing w:before="69" w:line="221" w:lineRule="auto"/>
        <w:ind w:left="5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6"/>
          <w:sz w:val="21"/>
          <w:szCs w:val="21"/>
        </w:rPr>
        <w:t>12.投标文件的编制原则</w:t>
      </w:r>
    </w:p>
    <w:p w14:paraId="49937B25">
      <w:pPr>
        <w:spacing w:before="168" w:line="362" w:lineRule="auto"/>
        <w:ind w:right="93" w:firstLine="41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投标人必须按照招标文件的要求编制投标文件。投标文件必须对招标文件</w:t>
      </w:r>
      <w:r>
        <w:rPr>
          <w:rFonts w:hint="eastAsia" w:asciiTheme="minorEastAsia" w:hAnsiTheme="minorEastAsia" w:eastAsiaTheme="minorEastAsia" w:cstheme="minorEastAsia"/>
          <w:color w:val="auto"/>
          <w:spacing w:val="-2"/>
          <w:sz w:val="21"/>
          <w:szCs w:val="21"/>
        </w:rPr>
        <w:t>提出的要求和条件作</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2"/>
          <w:sz w:val="21"/>
          <w:szCs w:val="21"/>
        </w:rPr>
        <w:t>出明确响应。</w:t>
      </w:r>
    </w:p>
    <w:p w14:paraId="506B4548">
      <w:pPr>
        <w:spacing w:before="68" w:line="222" w:lineRule="auto"/>
        <w:ind w:left="5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0"/>
          <w:sz w:val="21"/>
          <w:szCs w:val="21"/>
        </w:rPr>
        <w:t>13.</w:t>
      </w:r>
      <w:r>
        <w:rPr>
          <w:rFonts w:hint="eastAsia" w:asciiTheme="minorEastAsia" w:hAnsiTheme="minorEastAsia" w:eastAsiaTheme="minorEastAsia" w:cstheme="minorEastAsia"/>
          <w:color w:val="auto"/>
          <w:spacing w:val="-53"/>
          <w:sz w:val="21"/>
          <w:szCs w:val="21"/>
        </w:rPr>
        <w:t xml:space="preserve"> </w:t>
      </w:r>
      <w:r>
        <w:rPr>
          <w:rFonts w:hint="eastAsia" w:asciiTheme="minorEastAsia" w:hAnsiTheme="minorEastAsia" w:eastAsiaTheme="minorEastAsia" w:cstheme="minorEastAsia"/>
          <w:color w:val="auto"/>
          <w:spacing w:val="20"/>
          <w:sz w:val="21"/>
          <w:szCs w:val="21"/>
        </w:rPr>
        <w:t>投标文件的组成</w:t>
      </w:r>
    </w:p>
    <w:p w14:paraId="5A16419D">
      <w:pPr>
        <w:spacing w:before="147" w:line="221" w:lineRule="auto"/>
        <w:ind w:left="41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13.1投标文件由报价文件、资格证明文件、商务文件、技术文件四部分组成。</w:t>
      </w:r>
    </w:p>
    <w:p w14:paraId="41C839D3">
      <w:pPr>
        <w:spacing w:before="148" w:line="221" w:lineRule="auto"/>
        <w:ind w:left="5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(1)资格证明文件：具体材料见“投标人须知前附表”。</w:t>
      </w:r>
    </w:p>
    <w:p w14:paraId="55837A53">
      <w:pPr>
        <w:spacing w:before="149" w:line="221" w:lineRule="auto"/>
        <w:ind w:left="5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(2)商务文件：具体材料见“投标人须知前附表”。</w:t>
      </w:r>
    </w:p>
    <w:p w14:paraId="147B5864">
      <w:pPr>
        <w:spacing w:before="169" w:line="221" w:lineRule="auto"/>
        <w:ind w:left="5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(3)技术文件：具体材料见“投标人须知前附表”。</w:t>
      </w:r>
    </w:p>
    <w:p w14:paraId="321F1591">
      <w:pPr>
        <w:spacing w:before="168" w:line="221" w:lineRule="auto"/>
        <w:ind w:left="5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(4)报价文件：具体材料见“投标人须知前附表”。</w:t>
      </w:r>
    </w:p>
    <w:p w14:paraId="52DADF9E">
      <w:pPr>
        <w:spacing w:before="149" w:line="221" w:lineRule="auto"/>
        <w:ind w:left="41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13.2投标文件电子版：具体要求见本节19.投标文件编制。</w:t>
      </w:r>
    </w:p>
    <w:p w14:paraId="6724EC3C">
      <w:pPr>
        <w:spacing w:before="199" w:line="222" w:lineRule="auto"/>
        <w:ind w:left="5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6"/>
          <w:sz w:val="21"/>
          <w:szCs w:val="21"/>
        </w:rPr>
        <w:t>14.投标文件的语言及计量</w:t>
      </w:r>
    </w:p>
    <w:p w14:paraId="326CD9D0">
      <w:pPr>
        <w:spacing w:before="157" w:line="222" w:lineRule="auto"/>
        <w:ind w:left="41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14.1语言文字</w:t>
      </w:r>
    </w:p>
    <w:p w14:paraId="06C951B1">
      <w:pPr>
        <w:spacing w:before="139" w:line="359" w:lineRule="auto"/>
        <w:ind w:right="79" w:firstLine="41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投标文件以及投标人与采购人就有关投标事宜的所有来往函电，均应以中文书写(除专用术语</w:t>
      </w:r>
      <w:r>
        <w:rPr>
          <w:rFonts w:hint="eastAsia" w:asciiTheme="minorEastAsia" w:hAnsiTheme="minorEastAsia" w:eastAsiaTheme="minorEastAsia" w:cstheme="minorEastAsia"/>
          <w:color w:val="auto"/>
          <w:spacing w:val="11"/>
          <w:sz w:val="21"/>
          <w:szCs w:val="21"/>
        </w:rPr>
        <w:t xml:space="preserve"> </w:t>
      </w:r>
      <w:r>
        <w:rPr>
          <w:rFonts w:hint="eastAsia" w:asciiTheme="minorEastAsia" w:hAnsiTheme="minorEastAsia" w:eastAsiaTheme="minorEastAsia" w:cstheme="minorEastAsia"/>
          <w:color w:val="auto"/>
          <w:spacing w:val="1"/>
          <w:sz w:val="21"/>
          <w:szCs w:val="21"/>
        </w:rPr>
        <w:t>外，与招标投标有关的语言均使用中文。必要时专用术语应附有中文注释)。投标人提交的支持文</w:t>
      </w:r>
      <w:r>
        <w:rPr>
          <w:rFonts w:hint="eastAsia" w:asciiTheme="minorEastAsia" w:hAnsiTheme="minorEastAsia" w:eastAsiaTheme="minorEastAsia" w:cstheme="minorEastAsia"/>
          <w:color w:val="auto"/>
          <w:spacing w:val="11"/>
          <w:sz w:val="21"/>
          <w:szCs w:val="21"/>
        </w:rPr>
        <w:t xml:space="preserve"> </w:t>
      </w:r>
      <w:r>
        <w:rPr>
          <w:rFonts w:hint="eastAsia" w:asciiTheme="minorEastAsia" w:hAnsiTheme="minorEastAsia" w:eastAsiaTheme="minorEastAsia" w:cstheme="minorEastAsia"/>
          <w:color w:val="auto"/>
          <w:spacing w:val="-1"/>
          <w:sz w:val="21"/>
          <w:szCs w:val="21"/>
        </w:rPr>
        <w:t>件和印刷的文献可以使用别的语言，但其相应内容应同时附中文翻译文本，在解释投标文件时以中</w:t>
      </w:r>
      <w:r>
        <w:rPr>
          <w:rFonts w:hint="eastAsia" w:asciiTheme="minorEastAsia" w:hAnsiTheme="minorEastAsia" w:eastAsiaTheme="minorEastAsia" w:cstheme="minorEastAsia"/>
          <w:color w:val="auto"/>
          <w:spacing w:val="7"/>
          <w:sz w:val="21"/>
          <w:szCs w:val="21"/>
        </w:rPr>
        <w:t xml:space="preserve"> </w:t>
      </w:r>
      <w:r>
        <w:rPr>
          <w:rFonts w:hint="eastAsia" w:asciiTheme="minorEastAsia" w:hAnsiTheme="minorEastAsia" w:eastAsiaTheme="minorEastAsia" w:cstheme="minorEastAsia"/>
          <w:color w:val="auto"/>
          <w:sz w:val="21"/>
          <w:szCs w:val="21"/>
        </w:rPr>
        <w:t>文翻译文本为主。对不同文字文本投标文件的解释发生异议的，以中文文本为准。</w:t>
      </w:r>
    </w:p>
    <w:p w14:paraId="5F946A3C">
      <w:pPr>
        <w:spacing w:line="359" w:lineRule="auto"/>
        <w:rPr>
          <w:rFonts w:hint="eastAsia" w:asciiTheme="minorEastAsia" w:hAnsiTheme="minorEastAsia" w:eastAsiaTheme="minorEastAsia" w:cstheme="minorEastAsia"/>
          <w:color w:val="auto"/>
          <w:sz w:val="21"/>
          <w:szCs w:val="21"/>
        </w:rPr>
        <w:sectPr>
          <w:footerReference r:id="rId14" w:type="default"/>
          <w:pgSz w:w="11900" w:h="16830"/>
          <w:pgMar w:top="1134" w:right="1395" w:bottom="991" w:left="1430" w:header="0" w:footer="847" w:gutter="0"/>
          <w:cols w:space="720" w:num="1"/>
        </w:sectPr>
      </w:pPr>
    </w:p>
    <w:p w14:paraId="43BA832F">
      <w:pPr>
        <w:spacing w:before="42" w:line="222"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5"/>
          <w:sz w:val="21"/>
          <w:szCs w:val="21"/>
        </w:rPr>
        <w:t>14.2投标计量单位</w:t>
      </w:r>
    </w:p>
    <w:p w14:paraId="2351F43D">
      <w:pPr>
        <w:spacing w:before="135" w:line="358" w:lineRule="auto"/>
        <w:ind w:right="23" w:firstLine="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招标文件已有明确规定的，使用招标文件规定的计量单位；招标</w:t>
      </w:r>
      <w:r>
        <w:rPr>
          <w:rFonts w:hint="eastAsia" w:asciiTheme="minorEastAsia" w:hAnsiTheme="minorEastAsia" w:eastAsiaTheme="minorEastAsia" w:cstheme="minorEastAsia"/>
          <w:color w:val="auto"/>
          <w:spacing w:val="-2"/>
          <w:sz w:val="21"/>
          <w:szCs w:val="21"/>
        </w:rPr>
        <w:t>文件没有规定的，应采用中华</w:t>
      </w:r>
      <w:r>
        <w:rPr>
          <w:rFonts w:hint="eastAsia" w:asciiTheme="minorEastAsia" w:hAnsiTheme="minorEastAsia" w:eastAsiaTheme="minorEastAsia" w:cstheme="minorEastAsia"/>
          <w:color w:val="auto"/>
          <w:sz w:val="21"/>
          <w:szCs w:val="21"/>
        </w:rPr>
        <w:t xml:space="preserve"> 人民共和国法定计量单位，货币种类为人民币，否则</w:t>
      </w:r>
      <w:r>
        <w:rPr>
          <w:rFonts w:hint="eastAsia" w:asciiTheme="minorEastAsia" w:hAnsiTheme="minorEastAsia" w:eastAsiaTheme="minorEastAsia" w:cstheme="minorEastAsia"/>
          <w:color w:val="auto"/>
          <w:spacing w:val="-1"/>
          <w:sz w:val="21"/>
          <w:szCs w:val="21"/>
        </w:rPr>
        <w:t>视同未响应。</w:t>
      </w:r>
    </w:p>
    <w:p w14:paraId="0754FC91">
      <w:pPr>
        <w:spacing w:before="55" w:line="222" w:lineRule="auto"/>
        <w:ind w:left="51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4"/>
          <w:sz w:val="21"/>
          <w:szCs w:val="21"/>
        </w:rPr>
        <w:t>15.投标文件提交的风险</w:t>
      </w:r>
    </w:p>
    <w:p w14:paraId="605B233F">
      <w:pPr>
        <w:spacing w:before="150" w:line="361" w:lineRule="auto"/>
        <w:ind w:firstLine="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投标文件分为资格文件、商务文件、技术文件、报价文件四部分(其中：商务文件与技术文件</w:t>
      </w:r>
      <w:r>
        <w:rPr>
          <w:rFonts w:hint="eastAsia" w:asciiTheme="minorEastAsia" w:hAnsiTheme="minorEastAsia" w:eastAsiaTheme="minorEastAsia" w:cstheme="minorEastAsia"/>
          <w:color w:val="auto"/>
          <w:spacing w:val="13"/>
          <w:sz w:val="21"/>
          <w:szCs w:val="21"/>
        </w:rPr>
        <w:t xml:space="preserve"> </w:t>
      </w:r>
      <w:r>
        <w:rPr>
          <w:rFonts w:hint="eastAsia" w:asciiTheme="minorEastAsia" w:hAnsiTheme="minorEastAsia" w:eastAsiaTheme="minorEastAsia" w:cstheme="minorEastAsia"/>
          <w:color w:val="auto"/>
          <w:spacing w:val="1"/>
          <w:sz w:val="21"/>
          <w:szCs w:val="21"/>
        </w:rPr>
        <w:t>合并编辑成一个电子文档)。各投标人在编制投标文件时请按照招标文件规定的格式进行，混乱的</w:t>
      </w:r>
      <w:r>
        <w:rPr>
          <w:rFonts w:hint="eastAsia" w:asciiTheme="minorEastAsia" w:hAnsiTheme="minorEastAsia" w:eastAsiaTheme="minorEastAsia" w:cstheme="minorEastAsia"/>
          <w:color w:val="auto"/>
          <w:spacing w:val="9"/>
          <w:sz w:val="21"/>
          <w:szCs w:val="21"/>
        </w:rPr>
        <w:t xml:space="preserve"> </w:t>
      </w:r>
      <w:r>
        <w:rPr>
          <w:rFonts w:hint="eastAsia" w:asciiTheme="minorEastAsia" w:hAnsiTheme="minorEastAsia" w:eastAsiaTheme="minorEastAsia" w:cstheme="minorEastAsia"/>
          <w:color w:val="auto"/>
          <w:spacing w:val="-1"/>
          <w:sz w:val="21"/>
          <w:szCs w:val="21"/>
        </w:rPr>
        <w:t>编排导致投标文件被误读或评标委员会查找不到有效文件是投标人的风险。投标人没有按照招标文</w:t>
      </w:r>
      <w:r>
        <w:rPr>
          <w:rFonts w:hint="eastAsia" w:asciiTheme="minorEastAsia" w:hAnsiTheme="minorEastAsia" w:eastAsiaTheme="minorEastAsia" w:cstheme="minorEastAsia"/>
          <w:color w:val="auto"/>
          <w:spacing w:val="2"/>
          <w:sz w:val="21"/>
          <w:szCs w:val="21"/>
        </w:rPr>
        <w:t xml:space="preserve"> </w:t>
      </w:r>
      <w:r>
        <w:rPr>
          <w:rFonts w:hint="eastAsia" w:asciiTheme="minorEastAsia" w:hAnsiTheme="minorEastAsia" w:eastAsiaTheme="minorEastAsia" w:cstheme="minorEastAsia"/>
          <w:color w:val="auto"/>
          <w:spacing w:val="-1"/>
          <w:sz w:val="21"/>
          <w:szCs w:val="21"/>
        </w:rPr>
        <w:t>件要求提供全部资料，或者投标人没有对招标文</w:t>
      </w:r>
      <w:r>
        <w:rPr>
          <w:rFonts w:hint="eastAsia" w:asciiTheme="minorEastAsia" w:hAnsiTheme="minorEastAsia" w:eastAsiaTheme="minorEastAsia" w:cstheme="minorEastAsia"/>
          <w:color w:val="auto"/>
          <w:spacing w:val="-2"/>
          <w:sz w:val="21"/>
          <w:szCs w:val="21"/>
        </w:rPr>
        <w:t>件作出实质性响应是投标人的风险，可能导致其投</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2"/>
          <w:sz w:val="21"/>
          <w:szCs w:val="21"/>
        </w:rPr>
        <w:t>标被拒绝。</w:t>
      </w:r>
    </w:p>
    <w:p w14:paraId="2B9DEC28">
      <w:pPr>
        <w:spacing w:before="74" w:line="222" w:lineRule="auto"/>
        <w:ind w:left="51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0"/>
          <w:sz w:val="21"/>
          <w:szCs w:val="21"/>
        </w:rPr>
        <w:t>16.投标报价</w:t>
      </w:r>
    </w:p>
    <w:p w14:paraId="2E722FF4">
      <w:pPr>
        <w:spacing w:before="148" w:line="222"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16.1投标报价应按“第六章</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2"/>
          <w:sz w:val="21"/>
          <w:szCs w:val="21"/>
        </w:rPr>
        <w:t>投标文件格式”中“开标一览表”</w:t>
      </w:r>
      <w:r>
        <w:rPr>
          <w:rFonts w:hint="eastAsia" w:asciiTheme="minorEastAsia" w:hAnsiTheme="minorEastAsia" w:eastAsiaTheme="minorEastAsia" w:cstheme="minorEastAsia"/>
          <w:color w:val="auto"/>
          <w:spacing w:val="1"/>
          <w:sz w:val="21"/>
          <w:szCs w:val="21"/>
        </w:rPr>
        <w:t>格式填写。</w:t>
      </w:r>
    </w:p>
    <w:p w14:paraId="0CF733A2">
      <w:pPr>
        <w:spacing w:before="157" w:line="221"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16.2投标报价具体包括内容详见“投标人须知前附表”。</w:t>
      </w:r>
    </w:p>
    <w:p w14:paraId="4703E546">
      <w:pPr>
        <w:spacing w:before="129" w:line="295" w:lineRule="auto"/>
        <w:ind w:right="24" w:firstLine="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16.3投标人必须就所投项目的全部内容分别作完整唯一总价报</w:t>
      </w:r>
      <w:r>
        <w:rPr>
          <w:rFonts w:hint="eastAsia" w:asciiTheme="minorEastAsia" w:hAnsiTheme="minorEastAsia" w:eastAsiaTheme="minorEastAsia" w:cstheme="minorEastAsia"/>
          <w:color w:val="auto"/>
          <w:spacing w:val="3"/>
          <w:sz w:val="21"/>
          <w:szCs w:val="21"/>
        </w:rPr>
        <w:t>价，不得存在漏项报价；投标</w:t>
      </w:r>
      <w:r>
        <w:rPr>
          <w:rFonts w:hint="eastAsia" w:asciiTheme="minorEastAsia" w:hAnsiTheme="minorEastAsia" w:eastAsiaTheme="minorEastAsia" w:cstheme="minorEastAsia"/>
          <w:color w:val="auto"/>
          <w:sz w:val="21"/>
          <w:szCs w:val="21"/>
        </w:rPr>
        <w:t xml:space="preserve"> 人必须就所投项目的单项内容作唯一报价。</w:t>
      </w:r>
    </w:p>
    <w:p w14:paraId="667E8497">
      <w:pPr>
        <w:spacing w:before="218" w:line="221" w:lineRule="auto"/>
        <w:ind w:left="51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2"/>
          <w:sz w:val="21"/>
          <w:szCs w:val="21"/>
        </w:rPr>
        <w:t>17.投标有效期</w:t>
      </w:r>
    </w:p>
    <w:p w14:paraId="7736806F">
      <w:pPr>
        <w:spacing w:before="159" w:line="295" w:lineRule="auto"/>
        <w:ind w:right="19" w:firstLine="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17.1投标有效期是指为保证采购人有足够的时间在开标后完成评标、定标</w:t>
      </w:r>
      <w:r>
        <w:rPr>
          <w:rFonts w:hint="eastAsia" w:asciiTheme="minorEastAsia" w:hAnsiTheme="minorEastAsia" w:eastAsiaTheme="minorEastAsia" w:cstheme="minorEastAsia"/>
          <w:color w:val="auto"/>
          <w:spacing w:val="3"/>
          <w:sz w:val="21"/>
          <w:szCs w:val="21"/>
        </w:rPr>
        <w:t>、合同签订等工作</w:t>
      </w:r>
      <w:r>
        <w:rPr>
          <w:rFonts w:hint="eastAsia" w:asciiTheme="minorEastAsia" w:hAnsiTheme="minorEastAsia" w:eastAsiaTheme="minorEastAsia" w:cstheme="minorEastAsia"/>
          <w:color w:val="auto"/>
          <w:sz w:val="21"/>
          <w:szCs w:val="21"/>
        </w:rPr>
        <w:t xml:space="preserve"> 而要求投标人提交的投标文件在一定时间内保持有效的期限。</w:t>
      </w:r>
    </w:p>
    <w:p w14:paraId="02BE7024">
      <w:pPr>
        <w:spacing w:before="140" w:line="213"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17.2 投标有效期应按规定的期限作出承诺，具体详见“投标人须知前附表”。</w:t>
      </w:r>
    </w:p>
    <w:p w14:paraId="2022A629">
      <w:pPr>
        <w:spacing w:before="166" w:line="221"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17.3投标人的投标文件在投标有效期内均保持有效。</w:t>
      </w:r>
    </w:p>
    <w:p w14:paraId="43512757">
      <w:pPr>
        <w:spacing w:before="221" w:line="222" w:lineRule="auto"/>
        <w:ind w:left="51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9"/>
          <w:sz w:val="21"/>
          <w:szCs w:val="21"/>
        </w:rPr>
        <w:t>18.</w:t>
      </w:r>
      <w:r>
        <w:rPr>
          <w:rFonts w:hint="eastAsia" w:asciiTheme="minorEastAsia" w:hAnsiTheme="minorEastAsia" w:eastAsiaTheme="minorEastAsia" w:cstheme="minorEastAsia"/>
          <w:color w:val="auto"/>
          <w:spacing w:val="-55"/>
          <w:sz w:val="21"/>
          <w:szCs w:val="21"/>
        </w:rPr>
        <w:t xml:space="preserve"> </w:t>
      </w:r>
      <w:r>
        <w:rPr>
          <w:rFonts w:hint="eastAsia" w:asciiTheme="minorEastAsia" w:hAnsiTheme="minorEastAsia" w:eastAsiaTheme="minorEastAsia" w:cstheme="minorEastAsia"/>
          <w:color w:val="auto"/>
          <w:spacing w:val="19"/>
          <w:sz w:val="21"/>
          <w:szCs w:val="21"/>
        </w:rPr>
        <w:t>投标保证金</w:t>
      </w:r>
    </w:p>
    <w:p w14:paraId="517DF3B1">
      <w:pPr>
        <w:spacing w:before="165" w:line="221"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5"/>
          <w:sz w:val="21"/>
          <w:szCs w:val="21"/>
        </w:rPr>
        <w:t>18.1投标人须按“投标人须知前附表”的规定提交投标保证金。</w:t>
      </w:r>
    </w:p>
    <w:p w14:paraId="4A592E27">
      <w:pPr>
        <w:spacing w:before="161" w:line="222"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5"/>
          <w:sz w:val="21"/>
          <w:szCs w:val="21"/>
        </w:rPr>
        <w:t>18.2投标保证金的退还</w:t>
      </w:r>
    </w:p>
    <w:p w14:paraId="56291094">
      <w:pPr>
        <w:spacing w:before="137" w:line="213"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18.2.1未中标人的投标保证金自中标</w:t>
      </w:r>
      <w:r>
        <w:rPr>
          <w:rFonts w:hint="eastAsia" w:asciiTheme="minorEastAsia" w:hAnsiTheme="minorEastAsia" w:eastAsiaTheme="minorEastAsia" w:cstheme="minorEastAsia"/>
          <w:color w:val="auto"/>
          <w:spacing w:val="3"/>
          <w:sz w:val="21"/>
          <w:szCs w:val="21"/>
        </w:rPr>
        <w:t>通知书发出之日起5个工作日内退还，退还方式如下：</w:t>
      </w:r>
    </w:p>
    <w:p w14:paraId="1FBB4494">
      <w:pPr>
        <w:spacing w:before="177" w:line="213"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(1)采用银行转账方式的，以转账方式退回到投</w:t>
      </w:r>
      <w:r>
        <w:rPr>
          <w:rFonts w:hint="eastAsia" w:asciiTheme="minorEastAsia" w:hAnsiTheme="minorEastAsia" w:eastAsiaTheme="minorEastAsia" w:cstheme="minorEastAsia"/>
          <w:color w:val="auto"/>
          <w:spacing w:val="3"/>
          <w:sz w:val="21"/>
          <w:szCs w:val="21"/>
        </w:rPr>
        <w:t>标人银行账户。</w:t>
      </w:r>
    </w:p>
    <w:p w14:paraId="5F72AF4D">
      <w:pPr>
        <w:spacing w:before="167" w:line="313" w:lineRule="auto"/>
        <w:ind w:right="14" w:firstLine="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(2)采用支票、汇票、本票或者金融机构、担保机构出具的保函等方式的，由投标人代表持相</w:t>
      </w:r>
      <w:r>
        <w:rPr>
          <w:rFonts w:hint="eastAsia" w:asciiTheme="minorEastAsia" w:hAnsiTheme="minorEastAsia" w:eastAsiaTheme="minorEastAsia" w:cstheme="minorEastAsia"/>
          <w:color w:val="auto"/>
          <w:spacing w:val="18"/>
          <w:sz w:val="21"/>
          <w:szCs w:val="21"/>
        </w:rPr>
        <w:t xml:space="preserve"> </w:t>
      </w:r>
      <w:r>
        <w:rPr>
          <w:rFonts w:hint="eastAsia" w:asciiTheme="minorEastAsia" w:hAnsiTheme="minorEastAsia" w:eastAsiaTheme="minorEastAsia" w:cstheme="minorEastAsia"/>
          <w:color w:val="auto"/>
          <w:spacing w:val="-1"/>
          <w:sz w:val="21"/>
          <w:szCs w:val="21"/>
        </w:rPr>
        <w:t>关授权证明材料至采购代理机构办理支票、汇票、本票</w:t>
      </w:r>
      <w:r>
        <w:rPr>
          <w:rFonts w:hint="eastAsia" w:asciiTheme="minorEastAsia" w:hAnsiTheme="minorEastAsia" w:eastAsiaTheme="minorEastAsia" w:cstheme="minorEastAsia"/>
          <w:color w:val="auto"/>
          <w:spacing w:val="-2"/>
          <w:sz w:val="21"/>
          <w:szCs w:val="21"/>
        </w:rPr>
        <w:t>或者金融机构、担保机构出具的保函等原件</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3"/>
          <w:sz w:val="21"/>
          <w:szCs w:val="21"/>
        </w:rPr>
        <w:t>退还手续。</w:t>
      </w:r>
    </w:p>
    <w:p w14:paraId="46E16553">
      <w:pPr>
        <w:spacing w:before="134" w:line="369" w:lineRule="auto"/>
        <w:ind w:right="13" w:firstLine="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18.2.2中标人的投标保证金自采购合同签订之日起5个工作日内退还，退还方式同本须知正</w:t>
      </w:r>
      <w:r>
        <w:rPr>
          <w:rFonts w:hint="eastAsia" w:asciiTheme="minorEastAsia" w:hAnsiTheme="minorEastAsia" w:eastAsiaTheme="minorEastAsia" w:cstheme="minorEastAsia"/>
          <w:color w:val="auto"/>
          <w:spacing w:val="12"/>
          <w:sz w:val="21"/>
          <w:szCs w:val="21"/>
        </w:rPr>
        <w:t xml:space="preserve"> </w:t>
      </w:r>
      <w:r>
        <w:rPr>
          <w:rFonts w:hint="eastAsia" w:asciiTheme="minorEastAsia" w:hAnsiTheme="minorEastAsia" w:eastAsiaTheme="minorEastAsia" w:cstheme="minorEastAsia"/>
          <w:color w:val="auto"/>
          <w:spacing w:val="7"/>
          <w:sz w:val="21"/>
          <w:szCs w:val="21"/>
        </w:rPr>
        <w:t>文第18.2.1,或者转为中标人的履约保证</w:t>
      </w:r>
      <w:r>
        <w:rPr>
          <w:rFonts w:hint="eastAsia" w:asciiTheme="minorEastAsia" w:hAnsiTheme="minorEastAsia" w:eastAsiaTheme="minorEastAsia" w:cstheme="minorEastAsia"/>
          <w:color w:val="auto"/>
          <w:spacing w:val="6"/>
          <w:sz w:val="21"/>
          <w:szCs w:val="21"/>
        </w:rPr>
        <w:t>金。</w:t>
      </w:r>
    </w:p>
    <w:p w14:paraId="04F86498">
      <w:pPr>
        <w:spacing w:before="1" w:line="212"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18.3除逾期退还投标保证金和终止招标的情形以外，投标保证</w:t>
      </w:r>
      <w:r>
        <w:rPr>
          <w:rFonts w:hint="eastAsia" w:asciiTheme="minorEastAsia" w:hAnsiTheme="minorEastAsia" w:eastAsiaTheme="minorEastAsia" w:cstheme="minorEastAsia"/>
          <w:color w:val="auto"/>
          <w:spacing w:val="1"/>
          <w:sz w:val="21"/>
          <w:szCs w:val="21"/>
        </w:rPr>
        <w:t>金不计息。</w:t>
      </w:r>
    </w:p>
    <w:p w14:paraId="592D8482">
      <w:pPr>
        <w:spacing w:before="157" w:line="213"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18.4投标人有下列情形之一的，投标保证金将不予</w:t>
      </w:r>
      <w:r>
        <w:rPr>
          <w:rFonts w:hint="eastAsia" w:asciiTheme="minorEastAsia" w:hAnsiTheme="minorEastAsia" w:eastAsiaTheme="minorEastAsia" w:cstheme="minorEastAsia"/>
          <w:color w:val="auto"/>
          <w:sz w:val="21"/>
          <w:szCs w:val="21"/>
        </w:rPr>
        <w:t>退还：</w:t>
      </w:r>
    </w:p>
    <w:p w14:paraId="4105673E">
      <w:pPr>
        <w:spacing w:before="158" w:line="213" w:lineRule="auto"/>
        <w:ind w:left="51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(1)投标人在投标有效期内撤销投标文件的；</w:t>
      </w:r>
    </w:p>
    <w:p w14:paraId="067F1EA1">
      <w:pPr>
        <w:spacing w:before="188" w:line="213" w:lineRule="auto"/>
        <w:ind w:left="51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(2)未按规定提交履约保证金的；</w:t>
      </w:r>
    </w:p>
    <w:p w14:paraId="4C116806">
      <w:pPr>
        <w:spacing w:before="157" w:line="213" w:lineRule="auto"/>
        <w:ind w:left="51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(3)投标人在投标过程中弄虚作假，提供虚假材料</w:t>
      </w:r>
      <w:r>
        <w:rPr>
          <w:rFonts w:hint="eastAsia" w:asciiTheme="minorEastAsia" w:hAnsiTheme="minorEastAsia" w:eastAsiaTheme="minorEastAsia" w:cstheme="minorEastAsia"/>
          <w:color w:val="auto"/>
          <w:spacing w:val="3"/>
          <w:sz w:val="21"/>
          <w:szCs w:val="21"/>
        </w:rPr>
        <w:t>的；</w:t>
      </w:r>
    </w:p>
    <w:p w14:paraId="74352639">
      <w:pPr>
        <w:spacing w:before="168" w:line="213" w:lineRule="auto"/>
        <w:ind w:left="51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(4)中标人无正当理由不与采购人签订合同的；</w:t>
      </w:r>
    </w:p>
    <w:p w14:paraId="3F933003">
      <w:pPr>
        <w:spacing w:line="213" w:lineRule="auto"/>
        <w:rPr>
          <w:rFonts w:hint="eastAsia" w:asciiTheme="minorEastAsia" w:hAnsiTheme="minorEastAsia" w:eastAsiaTheme="minorEastAsia" w:cstheme="minorEastAsia"/>
          <w:color w:val="auto"/>
          <w:sz w:val="21"/>
          <w:szCs w:val="21"/>
        </w:rPr>
        <w:sectPr>
          <w:footerReference r:id="rId15" w:type="default"/>
          <w:pgSz w:w="11900" w:h="16830"/>
          <w:pgMar w:top="1135" w:right="1469" w:bottom="991" w:left="1440" w:header="0" w:footer="847" w:gutter="0"/>
          <w:cols w:space="720" w:num="1"/>
        </w:sectPr>
      </w:pPr>
    </w:p>
    <w:p w14:paraId="39FE3701">
      <w:pPr>
        <w:spacing w:before="42" w:line="213" w:lineRule="auto"/>
        <w:ind w:left="4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(5)投标人出现本章第9.2、9.3情形的；</w:t>
      </w:r>
    </w:p>
    <w:p w14:paraId="332D9266">
      <w:pPr>
        <w:spacing w:before="157" w:line="222" w:lineRule="auto"/>
        <w:ind w:left="4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(6)其他严重扰乱招投标程序的。</w:t>
      </w:r>
    </w:p>
    <w:p w14:paraId="55DCE962">
      <w:pPr>
        <w:spacing w:before="206" w:line="221" w:lineRule="auto"/>
        <w:ind w:left="4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4"/>
          <w:sz w:val="21"/>
          <w:szCs w:val="21"/>
        </w:rPr>
        <w:t>19.投标文件的编制</w:t>
      </w:r>
    </w:p>
    <w:p w14:paraId="0AFC3C53">
      <w:pPr>
        <w:spacing w:before="167" w:line="309" w:lineRule="auto"/>
        <w:ind w:right="22" w:firstLine="4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19.1投标文件编制要求详见“投标人须知前附表”。投标人应按本招标文件规定的格式和顺</w:t>
      </w:r>
      <w:r>
        <w:rPr>
          <w:rFonts w:hint="eastAsia" w:asciiTheme="minorEastAsia" w:hAnsiTheme="minorEastAsia" w:eastAsiaTheme="minorEastAsia" w:cstheme="minorEastAsia"/>
          <w:color w:val="auto"/>
          <w:spacing w:val="6"/>
          <w:sz w:val="21"/>
          <w:szCs w:val="21"/>
        </w:rPr>
        <w:t xml:space="preserve"> </w:t>
      </w:r>
      <w:r>
        <w:rPr>
          <w:rFonts w:hint="eastAsia" w:asciiTheme="minorEastAsia" w:hAnsiTheme="minorEastAsia" w:eastAsiaTheme="minorEastAsia" w:cstheme="minorEastAsia"/>
          <w:color w:val="auto"/>
          <w:spacing w:val="-1"/>
          <w:sz w:val="21"/>
          <w:szCs w:val="21"/>
        </w:rPr>
        <w:t>序编制投标文件并标注页码，投标文件内容不完整、编排混乱导致投标文件被误读、</w:t>
      </w:r>
      <w:r>
        <w:rPr>
          <w:rFonts w:hint="eastAsia" w:asciiTheme="minorEastAsia" w:hAnsiTheme="minorEastAsia" w:eastAsiaTheme="minorEastAsia" w:cstheme="minorEastAsia"/>
          <w:color w:val="auto"/>
          <w:spacing w:val="-2"/>
          <w:sz w:val="21"/>
          <w:szCs w:val="21"/>
        </w:rPr>
        <w:t>漏读或者查找</w:t>
      </w:r>
      <w:r>
        <w:rPr>
          <w:rFonts w:hint="eastAsia" w:asciiTheme="minorEastAsia" w:hAnsiTheme="minorEastAsia" w:eastAsiaTheme="minorEastAsia" w:cstheme="minorEastAsia"/>
          <w:color w:val="auto"/>
          <w:sz w:val="21"/>
          <w:szCs w:val="21"/>
        </w:rPr>
        <w:t xml:space="preserve"> 不到相关内容的，由此引发的后果由投标人承担。</w:t>
      </w:r>
    </w:p>
    <w:p w14:paraId="3EDF0AAE">
      <w:pPr>
        <w:spacing w:before="178" w:line="282" w:lineRule="auto"/>
        <w:ind w:right="28" w:firstLine="43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19.2投标文件按照招标文件第六章格式要求进行签署、盖章。投标人的投标文件未按照招标</w:t>
      </w:r>
      <w:r>
        <w:rPr>
          <w:rFonts w:hint="eastAsia" w:asciiTheme="minorEastAsia" w:hAnsiTheme="minorEastAsia" w:eastAsiaTheme="minorEastAsia" w:cstheme="minorEastAsia"/>
          <w:color w:val="auto"/>
          <w:spacing w:val="9"/>
          <w:sz w:val="21"/>
          <w:szCs w:val="21"/>
        </w:rPr>
        <w:t xml:space="preserve"> </w:t>
      </w:r>
      <w:r>
        <w:rPr>
          <w:rFonts w:hint="eastAsia" w:asciiTheme="minorEastAsia" w:hAnsiTheme="minorEastAsia" w:eastAsiaTheme="minorEastAsia" w:cstheme="minorEastAsia"/>
          <w:color w:val="auto"/>
          <w:sz w:val="21"/>
          <w:szCs w:val="21"/>
        </w:rPr>
        <w:t>文件要求签署、盖章的，其投标无效。</w:t>
      </w:r>
    </w:p>
    <w:p w14:paraId="43C15BBF">
      <w:pPr>
        <w:spacing w:before="157" w:line="287" w:lineRule="auto"/>
        <w:ind w:firstLine="43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19.3为确保网上操作合法、有效和安全，投标人应当在投标截止时间前完成在广西</w:t>
      </w:r>
      <w:r>
        <w:rPr>
          <w:rFonts w:hint="eastAsia" w:asciiTheme="minorEastAsia" w:hAnsiTheme="minorEastAsia" w:eastAsiaTheme="minorEastAsia" w:cstheme="minorEastAsia"/>
          <w:color w:val="auto"/>
          <w:spacing w:val="3"/>
          <w:sz w:val="21"/>
          <w:szCs w:val="21"/>
        </w:rPr>
        <w:t>政府采购</w:t>
      </w:r>
      <w:r>
        <w:rPr>
          <w:rFonts w:hint="eastAsia" w:asciiTheme="minorEastAsia" w:hAnsiTheme="minorEastAsia" w:eastAsiaTheme="minorEastAsia" w:cstheme="minorEastAsia"/>
          <w:color w:val="auto"/>
          <w:sz w:val="21"/>
          <w:szCs w:val="21"/>
        </w:rPr>
        <w:t xml:space="preserve"> 云平台的身份认证，确保在电子投标过程中能够对相关数据电文进行加密和使用电子签名。</w:t>
      </w:r>
    </w:p>
    <w:p w14:paraId="787FFB42">
      <w:pPr>
        <w:spacing w:before="165" w:line="288" w:lineRule="auto"/>
        <w:ind w:right="8" w:firstLine="43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19.4投标文件中标注的投标人名称应与主体资格证明(如营业执照、事业单位法人证书、执</w:t>
      </w:r>
      <w:r>
        <w:rPr>
          <w:rFonts w:hint="eastAsia" w:asciiTheme="minorEastAsia" w:hAnsiTheme="minorEastAsia" w:eastAsiaTheme="minorEastAsia" w:cstheme="minorEastAsia"/>
          <w:color w:val="auto"/>
          <w:spacing w:val="9"/>
          <w:sz w:val="21"/>
          <w:szCs w:val="21"/>
        </w:rPr>
        <w:t xml:space="preserve"> </w:t>
      </w:r>
      <w:r>
        <w:rPr>
          <w:rFonts w:hint="eastAsia" w:asciiTheme="minorEastAsia" w:hAnsiTheme="minorEastAsia" w:eastAsiaTheme="minorEastAsia" w:cstheme="minorEastAsia"/>
          <w:color w:val="auto"/>
          <w:spacing w:val="5"/>
          <w:sz w:val="21"/>
          <w:szCs w:val="21"/>
        </w:rPr>
        <w:t>业许可证、自然人身份证等)及公章一致，否则作无效投标处理。</w:t>
      </w:r>
    </w:p>
    <w:p w14:paraId="5FF1C761">
      <w:pPr>
        <w:spacing w:before="177" w:line="222" w:lineRule="auto"/>
        <w:ind w:left="4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19.5投标文件应避免涂改、行间插字或者删</w:t>
      </w:r>
      <w:r>
        <w:rPr>
          <w:rFonts w:hint="eastAsia" w:asciiTheme="minorEastAsia" w:hAnsiTheme="minorEastAsia" w:eastAsiaTheme="minorEastAsia" w:cstheme="minorEastAsia"/>
          <w:color w:val="auto"/>
          <w:spacing w:val="1"/>
          <w:sz w:val="21"/>
          <w:szCs w:val="21"/>
        </w:rPr>
        <w:t>除。</w:t>
      </w:r>
    </w:p>
    <w:p w14:paraId="6A5FF067">
      <w:pPr>
        <w:spacing w:before="147" w:line="295" w:lineRule="auto"/>
        <w:ind w:right="3" w:firstLine="56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19.6对招标文件的实质性要求和条件作出响应是指投标人必须对招标文件中标注为实质性</w:t>
      </w:r>
      <w:r>
        <w:rPr>
          <w:rFonts w:hint="eastAsia" w:asciiTheme="minorEastAsia" w:hAnsiTheme="minorEastAsia" w:eastAsiaTheme="minorEastAsia" w:cstheme="minorEastAsia"/>
          <w:color w:val="auto"/>
          <w:spacing w:val="5"/>
          <w:sz w:val="21"/>
          <w:szCs w:val="21"/>
        </w:rPr>
        <w:t xml:space="preserve"> </w:t>
      </w:r>
      <w:r>
        <w:rPr>
          <w:rFonts w:hint="eastAsia" w:asciiTheme="minorEastAsia" w:hAnsiTheme="minorEastAsia" w:eastAsiaTheme="minorEastAsia" w:cstheme="minorEastAsia"/>
          <w:color w:val="auto"/>
          <w:spacing w:val="1"/>
          <w:sz w:val="21"/>
          <w:szCs w:val="21"/>
        </w:rPr>
        <w:t>要求和条件的服务内容及要求、商务条款及其它内容作出满足或者优于原要求和条件的承诺。</w:t>
      </w:r>
    </w:p>
    <w:p w14:paraId="0B767317">
      <w:pPr>
        <w:spacing w:before="140" w:line="304" w:lineRule="auto"/>
        <w:ind w:right="3" w:firstLine="43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u w:val="single" w:color="auto"/>
        </w:rPr>
        <w:t>19.7本项目为全流程电子化项目，异常情况见“第二节</w:t>
      </w:r>
      <w:r>
        <w:rPr>
          <w:rFonts w:hint="eastAsia" w:asciiTheme="minorEastAsia" w:hAnsiTheme="minorEastAsia" w:eastAsiaTheme="minorEastAsia" w:cstheme="minorEastAsia"/>
          <w:color w:val="auto"/>
          <w:spacing w:val="8"/>
          <w:sz w:val="21"/>
          <w:szCs w:val="21"/>
          <w:u w:val="single" w:color="auto"/>
        </w:rPr>
        <w:t>投标人须知正文”中“四、24.2开</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u w:val="single" w:color="auto"/>
        </w:rPr>
        <w:t xml:space="preserve">标程序”。 </w:t>
      </w:r>
    </w:p>
    <w:p w14:paraId="30FA2001">
      <w:pPr>
        <w:spacing w:before="198" w:line="222" w:lineRule="auto"/>
        <w:ind w:left="4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9"/>
          <w:sz w:val="21"/>
          <w:szCs w:val="21"/>
        </w:rPr>
        <w:t>20.</w:t>
      </w:r>
      <w:r>
        <w:rPr>
          <w:rFonts w:hint="eastAsia" w:asciiTheme="minorEastAsia" w:hAnsiTheme="minorEastAsia" w:eastAsiaTheme="minorEastAsia" w:cstheme="minorEastAsia"/>
          <w:color w:val="auto"/>
          <w:spacing w:val="-42"/>
          <w:sz w:val="21"/>
          <w:szCs w:val="21"/>
        </w:rPr>
        <w:t xml:space="preserve"> </w:t>
      </w:r>
      <w:r>
        <w:rPr>
          <w:rFonts w:hint="eastAsia" w:asciiTheme="minorEastAsia" w:hAnsiTheme="minorEastAsia" w:eastAsiaTheme="minorEastAsia" w:cstheme="minorEastAsia"/>
          <w:color w:val="auto"/>
          <w:spacing w:val="19"/>
          <w:sz w:val="21"/>
          <w:szCs w:val="21"/>
        </w:rPr>
        <w:t>备份投标文件</w:t>
      </w:r>
    </w:p>
    <w:p w14:paraId="79E0797E">
      <w:pPr>
        <w:spacing w:before="157" w:line="221" w:lineRule="auto"/>
        <w:ind w:left="43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详见“投标人须知前附表”。</w:t>
      </w:r>
    </w:p>
    <w:p w14:paraId="323522DA">
      <w:pPr>
        <w:spacing w:before="189" w:line="222" w:lineRule="auto"/>
        <w:ind w:left="4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6"/>
          <w:sz w:val="21"/>
          <w:szCs w:val="21"/>
        </w:rPr>
        <w:t>21.投标文件的提交</w:t>
      </w:r>
    </w:p>
    <w:p w14:paraId="0B56BE94">
      <w:pPr>
        <w:spacing w:before="166" w:line="309" w:lineRule="auto"/>
        <w:ind w:right="28" w:firstLine="43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21.1投标人必须在“投标人须知前附表”规定的投标文件接收时间和投标地点提交电子版投</w:t>
      </w:r>
      <w:r>
        <w:rPr>
          <w:rFonts w:hint="eastAsia" w:asciiTheme="minorEastAsia" w:hAnsiTheme="minorEastAsia" w:eastAsiaTheme="minorEastAsia" w:cstheme="minorEastAsia"/>
          <w:color w:val="auto"/>
          <w:spacing w:val="9"/>
          <w:sz w:val="21"/>
          <w:szCs w:val="21"/>
        </w:rPr>
        <w:t xml:space="preserve"> </w:t>
      </w:r>
      <w:r>
        <w:rPr>
          <w:rFonts w:hint="eastAsia" w:asciiTheme="minorEastAsia" w:hAnsiTheme="minorEastAsia" w:eastAsiaTheme="minorEastAsia" w:cstheme="minorEastAsia"/>
          <w:color w:val="auto"/>
          <w:spacing w:val="6"/>
          <w:sz w:val="21"/>
          <w:szCs w:val="21"/>
        </w:rPr>
        <w:t>标文件。电子投标文件应在制作完成后，在投标截止时间前通过有效数字证书(</w:t>
      </w:r>
      <w:r>
        <w:rPr>
          <w:rFonts w:hint="eastAsia" w:asciiTheme="minorEastAsia" w:hAnsiTheme="minorEastAsia" w:eastAsiaTheme="minorEastAsia" w:cstheme="minorEastAsia"/>
          <w:color w:val="auto"/>
          <w:sz w:val="21"/>
          <w:szCs w:val="21"/>
        </w:rPr>
        <w:t>CA</w:t>
      </w:r>
      <w:r>
        <w:rPr>
          <w:rFonts w:hint="eastAsia" w:asciiTheme="minorEastAsia" w:hAnsiTheme="minorEastAsia" w:eastAsiaTheme="minorEastAsia" w:cstheme="minorEastAsia"/>
          <w:color w:val="auto"/>
          <w:spacing w:val="6"/>
          <w:sz w:val="21"/>
          <w:szCs w:val="21"/>
        </w:rPr>
        <w:t xml:space="preserve"> 认证锁)进行</w:t>
      </w:r>
      <w:r>
        <w:rPr>
          <w:rFonts w:hint="eastAsia" w:asciiTheme="minorEastAsia" w:hAnsiTheme="minorEastAsia" w:eastAsiaTheme="minorEastAsia" w:cstheme="minorEastAsia"/>
          <w:color w:val="auto"/>
          <w:spacing w:val="9"/>
          <w:sz w:val="21"/>
          <w:szCs w:val="21"/>
        </w:rPr>
        <w:t xml:space="preserve"> </w:t>
      </w:r>
      <w:r>
        <w:rPr>
          <w:rFonts w:hint="eastAsia" w:asciiTheme="minorEastAsia" w:hAnsiTheme="minorEastAsia" w:eastAsiaTheme="minorEastAsia" w:cstheme="minorEastAsia"/>
          <w:color w:val="auto"/>
          <w:sz w:val="21"/>
          <w:szCs w:val="21"/>
        </w:rPr>
        <w:t>电子签章、加密，然后通过网络将加密的电子投</w:t>
      </w:r>
      <w:r>
        <w:rPr>
          <w:rFonts w:hint="eastAsia" w:asciiTheme="minorEastAsia" w:hAnsiTheme="minorEastAsia" w:eastAsiaTheme="minorEastAsia" w:cstheme="minorEastAsia"/>
          <w:color w:val="auto"/>
          <w:spacing w:val="-1"/>
          <w:sz w:val="21"/>
          <w:szCs w:val="21"/>
        </w:rPr>
        <w:t>标文件递交至广西政府采购云平台。</w:t>
      </w:r>
    </w:p>
    <w:p w14:paraId="19AA5283">
      <w:pPr>
        <w:spacing w:before="168" w:line="296" w:lineRule="auto"/>
        <w:ind w:right="22" w:firstLine="43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21.2未在规定时间内提交或者未按照招标文件要求密封或者标记的电子投标文件，广西政府</w:t>
      </w:r>
      <w:r>
        <w:rPr>
          <w:rFonts w:hint="eastAsia" w:asciiTheme="minorEastAsia" w:hAnsiTheme="minorEastAsia" w:eastAsiaTheme="minorEastAsia" w:cstheme="minorEastAsia"/>
          <w:color w:val="auto"/>
          <w:spacing w:val="15"/>
          <w:sz w:val="21"/>
          <w:szCs w:val="21"/>
        </w:rPr>
        <w:t xml:space="preserve"> </w:t>
      </w:r>
      <w:r>
        <w:rPr>
          <w:rFonts w:hint="eastAsia" w:asciiTheme="minorEastAsia" w:hAnsiTheme="minorEastAsia" w:eastAsiaTheme="minorEastAsia" w:cstheme="minorEastAsia"/>
          <w:color w:val="auto"/>
          <w:spacing w:val="2"/>
          <w:sz w:val="21"/>
          <w:szCs w:val="21"/>
        </w:rPr>
        <w:t>采购云平台将拒收。</w:t>
      </w:r>
    </w:p>
    <w:p w14:paraId="19B15D96">
      <w:pPr>
        <w:spacing w:before="165" w:line="221" w:lineRule="auto"/>
        <w:ind w:left="43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21.3电子版投标文件提交方式见“招标公告”。</w:t>
      </w:r>
    </w:p>
    <w:p w14:paraId="3E9DEE4B">
      <w:pPr>
        <w:spacing w:before="189" w:line="222" w:lineRule="auto"/>
        <w:ind w:left="4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5"/>
          <w:sz w:val="21"/>
          <w:szCs w:val="21"/>
        </w:rPr>
        <w:t>22.</w:t>
      </w:r>
      <w:r>
        <w:rPr>
          <w:rFonts w:hint="eastAsia" w:asciiTheme="minorEastAsia" w:hAnsiTheme="minorEastAsia" w:eastAsiaTheme="minorEastAsia" w:cstheme="minorEastAsia"/>
          <w:color w:val="auto"/>
          <w:spacing w:val="63"/>
          <w:sz w:val="21"/>
          <w:szCs w:val="21"/>
        </w:rPr>
        <w:t xml:space="preserve"> </w:t>
      </w:r>
      <w:r>
        <w:rPr>
          <w:rFonts w:hint="eastAsia" w:asciiTheme="minorEastAsia" w:hAnsiTheme="minorEastAsia" w:eastAsiaTheme="minorEastAsia" w:cstheme="minorEastAsia"/>
          <w:color w:val="auto"/>
          <w:spacing w:val="25"/>
          <w:sz w:val="21"/>
          <w:szCs w:val="21"/>
        </w:rPr>
        <w:t>投标文件的补充、修改、撤回</w:t>
      </w:r>
    </w:p>
    <w:p w14:paraId="0436E3B6">
      <w:pPr>
        <w:spacing w:before="149" w:line="328" w:lineRule="auto"/>
        <w:ind w:right="20" w:firstLine="43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22.1 投标人应当在投标截止时间前完成投标文件的传输递交，</w:t>
      </w:r>
      <w:r>
        <w:rPr>
          <w:rFonts w:hint="eastAsia" w:asciiTheme="minorEastAsia" w:hAnsiTheme="minorEastAsia" w:eastAsiaTheme="minorEastAsia" w:cstheme="minorEastAsia"/>
          <w:color w:val="auto"/>
          <w:sz w:val="21"/>
          <w:szCs w:val="21"/>
        </w:rPr>
        <w:t xml:space="preserve">并可以补充、修改或者撤回投 </w:t>
      </w:r>
      <w:r>
        <w:rPr>
          <w:rFonts w:hint="eastAsia" w:asciiTheme="minorEastAsia" w:hAnsiTheme="minorEastAsia" w:eastAsiaTheme="minorEastAsia" w:cstheme="minorEastAsia"/>
          <w:color w:val="auto"/>
          <w:spacing w:val="-1"/>
          <w:sz w:val="21"/>
          <w:szCs w:val="21"/>
        </w:rPr>
        <w:t>标文件。补充或者修改投标文件的，应当先行撤回原文件，补充、修改后重新传输</w:t>
      </w:r>
      <w:r>
        <w:rPr>
          <w:rFonts w:hint="eastAsia" w:asciiTheme="minorEastAsia" w:hAnsiTheme="minorEastAsia" w:eastAsiaTheme="minorEastAsia" w:cstheme="minorEastAsia"/>
          <w:color w:val="auto"/>
          <w:spacing w:val="-2"/>
          <w:sz w:val="21"/>
          <w:szCs w:val="21"/>
        </w:rPr>
        <w:t>递交。投标截止</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1"/>
          <w:sz w:val="21"/>
          <w:szCs w:val="21"/>
        </w:rPr>
        <w:t>时间前未完成传输的，视为撤回投标文件。投标截止时间后提交的投标文件，广西政府采</w:t>
      </w:r>
      <w:r>
        <w:rPr>
          <w:rFonts w:hint="eastAsia" w:asciiTheme="minorEastAsia" w:hAnsiTheme="minorEastAsia" w:eastAsiaTheme="minorEastAsia" w:cstheme="minorEastAsia"/>
          <w:color w:val="auto"/>
          <w:spacing w:val="-2"/>
          <w:sz w:val="21"/>
          <w:szCs w:val="21"/>
        </w:rPr>
        <w:t>购云平台</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3"/>
          <w:sz w:val="21"/>
          <w:szCs w:val="21"/>
        </w:rPr>
        <w:t>将拒收。</w:t>
      </w:r>
    </w:p>
    <w:p w14:paraId="552C3E3F">
      <w:pPr>
        <w:spacing w:before="157" w:line="317" w:lineRule="auto"/>
        <w:ind w:right="22" w:firstLine="43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22.2广西政府采购云平台收到投标文件，将妥善保存并即时向投标人发出确认回执通知。在</w:t>
      </w:r>
      <w:r>
        <w:rPr>
          <w:rFonts w:hint="eastAsia" w:asciiTheme="minorEastAsia" w:hAnsiTheme="minorEastAsia" w:eastAsiaTheme="minorEastAsia" w:cstheme="minorEastAsia"/>
          <w:color w:val="auto"/>
          <w:spacing w:val="15"/>
          <w:sz w:val="21"/>
          <w:szCs w:val="21"/>
        </w:rPr>
        <w:t xml:space="preserve"> </w:t>
      </w:r>
      <w:r>
        <w:rPr>
          <w:rFonts w:hint="eastAsia" w:asciiTheme="minorEastAsia" w:hAnsiTheme="minorEastAsia" w:eastAsiaTheme="minorEastAsia" w:cstheme="minorEastAsia"/>
          <w:color w:val="auto"/>
          <w:spacing w:val="-1"/>
          <w:sz w:val="21"/>
          <w:szCs w:val="21"/>
        </w:rPr>
        <w:t>投标截止时间前，除投标人补充、修改或者撤回投标文件外，任何单位</w:t>
      </w:r>
      <w:r>
        <w:rPr>
          <w:rFonts w:hint="eastAsia" w:asciiTheme="minorEastAsia" w:hAnsiTheme="minorEastAsia" w:eastAsiaTheme="minorEastAsia" w:cstheme="minorEastAsia"/>
          <w:color w:val="auto"/>
          <w:spacing w:val="-2"/>
          <w:sz w:val="21"/>
          <w:szCs w:val="21"/>
        </w:rPr>
        <w:t>和个人不得解密或提取投标</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8"/>
          <w:sz w:val="21"/>
          <w:szCs w:val="21"/>
        </w:rPr>
        <w:t>文件。</w:t>
      </w:r>
    </w:p>
    <w:p w14:paraId="10E86EB6">
      <w:pPr>
        <w:spacing w:line="317" w:lineRule="auto"/>
        <w:rPr>
          <w:rFonts w:hint="eastAsia" w:asciiTheme="minorEastAsia" w:hAnsiTheme="minorEastAsia" w:eastAsiaTheme="minorEastAsia" w:cstheme="minorEastAsia"/>
          <w:color w:val="auto"/>
          <w:sz w:val="21"/>
          <w:szCs w:val="21"/>
        </w:rPr>
        <w:sectPr>
          <w:footerReference r:id="rId16" w:type="default"/>
          <w:pgSz w:w="11900" w:h="16830"/>
          <w:pgMar w:top="1125" w:right="1464" w:bottom="991" w:left="1430" w:header="0" w:footer="847" w:gutter="0"/>
          <w:cols w:space="720" w:num="1"/>
        </w:sectPr>
      </w:pPr>
    </w:p>
    <w:p w14:paraId="65564B7F">
      <w:pPr>
        <w:spacing w:before="64" w:line="220" w:lineRule="auto"/>
        <w:ind w:left="3574"/>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bCs/>
          <w:color w:val="auto"/>
          <w:spacing w:val="-20"/>
          <w:sz w:val="32"/>
          <w:szCs w:val="32"/>
        </w:rPr>
        <w:t>四、开</w:t>
      </w:r>
      <w:r>
        <w:rPr>
          <w:rFonts w:hint="eastAsia" w:asciiTheme="minorEastAsia" w:hAnsiTheme="minorEastAsia" w:eastAsiaTheme="minorEastAsia" w:cstheme="minorEastAsia"/>
          <w:color w:val="auto"/>
          <w:spacing w:val="13"/>
          <w:sz w:val="32"/>
          <w:szCs w:val="32"/>
        </w:rPr>
        <w:t xml:space="preserve">    </w:t>
      </w:r>
      <w:r>
        <w:rPr>
          <w:rFonts w:hint="eastAsia" w:asciiTheme="minorEastAsia" w:hAnsiTheme="minorEastAsia" w:eastAsiaTheme="minorEastAsia" w:cstheme="minorEastAsia"/>
          <w:b/>
          <w:bCs/>
          <w:color w:val="auto"/>
          <w:spacing w:val="-20"/>
          <w:sz w:val="32"/>
          <w:szCs w:val="32"/>
        </w:rPr>
        <w:t>标</w:t>
      </w:r>
    </w:p>
    <w:p w14:paraId="02518903">
      <w:pPr>
        <w:spacing w:before="275" w:line="223" w:lineRule="auto"/>
        <w:ind w:left="51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19"/>
          <w:sz w:val="21"/>
          <w:szCs w:val="21"/>
        </w:rPr>
        <w:t>23.</w:t>
      </w:r>
      <w:r>
        <w:rPr>
          <w:rFonts w:hint="eastAsia" w:asciiTheme="minorEastAsia" w:hAnsiTheme="minorEastAsia" w:eastAsiaTheme="minorEastAsia" w:cstheme="minorEastAsia"/>
          <w:color w:val="auto"/>
          <w:spacing w:val="-59"/>
          <w:sz w:val="21"/>
          <w:szCs w:val="21"/>
        </w:rPr>
        <w:t xml:space="preserve"> </w:t>
      </w:r>
      <w:r>
        <w:rPr>
          <w:rFonts w:hint="eastAsia" w:asciiTheme="minorEastAsia" w:hAnsiTheme="minorEastAsia" w:eastAsiaTheme="minorEastAsia" w:cstheme="minorEastAsia"/>
          <w:b/>
          <w:bCs/>
          <w:color w:val="auto"/>
          <w:spacing w:val="19"/>
          <w:sz w:val="21"/>
          <w:szCs w:val="21"/>
        </w:rPr>
        <w:t>开标时间和地点</w:t>
      </w:r>
    </w:p>
    <w:p w14:paraId="11B694D3">
      <w:pPr>
        <w:spacing w:before="156" w:line="221" w:lineRule="auto"/>
        <w:ind w:left="43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23.1开标时间及地点详见“投标人须知前附表”</w:t>
      </w:r>
    </w:p>
    <w:p w14:paraId="2BAF5A84">
      <w:pPr>
        <w:spacing w:before="139" w:line="291" w:lineRule="auto"/>
        <w:ind w:right="77" w:firstLine="43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23.2如投标人成功解密投标文件，但未在广西政府采购云平台电</w:t>
      </w:r>
      <w:r>
        <w:rPr>
          <w:rFonts w:hint="eastAsia" w:asciiTheme="minorEastAsia" w:hAnsiTheme="minorEastAsia" w:eastAsiaTheme="minorEastAsia" w:cstheme="minorEastAsia"/>
          <w:color w:val="auto"/>
          <w:spacing w:val="3"/>
          <w:sz w:val="21"/>
          <w:szCs w:val="21"/>
        </w:rPr>
        <w:t>子开标大厅参加开标的，视</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6"/>
          <w:sz w:val="21"/>
          <w:szCs w:val="21"/>
        </w:rPr>
        <w:t>同认可开标过程和结果，由此产生的后果由投标人自行</w:t>
      </w:r>
      <w:r>
        <w:rPr>
          <w:rFonts w:hint="eastAsia" w:asciiTheme="minorEastAsia" w:hAnsiTheme="minorEastAsia" w:eastAsiaTheme="minorEastAsia" w:cstheme="minorEastAsia"/>
          <w:color w:val="auto"/>
          <w:spacing w:val="5"/>
          <w:sz w:val="21"/>
          <w:szCs w:val="21"/>
        </w:rPr>
        <w:t>负责。投标人不足3家的，不得开标。</w:t>
      </w:r>
    </w:p>
    <w:p w14:paraId="0FB62AB8">
      <w:pPr>
        <w:spacing w:before="217" w:line="222" w:lineRule="auto"/>
        <w:ind w:left="51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24.开</w:t>
      </w:r>
      <w:r>
        <w:rPr>
          <w:rFonts w:hint="eastAsia" w:asciiTheme="minorEastAsia" w:hAnsiTheme="minorEastAsia" w:eastAsiaTheme="minorEastAsia" w:cstheme="minorEastAsia"/>
          <w:color w:val="auto"/>
          <w:spacing w:val="-46"/>
          <w:sz w:val="21"/>
          <w:szCs w:val="21"/>
        </w:rPr>
        <w:t xml:space="preserve"> </w:t>
      </w:r>
      <w:r>
        <w:rPr>
          <w:rFonts w:hint="eastAsia" w:asciiTheme="minorEastAsia" w:hAnsiTheme="minorEastAsia" w:eastAsiaTheme="minorEastAsia" w:cstheme="minorEastAsia"/>
          <w:color w:val="auto"/>
          <w:sz w:val="21"/>
          <w:szCs w:val="21"/>
        </w:rPr>
        <w:t>标</w:t>
      </w:r>
      <w:r>
        <w:rPr>
          <w:rFonts w:hint="eastAsia" w:asciiTheme="minorEastAsia" w:hAnsiTheme="minorEastAsia" w:eastAsiaTheme="minorEastAsia" w:cstheme="minorEastAsia"/>
          <w:color w:val="auto"/>
          <w:spacing w:val="-42"/>
          <w:sz w:val="21"/>
          <w:szCs w:val="21"/>
        </w:rPr>
        <w:t xml:space="preserve"> </w:t>
      </w:r>
      <w:r>
        <w:rPr>
          <w:rFonts w:hint="eastAsia" w:asciiTheme="minorEastAsia" w:hAnsiTheme="minorEastAsia" w:eastAsiaTheme="minorEastAsia" w:cstheme="minorEastAsia"/>
          <w:color w:val="auto"/>
          <w:sz w:val="21"/>
          <w:szCs w:val="21"/>
        </w:rPr>
        <w:t>程</w:t>
      </w:r>
      <w:r>
        <w:rPr>
          <w:rFonts w:hint="eastAsia" w:asciiTheme="minorEastAsia" w:hAnsiTheme="minorEastAsia" w:eastAsiaTheme="minorEastAsia" w:cstheme="minorEastAsia"/>
          <w:color w:val="auto"/>
          <w:spacing w:val="-42"/>
          <w:sz w:val="21"/>
          <w:szCs w:val="21"/>
        </w:rPr>
        <w:t xml:space="preserve"> </w:t>
      </w:r>
      <w:r>
        <w:rPr>
          <w:rFonts w:hint="eastAsia" w:asciiTheme="minorEastAsia" w:hAnsiTheme="minorEastAsia" w:eastAsiaTheme="minorEastAsia" w:cstheme="minorEastAsia"/>
          <w:color w:val="auto"/>
          <w:sz w:val="21"/>
          <w:szCs w:val="21"/>
        </w:rPr>
        <w:t>序</w:t>
      </w:r>
    </w:p>
    <w:p w14:paraId="24794970">
      <w:pPr>
        <w:pStyle w:val="10"/>
        <w:spacing w:line="250" w:lineRule="auto"/>
        <w:rPr>
          <w:rFonts w:hint="eastAsia" w:asciiTheme="minorEastAsia" w:hAnsiTheme="minorEastAsia" w:eastAsiaTheme="minorEastAsia" w:cstheme="minorEastAsia"/>
          <w:color w:val="auto"/>
        </w:rPr>
      </w:pPr>
    </w:p>
    <w:p w14:paraId="0AF95C3B">
      <w:pPr>
        <w:spacing w:before="68" w:line="224" w:lineRule="auto"/>
        <w:ind w:left="43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24.1开标形式：</w:t>
      </w:r>
    </w:p>
    <w:p w14:paraId="5CF6FAA0">
      <w:pPr>
        <w:spacing w:before="153" w:line="309" w:lineRule="auto"/>
        <w:ind w:right="29" w:firstLine="51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(1)开标的准备工作由采购代理机构负责落实，采购代理机构必须基于广西政府采购云平台</w:t>
      </w:r>
      <w:r>
        <w:rPr>
          <w:rFonts w:hint="eastAsia" w:asciiTheme="minorEastAsia" w:hAnsiTheme="minorEastAsia" w:eastAsiaTheme="minorEastAsia" w:cstheme="minorEastAsia"/>
          <w:color w:val="auto"/>
          <w:spacing w:val="14"/>
          <w:sz w:val="21"/>
          <w:szCs w:val="21"/>
        </w:rPr>
        <w:t xml:space="preserve"> </w:t>
      </w:r>
      <w:r>
        <w:rPr>
          <w:rFonts w:hint="eastAsia" w:asciiTheme="minorEastAsia" w:hAnsiTheme="minorEastAsia" w:eastAsiaTheme="minorEastAsia" w:cstheme="minorEastAsia"/>
          <w:color w:val="auto"/>
          <w:sz w:val="21"/>
          <w:szCs w:val="21"/>
        </w:rPr>
        <w:t>依法抽取评审专家，如采购代理机构未按规定抽取专家的，视为本次开评标无效，应当重新采购；</w:t>
      </w:r>
    </w:p>
    <w:p w14:paraId="184DAE6E">
      <w:pPr>
        <w:spacing w:before="203" w:line="346" w:lineRule="auto"/>
        <w:ind w:firstLine="51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(2)采购代理机构将按照招标文件规定的时间通过广西政府采购云平台组织线上开标活动、</w:t>
      </w:r>
      <w:r>
        <w:rPr>
          <w:rFonts w:hint="eastAsia" w:asciiTheme="minorEastAsia" w:hAnsiTheme="minorEastAsia" w:eastAsiaTheme="minorEastAsia" w:cstheme="minorEastAsia"/>
          <w:color w:val="auto"/>
          <w:spacing w:val="2"/>
          <w:sz w:val="21"/>
          <w:szCs w:val="21"/>
        </w:rPr>
        <w:t xml:space="preserve">  </w:t>
      </w:r>
      <w:r>
        <w:rPr>
          <w:rFonts w:hint="eastAsia" w:asciiTheme="minorEastAsia" w:hAnsiTheme="minorEastAsia" w:eastAsiaTheme="minorEastAsia" w:cstheme="minorEastAsia"/>
          <w:color w:val="auto"/>
          <w:spacing w:val="-4"/>
          <w:sz w:val="21"/>
          <w:szCs w:val="21"/>
        </w:rPr>
        <w:t>开启投标文件，所有投标人均应当准时在线参加。投标人如不参加开标大会的，视同认可开标结果，</w:t>
      </w:r>
      <w:r>
        <w:rPr>
          <w:rFonts w:hint="eastAsia" w:asciiTheme="minorEastAsia" w:hAnsiTheme="minorEastAsia" w:eastAsiaTheme="minorEastAsia" w:cstheme="minorEastAsia"/>
          <w:color w:val="auto"/>
          <w:spacing w:val="9"/>
          <w:sz w:val="21"/>
          <w:szCs w:val="21"/>
        </w:rPr>
        <w:t xml:space="preserve"> </w:t>
      </w:r>
      <w:r>
        <w:rPr>
          <w:rFonts w:hint="eastAsia" w:asciiTheme="minorEastAsia" w:hAnsiTheme="minorEastAsia" w:eastAsiaTheme="minorEastAsia" w:cstheme="minorEastAsia"/>
          <w:color w:val="auto"/>
          <w:spacing w:val="-1"/>
          <w:sz w:val="21"/>
          <w:szCs w:val="21"/>
        </w:rPr>
        <w:t>事后不得对采购相关人员、开标过程和开标结果提出异议，同时投标人</w:t>
      </w:r>
      <w:r>
        <w:rPr>
          <w:rFonts w:hint="eastAsia" w:asciiTheme="minorEastAsia" w:hAnsiTheme="minorEastAsia" w:eastAsiaTheme="minorEastAsia" w:cstheme="minorEastAsia"/>
          <w:color w:val="auto"/>
          <w:spacing w:val="-2"/>
          <w:sz w:val="21"/>
          <w:szCs w:val="21"/>
        </w:rPr>
        <w:t>因未在线参加开标而导致投</w:t>
      </w:r>
      <w:r>
        <w:rPr>
          <w:rFonts w:hint="eastAsia" w:asciiTheme="minorEastAsia" w:hAnsiTheme="minorEastAsia" w:eastAsiaTheme="minorEastAsia" w:cstheme="minorEastAsia"/>
          <w:color w:val="auto"/>
          <w:sz w:val="21"/>
          <w:szCs w:val="21"/>
        </w:rPr>
        <w:t xml:space="preserve">  标文件无法按时解密等一切后果由投标人自己承担。</w:t>
      </w:r>
    </w:p>
    <w:p w14:paraId="583DF781">
      <w:pPr>
        <w:spacing w:before="190" w:line="222" w:lineRule="auto"/>
        <w:ind w:left="43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24.2开标程序：</w:t>
      </w:r>
    </w:p>
    <w:p w14:paraId="7AD4F612">
      <w:pPr>
        <w:spacing w:before="175" w:line="384" w:lineRule="auto"/>
        <w:ind w:right="66" w:firstLine="51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(1)解密电子投标文件。广西政府采购云平台按开标时间自动提取所有投标文件。采购代理</w:t>
      </w:r>
      <w:r>
        <w:rPr>
          <w:rFonts w:hint="eastAsia" w:asciiTheme="minorEastAsia" w:hAnsiTheme="minorEastAsia" w:eastAsiaTheme="minorEastAsia" w:cstheme="minorEastAsia"/>
          <w:color w:val="auto"/>
          <w:spacing w:val="8"/>
          <w:sz w:val="21"/>
          <w:szCs w:val="21"/>
        </w:rPr>
        <w:t xml:space="preserve"> </w:t>
      </w:r>
      <w:r>
        <w:rPr>
          <w:rFonts w:hint="eastAsia" w:asciiTheme="minorEastAsia" w:hAnsiTheme="minorEastAsia" w:eastAsiaTheme="minorEastAsia" w:cstheme="minorEastAsia"/>
          <w:color w:val="auto"/>
          <w:spacing w:val="-1"/>
          <w:sz w:val="21"/>
          <w:szCs w:val="21"/>
        </w:rPr>
        <w:t>机构依托广西政府采购云平台向各投标人发出电子加密投标文件【开始</w:t>
      </w:r>
      <w:r>
        <w:rPr>
          <w:rFonts w:hint="eastAsia" w:asciiTheme="minorEastAsia" w:hAnsiTheme="minorEastAsia" w:eastAsiaTheme="minorEastAsia" w:cstheme="minorEastAsia"/>
          <w:color w:val="auto"/>
          <w:spacing w:val="-2"/>
          <w:sz w:val="21"/>
          <w:szCs w:val="21"/>
        </w:rPr>
        <w:t>解密】通知，由投标人在规</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5"/>
          <w:sz w:val="21"/>
          <w:szCs w:val="21"/>
        </w:rPr>
        <w:t>定的时间内自行将投标文件在线解密。投标</w:t>
      </w:r>
      <w:r>
        <w:rPr>
          <w:rFonts w:hint="eastAsia" w:asciiTheme="minorEastAsia" w:hAnsiTheme="minorEastAsia" w:eastAsiaTheme="minorEastAsia" w:cstheme="minorEastAsia"/>
          <w:color w:val="auto"/>
          <w:spacing w:val="4"/>
          <w:sz w:val="21"/>
          <w:szCs w:val="21"/>
        </w:rPr>
        <w:t>人的法定代表人或其委托代理人须携带加密时所用的</w:t>
      </w:r>
      <w:r>
        <w:rPr>
          <w:rFonts w:hint="eastAsia" w:asciiTheme="minorEastAsia" w:hAnsiTheme="minorEastAsia" w:eastAsiaTheme="minorEastAsia" w:cstheme="minorEastAsia"/>
          <w:color w:val="auto"/>
          <w:sz w:val="21"/>
          <w:szCs w:val="21"/>
        </w:rPr>
        <w:t xml:space="preserve"> CA</w:t>
      </w:r>
      <w:r>
        <w:rPr>
          <w:rFonts w:hint="eastAsia" w:asciiTheme="minorEastAsia" w:hAnsiTheme="minorEastAsia" w:eastAsiaTheme="minorEastAsia" w:cstheme="minorEastAsia"/>
          <w:color w:val="auto"/>
          <w:spacing w:val="2"/>
          <w:sz w:val="21"/>
          <w:szCs w:val="21"/>
        </w:rPr>
        <w:t>锁准时登录到广西政府采购云平台电子开标大厅签到并对电子投标文件在线解密。投标文件未</w:t>
      </w:r>
      <w:r>
        <w:rPr>
          <w:rFonts w:hint="eastAsia" w:asciiTheme="minorEastAsia" w:hAnsiTheme="minorEastAsia" w:eastAsiaTheme="minorEastAsia" w:cstheme="minorEastAsia"/>
          <w:color w:val="auto"/>
          <w:spacing w:val="12"/>
          <w:sz w:val="21"/>
          <w:szCs w:val="21"/>
        </w:rPr>
        <w:t xml:space="preserve"> </w:t>
      </w:r>
      <w:r>
        <w:rPr>
          <w:rFonts w:hint="eastAsia" w:asciiTheme="minorEastAsia" w:hAnsiTheme="minorEastAsia" w:eastAsiaTheme="minorEastAsia" w:cstheme="minorEastAsia"/>
          <w:color w:val="auto"/>
          <w:spacing w:val="1"/>
          <w:sz w:val="21"/>
          <w:szCs w:val="21"/>
        </w:rPr>
        <w:t>按时解密的，均视为无效投标。</w:t>
      </w:r>
    </w:p>
    <w:p w14:paraId="12C81F80">
      <w:pPr>
        <w:spacing w:before="18" w:line="221" w:lineRule="auto"/>
        <w:ind w:left="51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(解密异常情况处理：详见本章29.3</w:t>
      </w:r>
      <w:r>
        <w:rPr>
          <w:rFonts w:hint="eastAsia" w:asciiTheme="minorEastAsia" w:hAnsiTheme="minorEastAsia" w:eastAsiaTheme="minorEastAsia" w:cstheme="minorEastAsia"/>
          <w:color w:val="auto"/>
          <w:spacing w:val="-3"/>
          <w:sz w:val="21"/>
          <w:szCs w:val="21"/>
        </w:rPr>
        <w:t xml:space="preserve"> </w:t>
      </w:r>
      <w:r>
        <w:rPr>
          <w:rFonts w:hint="eastAsia" w:asciiTheme="minorEastAsia" w:hAnsiTheme="minorEastAsia" w:eastAsiaTheme="minorEastAsia" w:cstheme="minorEastAsia"/>
          <w:color w:val="auto"/>
          <w:spacing w:val="4"/>
          <w:sz w:val="21"/>
          <w:szCs w:val="21"/>
        </w:rPr>
        <w:t>电子交易活动的中止。)</w:t>
      </w:r>
    </w:p>
    <w:p w14:paraId="679E1C3D">
      <w:pPr>
        <w:spacing w:before="29" w:line="287" w:lineRule="auto"/>
        <w:ind w:right="128" w:firstLine="51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w:t>
      </w:r>
      <w:r>
        <w:rPr>
          <w:rFonts w:hint="eastAsia" w:asciiTheme="minorEastAsia" w:hAnsiTheme="minorEastAsia" w:eastAsiaTheme="minorEastAsia" w:cstheme="minorEastAsia"/>
          <w:color w:val="auto"/>
          <w:spacing w:val="41"/>
          <w:sz w:val="21"/>
          <w:szCs w:val="21"/>
        </w:rPr>
        <w:t xml:space="preserve"> </w:t>
      </w:r>
      <w:r>
        <w:rPr>
          <w:rFonts w:hint="eastAsia" w:asciiTheme="minorEastAsia" w:hAnsiTheme="minorEastAsia" w:eastAsiaTheme="minorEastAsia" w:cstheme="minorEastAsia"/>
          <w:b/>
          <w:bCs/>
          <w:color w:val="auto"/>
          <w:sz w:val="21"/>
          <w:szCs w:val="21"/>
        </w:rPr>
        <w:t>电子唱标。</w:t>
      </w:r>
      <w:r>
        <w:rPr>
          <w:rFonts w:hint="eastAsia" w:asciiTheme="minorEastAsia" w:hAnsiTheme="minorEastAsia" w:eastAsiaTheme="minorEastAsia" w:cstheme="minorEastAsia"/>
          <w:color w:val="auto"/>
          <w:sz w:val="21"/>
          <w:szCs w:val="21"/>
        </w:rPr>
        <w:t>投标文件解密结束，各投标人报价均</w:t>
      </w:r>
      <w:r>
        <w:rPr>
          <w:rFonts w:hint="eastAsia" w:asciiTheme="minorEastAsia" w:hAnsiTheme="minorEastAsia" w:eastAsiaTheme="minorEastAsia" w:cstheme="minorEastAsia"/>
          <w:color w:val="auto"/>
          <w:spacing w:val="-1"/>
          <w:sz w:val="21"/>
          <w:szCs w:val="21"/>
        </w:rPr>
        <w:t>在广西政府采购云平台远程不见面开标</w:t>
      </w:r>
      <w:r>
        <w:rPr>
          <w:rFonts w:hint="eastAsia" w:asciiTheme="minorEastAsia" w:hAnsiTheme="minorEastAsia" w:eastAsiaTheme="minorEastAsia" w:cstheme="minorEastAsia"/>
          <w:color w:val="auto"/>
          <w:sz w:val="21"/>
          <w:szCs w:val="21"/>
        </w:rPr>
        <w:t xml:space="preserve"> 大厅展示；</w:t>
      </w:r>
    </w:p>
    <w:p w14:paraId="48C97809">
      <w:pPr>
        <w:spacing w:before="188" w:line="313" w:lineRule="auto"/>
        <w:ind w:right="93" w:firstLine="51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(3)开标过程由采购代理机构如实记录，并电子留痕，由参加电子开标的各投标人代表对电</w:t>
      </w:r>
      <w:r>
        <w:rPr>
          <w:rFonts w:hint="eastAsia" w:asciiTheme="minorEastAsia" w:hAnsiTheme="minorEastAsia" w:eastAsiaTheme="minorEastAsia" w:cstheme="minorEastAsia"/>
          <w:color w:val="auto"/>
          <w:spacing w:val="8"/>
          <w:sz w:val="21"/>
          <w:szCs w:val="21"/>
        </w:rPr>
        <w:t xml:space="preserve"> </w:t>
      </w:r>
      <w:r>
        <w:rPr>
          <w:rFonts w:hint="eastAsia" w:asciiTheme="minorEastAsia" w:hAnsiTheme="minorEastAsia" w:eastAsiaTheme="minorEastAsia" w:cstheme="minorEastAsia"/>
          <w:color w:val="auto"/>
          <w:spacing w:val="4"/>
          <w:sz w:val="21"/>
          <w:szCs w:val="21"/>
        </w:rPr>
        <w:t>子开标记录在开标记录公布后15分钟内进行当场校核及勘误，并线上</w:t>
      </w:r>
      <w:r>
        <w:rPr>
          <w:rFonts w:hint="eastAsia" w:asciiTheme="minorEastAsia" w:hAnsiTheme="minorEastAsia" w:eastAsiaTheme="minorEastAsia" w:cstheme="minorEastAsia"/>
          <w:color w:val="auto"/>
          <w:spacing w:val="3"/>
          <w:sz w:val="21"/>
          <w:szCs w:val="21"/>
        </w:rPr>
        <w:t>确认，未确认的视同认可开</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3"/>
          <w:sz w:val="21"/>
          <w:szCs w:val="21"/>
        </w:rPr>
        <w:t>标结果。</w:t>
      </w:r>
    </w:p>
    <w:p w14:paraId="2D811B5A">
      <w:pPr>
        <w:spacing w:before="131" w:line="323" w:lineRule="auto"/>
        <w:ind w:right="95" w:firstLine="51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(4)投标人代表对开标过程和开标记录有疑义，以及认为采购人、采购代理机构相关工作人</w:t>
      </w:r>
      <w:r>
        <w:rPr>
          <w:rFonts w:hint="eastAsia" w:asciiTheme="minorEastAsia" w:hAnsiTheme="minorEastAsia" w:eastAsiaTheme="minorEastAsia" w:cstheme="minorEastAsia"/>
          <w:color w:val="auto"/>
          <w:spacing w:val="9"/>
          <w:sz w:val="21"/>
          <w:szCs w:val="21"/>
        </w:rPr>
        <w:t xml:space="preserve"> </w:t>
      </w:r>
      <w:r>
        <w:rPr>
          <w:rFonts w:hint="eastAsia" w:asciiTheme="minorEastAsia" w:hAnsiTheme="minorEastAsia" w:eastAsiaTheme="minorEastAsia" w:cstheme="minorEastAsia"/>
          <w:color w:val="auto"/>
          <w:spacing w:val="-1"/>
          <w:sz w:val="21"/>
          <w:szCs w:val="21"/>
        </w:rPr>
        <w:t>员有需要回避的情形的，应当场提出在线询问或者回避申请。采购人、采购</w:t>
      </w:r>
      <w:r>
        <w:rPr>
          <w:rFonts w:hint="eastAsia" w:asciiTheme="minorEastAsia" w:hAnsiTheme="minorEastAsia" w:eastAsiaTheme="minorEastAsia" w:cstheme="minorEastAsia"/>
          <w:color w:val="auto"/>
          <w:spacing w:val="-2"/>
          <w:sz w:val="21"/>
          <w:szCs w:val="21"/>
        </w:rPr>
        <w:t>代理机构对投标人代表</w:t>
      </w:r>
      <w:r>
        <w:rPr>
          <w:rFonts w:hint="eastAsia" w:asciiTheme="minorEastAsia" w:hAnsiTheme="minorEastAsia" w:eastAsiaTheme="minorEastAsia" w:cstheme="minorEastAsia"/>
          <w:color w:val="auto"/>
          <w:sz w:val="21"/>
          <w:szCs w:val="21"/>
        </w:rPr>
        <w:t xml:space="preserve"> 提出的询问或者回避申请应当及时处理。</w:t>
      </w:r>
    </w:p>
    <w:p w14:paraId="44958D93">
      <w:pPr>
        <w:spacing w:before="152" w:line="224" w:lineRule="auto"/>
        <w:ind w:left="51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3"/>
          <w:sz w:val="21"/>
          <w:szCs w:val="21"/>
        </w:rPr>
        <w:t>(5)开标结束。</w:t>
      </w:r>
    </w:p>
    <w:p w14:paraId="41CCF8AD">
      <w:pPr>
        <w:spacing w:before="281" w:line="213" w:lineRule="auto"/>
        <w:ind w:left="44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8"/>
          <w:sz w:val="21"/>
          <w:szCs w:val="21"/>
        </w:rPr>
        <w:t>特别说明：</w:t>
      </w:r>
      <w:r>
        <w:rPr>
          <w:rFonts w:hint="eastAsia" w:asciiTheme="minorEastAsia" w:hAnsiTheme="minorEastAsia" w:eastAsiaTheme="minorEastAsia" w:cstheme="minorEastAsia"/>
          <w:color w:val="auto"/>
          <w:spacing w:val="-8"/>
          <w:sz w:val="21"/>
          <w:szCs w:val="21"/>
        </w:rPr>
        <w:t>如遇广西政府采购云平台电子化开标或评审程序调整的，按调整后执行。</w:t>
      </w:r>
    </w:p>
    <w:p w14:paraId="3A97C45A">
      <w:pPr>
        <w:pStyle w:val="10"/>
        <w:spacing w:line="315" w:lineRule="auto"/>
        <w:rPr>
          <w:rFonts w:hint="eastAsia" w:asciiTheme="minorEastAsia" w:hAnsiTheme="minorEastAsia" w:eastAsiaTheme="minorEastAsia" w:cstheme="minorEastAsia"/>
          <w:color w:val="auto"/>
        </w:rPr>
      </w:pPr>
    </w:p>
    <w:p w14:paraId="440F9B52">
      <w:pPr>
        <w:spacing w:line="219" w:lineRule="auto"/>
        <w:rPr>
          <w:rFonts w:hint="eastAsia" w:asciiTheme="minorEastAsia" w:hAnsiTheme="minorEastAsia" w:eastAsiaTheme="minorEastAsia" w:cstheme="minorEastAsia"/>
          <w:color w:val="auto"/>
          <w:sz w:val="32"/>
          <w:szCs w:val="32"/>
        </w:rPr>
        <w:sectPr>
          <w:footerReference r:id="rId17" w:type="default"/>
          <w:pgSz w:w="11900" w:h="16830"/>
          <w:pgMar w:top="1155" w:right="1395" w:bottom="991" w:left="1430" w:header="0" w:footer="847" w:gutter="0"/>
          <w:cols w:space="720" w:num="1"/>
        </w:sectPr>
      </w:pPr>
    </w:p>
    <w:p w14:paraId="292AFAE4">
      <w:pPr>
        <w:spacing w:before="64" w:line="220" w:lineRule="auto"/>
        <w:ind w:left="3574"/>
        <w:rPr>
          <w:rFonts w:hint="default" w:asciiTheme="minorEastAsia" w:hAnsiTheme="minorEastAsia" w:eastAsiaTheme="minorEastAsia" w:cstheme="minorEastAsia"/>
          <w:b/>
          <w:bCs/>
          <w:color w:val="auto"/>
          <w:spacing w:val="-20"/>
          <w:sz w:val="32"/>
          <w:szCs w:val="32"/>
          <w:lang w:val="en-US" w:eastAsia="zh-CN"/>
        </w:rPr>
      </w:pPr>
      <w:r>
        <w:rPr>
          <w:rFonts w:hint="eastAsia" w:asciiTheme="minorEastAsia" w:hAnsiTheme="minorEastAsia" w:eastAsiaTheme="minorEastAsia" w:cstheme="minorEastAsia"/>
          <w:b/>
          <w:bCs/>
          <w:color w:val="auto"/>
          <w:spacing w:val="-20"/>
          <w:sz w:val="32"/>
          <w:szCs w:val="32"/>
          <w:lang w:val="en-US" w:eastAsia="zh-CN"/>
        </w:rPr>
        <w:t>五、资格审查</w:t>
      </w:r>
    </w:p>
    <w:p w14:paraId="6AEA5DF2">
      <w:pPr>
        <w:spacing w:before="50" w:line="222" w:lineRule="auto"/>
        <w:ind w:left="463"/>
        <w:rPr>
          <w:rFonts w:hint="eastAsia" w:asciiTheme="minorEastAsia" w:hAnsiTheme="minorEastAsia" w:eastAsiaTheme="minorEastAsia" w:cstheme="minorEastAsia"/>
          <w:color w:val="auto"/>
          <w:sz w:val="25"/>
          <w:szCs w:val="25"/>
        </w:rPr>
      </w:pPr>
      <w:r>
        <w:rPr>
          <w:rFonts w:hint="eastAsia" w:asciiTheme="minorEastAsia" w:hAnsiTheme="minorEastAsia" w:eastAsiaTheme="minorEastAsia" w:cstheme="minorEastAsia"/>
          <w:b/>
          <w:bCs/>
          <w:color w:val="auto"/>
          <w:spacing w:val="-7"/>
          <w:sz w:val="25"/>
          <w:szCs w:val="25"/>
        </w:rPr>
        <w:t>25.资格审查</w:t>
      </w:r>
    </w:p>
    <w:p w14:paraId="01CC89E1">
      <w:pPr>
        <w:spacing w:before="142" w:line="277" w:lineRule="auto"/>
        <w:ind w:right="92" w:firstLine="459"/>
        <w:rPr>
          <w:rFonts w:hint="eastAsia" w:asciiTheme="minorEastAsia" w:hAnsiTheme="minorEastAsia" w:eastAsiaTheme="minorEastAsia" w:cstheme="minorEastAsia"/>
          <w:color w:val="auto"/>
          <w:sz w:val="25"/>
          <w:szCs w:val="25"/>
        </w:rPr>
      </w:pPr>
      <w:r>
        <w:rPr>
          <w:rFonts w:hint="eastAsia" w:asciiTheme="minorEastAsia" w:hAnsiTheme="minorEastAsia" w:eastAsiaTheme="minorEastAsia" w:cstheme="minorEastAsia"/>
          <w:color w:val="auto"/>
          <w:spacing w:val="1"/>
          <w:sz w:val="21"/>
          <w:szCs w:val="21"/>
        </w:rPr>
        <w:t>25.1开标结束后，采购人或采购代理机构依法通过电子投标文件对投标人的资格进行线上审</w:t>
      </w:r>
      <w:r>
        <w:rPr>
          <w:rFonts w:hint="eastAsia" w:asciiTheme="minorEastAsia" w:hAnsiTheme="minorEastAsia" w:eastAsiaTheme="minorEastAsia" w:cstheme="minorEastAsia"/>
          <w:color w:val="auto"/>
          <w:spacing w:val="12"/>
          <w:sz w:val="21"/>
          <w:szCs w:val="21"/>
        </w:rPr>
        <w:t xml:space="preserve"> </w:t>
      </w:r>
      <w:r>
        <w:rPr>
          <w:rFonts w:hint="eastAsia" w:asciiTheme="minorEastAsia" w:hAnsiTheme="minorEastAsia" w:eastAsiaTheme="minorEastAsia" w:cstheme="minorEastAsia"/>
          <w:color w:val="auto"/>
          <w:spacing w:val="-11"/>
          <w:sz w:val="25"/>
          <w:szCs w:val="25"/>
        </w:rPr>
        <w:t>查。</w:t>
      </w:r>
    </w:p>
    <w:p w14:paraId="483A22F2">
      <w:pPr>
        <w:spacing w:before="127" w:line="315" w:lineRule="auto"/>
        <w:ind w:right="17" w:firstLine="4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25.2资格审查标准为本“招标文件”中“投标人须知前附表</w:t>
      </w:r>
      <w:r>
        <w:rPr>
          <w:rFonts w:hint="eastAsia" w:asciiTheme="minorEastAsia" w:hAnsiTheme="minorEastAsia" w:eastAsiaTheme="minorEastAsia" w:cstheme="minorEastAsia"/>
          <w:color w:val="auto"/>
          <w:spacing w:val="3"/>
          <w:sz w:val="21"/>
          <w:szCs w:val="21"/>
        </w:rPr>
        <w:t>”13.1点载明对投标人资格要求</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1"/>
          <w:sz w:val="21"/>
          <w:szCs w:val="21"/>
        </w:rPr>
        <w:t>的条件。本项目资格审查采用合格制，凡符合招标文</w:t>
      </w:r>
      <w:r>
        <w:rPr>
          <w:rFonts w:hint="eastAsia" w:asciiTheme="minorEastAsia" w:hAnsiTheme="minorEastAsia" w:eastAsiaTheme="minorEastAsia" w:cstheme="minorEastAsia"/>
          <w:color w:val="auto"/>
          <w:spacing w:val="-2"/>
          <w:sz w:val="21"/>
          <w:szCs w:val="21"/>
        </w:rPr>
        <w:t>件规定的投标人资格要求的投标人均通过资格</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8"/>
          <w:sz w:val="21"/>
          <w:szCs w:val="21"/>
        </w:rPr>
        <w:t>审查。</w:t>
      </w:r>
    </w:p>
    <w:p w14:paraId="2F62BCF0">
      <w:pPr>
        <w:spacing w:before="146" w:line="213" w:lineRule="auto"/>
        <w:ind w:left="4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25.3投标人有下列情形之一的，资格审查</w:t>
      </w:r>
      <w:r>
        <w:rPr>
          <w:rFonts w:hint="eastAsia" w:asciiTheme="minorEastAsia" w:hAnsiTheme="minorEastAsia" w:eastAsiaTheme="minorEastAsia" w:cstheme="minorEastAsia"/>
          <w:color w:val="auto"/>
          <w:spacing w:val="2"/>
          <w:sz w:val="21"/>
          <w:szCs w:val="21"/>
        </w:rPr>
        <w:t>不通过，作无效投标处理：</w:t>
      </w:r>
    </w:p>
    <w:p w14:paraId="5384A9BF">
      <w:pPr>
        <w:spacing w:before="148" w:line="291" w:lineRule="auto"/>
        <w:ind w:right="39" w:firstLine="45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(1)不具备招标文件中规定的资格要求的；(注：其中信用查询规则见“投标人须知前附表”,</w:t>
      </w:r>
      <w:r>
        <w:rPr>
          <w:rFonts w:hint="eastAsia" w:asciiTheme="minorEastAsia" w:hAnsiTheme="minorEastAsia" w:eastAsiaTheme="minorEastAsia" w:cstheme="minorEastAsia"/>
          <w:color w:val="auto"/>
          <w:spacing w:val="2"/>
          <w:sz w:val="21"/>
          <w:szCs w:val="21"/>
        </w:rPr>
        <w:t xml:space="preserve"> 广西政府采购云平台已与“信用中国”平台做接口，采购人或者采购代</w:t>
      </w:r>
      <w:r>
        <w:rPr>
          <w:rFonts w:hint="eastAsia" w:asciiTheme="minorEastAsia" w:hAnsiTheme="minorEastAsia" w:eastAsiaTheme="minorEastAsia" w:cstheme="minorEastAsia"/>
          <w:color w:val="auto"/>
          <w:spacing w:val="1"/>
          <w:sz w:val="21"/>
          <w:szCs w:val="21"/>
        </w:rPr>
        <w:t>理机构可直接在线查询)</w:t>
      </w:r>
    </w:p>
    <w:p w14:paraId="0006EA41">
      <w:pPr>
        <w:spacing w:before="187" w:line="278" w:lineRule="auto"/>
        <w:ind w:right="98" w:firstLine="45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(2)投标文件未提供任一项“投标人须知前附表”资格证明文件规</w:t>
      </w:r>
      <w:r>
        <w:rPr>
          <w:rFonts w:hint="eastAsia" w:asciiTheme="minorEastAsia" w:hAnsiTheme="minorEastAsia" w:eastAsiaTheme="minorEastAsia" w:cstheme="minorEastAsia"/>
          <w:color w:val="auto"/>
          <w:spacing w:val="3"/>
          <w:sz w:val="21"/>
          <w:szCs w:val="21"/>
        </w:rPr>
        <w:t>定的“必须提供”的文件</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1"/>
          <w:sz w:val="21"/>
          <w:szCs w:val="21"/>
        </w:rPr>
        <w:t>资料的；</w:t>
      </w:r>
    </w:p>
    <w:p w14:paraId="04B737C7">
      <w:pPr>
        <w:spacing w:before="178" w:line="286" w:lineRule="auto"/>
        <w:ind w:right="101" w:firstLine="45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(3)投标文件提供的资格证明文件出现任一项不符合“投标</w:t>
      </w:r>
      <w:r>
        <w:rPr>
          <w:rFonts w:hint="eastAsia" w:asciiTheme="minorEastAsia" w:hAnsiTheme="minorEastAsia" w:eastAsiaTheme="minorEastAsia" w:cstheme="minorEastAsia"/>
          <w:color w:val="auto"/>
          <w:spacing w:val="3"/>
          <w:sz w:val="21"/>
          <w:szCs w:val="21"/>
        </w:rPr>
        <w:t>人须知前附表”资格证明文件规</w:t>
      </w:r>
      <w:r>
        <w:rPr>
          <w:rFonts w:hint="eastAsia" w:asciiTheme="minorEastAsia" w:hAnsiTheme="minorEastAsia" w:eastAsiaTheme="minorEastAsia" w:cstheme="minorEastAsia"/>
          <w:color w:val="auto"/>
          <w:sz w:val="21"/>
          <w:szCs w:val="21"/>
        </w:rPr>
        <w:t xml:space="preserve"> 定的“必须提供”的文件资料要求或者无效的。</w:t>
      </w:r>
    </w:p>
    <w:p w14:paraId="0FC03C18">
      <w:pPr>
        <w:spacing w:before="149" w:line="299" w:lineRule="auto"/>
        <w:ind w:right="89" w:firstLine="45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(4)同一合同项下的不同供应商，单位负责人为同一人或者存在直接控股、管理关系的</w:t>
      </w:r>
      <w:r>
        <w:rPr>
          <w:rFonts w:hint="eastAsia" w:asciiTheme="minorEastAsia" w:hAnsiTheme="minorEastAsia" w:eastAsiaTheme="minorEastAsia" w:cstheme="minorEastAsia"/>
          <w:color w:val="auto"/>
          <w:spacing w:val="3"/>
          <w:sz w:val="21"/>
          <w:szCs w:val="21"/>
        </w:rPr>
        <w:t>；为</w:t>
      </w:r>
      <w:r>
        <w:rPr>
          <w:rFonts w:hint="eastAsia" w:asciiTheme="minorEastAsia" w:hAnsiTheme="minorEastAsia" w:eastAsiaTheme="minorEastAsia" w:cstheme="minorEastAsia"/>
          <w:color w:val="auto"/>
          <w:sz w:val="21"/>
          <w:szCs w:val="21"/>
        </w:rPr>
        <w:t xml:space="preserve"> 本项目提供过整体设计、规范编制或者项目管理、监理、检测等服务的。</w:t>
      </w:r>
    </w:p>
    <w:p w14:paraId="7588F477">
      <w:pPr>
        <w:spacing w:before="140" w:line="213" w:lineRule="auto"/>
        <w:ind w:left="4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25.4资格审查的合格投标人不足3家的，不得评标。</w:t>
      </w:r>
    </w:p>
    <w:p w14:paraId="794B8817">
      <w:pPr>
        <w:pStyle w:val="10"/>
        <w:spacing w:line="380" w:lineRule="auto"/>
        <w:rPr>
          <w:rFonts w:hint="eastAsia" w:asciiTheme="minorEastAsia" w:hAnsiTheme="minorEastAsia" w:eastAsiaTheme="minorEastAsia" w:cstheme="minorEastAsia"/>
          <w:color w:val="auto"/>
        </w:rPr>
      </w:pPr>
    </w:p>
    <w:p w14:paraId="4CE546B5">
      <w:pPr>
        <w:spacing w:before="107" w:line="220" w:lineRule="auto"/>
        <w:ind w:left="3634"/>
        <w:rPr>
          <w:rFonts w:hint="eastAsia" w:asciiTheme="minorEastAsia" w:hAnsiTheme="minorEastAsia" w:eastAsiaTheme="minorEastAsia" w:cstheme="minorEastAsia"/>
          <w:color w:val="auto"/>
          <w:sz w:val="33"/>
          <w:szCs w:val="33"/>
        </w:rPr>
      </w:pPr>
      <w:r>
        <w:rPr>
          <w:rFonts w:hint="eastAsia" w:asciiTheme="minorEastAsia" w:hAnsiTheme="minorEastAsia" w:eastAsiaTheme="minorEastAsia" w:cstheme="minorEastAsia"/>
          <w:b/>
          <w:bCs/>
          <w:color w:val="auto"/>
          <w:spacing w:val="-9"/>
          <w:sz w:val="33"/>
          <w:szCs w:val="33"/>
        </w:rPr>
        <w:t>六、评</w:t>
      </w:r>
      <w:r>
        <w:rPr>
          <w:rFonts w:hint="eastAsia" w:asciiTheme="minorEastAsia" w:hAnsiTheme="minorEastAsia" w:eastAsiaTheme="minorEastAsia" w:cstheme="minorEastAsia"/>
          <w:color w:val="auto"/>
          <w:spacing w:val="65"/>
          <w:sz w:val="33"/>
          <w:szCs w:val="33"/>
        </w:rPr>
        <w:t xml:space="preserve">  </w:t>
      </w:r>
      <w:r>
        <w:rPr>
          <w:rFonts w:hint="eastAsia" w:asciiTheme="minorEastAsia" w:hAnsiTheme="minorEastAsia" w:eastAsiaTheme="minorEastAsia" w:cstheme="minorEastAsia"/>
          <w:b/>
          <w:bCs/>
          <w:color w:val="auto"/>
          <w:spacing w:val="-9"/>
          <w:sz w:val="33"/>
          <w:szCs w:val="33"/>
        </w:rPr>
        <w:t>标</w:t>
      </w:r>
    </w:p>
    <w:p w14:paraId="1932BAF6">
      <w:pPr>
        <w:pStyle w:val="10"/>
        <w:spacing w:line="409" w:lineRule="auto"/>
        <w:rPr>
          <w:rFonts w:hint="eastAsia" w:asciiTheme="minorEastAsia" w:hAnsiTheme="minorEastAsia" w:eastAsiaTheme="minorEastAsia" w:cstheme="minorEastAsia"/>
          <w:color w:val="auto"/>
        </w:rPr>
      </w:pPr>
    </w:p>
    <w:p w14:paraId="76952109">
      <w:pPr>
        <w:spacing w:before="69" w:line="221" w:lineRule="auto"/>
        <w:ind w:left="46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19"/>
          <w:sz w:val="21"/>
          <w:szCs w:val="21"/>
        </w:rPr>
        <w:t>26.</w:t>
      </w:r>
      <w:r>
        <w:rPr>
          <w:rFonts w:hint="eastAsia" w:asciiTheme="minorEastAsia" w:hAnsiTheme="minorEastAsia" w:eastAsiaTheme="minorEastAsia" w:cstheme="minorEastAsia"/>
          <w:color w:val="auto"/>
          <w:spacing w:val="-50"/>
          <w:sz w:val="21"/>
          <w:szCs w:val="21"/>
        </w:rPr>
        <w:t xml:space="preserve"> </w:t>
      </w:r>
      <w:r>
        <w:rPr>
          <w:rFonts w:hint="eastAsia" w:asciiTheme="minorEastAsia" w:hAnsiTheme="minorEastAsia" w:eastAsiaTheme="minorEastAsia" w:cstheme="minorEastAsia"/>
          <w:b/>
          <w:bCs/>
          <w:color w:val="auto"/>
          <w:spacing w:val="19"/>
          <w:sz w:val="21"/>
          <w:szCs w:val="21"/>
        </w:rPr>
        <w:t>组建评标委员会</w:t>
      </w:r>
    </w:p>
    <w:p w14:paraId="3A03584F">
      <w:pPr>
        <w:spacing w:before="144" w:line="369" w:lineRule="auto"/>
        <w:ind w:right="36" w:firstLine="4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评标委员会由采购人代表和评审专家组成，人数为5人以上单数，其中评审专家</w:t>
      </w:r>
      <w:r>
        <w:rPr>
          <w:rFonts w:hint="eastAsia" w:asciiTheme="minorEastAsia" w:hAnsiTheme="minorEastAsia" w:eastAsiaTheme="minorEastAsia" w:cstheme="minorEastAsia"/>
          <w:color w:val="auto"/>
          <w:sz w:val="21"/>
          <w:szCs w:val="21"/>
        </w:rPr>
        <w:t xml:space="preserve">不得少于成员 </w:t>
      </w:r>
      <w:r>
        <w:rPr>
          <w:rFonts w:hint="eastAsia" w:asciiTheme="minorEastAsia" w:hAnsiTheme="minorEastAsia" w:eastAsiaTheme="minorEastAsia" w:cstheme="minorEastAsia"/>
          <w:color w:val="auto"/>
          <w:spacing w:val="1"/>
          <w:sz w:val="21"/>
          <w:szCs w:val="21"/>
        </w:rPr>
        <w:t>总数的三分之二。</w:t>
      </w:r>
    </w:p>
    <w:p w14:paraId="432A704D">
      <w:pPr>
        <w:spacing w:before="1" w:line="212" w:lineRule="auto"/>
        <w:ind w:left="4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参加过采购项目前期咨询论证的专家，不得参加该采购项目的评审活动。</w:t>
      </w:r>
    </w:p>
    <w:p w14:paraId="79E4C913">
      <w:pPr>
        <w:spacing w:before="195" w:line="222" w:lineRule="auto"/>
        <w:ind w:left="463"/>
        <w:rPr>
          <w:rFonts w:hint="eastAsia" w:asciiTheme="minorEastAsia" w:hAnsiTheme="minorEastAsia" w:eastAsiaTheme="minorEastAsia" w:cstheme="minorEastAsia"/>
          <w:color w:val="auto"/>
          <w:sz w:val="25"/>
          <w:szCs w:val="25"/>
        </w:rPr>
      </w:pPr>
      <w:r>
        <w:rPr>
          <w:rFonts w:hint="eastAsia" w:asciiTheme="minorEastAsia" w:hAnsiTheme="minorEastAsia" w:eastAsiaTheme="minorEastAsia" w:cstheme="minorEastAsia"/>
          <w:b/>
          <w:bCs/>
          <w:color w:val="auto"/>
          <w:spacing w:val="-7"/>
          <w:sz w:val="25"/>
          <w:szCs w:val="25"/>
        </w:rPr>
        <w:t>27.评标的依据</w:t>
      </w:r>
    </w:p>
    <w:p w14:paraId="45BF0B53">
      <w:pPr>
        <w:spacing w:before="131" w:line="358" w:lineRule="auto"/>
        <w:ind w:right="21" w:firstLine="4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评标委员会以招标文件为依据对投标文件进行评审，“第四章评标方法和评标标</w:t>
      </w:r>
      <w:r>
        <w:rPr>
          <w:rFonts w:hint="eastAsia" w:asciiTheme="minorEastAsia" w:hAnsiTheme="minorEastAsia" w:eastAsiaTheme="minorEastAsia" w:cstheme="minorEastAsia"/>
          <w:color w:val="auto"/>
          <w:spacing w:val="3"/>
          <w:sz w:val="21"/>
          <w:szCs w:val="21"/>
        </w:rPr>
        <w:t>准”没有规</w:t>
      </w:r>
      <w:r>
        <w:rPr>
          <w:rFonts w:hint="eastAsia" w:asciiTheme="minorEastAsia" w:hAnsiTheme="minorEastAsia" w:eastAsiaTheme="minorEastAsia" w:cstheme="minorEastAsia"/>
          <w:color w:val="auto"/>
          <w:sz w:val="21"/>
          <w:szCs w:val="21"/>
        </w:rPr>
        <w:t xml:space="preserve"> 定的方法、评审因素和标准，不作为评标依据。</w:t>
      </w:r>
    </w:p>
    <w:p w14:paraId="743D128B">
      <w:pPr>
        <w:spacing w:before="73" w:line="222" w:lineRule="auto"/>
        <w:ind w:left="46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7"/>
          <w:sz w:val="21"/>
          <w:szCs w:val="21"/>
        </w:rPr>
        <w:t>28.</w:t>
      </w:r>
      <w:r>
        <w:rPr>
          <w:rFonts w:hint="eastAsia" w:asciiTheme="minorEastAsia" w:hAnsiTheme="minorEastAsia" w:eastAsiaTheme="minorEastAsia" w:cstheme="minorEastAsia"/>
          <w:color w:val="auto"/>
          <w:spacing w:val="-48"/>
          <w:sz w:val="21"/>
          <w:szCs w:val="21"/>
        </w:rPr>
        <w:t xml:space="preserve"> </w:t>
      </w:r>
      <w:r>
        <w:rPr>
          <w:rFonts w:hint="eastAsia" w:asciiTheme="minorEastAsia" w:hAnsiTheme="minorEastAsia" w:eastAsiaTheme="minorEastAsia" w:cstheme="minorEastAsia"/>
          <w:b/>
          <w:bCs/>
          <w:color w:val="auto"/>
          <w:spacing w:val="-7"/>
          <w:sz w:val="21"/>
          <w:szCs w:val="21"/>
        </w:rPr>
        <w:t>评</w:t>
      </w:r>
      <w:r>
        <w:rPr>
          <w:rFonts w:hint="eastAsia" w:asciiTheme="minorEastAsia" w:hAnsiTheme="minorEastAsia" w:eastAsiaTheme="minorEastAsia" w:cstheme="minorEastAsia"/>
          <w:color w:val="auto"/>
          <w:spacing w:val="-51"/>
          <w:sz w:val="21"/>
          <w:szCs w:val="21"/>
        </w:rPr>
        <w:t xml:space="preserve"> </w:t>
      </w:r>
      <w:r>
        <w:rPr>
          <w:rFonts w:hint="eastAsia" w:asciiTheme="minorEastAsia" w:hAnsiTheme="minorEastAsia" w:eastAsiaTheme="minorEastAsia" w:cstheme="minorEastAsia"/>
          <w:b/>
          <w:bCs/>
          <w:color w:val="auto"/>
          <w:spacing w:val="-7"/>
          <w:sz w:val="21"/>
          <w:szCs w:val="21"/>
        </w:rPr>
        <w:t>标</w:t>
      </w:r>
      <w:r>
        <w:rPr>
          <w:rFonts w:hint="eastAsia" w:asciiTheme="minorEastAsia" w:hAnsiTheme="minorEastAsia" w:eastAsiaTheme="minorEastAsia" w:cstheme="minorEastAsia"/>
          <w:color w:val="auto"/>
          <w:spacing w:val="-45"/>
          <w:sz w:val="21"/>
          <w:szCs w:val="21"/>
        </w:rPr>
        <w:t xml:space="preserve"> </w:t>
      </w:r>
      <w:r>
        <w:rPr>
          <w:rFonts w:hint="eastAsia" w:asciiTheme="minorEastAsia" w:hAnsiTheme="minorEastAsia" w:eastAsiaTheme="minorEastAsia" w:cstheme="minorEastAsia"/>
          <w:b/>
          <w:bCs/>
          <w:color w:val="auto"/>
          <w:spacing w:val="-7"/>
          <w:sz w:val="21"/>
          <w:szCs w:val="21"/>
        </w:rPr>
        <w:t>原</w:t>
      </w:r>
      <w:r>
        <w:rPr>
          <w:rFonts w:hint="eastAsia" w:asciiTheme="minorEastAsia" w:hAnsiTheme="minorEastAsia" w:eastAsiaTheme="minorEastAsia" w:cstheme="minorEastAsia"/>
          <w:color w:val="auto"/>
          <w:spacing w:val="-47"/>
          <w:sz w:val="21"/>
          <w:szCs w:val="21"/>
        </w:rPr>
        <w:t xml:space="preserve"> </w:t>
      </w:r>
      <w:r>
        <w:rPr>
          <w:rFonts w:hint="eastAsia" w:asciiTheme="minorEastAsia" w:hAnsiTheme="minorEastAsia" w:eastAsiaTheme="minorEastAsia" w:cstheme="minorEastAsia"/>
          <w:b/>
          <w:bCs/>
          <w:color w:val="auto"/>
          <w:spacing w:val="-7"/>
          <w:sz w:val="21"/>
          <w:szCs w:val="21"/>
        </w:rPr>
        <w:t>则</w:t>
      </w:r>
    </w:p>
    <w:p w14:paraId="6DFE6234">
      <w:pPr>
        <w:spacing w:before="152" w:line="305" w:lineRule="auto"/>
        <w:ind w:right="37" w:firstLine="4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28.1评标原则。评标委员会评标时必须公平、公正、客观，不带任何倾向性和启发性；不得</w:t>
      </w:r>
      <w:r>
        <w:rPr>
          <w:rFonts w:hint="eastAsia" w:asciiTheme="minorEastAsia" w:hAnsiTheme="minorEastAsia" w:eastAsiaTheme="minorEastAsia" w:cstheme="minorEastAsia"/>
          <w:color w:val="auto"/>
          <w:spacing w:val="14"/>
          <w:sz w:val="21"/>
          <w:szCs w:val="21"/>
        </w:rPr>
        <w:t xml:space="preserve"> </w:t>
      </w:r>
      <w:r>
        <w:rPr>
          <w:rFonts w:hint="eastAsia" w:asciiTheme="minorEastAsia" w:hAnsiTheme="minorEastAsia" w:eastAsiaTheme="minorEastAsia" w:cstheme="minorEastAsia"/>
          <w:color w:val="auto"/>
          <w:spacing w:val="-2"/>
          <w:sz w:val="21"/>
          <w:szCs w:val="21"/>
        </w:rPr>
        <w:t>向外界透露任何与评标有关的内容；任何单位和个人不得干扰、影响评标的正常进行；评标委员会</w:t>
      </w:r>
      <w:r>
        <w:rPr>
          <w:rFonts w:hint="eastAsia" w:asciiTheme="minorEastAsia" w:hAnsiTheme="minorEastAsia" w:eastAsiaTheme="minorEastAsia" w:cstheme="minorEastAsia"/>
          <w:color w:val="auto"/>
          <w:spacing w:val="3"/>
          <w:sz w:val="21"/>
          <w:szCs w:val="21"/>
        </w:rPr>
        <w:t xml:space="preserve"> </w:t>
      </w:r>
      <w:r>
        <w:rPr>
          <w:rFonts w:hint="eastAsia" w:asciiTheme="minorEastAsia" w:hAnsiTheme="minorEastAsia" w:eastAsiaTheme="minorEastAsia" w:cstheme="minorEastAsia"/>
          <w:color w:val="auto"/>
          <w:sz w:val="21"/>
          <w:szCs w:val="21"/>
        </w:rPr>
        <w:t>及有关工作人员不得私下与投标人接触，不得收受利害关系人的财物或者其他好处。</w:t>
      </w:r>
    </w:p>
    <w:p w14:paraId="1EAE5AE3">
      <w:pPr>
        <w:spacing w:before="188" w:line="321" w:lineRule="auto"/>
        <w:ind w:firstLine="45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28.2评标的保密。采购人、采购代理机构应当采取必要措施，保证评标在严格保密(封闭式</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1"/>
          <w:sz w:val="21"/>
          <w:szCs w:val="21"/>
        </w:rPr>
        <w:t>评标)的情况下进行。除采购人代表、评标现场组织人员外，采购人的其他工作人员以及与评标工</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1"/>
          <w:sz w:val="21"/>
          <w:szCs w:val="21"/>
        </w:rPr>
        <w:t>作无关的人员不得进入评标现场。有关人员对评</w:t>
      </w:r>
      <w:r>
        <w:rPr>
          <w:rFonts w:hint="eastAsia" w:asciiTheme="minorEastAsia" w:hAnsiTheme="minorEastAsia" w:eastAsiaTheme="minorEastAsia" w:cstheme="minorEastAsia"/>
          <w:color w:val="auto"/>
          <w:spacing w:val="-2"/>
          <w:sz w:val="21"/>
          <w:szCs w:val="21"/>
        </w:rPr>
        <w:t>标情况以及在评标过程中获悉的国家秘密、商业秘</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1"/>
          <w:sz w:val="21"/>
          <w:szCs w:val="21"/>
        </w:rPr>
        <w:t>密负有保密责任。</w:t>
      </w:r>
    </w:p>
    <w:p w14:paraId="316E89A6">
      <w:pPr>
        <w:bidi w:val="0"/>
        <w:rPr>
          <w:rFonts w:hint="eastAsia"/>
        </w:rPr>
        <w:sectPr>
          <w:footerReference r:id="rId18" w:type="default"/>
          <w:pgSz w:w="11900" w:h="16830"/>
          <w:pgMar w:top="1134" w:right="1461" w:bottom="991" w:left="1430" w:header="0" w:footer="847" w:gutter="0"/>
          <w:cols w:space="720" w:num="1"/>
        </w:sectPr>
      </w:pPr>
      <w:r>
        <w:rPr>
          <w:rFonts w:hint="eastAsia"/>
        </w:rPr>
        <w:t>28.3评标过程的监控。本项目电子评标过程实行网上留痕、全程录音、录像监控，投标人在</w:t>
      </w:r>
    </w:p>
    <w:p w14:paraId="26FE2AB3">
      <w:pPr>
        <w:spacing w:before="148" w:line="291" w:lineRule="auto"/>
        <w:ind w:right="94"/>
        <w:rPr>
          <w:rFonts w:hint="eastAsia" w:asciiTheme="minorEastAsia" w:hAnsiTheme="minorEastAsia" w:eastAsiaTheme="minorEastAsia" w:cstheme="minorEastAsia"/>
          <w:color w:val="auto"/>
          <w:spacing w:val="4"/>
          <w:sz w:val="21"/>
          <w:szCs w:val="21"/>
        </w:rPr>
      </w:pPr>
      <w:r>
        <w:rPr>
          <w:rFonts w:hint="eastAsia" w:asciiTheme="minorEastAsia" w:hAnsiTheme="minorEastAsia" w:eastAsiaTheme="minorEastAsia" w:cstheme="minorEastAsia"/>
          <w:color w:val="auto"/>
          <w:spacing w:val="4"/>
          <w:sz w:val="21"/>
          <w:szCs w:val="21"/>
        </w:rPr>
        <w:t>评标过程中所进行的试图影响评标结果的不公正活动，可能导致其投标作无效处理。</w:t>
      </w:r>
    </w:p>
    <w:p w14:paraId="1F2141D1">
      <w:pPr>
        <w:spacing w:before="148" w:line="291" w:lineRule="auto"/>
        <w:ind w:right="94" w:firstLine="429"/>
        <w:rPr>
          <w:rFonts w:hint="eastAsia" w:asciiTheme="minorEastAsia" w:hAnsiTheme="minorEastAsia" w:eastAsiaTheme="minorEastAsia" w:cstheme="minorEastAsia"/>
          <w:color w:val="auto"/>
          <w:spacing w:val="4"/>
          <w:sz w:val="21"/>
          <w:szCs w:val="21"/>
        </w:rPr>
      </w:pPr>
      <w:r>
        <w:rPr>
          <w:rFonts w:hint="eastAsia" w:asciiTheme="minorEastAsia" w:hAnsiTheme="minorEastAsia" w:eastAsiaTheme="minorEastAsia" w:cstheme="minorEastAsia"/>
          <w:color w:val="auto"/>
          <w:spacing w:val="4"/>
          <w:sz w:val="21"/>
          <w:szCs w:val="21"/>
        </w:rPr>
        <w:t>28.4评标委员会发现招标文件存在歧义、重大缺陷导致评标工作无法进行，或者招标文件内  容违反国家有关强制性规定的，应当停止评标工作，与采购人或者采购代理机构沟通并作书面记录。</w:t>
      </w:r>
    </w:p>
    <w:p w14:paraId="4B7EEC58">
      <w:pPr>
        <w:spacing w:before="148" w:line="291" w:lineRule="auto"/>
        <w:ind w:right="94" w:firstLine="429"/>
        <w:rPr>
          <w:rFonts w:hint="eastAsia" w:asciiTheme="minorEastAsia" w:hAnsiTheme="minorEastAsia" w:eastAsiaTheme="minorEastAsia" w:cstheme="minorEastAsia"/>
          <w:color w:val="auto"/>
          <w:spacing w:val="4"/>
          <w:sz w:val="21"/>
          <w:szCs w:val="21"/>
        </w:rPr>
      </w:pPr>
      <w:r>
        <w:rPr>
          <w:rFonts w:hint="eastAsia" w:asciiTheme="minorEastAsia" w:hAnsiTheme="minorEastAsia" w:eastAsiaTheme="minorEastAsia" w:cstheme="minorEastAsia"/>
          <w:color w:val="auto"/>
          <w:spacing w:val="4"/>
          <w:sz w:val="21"/>
          <w:szCs w:val="21"/>
        </w:rPr>
        <w:t>采购人或者采购代理机构确认后，应当修改招标文件，重新组织采购活动。</w:t>
      </w:r>
    </w:p>
    <w:p w14:paraId="054A5D64">
      <w:pPr>
        <w:spacing w:before="104" w:line="221" w:lineRule="auto"/>
        <w:ind w:left="493"/>
        <w:rPr>
          <w:rFonts w:hint="eastAsia" w:asciiTheme="minorEastAsia" w:hAnsiTheme="minorEastAsia" w:eastAsiaTheme="minorEastAsia" w:cstheme="minorEastAsia"/>
          <w:color w:val="auto"/>
          <w:sz w:val="25"/>
          <w:szCs w:val="25"/>
        </w:rPr>
      </w:pPr>
      <w:r>
        <w:rPr>
          <w:rFonts w:hint="eastAsia" w:asciiTheme="minorEastAsia" w:hAnsiTheme="minorEastAsia" w:eastAsiaTheme="minorEastAsia" w:cstheme="minorEastAsia"/>
          <w:b/>
          <w:bCs/>
          <w:color w:val="auto"/>
          <w:spacing w:val="-9"/>
          <w:sz w:val="25"/>
          <w:szCs w:val="25"/>
        </w:rPr>
        <w:t>29.评标方法和评标标准</w:t>
      </w:r>
    </w:p>
    <w:p w14:paraId="3698F165">
      <w:pPr>
        <w:spacing w:before="173" w:line="221" w:lineRule="auto"/>
        <w:ind w:left="4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29.1本项目的评标方法详见“投标人须知前附表”。</w:t>
      </w:r>
    </w:p>
    <w:p w14:paraId="19629B12">
      <w:pPr>
        <w:spacing w:before="149" w:line="287" w:lineRule="auto"/>
        <w:ind w:right="96" w:firstLine="4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29.2 评标委员会按照“第四章评标方法和评标标准”规定的方法、评审因素、标准和程序对</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1"/>
          <w:sz w:val="21"/>
          <w:szCs w:val="21"/>
        </w:rPr>
        <w:t>投标文件进行评审。</w:t>
      </w:r>
    </w:p>
    <w:p w14:paraId="5518A4B7">
      <w:pPr>
        <w:spacing w:before="148" w:line="291" w:lineRule="auto"/>
        <w:ind w:right="94" w:firstLine="4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29.3电子交易活动的中止。采购过程中出现以下</w:t>
      </w:r>
      <w:r>
        <w:rPr>
          <w:rFonts w:hint="eastAsia" w:asciiTheme="minorEastAsia" w:hAnsiTheme="minorEastAsia" w:eastAsiaTheme="minorEastAsia" w:cstheme="minorEastAsia"/>
          <w:color w:val="auto"/>
          <w:spacing w:val="3"/>
          <w:sz w:val="21"/>
          <w:szCs w:val="21"/>
        </w:rPr>
        <w:t>情形，导致电子交易平台无法正常运行，或</w:t>
      </w:r>
      <w:r>
        <w:rPr>
          <w:rFonts w:hint="eastAsia" w:asciiTheme="minorEastAsia" w:hAnsiTheme="minorEastAsia" w:eastAsiaTheme="minorEastAsia" w:cstheme="minorEastAsia"/>
          <w:color w:val="auto"/>
          <w:sz w:val="21"/>
          <w:szCs w:val="21"/>
        </w:rPr>
        <w:t xml:space="preserve"> 者无法保证电子交易的公平、公正和安全时，采购机构可中止电子交易活动：</w:t>
      </w:r>
    </w:p>
    <w:p w14:paraId="39062D45">
      <w:pPr>
        <w:spacing w:before="167" w:line="213" w:lineRule="auto"/>
        <w:ind w:left="48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(1)电子交易平台发生故障而无法登录访问的；</w:t>
      </w:r>
    </w:p>
    <w:p w14:paraId="594BAF08">
      <w:pPr>
        <w:spacing w:before="158" w:line="213" w:lineRule="auto"/>
        <w:ind w:left="48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(2)电子交易平台应用或数据库出现错误，不能进行正常操作的；</w:t>
      </w:r>
    </w:p>
    <w:p w14:paraId="757BEB04">
      <w:pPr>
        <w:spacing w:before="178" w:line="213" w:lineRule="auto"/>
        <w:ind w:left="48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(3)电子交易平台发现严重安全漏洞，有潜在泄密危险的；</w:t>
      </w:r>
    </w:p>
    <w:p w14:paraId="243E8BAE">
      <w:pPr>
        <w:spacing w:before="158" w:line="213" w:lineRule="auto"/>
        <w:ind w:left="48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5"/>
          <w:sz w:val="21"/>
          <w:szCs w:val="21"/>
        </w:rPr>
        <w:t>(4)病毒发作导致不能进行正常操作的；</w:t>
      </w:r>
    </w:p>
    <w:p w14:paraId="2FFD525D">
      <w:pPr>
        <w:spacing w:before="168" w:line="222" w:lineRule="auto"/>
        <w:ind w:left="48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(5)其他无法保证电子交易的公平、公正和安全的情况。</w:t>
      </w:r>
    </w:p>
    <w:p w14:paraId="7FFD8B39">
      <w:pPr>
        <w:spacing w:before="138" w:line="367" w:lineRule="auto"/>
        <w:ind w:firstLine="429"/>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29.4出现以上情形，不影响采购公平、公正性的，采购组织机构可以待上述情形消除后继续</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4"/>
          <w:sz w:val="21"/>
          <w:szCs w:val="21"/>
        </w:rPr>
        <w:t>组织电子交易活动；影响或可能影响采购公平、公正性的，经采购代理机构确认后，应当重新采购。</w:t>
      </w:r>
      <w:r>
        <w:rPr>
          <w:rFonts w:hint="eastAsia" w:asciiTheme="minorEastAsia" w:hAnsiTheme="minorEastAsia" w:eastAsiaTheme="minorEastAsia" w:cstheme="minorEastAsia"/>
          <w:color w:val="auto"/>
          <w:spacing w:val="9"/>
          <w:sz w:val="21"/>
          <w:szCs w:val="21"/>
        </w:rPr>
        <w:t xml:space="preserve"> </w:t>
      </w:r>
      <w:r>
        <w:rPr>
          <w:rFonts w:hint="eastAsia" w:asciiTheme="minorEastAsia" w:hAnsiTheme="minorEastAsia" w:eastAsiaTheme="minorEastAsia" w:cstheme="minorEastAsia"/>
          <w:color w:val="auto"/>
          <w:sz w:val="21"/>
          <w:szCs w:val="21"/>
        </w:rPr>
        <w:t>采购代理机构必须对原有的资料及信息作出妥善保密处理，并报财政部门备案。</w:t>
      </w:r>
    </w:p>
    <w:p w14:paraId="31D4ECC2">
      <w:pPr>
        <w:pStyle w:val="10"/>
        <w:spacing w:line="290" w:lineRule="auto"/>
        <w:rPr>
          <w:rFonts w:hint="eastAsia" w:asciiTheme="minorEastAsia" w:hAnsiTheme="minorEastAsia" w:eastAsiaTheme="minorEastAsia" w:cstheme="minorEastAsia"/>
          <w:color w:val="auto"/>
        </w:rPr>
      </w:pPr>
    </w:p>
    <w:p w14:paraId="40A60791">
      <w:pPr>
        <w:spacing w:before="105" w:line="220" w:lineRule="auto"/>
        <w:ind w:left="3414"/>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bCs/>
          <w:color w:val="auto"/>
          <w:spacing w:val="-5"/>
          <w:sz w:val="32"/>
          <w:szCs w:val="32"/>
        </w:rPr>
        <w:t>七、中标和合同</w:t>
      </w:r>
    </w:p>
    <w:p w14:paraId="66563CDD">
      <w:pPr>
        <w:spacing w:before="274" w:line="222" w:lineRule="auto"/>
        <w:ind w:left="493"/>
        <w:rPr>
          <w:rFonts w:hint="eastAsia" w:asciiTheme="minorEastAsia" w:hAnsiTheme="minorEastAsia" w:eastAsiaTheme="minorEastAsia" w:cstheme="minorEastAsia"/>
          <w:color w:val="auto"/>
          <w:sz w:val="25"/>
          <w:szCs w:val="25"/>
        </w:rPr>
      </w:pPr>
      <w:r>
        <w:rPr>
          <w:rFonts w:hint="eastAsia" w:asciiTheme="minorEastAsia" w:hAnsiTheme="minorEastAsia" w:eastAsiaTheme="minorEastAsia" w:cstheme="minorEastAsia"/>
          <w:b/>
          <w:bCs/>
          <w:color w:val="auto"/>
          <w:spacing w:val="-6"/>
          <w:sz w:val="25"/>
          <w:szCs w:val="25"/>
        </w:rPr>
        <w:t>30.确定中标人</w:t>
      </w:r>
    </w:p>
    <w:p w14:paraId="1C41EC4A">
      <w:pPr>
        <w:spacing w:before="141" w:line="315" w:lineRule="auto"/>
        <w:ind w:right="91" w:firstLine="4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30.1采购人在收到评标委员会出具的评标报告之日起5个工作日内在评标报告推荐的中标候</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1"/>
          <w:sz w:val="21"/>
          <w:szCs w:val="21"/>
        </w:rPr>
        <w:t>选人名单中按顺序确定中标人。采购人也可以事先授权评标委员会直接确定中标</w:t>
      </w:r>
      <w:r>
        <w:rPr>
          <w:rFonts w:hint="eastAsia" w:asciiTheme="minorEastAsia" w:hAnsiTheme="minorEastAsia" w:eastAsiaTheme="minorEastAsia" w:cstheme="minorEastAsia"/>
          <w:color w:val="auto"/>
          <w:spacing w:val="-2"/>
          <w:sz w:val="21"/>
          <w:szCs w:val="21"/>
        </w:rPr>
        <w:t>人。中标候选人并</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1"/>
          <w:sz w:val="21"/>
          <w:szCs w:val="21"/>
        </w:rPr>
        <w:t>列的，由采购人或者采购人委托评标委员会按照“投标人须知前附表”规定的方式确定</w:t>
      </w:r>
      <w:r>
        <w:rPr>
          <w:rFonts w:hint="eastAsia" w:asciiTheme="minorEastAsia" w:hAnsiTheme="minorEastAsia" w:eastAsiaTheme="minorEastAsia" w:cstheme="minorEastAsia"/>
          <w:color w:val="auto"/>
          <w:spacing w:val="-2"/>
          <w:sz w:val="21"/>
          <w:szCs w:val="21"/>
        </w:rPr>
        <w:t>中标人；招</w:t>
      </w:r>
      <w:r>
        <w:rPr>
          <w:rFonts w:hint="eastAsia" w:asciiTheme="minorEastAsia" w:hAnsiTheme="minorEastAsia" w:eastAsiaTheme="minorEastAsia" w:cstheme="minorEastAsia"/>
          <w:color w:val="auto"/>
          <w:sz w:val="21"/>
          <w:szCs w:val="21"/>
        </w:rPr>
        <w:t xml:space="preserve"> 标文件未规定的，采取随机抽取的方式确定。</w:t>
      </w:r>
    </w:p>
    <w:p w14:paraId="4E094BA1">
      <w:pPr>
        <w:spacing w:before="188" w:line="314" w:lineRule="auto"/>
        <w:ind w:right="19" w:firstLine="4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30.2采购人、采购代理机构认为供应商对采购过程</w:t>
      </w:r>
      <w:r>
        <w:rPr>
          <w:rFonts w:hint="eastAsia" w:asciiTheme="minorEastAsia" w:hAnsiTheme="minorEastAsia" w:eastAsiaTheme="minorEastAsia" w:cstheme="minorEastAsia"/>
          <w:color w:val="auto"/>
          <w:spacing w:val="3"/>
          <w:sz w:val="21"/>
          <w:szCs w:val="21"/>
        </w:rPr>
        <w:t>、中标结果提出的质疑成</w:t>
      </w:r>
      <w:r>
        <w:rPr>
          <w:rFonts w:hint="eastAsia" w:asciiTheme="minorEastAsia" w:hAnsiTheme="minorEastAsia" w:eastAsiaTheme="minorEastAsia" w:cstheme="minorEastAsia"/>
          <w:color w:val="auto"/>
          <w:spacing w:val="3"/>
          <w:sz w:val="21"/>
          <w:szCs w:val="21"/>
          <w:u w:val="single" w:color="auto"/>
        </w:rPr>
        <w:t>立日</w:t>
      </w:r>
      <w:r>
        <w:rPr>
          <w:rFonts w:hint="eastAsia" w:asciiTheme="minorEastAsia" w:hAnsiTheme="minorEastAsia" w:eastAsiaTheme="minorEastAsia" w:cstheme="minorEastAsia"/>
          <w:color w:val="auto"/>
          <w:spacing w:val="3"/>
          <w:sz w:val="21"/>
          <w:szCs w:val="21"/>
        </w:rPr>
        <w:t>影响或者可</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1"/>
          <w:sz w:val="21"/>
          <w:szCs w:val="21"/>
        </w:rPr>
        <w:t>能影响中标结果的，合格供应商符合法定数量时，可</w:t>
      </w:r>
      <w:r>
        <w:rPr>
          <w:rFonts w:hint="eastAsia" w:asciiTheme="minorEastAsia" w:hAnsiTheme="minorEastAsia" w:eastAsiaTheme="minorEastAsia" w:cstheme="minorEastAsia"/>
          <w:color w:val="auto"/>
          <w:sz w:val="21"/>
          <w:szCs w:val="21"/>
        </w:rPr>
        <w:t>以从合格的中标候选人中另行确定中标人的， 应当依法另行确定中标人；否则应当重新开展采购活动。</w:t>
      </w:r>
    </w:p>
    <w:p w14:paraId="4BFB5FBD">
      <w:pPr>
        <w:spacing w:before="148" w:line="297" w:lineRule="auto"/>
        <w:ind w:right="98" w:firstLine="4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30.3中标人无正当理由拒签合同的，根</w:t>
      </w:r>
      <w:r>
        <w:rPr>
          <w:rFonts w:hint="eastAsia" w:asciiTheme="minorEastAsia" w:hAnsiTheme="minorEastAsia" w:eastAsiaTheme="minorEastAsia" w:cstheme="minorEastAsia"/>
          <w:color w:val="auto"/>
          <w:spacing w:val="3"/>
          <w:sz w:val="21"/>
          <w:szCs w:val="21"/>
        </w:rPr>
        <w:t>据《中华人民共和国政府采购法》第七十七条第一款</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2"/>
          <w:sz w:val="21"/>
          <w:szCs w:val="21"/>
        </w:rPr>
        <w:t>规定处理。</w:t>
      </w:r>
    </w:p>
    <w:p w14:paraId="14D7273C">
      <w:pPr>
        <w:spacing w:before="134" w:line="295" w:lineRule="auto"/>
        <w:ind w:right="119" w:firstLine="4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30.4根据《中华人民共和国民法典》第五百六十三条，因不可抗力致使不能实现合同目的的，</w:t>
      </w:r>
      <w:r>
        <w:rPr>
          <w:rFonts w:hint="eastAsia" w:asciiTheme="minorEastAsia" w:hAnsiTheme="minorEastAsia" w:eastAsiaTheme="minorEastAsia" w:cstheme="minorEastAsia"/>
          <w:color w:val="auto"/>
          <w:sz w:val="21"/>
          <w:szCs w:val="21"/>
        </w:rPr>
        <w:t xml:space="preserve"> 当事人可以解除合同。</w:t>
      </w:r>
    </w:p>
    <w:p w14:paraId="7046DC57">
      <w:pPr>
        <w:spacing w:before="152" w:line="224" w:lineRule="auto"/>
        <w:ind w:left="493"/>
        <w:rPr>
          <w:rFonts w:hint="eastAsia" w:asciiTheme="minorEastAsia" w:hAnsiTheme="minorEastAsia" w:eastAsiaTheme="minorEastAsia" w:cstheme="minorEastAsia"/>
          <w:color w:val="auto"/>
          <w:sz w:val="25"/>
          <w:szCs w:val="25"/>
        </w:rPr>
      </w:pPr>
      <w:r>
        <w:rPr>
          <w:rFonts w:hint="eastAsia" w:asciiTheme="minorEastAsia" w:hAnsiTheme="minorEastAsia" w:eastAsiaTheme="minorEastAsia" w:cstheme="minorEastAsia"/>
          <w:b/>
          <w:bCs/>
          <w:color w:val="auto"/>
          <w:spacing w:val="-6"/>
          <w:sz w:val="25"/>
          <w:szCs w:val="25"/>
        </w:rPr>
        <w:t>31.</w:t>
      </w:r>
      <w:r>
        <w:rPr>
          <w:rFonts w:hint="eastAsia" w:asciiTheme="minorEastAsia" w:hAnsiTheme="minorEastAsia" w:eastAsiaTheme="minorEastAsia" w:cstheme="minorEastAsia"/>
          <w:color w:val="auto"/>
          <w:spacing w:val="-24"/>
          <w:sz w:val="25"/>
          <w:szCs w:val="25"/>
        </w:rPr>
        <w:t xml:space="preserve"> </w:t>
      </w:r>
      <w:r>
        <w:rPr>
          <w:rFonts w:hint="eastAsia" w:asciiTheme="minorEastAsia" w:hAnsiTheme="minorEastAsia" w:eastAsiaTheme="minorEastAsia" w:cstheme="minorEastAsia"/>
          <w:b/>
          <w:bCs/>
          <w:color w:val="auto"/>
          <w:spacing w:val="-6"/>
          <w:sz w:val="25"/>
          <w:szCs w:val="25"/>
        </w:rPr>
        <w:t>结果公告</w:t>
      </w:r>
    </w:p>
    <w:p w14:paraId="7B63003F">
      <w:pPr>
        <w:spacing w:line="224" w:lineRule="auto"/>
        <w:rPr>
          <w:rFonts w:hint="eastAsia" w:asciiTheme="minorEastAsia" w:hAnsiTheme="minorEastAsia" w:eastAsiaTheme="minorEastAsia" w:cstheme="minorEastAsia"/>
          <w:color w:val="auto"/>
          <w:sz w:val="25"/>
          <w:szCs w:val="25"/>
        </w:rPr>
        <w:sectPr>
          <w:footerReference r:id="rId19" w:type="default"/>
          <w:pgSz w:w="11900" w:h="16830"/>
          <w:pgMar w:top="1115" w:right="1385" w:bottom="991" w:left="1440" w:header="0" w:footer="847" w:gutter="0"/>
          <w:cols w:space="720" w:num="1"/>
        </w:sectPr>
      </w:pPr>
    </w:p>
    <w:p w14:paraId="169811E9">
      <w:pPr>
        <w:spacing w:before="43" w:line="358" w:lineRule="auto"/>
        <w:ind w:firstLine="429"/>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31.1在中标人确定之日起2个工作日内，由采购代理机构</w:t>
      </w:r>
      <w:r>
        <w:rPr>
          <w:rFonts w:hint="eastAsia" w:asciiTheme="minorEastAsia" w:hAnsiTheme="minorEastAsia" w:eastAsiaTheme="minorEastAsia" w:cstheme="minorEastAsia"/>
          <w:b/>
          <w:bCs/>
          <w:color w:val="auto"/>
          <w:spacing w:val="6"/>
          <w:sz w:val="21"/>
          <w:szCs w:val="21"/>
        </w:rPr>
        <w:t>在招标</w:t>
      </w:r>
      <w:r>
        <w:rPr>
          <w:rFonts w:hint="eastAsia" w:asciiTheme="minorEastAsia" w:hAnsiTheme="minorEastAsia" w:eastAsiaTheme="minorEastAsia" w:cstheme="minorEastAsia"/>
          <w:b/>
          <w:bCs/>
          <w:color w:val="auto"/>
          <w:spacing w:val="5"/>
          <w:sz w:val="21"/>
          <w:szCs w:val="21"/>
        </w:rPr>
        <w:t>公告发布媒体上</w:t>
      </w:r>
      <w:r>
        <w:rPr>
          <w:rFonts w:hint="eastAsia" w:asciiTheme="minorEastAsia" w:hAnsiTheme="minorEastAsia" w:eastAsiaTheme="minorEastAsia" w:cstheme="minorEastAsia"/>
          <w:color w:val="auto"/>
          <w:spacing w:val="5"/>
          <w:sz w:val="21"/>
          <w:szCs w:val="21"/>
        </w:rPr>
        <w:t>发布中标结</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1"/>
          <w:sz w:val="21"/>
          <w:szCs w:val="21"/>
        </w:rPr>
        <w:t>果公告，中标结果公告期限为1个工作日，发布中标结果公告的同时向中标人发出中标通知书</w:t>
      </w:r>
      <w:r>
        <w:rPr>
          <w:rFonts w:hint="eastAsia" w:asciiTheme="minorEastAsia" w:hAnsiTheme="minorEastAsia" w:eastAsiaTheme="minorEastAsia" w:cstheme="minorEastAsia"/>
          <w:b/>
          <w:bCs/>
          <w:color w:val="auto"/>
          <w:spacing w:val="1"/>
          <w:sz w:val="21"/>
          <w:szCs w:val="21"/>
        </w:rPr>
        <w:t>。采</w:t>
      </w:r>
      <w:r>
        <w:rPr>
          <w:rFonts w:hint="eastAsia" w:asciiTheme="minorEastAsia" w:hAnsiTheme="minorEastAsia" w:eastAsiaTheme="minorEastAsia" w:cstheme="minorEastAsia"/>
          <w:color w:val="auto"/>
          <w:spacing w:val="13"/>
          <w:sz w:val="21"/>
          <w:szCs w:val="21"/>
        </w:rPr>
        <w:t xml:space="preserve"> </w:t>
      </w:r>
      <w:r>
        <w:rPr>
          <w:rFonts w:hint="eastAsia" w:asciiTheme="minorEastAsia" w:hAnsiTheme="minorEastAsia" w:eastAsiaTheme="minorEastAsia" w:cstheme="minorEastAsia"/>
          <w:b/>
          <w:bCs/>
          <w:color w:val="auto"/>
          <w:spacing w:val="2"/>
          <w:sz w:val="21"/>
          <w:szCs w:val="21"/>
        </w:rPr>
        <w:t>购代理机构发出中标通知书前，应当对中标人信用进行核实，对</w:t>
      </w:r>
      <w:r>
        <w:rPr>
          <w:rFonts w:hint="eastAsia" w:asciiTheme="minorEastAsia" w:hAnsiTheme="minorEastAsia" w:eastAsiaTheme="minorEastAsia" w:cstheme="minorEastAsia"/>
          <w:b/>
          <w:bCs/>
          <w:color w:val="auto"/>
          <w:spacing w:val="1"/>
          <w:sz w:val="21"/>
          <w:szCs w:val="21"/>
        </w:rPr>
        <w:t>列入失信被执行人、重大税收违</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b/>
          <w:bCs/>
          <w:color w:val="auto"/>
          <w:spacing w:val="4"/>
          <w:sz w:val="21"/>
          <w:szCs w:val="21"/>
        </w:rPr>
        <w:t>法失信主体、政府采购严重违法失信行为记录名</w:t>
      </w:r>
      <w:r>
        <w:rPr>
          <w:rFonts w:hint="eastAsia" w:asciiTheme="minorEastAsia" w:hAnsiTheme="minorEastAsia" w:eastAsiaTheme="minorEastAsia" w:cstheme="minorEastAsia"/>
          <w:b/>
          <w:bCs/>
          <w:color w:val="auto"/>
          <w:spacing w:val="3"/>
          <w:sz w:val="21"/>
          <w:szCs w:val="21"/>
        </w:rPr>
        <w:t>单及其他不符合《中华人民共和国政府采购法》</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b/>
          <w:bCs/>
          <w:color w:val="auto"/>
          <w:spacing w:val="2"/>
          <w:sz w:val="21"/>
          <w:szCs w:val="21"/>
        </w:rPr>
        <w:t>第二十二条规定条件的投标人，取消其中标资格，并依法确定排名第二的中标候选人为中标人。</w:t>
      </w:r>
      <w:r>
        <w:rPr>
          <w:rFonts w:hint="eastAsia" w:asciiTheme="minorEastAsia" w:hAnsiTheme="minorEastAsia" w:eastAsiaTheme="minorEastAsia" w:cstheme="minorEastAsia"/>
          <w:color w:val="auto"/>
          <w:spacing w:val="7"/>
          <w:sz w:val="21"/>
          <w:szCs w:val="21"/>
        </w:rPr>
        <w:t xml:space="preserve">  </w:t>
      </w:r>
      <w:r>
        <w:rPr>
          <w:rFonts w:hint="eastAsia" w:asciiTheme="minorEastAsia" w:hAnsiTheme="minorEastAsia" w:eastAsiaTheme="minorEastAsia" w:cstheme="minorEastAsia"/>
          <w:color w:val="auto"/>
          <w:spacing w:val="-1"/>
          <w:sz w:val="21"/>
          <w:szCs w:val="21"/>
        </w:rPr>
        <w:t>排名第二的中标候选人因前款规定的同样原因被取消中标资格的，采购人可以依法确定排名第三的</w:t>
      </w:r>
      <w:r>
        <w:rPr>
          <w:rFonts w:hint="eastAsia" w:asciiTheme="minorEastAsia" w:hAnsiTheme="minorEastAsia" w:eastAsiaTheme="minorEastAsia" w:cstheme="minorEastAsia"/>
          <w:color w:val="auto"/>
          <w:spacing w:val="10"/>
          <w:sz w:val="21"/>
          <w:szCs w:val="21"/>
        </w:rPr>
        <w:t xml:space="preserve"> </w:t>
      </w:r>
      <w:r>
        <w:rPr>
          <w:rFonts w:hint="eastAsia" w:asciiTheme="minorEastAsia" w:hAnsiTheme="minorEastAsia" w:eastAsiaTheme="minorEastAsia" w:cstheme="minorEastAsia"/>
          <w:color w:val="auto"/>
          <w:sz w:val="21"/>
          <w:szCs w:val="21"/>
        </w:rPr>
        <w:t>中标候选人为中标人，以此类推。</w:t>
      </w:r>
    </w:p>
    <w:p w14:paraId="24CE4D91">
      <w:pPr>
        <w:spacing w:before="27" w:line="221" w:lineRule="auto"/>
        <w:ind w:left="4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以上信息查询记录及相关证据与采购文件一并保存。</w:t>
      </w:r>
    </w:p>
    <w:p w14:paraId="76CAE3C4">
      <w:pPr>
        <w:spacing w:before="140" w:line="365" w:lineRule="auto"/>
        <w:ind w:right="70" w:firstLine="429"/>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31.2中小企业在政府采购活动过程中，请根据企业的真实情况出具《中小企业声明函》。依</w:t>
      </w:r>
      <w:r>
        <w:rPr>
          <w:rFonts w:hint="eastAsia" w:asciiTheme="minorEastAsia" w:hAnsiTheme="minorEastAsia" w:eastAsiaTheme="minorEastAsia" w:cstheme="minorEastAsia"/>
          <w:color w:val="auto"/>
          <w:spacing w:val="14"/>
          <w:sz w:val="21"/>
          <w:szCs w:val="21"/>
        </w:rPr>
        <w:t xml:space="preserve"> </w:t>
      </w:r>
      <w:r>
        <w:rPr>
          <w:rFonts w:hint="eastAsia" w:asciiTheme="minorEastAsia" w:hAnsiTheme="minorEastAsia" w:eastAsiaTheme="minorEastAsia" w:cstheme="minorEastAsia"/>
          <w:color w:val="auto"/>
          <w:spacing w:val="-1"/>
          <w:sz w:val="21"/>
          <w:szCs w:val="21"/>
        </w:rPr>
        <w:t>法享受中小企业扶持政策的，采购人或者采购代理机构在公告中标结果时，同时公告其《中小企业</w:t>
      </w:r>
      <w:r>
        <w:rPr>
          <w:rFonts w:hint="eastAsia" w:asciiTheme="minorEastAsia" w:hAnsiTheme="minorEastAsia" w:eastAsiaTheme="minorEastAsia" w:cstheme="minorEastAsia"/>
          <w:color w:val="auto"/>
          <w:spacing w:val="2"/>
          <w:sz w:val="21"/>
          <w:szCs w:val="21"/>
        </w:rPr>
        <w:t xml:space="preserve"> </w:t>
      </w:r>
      <w:r>
        <w:rPr>
          <w:rFonts w:hint="eastAsia" w:asciiTheme="minorEastAsia" w:hAnsiTheme="minorEastAsia" w:eastAsiaTheme="minorEastAsia" w:cstheme="minorEastAsia"/>
          <w:color w:val="auto"/>
          <w:spacing w:val="10"/>
          <w:sz w:val="21"/>
          <w:szCs w:val="21"/>
        </w:rPr>
        <w:t>声明函》,接受社会监督。</w:t>
      </w:r>
    </w:p>
    <w:p w14:paraId="4B63C101">
      <w:pPr>
        <w:spacing w:before="29" w:line="221" w:lineRule="auto"/>
        <w:ind w:left="49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20"/>
          <w:sz w:val="21"/>
          <w:szCs w:val="21"/>
        </w:rPr>
        <w:t>32.</w:t>
      </w:r>
      <w:r>
        <w:rPr>
          <w:rFonts w:hint="eastAsia" w:asciiTheme="minorEastAsia" w:hAnsiTheme="minorEastAsia" w:eastAsiaTheme="minorEastAsia" w:cstheme="minorEastAsia"/>
          <w:color w:val="auto"/>
          <w:spacing w:val="-58"/>
          <w:sz w:val="21"/>
          <w:szCs w:val="21"/>
        </w:rPr>
        <w:t xml:space="preserve"> </w:t>
      </w:r>
      <w:r>
        <w:rPr>
          <w:rFonts w:hint="eastAsia" w:asciiTheme="minorEastAsia" w:hAnsiTheme="minorEastAsia" w:eastAsiaTheme="minorEastAsia" w:cstheme="minorEastAsia"/>
          <w:b/>
          <w:bCs/>
          <w:color w:val="auto"/>
          <w:spacing w:val="20"/>
          <w:sz w:val="21"/>
          <w:szCs w:val="21"/>
        </w:rPr>
        <w:t>发出中标通知书</w:t>
      </w:r>
    </w:p>
    <w:p w14:paraId="30269799">
      <w:pPr>
        <w:spacing w:before="149" w:line="305" w:lineRule="auto"/>
        <w:ind w:left="3" w:right="58" w:firstLine="4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2"/>
          <w:sz w:val="21"/>
          <w:szCs w:val="21"/>
        </w:rPr>
        <w:t>32.1在发布中标公告的同时，采购代理机构向中标人通过广西政府采购云</w:t>
      </w:r>
      <w:r>
        <w:rPr>
          <w:rFonts w:hint="eastAsia" w:asciiTheme="minorEastAsia" w:hAnsiTheme="minorEastAsia" w:eastAsiaTheme="minorEastAsia" w:cstheme="minorEastAsia"/>
          <w:b/>
          <w:bCs/>
          <w:color w:val="auto"/>
          <w:spacing w:val="1"/>
          <w:sz w:val="21"/>
          <w:szCs w:val="21"/>
        </w:rPr>
        <w:t>平台发出电子中标</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b/>
          <w:bCs/>
          <w:color w:val="auto"/>
          <w:spacing w:val="2"/>
          <w:sz w:val="21"/>
          <w:szCs w:val="21"/>
        </w:rPr>
        <w:t>通知书。</w:t>
      </w:r>
    </w:p>
    <w:p w14:paraId="08C38E75">
      <w:pPr>
        <w:spacing w:before="147" w:line="282" w:lineRule="auto"/>
        <w:ind w:left="3" w:right="77" w:firstLine="4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1"/>
          <w:sz w:val="21"/>
          <w:szCs w:val="21"/>
        </w:rPr>
        <w:t>32.2对未通过资格审查的投标人，采购人或采购代理机构应当告知其未通过的原因；采用综</w:t>
      </w:r>
      <w:r>
        <w:rPr>
          <w:rFonts w:hint="eastAsia" w:asciiTheme="minorEastAsia" w:hAnsiTheme="minorEastAsia" w:eastAsiaTheme="minorEastAsia" w:cstheme="minorEastAsia"/>
          <w:color w:val="auto"/>
          <w:spacing w:val="15"/>
          <w:sz w:val="21"/>
          <w:szCs w:val="21"/>
        </w:rPr>
        <w:t xml:space="preserve"> </w:t>
      </w:r>
      <w:r>
        <w:rPr>
          <w:rFonts w:hint="eastAsia" w:asciiTheme="minorEastAsia" w:hAnsiTheme="minorEastAsia" w:eastAsiaTheme="minorEastAsia" w:cstheme="minorEastAsia"/>
          <w:b/>
          <w:bCs/>
          <w:color w:val="auto"/>
          <w:spacing w:val="-1"/>
          <w:sz w:val="21"/>
          <w:szCs w:val="21"/>
        </w:rPr>
        <w:t>合评分办法评审的，采购人或采购机构还应当告知未中标人本人的评审得分与排序。</w:t>
      </w:r>
    </w:p>
    <w:p w14:paraId="1D3F4367">
      <w:pPr>
        <w:spacing w:before="187" w:line="221" w:lineRule="auto"/>
        <w:ind w:left="493"/>
        <w:rPr>
          <w:rFonts w:hint="eastAsia" w:asciiTheme="minorEastAsia" w:hAnsiTheme="minorEastAsia" w:eastAsiaTheme="minorEastAsia" w:cstheme="minorEastAsia"/>
          <w:color w:val="auto"/>
          <w:sz w:val="25"/>
          <w:szCs w:val="25"/>
        </w:rPr>
      </w:pPr>
      <w:r>
        <w:rPr>
          <w:rFonts w:hint="eastAsia" w:asciiTheme="minorEastAsia" w:hAnsiTheme="minorEastAsia" w:eastAsiaTheme="minorEastAsia" w:cstheme="minorEastAsia"/>
          <w:b/>
          <w:bCs/>
          <w:color w:val="auto"/>
          <w:spacing w:val="-8"/>
          <w:sz w:val="25"/>
          <w:szCs w:val="25"/>
        </w:rPr>
        <w:t>33.</w:t>
      </w:r>
      <w:r>
        <w:rPr>
          <w:rFonts w:hint="eastAsia" w:asciiTheme="minorEastAsia" w:hAnsiTheme="minorEastAsia" w:eastAsiaTheme="minorEastAsia" w:cstheme="minorEastAsia"/>
          <w:color w:val="auto"/>
          <w:spacing w:val="-8"/>
          <w:sz w:val="25"/>
          <w:szCs w:val="25"/>
        </w:rPr>
        <w:t xml:space="preserve"> </w:t>
      </w:r>
      <w:r>
        <w:rPr>
          <w:rFonts w:hint="eastAsia" w:asciiTheme="minorEastAsia" w:hAnsiTheme="minorEastAsia" w:eastAsiaTheme="minorEastAsia" w:cstheme="minorEastAsia"/>
          <w:b/>
          <w:bCs/>
          <w:color w:val="auto"/>
          <w:spacing w:val="-8"/>
          <w:sz w:val="25"/>
          <w:szCs w:val="25"/>
        </w:rPr>
        <w:t>无义务解释未中标原因</w:t>
      </w:r>
    </w:p>
    <w:p w14:paraId="0A32EC0B">
      <w:pPr>
        <w:spacing w:before="150" w:line="221" w:lineRule="auto"/>
        <w:ind w:left="43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1"/>
          <w:sz w:val="21"/>
          <w:szCs w:val="21"/>
        </w:rPr>
        <w:t>采购代理机构无义务向未中标的投标人解释未中标原因和退还投标文件。</w:t>
      </w:r>
    </w:p>
    <w:p w14:paraId="69688B0E">
      <w:pPr>
        <w:spacing w:before="221" w:line="222" w:lineRule="auto"/>
        <w:ind w:left="49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18"/>
          <w:sz w:val="21"/>
          <w:szCs w:val="21"/>
        </w:rPr>
        <w:t>34.</w:t>
      </w:r>
      <w:r>
        <w:rPr>
          <w:rFonts w:hint="eastAsia" w:asciiTheme="minorEastAsia" w:hAnsiTheme="minorEastAsia" w:eastAsiaTheme="minorEastAsia" w:cstheme="minorEastAsia"/>
          <w:color w:val="auto"/>
          <w:spacing w:val="-48"/>
          <w:sz w:val="21"/>
          <w:szCs w:val="21"/>
        </w:rPr>
        <w:t xml:space="preserve"> </w:t>
      </w:r>
      <w:r>
        <w:rPr>
          <w:rFonts w:hint="eastAsia" w:asciiTheme="minorEastAsia" w:hAnsiTheme="minorEastAsia" w:eastAsiaTheme="minorEastAsia" w:cstheme="minorEastAsia"/>
          <w:b/>
          <w:bCs/>
          <w:color w:val="auto"/>
          <w:spacing w:val="18"/>
          <w:sz w:val="21"/>
          <w:szCs w:val="21"/>
        </w:rPr>
        <w:t>合同授予标准</w:t>
      </w:r>
    </w:p>
    <w:p w14:paraId="40946AB9">
      <w:pPr>
        <w:spacing w:before="159" w:line="371" w:lineRule="auto"/>
        <w:ind w:right="70" w:firstLine="4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合同将授予被确定实质上响应招标文件要求，具备履行合同能力的中标人(招标文件另有约定</w:t>
      </w:r>
      <w:r>
        <w:rPr>
          <w:rFonts w:hint="eastAsia" w:asciiTheme="minorEastAsia" w:hAnsiTheme="minorEastAsia" w:eastAsiaTheme="minorEastAsia" w:cstheme="minorEastAsia"/>
          <w:color w:val="auto"/>
          <w:spacing w:val="14"/>
          <w:sz w:val="21"/>
          <w:szCs w:val="21"/>
        </w:rPr>
        <w:t xml:space="preserve"> </w:t>
      </w:r>
      <w:r>
        <w:rPr>
          <w:rFonts w:hint="eastAsia" w:asciiTheme="minorEastAsia" w:hAnsiTheme="minorEastAsia" w:eastAsiaTheme="minorEastAsia" w:cstheme="minorEastAsia"/>
          <w:color w:val="auto"/>
          <w:spacing w:val="11"/>
          <w:sz w:val="21"/>
          <w:szCs w:val="21"/>
        </w:rPr>
        <w:t>多名中标人的除外)。</w:t>
      </w:r>
    </w:p>
    <w:p w14:paraId="2220DBEC">
      <w:pPr>
        <w:spacing w:before="23" w:line="222" w:lineRule="auto"/>
        <w:ind w:left="49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17"/>
          <w:sz w:val="21"/>
          <w:szCs w:val="21"/>
        </w:rPr>
        <w:t>35.</w:t>
      </w:r>
      <w:r>
        <w:rPr>
          <w:rFonts w:hint="eastAsia" w:asciiTheme="minorEastAsia" w:hAnsiTheme="minorEastAsia" w:eastAsiaTheme="minorEastAsia" w:cstheme="minorEastAsia"/>
          <w:color w:val="auto"/>
          <w:spacing w:val="-43"/>
          <w:sz w:val="21"/>
          <w:szCs w:val="21"/>
        </w:rPr>
        <w:t xml:space="preserve"> </w:t>
      </w:r>
      <w:r>
        <w:rPr>
          <w:rFonts w:hint="eastAsia" w:asciiTheme="minorEastAsia" w:hAnsiTheme="minorEastAsia" w:eastAsiaTheme="minorEastAsia" w:cstheme="minorEastAsia"/>
          <w:b/>
          <w:bCs/>
          <w:color w:val="auto"/>
          <w:spacing w:val="17"/>
          <w:sz w:val="21"/>
          <w:szCs w:val="21"/>
        </w:rPr>
        <w:t>履约保证金</w:t>
      </w:r>
    </w:p>
    <w:p w14:paraId="793A94B9">
      <w:pPr>
        <w:spacing w:before="152" w:line="314" w:lineRule="auto"/>
        <w:ind w:right="71" w:firstLine="3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 xml:space="preserve">35.1履约保证金的金额、提交方式、退付的时间和条件详见“投标人须知前附表”。中标人 </w:t>
      </w:r>
      <w:r>
        <w:rPr>
          <w:rFonts w:hint="eastAsia" w:asciiTheme="minorEastAsia" w:hAnsiTheme="minorEastAsia" w:eastAsiaTheme="minorEastAsia" w:cstheme="minorEastAsia"/>
          <w:color w:val="auto"/>
          <w:spacing w:val="-1"/>
          <w:sz w:val="21"/>
          <w:szCs w:val="21"/>
        </w:rPr>
        <w:t>未按规定提交履约保证金的，视为拒绝与采购人签订合同，采购人可以按照评标报告推荐的中标候</w:t>
      </w:r>
      <w:r>
        <w:rPr>
          <w:rFonts w:hint="eastAsia" w:asciiTheme="minorEastAsia" w:hAnsiTheme="minorEastAsia" w:eastAsiaTheme="minorEastAsia" w:cstheme="minorEastAsia"/>
          <w:color w:val="auto"/>
          <w:sz w:val="21"/>
          <w:szCs w:val="21"/>
        </w:rPr>
        <w:t xml:space="preserve"> 选人名单排序，依法确定下一候选人为中标人，也可以重新开展政府采购活动。</w:t>
      </w:r>
    </w:p>
    <w:p w14:paraId="1318DAF5">
      <w:pPr>
        <w:spacing w:before="147" w:line="287" w:lineRule="auto"/>
        <w:ind w:right="63" w:firstLine="4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35.2签订合同后，如中标人不按双方签订的合同规定履约，则没收其全部履约保证金，履约</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1"/>
          <w:sz w:val="21"/>
          <w:szCs w:val="21"/>
        </w:rPr>
        <w:t>保证金不足以赔偿损失的，按实际损失赔偿。</w:t>
      </w:r>
    </w:p>
    <w:p w14:paraId="7AD033A0">
      <w:pPr>
        <w:spacing w:before="159" w:line="295" w:lineRule="auto"/>
        <w:ind w:right="66" w:firstLine="4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35.3在履约保证金退还日期前，若中标人的开户名称、开户银行、账号有变动的</w:t>
      </w:r>
      <w:r>
        <w:rPr>
          <w:rFonts w:hint="eastAsia" w:asciiTheme="minorEastAsia" w:hAnsiTheme="minorEastAsia" w:eastAsiaTheme="minorEastAsia" w:cstheme="minorEastAsia"/>
          <w:color w:val="auto"/>
          <w:spacing w:val="3"/>
          <w:sz w:val="21"/>
          <w:szCs w:val="21"/>
        </w:rPr>
        <w:t>，请以书面</w:t>
      </w:r>
      <w:r>
        <w:rPr>
          <w:rFonts w:hint="eastAsia" w:asciiTheme="minorEastAsia" w:hAnsiTheme="minorEastAsia" w:eastAsiaTheme="minorEastAsia" w:cstheme="minorEastAsia"/>
          <w:color w:val="auto"/>
          <w:sz w:val="21"/>
          <w:szCs w:val="21"/>
        </w:rPr>
        <w:t xml:space="preserve"> 形式通知履约保证金收取单位，否则由此产生的后果由中标人自行承担。</w:t>
      </w:r>
    </w:p>
    <w:p w14:paraId="13D0713B">
      <w:pPr>
        <w:spacing w:before="236" w:line="223" w:lineRule="auto"/>
        <w:ind w:left="49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8"/>
          <w:sz w:val="21"/>
          <w:szCs w:val="21"/>
        </w:rPr>
        <w:t>36.</w:t>
      </w:r>
      <w:r>
        <w:rPr>
          <w:rFonts w:hint="eastAsia" w:asciiTheme="minorEastAsia" w:hAnsiTheme="minorEastAsia" w:eastAsiaTheme="minorEastAsia" w:cstheme="minorEastAsia"/>
          <w:color w:val="auto"/>
          <w:spacing w:val="-48"/>
          <w:sz w:val="21"/>
          <w:szCs w:val="21"/>
        </w:rPr>
        <w:t xml:space="preserve"> </w:t>
      </w:r>
      <w:r>
        <w:rPr>
          <w:rFonts w:hint="eastAsia" w:asciiTheme="minorEastAsia" w:hAnsiTheme="minorEastAsia" w:eastAsiaTheme="minorEastAsia" w:cstheme="minorEastAsia"/>
          <w:b/>
          <w:bCs/>
          <w:color w:val="auto"/>
          <w:spacing w:val="-8"/>
          <w:sz w:val="21"/>
          <w:szCs w:val="21"/>
        </w:rPr>
        <w:t>签</w:t>
      </w:r>
      <w:r>
        <w:rPr>
          <w:rFonts w:hint="eastAsia" w:asciiTheme="minorEastAsia" w:hAnsiTheme="minorEastAsia" w:eastAsiaTheme="minorEastAsia" w:cstheme="minorEastAsia"/>
          <w:color w:val="auto"/>
          <w:spacing w:val="-45"/>
          <w:sz w:val="21"/>
          <w:szCs w:val="21"/>
        </w:rPr>
        <w:t xml:space="preserve"> </w:t>
      </w:r>
      <w:r>
        <w:rPr>
          <w:rFonts w:hint="eastAsia" w:asciiTheme="minorEastAsia" w:hAnsiTheme="minorEastAsia" w:eastAsiaTheme="minorEastAsia" w:cstheme="minorEastAsia"/>
          <w:b/>
          <w:bCs/>
          <w:color w:val="auto"/>
          <w:spacing w:val="-8"/>
          <w:sz w:val="21"/>
          <w:szCs w:val="21"/>
        </w:rPr>
        <w:t>订</w:t>
      </w:r>
      <w:r>
        <w:rPr>
          <w:rFonts w:hint="eastAsia" w:asciiTheme="minorEastAsia" w:hAnsiTheme="minorEastAsia" w:eastAsiaTheme="minorEastAsia" w:cstheme="minorEastAsia"/>
          <w:color w:val="auto"/>
          <w:spacing w:val="-45"/>
          <w:sz w:val="21"/>
          <w:szCs w:val="21"/>
        </w:rPr>
        <w:t xml:space="preserve"> </w:t>
      </w:r>
      <w:r>
        <w:rPr>
          <w:rFonts w:hint="eastAsia" w:asciiTheme="minorEastAsia" w:hAnsiTheme="minorEastAsia" w:eastAsiaTheme="minorEastAsia" w:cstheme="minorEastAsia"/>
          <w:b/>
          <w:bCs/>
          <w:color w:val="auto"/>
          <w:spacing w:val="-8"/>
          <w:sz w:val="21"/>
          <w:szCs w:val="21"/>
        </w:rPr>
        <w:t>合</w:t>
      </w:r>
      <w:r>
        <w:rPr>
          <w:rFonts w:hint="eastAsia" w:asciiTheme="minorEastAsia" w:hAnsiTheme="minorEastAsia" w:eastAsiaTheme="minorEastAsia" w:cstheme="minorEastAsia"/>
          <w:color w:val="auto"/>
          <w:spacing w:val="-36"/>
          <w:sz w:val="21"/>
          <w:szCs w:val="21"/>
        </w:rPr>
        <w:t xml:space="preserve"> </w:t>
      </w:r>
      <w:r>
        <w:rPr>
          <w:rFonts w:hint="eastAsia" w:asciiTheme="minorEastAsia" w:hAnsiTheme="minorEastAsia" w:eastAsiaTheme="minorEastAsia" w:cstheme="minorEastAsia"/>
          <w:b/>
          <w:bCs/>
          <w:color w:val="auto"/>
          <w:spacing w:val="-8"/>
          <w:sz w:val="21"/>
          <w:szCs w:val="21"/>
        </w:rPr>
        <w:t>同</w:t>
      </w:r>
    </w:p>
    <w:p w14:paraId="3C5AE111">
      <w:pPr>
        <w:spacing w:before="128" w:line="317" w:lineRule="auto"/>
        <w:ind w:right="70" w:firstLine="4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36.1中标人在中标通知书发出之日起，按规定的日期、时间、地</w:t>
      </w:r>
      <w:r>
        <w:rPr>
          <w:rFonts w:hint="eastAsia" w:asciiTheme="minorEastAsia" w:hAnsiTheme="minorEastAsia" w:eastAsiaTheme="minorEastAsia" w:cstheme="minorEastAsia"/>
          <w:color w:val="auto"/>
          <w:spacing w:val="3"/>
          <w:sz w:val="21"/>
          <w:szCs w:val="21"/>
        </w:rPr>
        <w:t>点，由法定代表人或其授权</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1"/>
          <w:sz w:val="21"/>
          <w:szCs w:val="21"/>
        </w:rPr>
        <w:t>代表与采购人代表签订采购合同。如中标人为联合体的，由联合体成员各方法定代表人或其授权代</w:t>
      </w:r>
      <w:r>
        <w:rPr>
          <w:rFonts w:hint="eastAsia" w:asciiTheme="minorEastAsia" w:hAnsiTheme="minorEastAsia" w:eastAsiaTheme="minorEastAsia" w:cstheme="minorEastAsia"/>
          <w:color w:val="auto"/>
          <w:spacing w:val="2"/>
          <w:sz w:val="21"/>
          <w:szCs w:val="21"/>
        </w:rPr>
        <w:t xml:space="preserve"> </w:t>
      </w:r>
      <w:r>
        <w:rPr>
          <w:rFonts w:hint="eastAsia" w:asciiTheme="minorEastAsia" w:hAnsiTheme="minorEastAsia" w:eastAsiaTheme="minorEastAsia" w:cstheme="minorEastAsia"/>
          <w:color w:val="auto"/>
          <w:sz w:val="21"/>
          <w:szCs w:val="21"/>
        </w:rPr>
        <w:t>表与采购人代表签订合同，签订携带资料详见“投标人须知前附表”。</w:t>
      </w:r>
    </w:p>
    <w:p w14:paraId="15371D40">
      <w:pPr>
        <w:spacing w:before="167" w:line="222" w:lineRule="auto"/>
        <w:ind w:left="4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36.2采购合同由采购人与中标人根据招标文件、投标文件等内容签</w:t>
      </w:r>
      <w:r>
        <w:rPr>
          <w:rFonts w:hint="eastAsia" w:asciiTheme="minorEastAsia" w:hAnsiTheme="minorEastAsia" w:eastAsiaTheme="minorEastAsia" w:cstheme="minorEastAsia"/>
          <w:color w:val="auto"/>
          <w:spacing w:val="1"/>
          <w:sz w:val="21"/>
          <w:szCs w:val="21"/>
        </w:rPr>
        <w:t>订。</w:t>
      </w:r>
    </w:p>
    <w:p w14:paraId="51FA1CA1">
      <w:pPr>
        <w:spacing w:before="149" w:line="222" w:lineRule="auto"/>
        <w:ind w:left="4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36.3签订合同时间：按中标通知书规定的时间与采购人签订合同。</w:t>
      </w:r>
    </w:p>
    <w:p w14:paraId="29847946">
      <w:pPr>
        <w:spacing w:line="222" w:lineRule="auto"/>
        <w:rPr>
          <w:rFonts w:hint="eastAsia" w:asciiTheme="minorEastAsia" w:hAnsiTheme="minorEastAsia" w:eastAsiaTheme="minorEastAsia" w:cstheme="minorEastAsia"/>
          <w:color w:val="auto"/>
          <w:sz w:val="21"/>
          <w:szCs w:val="21"/>
        </w:rPr>
        <w:sectPr>
          <w:footerReference r:id="rId20" w:type="default"/>
          <w:pgSz w:w="11900" w:h="16830"/>
          <w:pgMar w:top="1105" w:right="1398" w:bottom="991" w:left="1440" w:header="0" w:footer="847" w:gutter="0"/>
          <w:cols w:space="720" w:num="1"/>
        </w:sectPr>
      </w:pPr>
    </w:p>
    <w:p w14:paraId="4B642249">
      <w:pPr>
        <w:spacing w:before="43" w:line="311" w:lineRule="auto"/>
        <w:ind w:firstLine="4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36.4中标人拒绝与采购人签订合同的，采购人可以按照评审报告推荐的</w:t>
      </w:r>
      <w:r>
        <w:rPr>
          <w:rFonts w:hint="eastAsia" w:asciiTheme="minorEastAsia" w:hAnsiTheme="minorEastAsia" w:eastAsiaTheme="minorEastAsia" w:cstheme="minorEastAsia"/>
          <w:color w:val="auto"/>
          <w:sz w:val="21"/>
          <w:szCs w:val="21"/>
        </w:rPr>
        <w:t xml:space="preserve">中标候选人名单排序， </w:t>
      </w:r>
      <w:r>
        <w:rPr>
          <w:rFonts w:hint="eastAsia" w:asciiTheme="minorEastAsia" w:hAnsiTheme="minorEastAsia" w:eastAsiaTheme="minorEastAsia" w:cstheme="minorEastAsia"/>
          <w:color w:val="auto"/>
          <w:spacing w:val="1"/>
          <w:sz w:val="21"/>
          <w:szCs w:val="21"/>
        </w:rPr>
        <w:t>依法确定下一候选人为中标人，也可以重新开展政府</w:t>
      </w:r>
      <w:r>
        <w:rPr>
          <w:rFonts w:hint="eastAsia" w:asciiTheme="minorEastAsia" w:hAnsiTheme="minorEastAsia" w:eastAsiaTheme="minorEastAsia" w:cstheme="minorEastAsia"/>
          <w:color w:val="auto"/>
          <w:sz w:val="21"/>
          <w:szCs w:val="21"/>
        </w:rPr>
        <w:t>采购活动。如采购人无正当理由拒签合同的， 给中标人造成损失的，中标人可追究采购人承担相应的法律责任。</w:t>
      </w:r>
    </w:p>
    <w:p w14:paraId="70441058">
      <w:pPr>
        <w:spacing w:before="165" w:line="324" w:lineRule="auto"/>
        <w:ind w:right="93" w:firstLine="4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36.5政府采购合同是政府采购项目验收的依据，中</w:t>
      </w:r>
      <w:r>
        <w:rPr>
          <w:rFonts w:hint="eastAsia" w:asciiTheme="minorEastAsia" w:hAnsiTheme="minorEastAsia" w:eastAsiaTheme="minorEastAsia" w:cstheme="minorEastAsia"/>
          <w:color w:val="auto"/>
          <w:spacing w:val="3"/>
          <w:sz w:val="21"/>
          <w:szCs w:val="21"/>
        </w:rPr>
        <w:t>标人和采购人应当按照采购合同约定的各</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2"/>
          <w:sz w:val="21"/>
          <w:szCs w:val="21"/>
        </w:rPr>
        <w:t>自的权利和义务全面履行合同。任何一方当事人在履行合同过程中均不得擅自变更、中止或终止合</w:t>
      </w:r>
      <w:r>
        <w:rPr>
          <w:rFonts w:hint="eastAsia" w:asciiTheme="minorEastAsia" w:hAnsiTheme="minorEastAsia" w:eastAsiaTheme="minorEastAsia" w:cstheme="minorEastAsia"/>
          <w:color w:val="auto"/>
          <w:spacing w:val="14"/>
          <w:sz w:val="21"/>
          <w:szCs w:val="21"/>
        </w:rPr>
        <w:t xml:space="preserve"> </w:t>
      </w:r>
      <w:r>
        <w:rPr>
          <w:rFonts w:hint="eastAsia" w:asciiTheme="minorEastAsia" w:hAnsiTheme="minorEastAsia" w:eastAsiaTheme="minorEastAsia" w:cstheme="minorEastAsia"/>
          <w:color w:val="auto"/>
          <w:spacing w:val="-1"/>
          <w:sz w:val="21"/>
          <w:szCs w:val="21"/>
        </w:rPr>
        <w:t>同。政府采购合同继续履行将损害国家利益和社会公共利益的，双方当事人应当变</w:t>
      </w:r>
      <w:r>
        <w:rPr>
          <w:rFonts w:hint="eastAsia" w:asciiTheme="minorEastAsia" w:hAnsiTheme="minorEastAsia" w:eastAsiaTheme="minorEastAsia" w:cstheme="minorEastAsia"/>
          <w:color w:val="auto"/>
          <w:spacing w:val="-2"/>
          <w:sz w:val="21"/>
          <w:szCs w:val="21"/>
        </w:rPr>
        <w:t>更、中止或终止</w:t>
      </w:r>
      <w:r>
        <w:rPr>
          <w:rFonts w:hint="eastAsia" w:asciiTheme="minorEastAsia" w:hAnsiTheme="minorEastAsia" w:eastAsiaTheme="minorEastAsia" w:cstheme="minorEastAsia"/>
          <w:color w:val="auto"/>
          <w:sz w:val="21"/>
          <w:szCs w:val="21"/>
        </w:rPr>
        <w:t xml:space="preserve"> 合同。有过错的一方应当承担赔偿责任，双方都有过错的，各自承担相应的责任。</w:t>
      </w:r>
    </w:p>
    <w:p w14:paraId="3B3065AD">
      <w:pPr>
        <w:spacing w:before="156" w:line="287" w:lineRule="auto"/>
        <w:ind w:right="86" w:firstLine="4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36.6采购人或中标人不得单方面向合同另一方提出任何招标文件没</w:t>
      </w:r>
      <w:r>
        <w:rPr>
          <w:rFonts w:hint="eastAsia" w:asciiTheme="minorEastAsia" w:hAnsiTheme="minorEastAsia" w:eastAsiaTheme="minorEastAsia" w:cstheme="minorEastAsia"/>
          <w:color w:val="auto"/>
          <w:spacing w:val="3"/>
          <w:sz w:val="21"/>
          <w:szCs w:val="21"/>
        </w:rPr>
        <w:t>有约定的条件或不合理的</w:t>
      </w:r>
      <w:r>
        <w:rPr>
          <w:rFonts w:hint="eastAsia" w:asciiTheme="minorEastAsia" w:hAnsiTheme="minorEastAsia" w:eastAsiaTheme="minorEastAsia" w:cstheme="minorEastAsia"/>
          <w:color w:val="auto"/>
          <w:sz w:val="21"/>
          <w:szCs w:val="21"/>
        </w:rPr>
        <w:t xml:space="preserve"> 要求，作为签订合同的条件；也不得协商另行订立背离招标文件和合同实质性内容的协议。</w:t>
      </w:r>
    </w:p>
    <w:p w14:paraId="0A7A94E0">
      <w:pPr>
        <w:spacing w:before="178" w:line="290" w:lineRule="auto"/>
        <w:ind w:right="66" w:firstLine="4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36.7如签订合同并生效后，中标人无故拒绝或延期，除按照合同条款处理外，将承担相应的</w:t>
      </w:r>
      <w:r>
        <w:rPr>
          <w:rFonts w:hint="eastAsia" w:asciiTheme="minorEastAsia" w:hAnsiTheme="minorEastAsia" w:eastAsiaTheme="minorEastAsia" w:cstheme="minorEastAsia"/>
          <w:color w:val="auto"/>
          <w:spacing w:val="8"/>
          <w:sz w:val="21"/>
          <w:szCs w:val="21"/>
        </w:rPr>
        <w:t xml:space="preserve"> </w:t>
      </w:r>
      <w:r>
        <w:rPr>
          <w:rFonts w:hint="eastAsia" w:asciiTheme="minorEastAsia" w:hAnsiTheme="minorEastAsia" w:eastAsiaTheme="minorEastAsia" w:cstheme="minorEastAsia"/>
          <w:color w:val="auto"/>
          <w:spacing w:val="2"/>
          <w:sz w:val="21"/>
          <w:szCs w:val="21"/>
        </w:rPr>
        <w:t>法律责任。</w:t>
      </w:r>
    </w:p>
    <w:p w14:paraId="192E9781">
      <w:pPr>
        <w:spacing w:before="228" w:line="223" w:lineRule="auto"/>
        <w:ind w:left="50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21"/>
          <w:sz w:val="21"/>
          <w:szCs w:val="21"/>
        </w:rPr>
        <w:t>37.</w:t>
      </w:r>
      <w:r>
        <w:rPr>
          <w:rFonts w:hint="eastAsia" w:asciiTheme="minorEastAsia" w:hAnsiTheme="minorEastAsia" w:eastAsiaTheme="minorEastAsia" w:cstheme="minorEastAsia"/>
          <w:color w:val="auto"/>
          <w:spacing w:val="-51"/>
          <w:sz w:val="21"/>
          <w:szCs w:val="21"/>
        </w:rPr>
        <w:t xml:space="preserve"> </w:t>
      </w:r>
      <w:r>
        <w:rPr>
          <w:rFonts w:hint="eastAsia" w:asciiTheme="minorEastAsia" w:hAnsiTheme="minorEastAsia" w:eastAsiaTheme="minorEastAsia" w:cstheme="minorEastAsia"/>
          <w:b/>
          <w:bCs/>
          <w:color w:val="auto"/>
          <w:spacing w:val="21"/>
          <w:sz w:val="21"/>
          <w:szCs w:val="21"/>
        </w:rPr>
        <w:t>政府采购合同公告</w:t>
      </w:r>
    </w:p>
    <w:p w14:paraId="5BB38095">
      <w:pPr>
        <w:spacing w:before="119" w:line="375" w:lineRule="auto"/>
        <w:ind w:right="98" w:firstLine="4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采购人应当自政府采购合同签订之日起2个工作日内，将政府采购合同在省级以上人民政府财</w:t>
      </w:r>
      <w:r>
        <w:rPr>
          <w:rFonts w:hint="eastAsia" w:asciiTheme="minorEastAsia" w:hAnsiTheme="minorEastAsia" w:eastAsiaTheme="minorEastAsia" w:cstheme="minorEastAsia"/>
          <w:color w:val="auto"/>
          <w:sz w:val="21"/>
          <w:szCs w:val="21"/>
        </w:rPr>
        <w:t xml:space="preserve"> 政部门指定的媒体上公告，但政府采购合同中涉及国家秘密、商业秘密的内容除外。</w:t>
      </w:r>
    </w:p>
    <w:p w14:paraId="5B3EDE03">
      <w:pPr>
        <w:spacing w:before="42" w:line="220" w:lineRule="auto"/>
        <w:ind w:left="50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19"/>
          <w:sz w:val="21"/>
          <w:szCs w:val="21"/>
        </w:rPr>
        <w:t>38.</w:t>
      </w:r>
      <w:r>
        <w:rPr>
          <w:rFonts w:hint="eastAsia" w:asciiTheme="minorEastAsia" w:hAnsiTheme="minorEastAsia" w:eastAsiaTheme="minorEastAsia" w:cstheme="minorEastAsia"/>
          <w:color w:val="auto"/>
          <w:spacing w:val="80"/>
          <w:sz w:val="21"/>
          <w:szCs w:val="21"/>
        </w:rPr>
        <w:t xml:space="preserve"> </w:t>
      </w:r>
      <w:r>
        <w:rPr>
          <w:rFonts w:hint="eastAsia" w:asciiTheme="minorEastAsia" w:hAnsiTheme="minorEastAsia" w:eastAsiaTheme="minorEastAsia" w:cstheme="minorEastAsia"/>
          <w:b/>
          <w:bCs/>
          <w:color w:val="auto"/>
          <w:spacing w:val="19"/>
          <w:sz w:val="21"/>
          <w:szCs w:val="21"/>
        </w:rPr>
        <w:t>询问、质疑和投诉</w:t>
      </w:r>
    </w:p>
    <w:p w14:paraId="0AA90D4C">
      <w:pPr>
        <w:spacing w:before="192" w:line="222" w:lineRule="auto"/>
        <w:ind w:left="43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3"/>
          <w:sz w:val="21"/>
          <w:szCs w:val="21"/>
        </w:rPr>
        <w:t>38.1询问</w:t>
      </w:r>
    </w:p>
    <w:p w14:paraId="21F5089A">
      <w:pPr>
        <w:spacing w:before="120" w:line="290" w:lineRule="auto"/>
        <w:ind w:right="109" w:firstLine="4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38.1.1供应商在开标前对政府采购活动事项有疑问的，可以向采购人或采购代理机构项目负</w:t>
      </w:r>
      <w:r>
        <w:rPr>
          <w:rFonts w:hint="eastAsia" w:asciiTheme="minorEastAsia" w:hAnsiTheme="minorEastAsia" w:eastAsiaTheme="minorEastAsia" w:cstheme="minorEastAsia"/>
          <w:color w:val="auto"/>
          <w:spacing w:val="5"/>
          <w:sz w:val="21"/>
          <w:szCs w:val="21"/>
        </w:rPr>
        <w:t xml:space="preserve"> </w:t>
      </w:r>
      <w:r>
        <w:rPr>
          <w:rFonts w:hint="eastAsia" w:asciiTheme="minorEastAsia" w:hAnsiTheme="minorEastAsia" w:eastAsiaTheme="minorEastAsia" w:cstheme="minorEastAsia"/>
          <w:color w:val="auto"/>
          <w:sz w:val="21"/>
          <w:szCs w:val="21"/>
        </w:rPr>
        <w:t>责人提出询问。</w:t>
      </w:r>
    </w:p>
    <w:p w14:paraId="5880276A">
      <w:pPr>
        <w:spacing w:before="160" w:line="282" w:lineRule="auto"/>
        <w:ind w:right="96" w:firstLine="4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38.1.2采购人或采购人委托的采购代理机构自受理询问之日起3个工作日内对</w:t>
      </w:r>
      <w:r>
        <w:rPr>
          <w:rFonts w:hint="eastAsia" w:asciiTheme="minorEastAsia" w:hAnsiTheme="minorEastAsia" w:eastAsiaTheme="minorEastAsia" w:cstheme="minorEastAsia"/>
          <w:color w:val="auto"/>
          <w:spacing w:val="5"/>
          <w:sz w:val="21"/>
          <w:szCs w:val="21"/>
        </w:rPr>
        <w:t>供应商依法提</w:t>
      </w:r>
      <w:r>
        <w:rPr>
          <w:rFonts w:hint="eastAsia" w:asciiTheme="minorEastAsia" w:hAnsiTheme="minorEastAsia" w:eastAsiaTheme="minorEastAsia" w:cstheme="minorEastAsia"/>
          <w:color w:val="auto"/>
          <w:sz w:val="21"/>
          <w:szCs w:val="21"/>
        </w:rPr>
        <w:t xml:space="preserve"> 出的询问作出答复，但答复内容不得涉及商业秘密。</w:t>
      </w:r>
    </w:p>
    <w:p w14:paraId="020B728C">
      <w:pPr>
        <w:spacing w:before="157" w:line="300" w:lineRule="auto"/>
        <w:ind w:right="99" w:firstLine="4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38.1.3询问事项可能影响中标结果的，采购人应当暂停签订合同，已经签订合同的，应当中</w:t>
      </w:r>
      <w:r>
        <w:rPr>
          <w:rFonts w:hint="eastAsia" w:asciiTheme="minorEastAsia" w:hAnsiTheme="minorEastAsia" w:eastAsiaTheme="minorEastAsia" w:cstheme="minorEastAsia"/>
          <w:color w:val="auto"/>
          <w:spacing w:val="15"/>
          <w:sz w:val="21"/>
          <w:szCs w:val="21"/>
        </w:rPr>
        <w:t xml:space="preserve"> </w:t>
      </w:r>
      <w:r>
        <w:rPr>
          <w:rFonts w:hint="eastAsia" w:asciiTheme="minorEastAsia" w:hAnsiTheme="minorEastAsia" w:eastAsiaTheme="minorEastAsia" w:cstheme="minorEastAsia"/>
          <w:color w:val="auto"/>
          <w:spacing w:val="-1"/>
          <w:sz w:val="21"/>
          <w:szCs w:val="21"/>
        </w:rPr>
        <w:t>止履行合同。</w:t>
      </w:r>
    </w:p>
    <w:p w14:paraId="35DBBEEA">
      <w:pPr>
        <w:spacing w:before="167" w:line="221" w:lineRule="auto"/>
        <w:ind w:left="5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2"/>
          <w:sz w:val="21"/>
          <w:szCs w:val="21"/>
        </w:rPr>
        <w:t>38.2质疑</w:t>
      </w:r>
    </w:p>
    <w:p w14:paraId="2F4B5E63">
      <w:pPr>
        <w:spacing w:before="128" w:line="359" w:lineRule="auto"/>
        <w:ind w:right="51" w:firstLine="429"/>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38.2.1供应商认为招标文件、采购过程或者中</w:t>
      </w:r>
      <w:r>
        <w:rPr>
          <w:rFonts w:hint="eastAsia" w:asciiTheme="minorEastAsia" w:hAnsiTheme="minorEastAsia" w:eastAsiaTheme="minorEastAsia" w:cstheme="minorEastAsia"/>
          <w:color w:val="auto"/>
          <w:spacing w:val="3"/>
          <w:sz w:val="21"/>
          <w:szCs w:val="21"/>
        </w:rPr>
        <w:t>标结果使自己的合法权益受到损害的，必须在</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7"/>
          <w:sz w:val="21"/>
          <w:szCs w:val="21"/>
        </w:rPr>
        <w:t>知道或者应知其权益受到损害之日起7个工作日内，以书面形式向采购人或采购代理机构提出质</w:t>
      </w:r>
      <w:r>
        <w:rPr>
          <w:rFonts w:hint="eastAsia" w:asciiTheme="minorEastAsia" w:hAnsiTheme="minorEastAsia" w:eastAsiaTheme="minorEastAsia" w:cstheme="minorEastAsia"/>
          <w:color w:val="auto"/>
          <w:spacing w:val="13"/>
          <w:sz w:val="21"/>
          <w:szCs w:val="21"/>
        </w:rPr>
        <w:t xml:space="preserve"> </w:t>
      </w:r>
      <w:r>
        <w:rPr>
          <w:rFonts w:hint="eastAsia" w:asciiTheme="minorEastAsia" w:hAnsiTheme="minorEastAsia" w:eastAsiaTheme="minorEastAsia" w:cstheme="minorEastAsia"/>
          <w:color w:val="auto"/>
          <w:spacing w:val="4"/>
          <w:sz w:val="21"/>
          <w:szCs w:val="21"/>
        </w:rPr>
        <w:t>疑，质疑有效期结束后，采购人或采购代理机构不再受理该项目质疑。</w:t>
      </w:r>
      <w:r>
        <w:rPr>
          <w:rFonts w:hint="eastAsia" w:asciiTheme="minorEastAsia" w:hAnsiTheme="minorEastAsia" w:eastAsiaTheme="minorEastAsia" w:cstheme="minorEastAsia"/>
          <w:color w:val="auto"/>
          <w:spacing w:val="3"/>
          <w:sz w:val="21"/>
          <w:szCs w:val="21"/>
        </w:rPr>
        <w:t>采购人、采购代理机构接</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4"/>
          <w:sz w:val="21"/>
          <w:szCs w:val="21"/>
        </w:rPr>
        <w:t>收质疑函的方式、联系部门、联系电话和通讯地址等信息详见“投</w:t>
      </w:r>
      <w:r>
        <w:rPr>
          <w:rFonts w:hint="eastAsia" w:asciiTheme="minorEastAsia" w:hAnsiTheme="minorEastAsia" w:eastAsiaTheme="minorEastAsia" w:cstheme="minorEastAsia"/>
          <w:color w:val="auto"/>
          <w:spacing w:val="3"/>
          <w:sz w:val="21"/>
          <w:szCs w:val="21"/>
        </w:rPr>
        <w:t>标人须知前附表”。具体质疑</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1"/>
          <w:sz w:val="21"/>
          <w:szCs w:val="21"/>
        </w:rPr>
        <w:t>起算时间及处理方式如下：</w:t>
      </w:r>
    </w:p>
    <w:p w14:paraId="3AD42FC6">
      <w:pPr>
        <w:spacing w:before="4" w:line="326" w:lineRule="auto"/>
        <w:ind w:right="88" w:firstLine="5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(1)潜在供应商依法获取招标文件后，认为采购文件使自己的权益受到损害的，应</w:t>
      </w:r>
      <w:r>
        <w:rPr>
          <w:rFonts w:hint="eastAsia" w:asciiTheme="minorEastAsia" w:hAnsiTheme="minorEastAsia" w:eastAsiaTheme="minorEastAsia" w:cstheme="minorEastAsia"/>
          <w:color w:val="auto"/>
          <w:spacing w:val="3"/>
          <w:sz w:val="21"/>
          <w:szCs w:val="21"/>
        </w:rPr>
        <w:t>当在招标</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1"/>
          <w:sz w:val="21"/>
          <w:szCs w:val="21"/>
        </w:rPr>
        <w:t>文件公告期限届满之日起7个工作日内提出质疑。委托代理协议无特殊约定的，对招标文件中采购</w:t>
      </w:r>
      <w:r>
        <w:rPr>
          <w:rFonts w:hint="eastAsia" w:asciiTheme="minorEastAsia" w:hAnsiTheme="minorEastAsia" w:eastAsiaTheme="minorEastAsia" w:cstheme="minorEastAsia"/>
          <w:color w:val="auto"/>
          <w:spacing w:val="16"/>
          <w:sz w:val="21"/>
          <w:szCs w:val="21"/>
        </w:rPr>
        <w:t xml:space="preserve"> </w:t>
      </w:r>
      <w:r>
        <w:rPr>
          <w:rFonts w:hint="eastAsia" w:asciiTheme="minorEastAsia" w:hAnsiTheme="minorEastAsia" w:eastAsiaTheme="minorEastAsia" w:cstheme="minorEastAsia"/>
          <w:color w:val="auto"/>
          <w:spacing w:val="4"/>
          <w:sz w:val="21"/>
          <w:szCs w:val="21"/>
        </w:rPr>
        <w:t>需求(含资格要求、采购预算和评分办法)的质疑由采购人受理并负责答复；对</w:t>
      </w:r>
      <w:r>
        <w:rPr>
          <w:rFonts w:hint="eastAsia" w:asciiTheme="minorEastAsia" w:hAnsiTheme="minorEastAsia" w:eastAsiaTheme="minorEastAsia" w:cstheme="minorEastAsia"/>
          <w:color w:val="auto"/>
          <w:spacing w:val="3"/>
          <w:sz w:val="21"/>
          <w:szCs w:val="21"/>
        </w:rPr>
        <w:t>招标文件中的采购</w:t>
      </w:r>
      <w:r>
        <w:rPr>
          <w:rFonts w:hint="eastAsia" w:asciiTheme="minorEastAsia" w:hAnsiTheme="minorEastAsia" w:eastAsiaTheme="minorEastAsia" w:cstheme="minorEastAsia"/>
          <w:color w:val="auto"/>
          <w:sz w:val="21"/>
          <w:szCs w:val="21"/>
        </w:rPr>
        <w:t xml:space="preserve"> 执行程序的质疑由采购代理机构受理并负责答复。</w:t>
      </w:r>
    </w:p>
    <w:p w14:paraId="47186156">
      <w:pPr>
        <w:spacing w:before="165" w:line="305" w:lineRule="auto"/>
        <w:ind w:right="89" w:firstLine="5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(2)供应商认为采购过程使自己的权益受到损</w:t>
      </w:r>
      <w:r>
        <w:rPr>
          <w:rFonts w:hint="eastAsia" w:asciiTheme="minorEastAsia" w:hAnsiTheme="minorEastAsia" w:eastAsiaTheme="minorEastAsia" w:cstheme="minorEastAsia"/>
          <w:color w:val="auto"/>
          <w:spacing w:val="6"/>
          <w:sz w:val="21"/>
          <w:szCs w:val="21"/>
        </w:rPr>
        <w:t>害的，应当在各采购程序环节结束之日起7个</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1"/>
          <w:sz w:val="21"/>
          <w:szCs w:val="21"/>
        </w:rPr>
        <w:t>工作日内提出质疑。对采购过程中资格审查、符合性审查等具体评审情况的质疑应向采购人</w:t>
      </w:r>
      <w:r>
        <w:rPr>
          <w:rFonts w:hint="eastAsia" w:asciiTheme="minorEastAsia" w:hAnsiTheme="minorEastAsia" w:eastAsiaTheme="minorEastAsia" w:cstheme="minorEastAsia"/>
          <w:color w:val="auto"/>
          <w:spacing w:val="-2"/>
          <w:sz w:val="21"/>
          <w:szCs w:val="21"/>
        </w:rPr>
        <w:t>或采购</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1"/>
          <w:sz w:val="21"/>
          <w:szCs w:val="21"/>
        </w:rPr>
        <w:t>代理机构提出，由采购人或采购代理机构受理并负责答复；对采购过程中采购执</w:t>
      </w:r>
      <w:r>
        <w:rPr>
          <w:rFonts w:hint="eastAsia" w:asciiTheme="minorEastAsia" w:hAnsiTheme="minorEastAsia" w:eastAsiaTheme="minorEastAsia" w:cstheme="minorEastAsia"/>
          <w:color w:val="auto"/>
          <w:spacing w:val="-2"/>
          <w:sz w:val="21"/>
          <w:szCs w:val="21"/>
        </w:rPr>
        <w:t>行程序的质疑由采</w:t>
      </w:r>
    </w:p>
    <w:p w14:paraId="662522F0">
      <w:pPr>
        <w:spacing w:line="305" w:lineRule="auto"/>
        <w:rPr>
          <w:rFonts w:hint="eastAsia" w:asciiTheme="minorEastAsia" w:hAnsiTheme="minorEastAsia" w:eastAsiaTheme="minorEastAsia" w:cstheme="minorEastAsia"/>
          <w:color w:val="auto"/>
          <w:sz w:val="21"/>
          <w:szCs w:val="21"/>
        </w:rPr>
        <w:sectPr>
          <w:footerReference r:id="rId21" w:type="default"/>
          <w:pgSz w:w="11900" w:h="16830"/>
          <w:pgMar w:top="1105" w:right="1385" w:bottom="991" w:left="1440" w:header="0" w:footer="847" w:gutter="0"/>
          <w:cols w:space="720" w:num="1"/>
        </w:sectPr>
      </w:pPr>
    </w:p>
    <w:p w14:paraId="73D6D048">
      <w:pPr>
        <w:spacing w:before="42" w:line="221"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购代理机构受理并负责答复。</w:t>
      </w:r>
    </w:p>
    <w:p w14:paraId="57321846">
      <w:pPr>
        <w:spacing w:before="139" w:line="349" w:lineRule="auto"/>
        <w:ind w:right="92" w:firstLine="5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(3)供应商认为中标或者成交结果使自己的权益受到损害的，应当在中标或者成交结果公告</w:t>
      </w:r>
      <w:r>
        <w:rPr>
          <w:rFonts w:hint="eastAsia" w:asciiTheme="minorEastAsia" w:hAnsiTheme="minorEastAsia" w:eastAsiaTheme="minorEastAsia" w:cstheme="minorEastAsia"/>
          <w:color w:val="auto"/>
          <w:spacing w:val="1"/>
          <w:sz w:val="21"/>
          <w:szCs w:val="21"/>
        </w:rPr>
        <w:t xml:space="preserve"> </w:t>
      </w:r>
      <w:r>
        <w:rPr>
          <w:rFonts w:hint="eastAsia" w:asciiTheme="minorEastAsia" w:hAnsiTheme="minorEastAsia" w:eastAsiaTheme="minorEastAsia" w:cstheme="minorEastAsia"/>
          <w:color w:val="auto"/>
          <w:spacing w:val="4"/>
          <w:sz w:val="21"/>
          <w:szCs w:val="21"/>
        </w:rPr>
        <w:t>期限届满之日起7个工作日内提出质疑，由采购人受理并负责答</w:t>
      </w:r>
      <w:r>
        <w:rPr>
          <w:rFonts w:hint="eastAsia" w:asciiTheme="minorEastAsia" w:hAnsiTheme="minorEastAsia" w:eastAsiaTheme="minorEastAsia" w:cstheme="minorEastAsia"/>
          <w:color w:val="auto"/>
          <w:spacing w:val="3"/>
          <w:sz w:val="21"/>
          <w:szCs w:val="21"/>
        </w:rPr>
        <w:t>复。</w:t>
      </w:r>
    </w:p>
    <w:p w14:paraId="04722799">
      <w:pPr>
        <w:spacing w:before="15" w:line="287" w:lineRule="auto"/>
        <w:ind w:right="114" w:firstLine="41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38.2.2</w:t>
      </w:r>
      <w:r>
        <w:rPr>
          <w:rFonts w:hint="eastAsia" w:asciiTheme="minorEastAsia" w:hAnsiTheme="minorEastAsia" w:eastAsiaTheme="minorEastAsia" w:cstheme="minorEastAsia"/>
          <w:color w:val="auto"/>
          <w:spacing w:val="26"/>
          <w:w w:val="101"/>
          <w:sz w:val="21"/>
          <w:szCs w:val="21"/>
        </w:rPr>
        <w:t xml:space="preserve">  </w:t>
      </w:r>
      <w:r>
        <w:rPr>
          <w:rFonts w:hint="eastAsia" w:asciiTheme="minorEastAsia" w:hAnsiTheme="minorEastAsia" w:eastAsiaTheme="minorEastAsia" w:cstheme="minorEastAsia"/>
          <w:color w:val="auto"/>
          <w:spacing w:val="2"/>
          <w:sz w:val="21"/>
          <w:szCs w:val="21"/>
        </w:rPr>
        <w:t>供应商质疑实行实名制，其质疑应当有具体的质疑事项及事实根据，质疑应当坚持依</w:t>
      </w:r>
      <w:r>
        <w:rPr>
          <w:rFonts w:hint="eastAsia" w:asciiTheme="minorEastAsia" w:hAnsiTheme="minorEastAsia" w:eastAsiaTheme="minorEastAsia" w:cstheme="minorEastAsia"/>
          <w:color w:val="auto"/>
          <w:sz w:val="21"/>
          <w:szCs w:val="21"/>
        </w:rPr>
        <w:t xml:space="preserve"> 法依规、诚实信用原则，不得进行虚假、恶意质疑。</w:t>
      </w:r>
    </w:p>
    <w:p w14:paraId="7E380BE2">
      <w:pPr>
        <w:spacing w:before="167" w:line="316" w:lineRule="auto"/>
        <w:ind w:right="94" w:firstLine="41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38.2.3    质疑供应商可以委托代理人办理质疑事务。委托代理人应熟悉相关业务情况。代理人</w:t>
      </w:r>
      <w:r>
        <w:rPr>
          <w:rFonts w:hint="eastAsia" w:asciiTheme="minorEastAsia" w:hAnsiTheme="minorEastAsia" w:eastAsiaTheme="minorEastAsia" w:cstheme="minorEastAsia"/>
          <w:color w:val="auto"/>
          <w:spacing w:val="6"/>
          <w:sz w:val="21"/>
          <w:szCs w:val="21"/>
        </w:rPr>
        <w:t xml:space="preserve"> </w:t>
      </w:r>
      <w:r>
        <w:rPr>
          <w:rFonts w:hint="eastAsia" w:asciiTheme="minorEastAsia" w:hAnsiTheme="minorEastAsia" w:eastAsiaTheme="minorEastAsia" w:cstheme="minorEastAsia"/>
          <w:color w:val="auto"/>
          <w:spacing w:val="-1"/>
          <w:sz w:val="21"/>
          <w:szCs w:val="21"/>
        </w:rPr>
        <w:t>办理质疑事务时，除提交质疑书外，还应当提交质疑供应商的授权委托书和委</w:t>
      </w:r>
      <w:r>
        <w:rPr>
          <w:rFonts w:hint="eastAsia" w:asciiTheme="minorEastAsia" w:hAnsiTheme="minorEastAsia" w:eastAsiaTheme="minorEastAsia" w:cstheme="minorEastAsia"/>
          <w:color w:val="auto"/>
          <w:spacing w:val="-2"/>
          <w:sz w:val="21"/>
          <w:szCs w:val="21"/>
        </w:rPr>
        <w:t>托代理人身份证明复</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5"/>
          <w:sz w:val="21"/>
          <w:szCs w:val="21"/>
        </w:rPr>
        <w:t>印件。</w:t>
      </w:r>
    </w:p>
    <w:p w14:paraId="7EC6C209">
      <w:pPr>
        <w:spacing w:before="137" w:line="221" w:lineRule="auto"/>
        <w:ind w:left="42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3"/>
          <w:sz w:val="21"/>
          <w:szCs w:val="21"/>
        </w:rPr>
        <w:t>38.2.4</w:t>
      </w:r>
      <w:r>
        <w:rPr>
          <w:rFonts w:hint="eastAsia" w:asciiTheme="minorEastAsia" w:hAnsiTheme="minorEastAsia" w:eastAsiaTheme="minorEastAsia" w:cstheme="minorEastAsia"/>
          <w:color w:val="auto"/>
          <w:spacing w:val="32"/>
          <w:sz w:val="21"/>
          <w:szCs w:val="21"/>
        </w:rPr>
        <w:t xml:space="preserve"> </w:t>
      </w:r>
      <w:r>
        <w:rPr>
          <w:rFonts w:hint="eastAsia" w:asciiTheme="minorEastAsia" w:hAnsiTheme="minorEastAsia" w:eastAsiaTheme="minorEastAsia" w:cstheme="minorEastAsia"/>
          <w:b/>
          <w:bCs/>
          <w:color w:val="auto"/>
          <w:spacing w:val="-3"/>
          <w:sz w:val="21"/>
          <w:szCs w:val="21"/>
        </w:rPr>
        <w:t>质疑供应商提起质疑应当符合下列条件：</w:t>
      </w:r>
    </w:p>
    <w:p w14:paraId="09950473">
      <w:pPr>
        <w:spacing w:before="183" w:line="278" w:lineRule="auto"/>
        <w:ind w:right="89" w:firstLine="5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(1)质疑供应商是参与所质疑项目采购活动的供应商(潜在供</w:t>
      </w:r>
      <w:r>
        <w:rPr>
          <w:rFonts w:hint="eastAsia" w:asciiTheme="minorEastAsia" w:hAnsiTheme="minorEastAsia" w:eastAsiaTheme="minorEastAsia" w:cstheme="minorEastAsia"/>
          <w:color w:val="auto"/>
          <w:spacing w:val="6"/>
          <w:sz w:val="21"/>
          <w:szCs w:val="21"/>
        </w:rPr>
        <w:t>应商已依法获取可质疑的采购</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9"/>
          <w:sz w:val="21"/>
          <w:szCs w:val="21"/>
        </w:rPr>
        <w:t>文件的，可以对该采购文件质疑);</w:t>
      </w:r>
    </w:p>
    <w:p w14:paraId="001BBDEF">
      <w:pPr>
        <w:spacing w:before="157" w:line="213" w:lineRule="auto"/>
        <w:ind w:left="5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(2)质疑函内容符合本章第38.2.5项的规定；</w:t>
      </w:r>
    </w:p>
    <w:p w14:paraId="3603305A">
      <w:pPr>
        <w:spacing w:before="168" w:line="213" w:lineRule="auto"/>
        <w:ind w:left="5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(3)在质疑有效期限内提起质疑；</w:t>
      </w:r>
    </w:p>
    <w:p w14:paraId="22A1CFF1">
      <w:pPr>
        <w:spacing w:before="178" w:line="213" w:lineRule="auto"/>
        <w:ind w:left="5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(4)属于所质疑的采购人或采购人委托的采购代理机构组织的采购活动；</w:t>
      </w:r>
    </w:p>
    <w:p w14:paraId="444CDFF4">
      <w:pPr>
        <w:spacing w:before="168" w:line="213" w:lineRule="auto"/>
        <w:ind w:left="5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(5)供应商对同一采购程序环节的质疑应当在质疑有效期内一次性提出；</w:t>
      </w:r>
    </w:p>
    <w:p w14:paraId="605E5669">
      <w:pPr>
        <w:spacing w:before="157" w:line="213" w:lineRule="auto"/>
        <w:ind w:left="5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(6)供应商提交质疑应当提交必要的证明材料，证明材料应以合法手段取得；</w:t>
      </w:r>
    </w:p>
    <w:p w14:paraId="1BB91E1F">
      <w:pPr>
        <w:spacing w:before="179" w:line="222" w:lineRule="auto"/>
        <w:ind w:left="5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(7)财政部门规定的其他条件。</w:t>
      </w:r>
    </w:p>
    <w:p w14:paraId="26ADAC0D">
      <w:pPr>
        <w:spacing w:before="154" w:line="357" w:lineRule="auto"/>
        <w:ind w:left="3" w:right="81" w:firstLine="5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4"/>
          <w:sz w:val="21"/>
          <w:szCs w:val="21"/>
        </w:rPr>
        <w:t>38.2.5供应商提出质疑应当提交质疑函和必要的证明材料，针对同一采购程序环节的质疑</w:t>
      </w:r>
      <w:r>
        <w:rPr>
          <w:rFonts w:hint="eastAsia" w:asciiTheme="minorEastAsia" w:hAnsiTheme="minorEastAsia" w:eastAsiaTheme="minorEastAsia" w:cstheme="minorEastAsia"/>
          <w:color w:val="auto"/>
          <w:spacing w:val="18"/>
          <w:sz w:val="21"/>
          <w:szCs w:val="21"/>
        </w:rPr>
        <w:t xml:space="preserve"> </w:t>
      </w:r>
      <w:r>
        <w:rPr>
          <w:rFonts w:hint="eastAsia" w:asciiTheme="minorEastAsia" w:hAnsiTheme="minorEastAsia" w:eastAsiaTheme="minorEastAsia" w:cstheme="minorEastAsia"/>
          <w:b/>
          <w:bCs/>
          <w:color w:val="auto"/>
          <w:spacing w:val="6"/>
          <w:sz w:val="21"/>
          <w:szCs w:val="21"/>
        </w:rPr>
        <w:t>必须在法定质疑期内一次性提出。质疑函应当包括下列内容(质疑函格式后</w:t>
      </w:r>
      <w:r>
        <w:rPr>
          <w:rFonts w:hint="eastAsia" w:asciiTheme="minorEastAsia" w:hAnsiTheme="minorEastAsia" w:eastAsiaTheme="minorEastAsia" w:cstheme="minorEastAsia"/>
          <w:b/>
          <w:bCs/>
          <w:color w:val="auto"/>
          <w:spacing w:val="5"/>
          <w:sz w:val="21"/>
          <w:szCs w:val="21"/>
        </w:rPr>
        <w:t>附):</w:t>
      </w:r>
    </w:p>
    <w:p w14:paraId="10C20148">
      <w:pPr>
        <w:spacing w:before="1" w:line="212" w:lineRule="auto"/>
        <w:ind w:left="5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(1)供应商的姓名或者名称、地址、邮编、联</w:t>
      </w:r>
      <w:r>
        <w:rPr>
          <w:rFonts w:hint="eastAsia" w:asciiTheme="minorEastAsia" w:hAnsiTheme="minorEastAsia" w:eastAsiaTheme="minorEastAsia" w:cstheme="minorEastAsia"/>
          <w:color w:val="auto"/>
          <w:spacing w:val="3"/>
          <w:sz w:val="21"/>
          <w:szCs w:val="21"/>
        </w:rPr>
        <w:t>系人及联系电话；</w:t>
      </w:r>
    </w:p>
    <w:p w14:paraId="54612F7D">
      <w:pPr>
        <w:spacing w:before="168" w:line="213" w:lineRule="auto"/>
        <w:ind w:left="5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(2)质疑项目的名称、编号；</w:t>
      </w:r>
    </w:p>
    <w:p w14:paraId="697B36E8">
      <w:pPr>
        <w:spacing w:before="148" w:line="213" w:lineRule="auto"/>
        <w:ind w:left="5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(3)具体、明确的质疑事项和与质疑事项相关的请</w:t>
      </w:r>
      <w:r>
        <w:rPr>
          <w:rFonts w:hint="eastAsia" w:asciiTheme="minorEastAsia" w:hAnsiTheme="minorEastAsia" w:eastAsiaTheme="minorEastAsia" w:cstheme="minorEastAsia"/>
          <w:color w:val="auto"/>
          <w:spacing w:val="3"/>
          <w:sz w:val="21"/>
          <w:szCs w:val="21"/>
        </w:rPr>
        <w:t>求；</w:t>
      </w:r>
    </w:p>
    <w:p w14:paraId="5162D89A">
      <w:pPr>
        <w:spacing w:before="186" w:line="221" w:lineRule="auto"/>
        <w:ind w:left="5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4"/>
          <w:sz w:val="21"/>
          <w:szCs w:val="21"/>
        </w:rPr>
        <w:t>(4)事实依据(列明权益受到损害的事实和理由);</w:t>
      </w:r>
    </w:p>
    <w:p w14:paraId="2504B4F5">
      <w:pPr>
        <w:spacing w:before="150" w:line="213" w:lineRule="auto"/>
        <w:ind w:left="5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(5)必要的法律依据；</w:t>
      </w:r>
    </w:p>
    <w:p w14:paraId="66D3C202">
      <w:pPr>
        <w:spacing w:before="167" w:line="221" w:lineRule="auto"/>
        <w:ind w:left="5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(6)提出质疑的日期。</w:t>
      </w:r>
    </w:p>
    <w:p w14:paraId="3D944F8A">
      <w:pPr>
        <w:spacing w:before="140" w:line="369" w:lineRule="auto"/>
        <w:ind w:right="93" w:firstLine="41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供应商为自然人的，应当由本人签字；供应商为法人或者其他组织的，应</w:t>
      </w:r>
      <w:r>
        <w:rPr>
          <w:rFonts w:hint="eastAsia" w:asciiTheme="minorEastAsia" w:hAnsiTheme="minorEastAsia" w:eastAsiaTheme="minorEastAsia" w:cstheme="minorEastAsia"/>
          <w:color w:val="auto"/>
          <w:spacing w:val="-2"/>
          <w:sz w:val="21"/>
          <w:szCs w:val="21"/>
        </w:rPr>
        <w:t>当由法定代表人、主</w:t>
      </w:r>
      <w:r>
        <w:rPr>
          <w:rFonts w:hint="eastAsia" w:asciiTheme="minorEastAsia" w:hAnsiTheme="minorEastAsia" w:eastAsiaTheme="minorEastAsia" w:cstheme="minorEastAsia"/>
          <w:color w:val="auto"/>
          <w:sz w:val="21"/>
          <w:szCs w:val="21"/>
        </w:rPr>
        <w:t xml:space="preserve"> 要负责人，或者其委托代理人签字或者盖章，并加盖公章。</w:t>
      </w:r>
    </w:p>
    <w:p w14:paraId="35798F8D">
      <w:pPr>
        <w:spacing w:before="1" w:line="305" w:lineRule="auto"/>
        <w:ind w:right="63" w:firstLine="41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38.2.6采购人或采购人委托的采购代理机构在收到质疑函后7个工作日内作</w:t>
      </w:r>
      <w:r>
        <w:rPr>
          <w:rFonts w:hint="eastAsia" w:asciiTheme="minorEastAsia" w:hAnsiTheme="minorEastAsia" w:eastAsiaTheme="minorEastAsia" w:cstheme="minorEastAsia"/>
          <w:color w:val="auto"/>
          <w:spacing w:val="6"/>
          <w:sz w:val="21"/>
          <w:szCs w:val="21"/>
        </w:rPr>
        <w:t>出答复，并以书</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4"/>
          <w:sz w:val="21"/>
          <w:szCs w:val="21"/>
        </w:rPr>
        <w:t>面形式通知质疑供应商及其他有关供应商。对不符合质疑条件的质疑，</w:t>
      </w:r>
      <w:r>
        <w:rPr>
          <w:rFonts w:hint="eastAsia" w:asciiTheme="minorEastAsia" w:hAnsiTheme="minorEastAsia" w:eastAsiaTheme="minorEastAsia" w:cstheme="minorEastAsia"/>
          <w:color w:val="auto"/>
          <w:spacing w:val="3"/>
          <w:sz w:val="21"/>
          <w:szCs w:val="21"/>
        </w:rPr>
        <w:t>答复不予受理，并说明理</w:t>
      </w:r>
      <w:r>
        <w:rPr>
          <w:rFonts w:hint="eastAsia" w:asciiTheme="minorEastAsia" w:hAnsiTheme="minorEastAsia" w:eastAsiaTheme="minorEastAsia" w:cstheme="minorEastAsia"/>
          <w:color w:val="auto"/>
          <w:sz w:val="21"/>
          <w:szCs w:val="21"/>
        </w:rPr>
        <w:t xml:space="preserve"> 由；对符合质疑条件的质疑，对质疑事项作出答复。</w:t>
      </w:r>
    </w:p>
    <w:p w14:paraId="1E93E7E7">
      <w:pPr>
        <w:spacing w:before="189" w:line="282" w:lineRule="auto"/>
        <w:ind w:firstLine="41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38.2.7采购人、采购代理机构认为供应商质疑不成立，或者成立但未对中标结果构成影响的，</w:t>
      </w:r>
      <w:r>
        <w:rPr>
          <w:rFonts w:hint="eastAsia" w:asciiTheme="minorEastAsia" w:hAnsiTheme="minorEastAsia" w:eastAsiaTheme="minorEastAsia" w:cstheme="minorEastAsia"/>
          <w:color w:val="auto"/>
          <w:sz w:val="21"/>
          <w:szCs w:val="21"/>
        </w:rPr>
        <w:t xml:space="preserve"> 继续开展采购活动；认为供应商质疑成立且影响或者可能影响中标结果的，按照下列情况处理：</w:t>
      </w:r>
    </w:p>
    <w:p w14:paraId="5E212964">
      <w:pPr>
        <w:spacing w:before="167" w:line="287" w:lineRule="auto"/>
        <w:ind w:right="98" w:firstLine="5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(一)对招标文件提出的质疑，依法通过澄清或者修改可以继续开展采购活动的，澄清或者修</w:t>
      </w:r>
      <w:r>
        <w:rPr>
          <w:rFonts w:hint="eastAsia" w:asciiTheme="minorEastAsia" w:hAnsiTheme="minorEastAsia" w:eastAsiaTheme="minorEastAsia" w:cstheme="minorEastAsia"/>
          <w:color w:val="auto"/>
          <w:spacing w:val="14"/>
          <w:sz w:val="21"/>
          <w:szCs w:val="21"/>
        </w:rPr>
        <w:t xml:space="preserve"> </w:t>
      </w:r>
      <w:r>
        <w:rPr>
          <w:rFonts w:hint="eastAsia" w:asciiTheme="minorEastAsia" w:hAnsiTheme="minorEastAsia" w:eastAsiaTheme="minorEastAsia" w:cstheme="minorEastAsia"/>
          <w:color w:val="auto"/>
          <w:sz w:val="21"/>
          <w:szCs w:val="21"/>
        </w:rPr>
        <w:t>改招标文件后继续开展采购活动；否则应当修改招标文件后重新开展采购活动。</w:t>
      </w:r>
    </w:p>
    <w:p w14:paraId="1B770AF3">
      <w:pPr>
        <w:spacing w:before="168" w:line="213" w:lineRule="auto"/>
        <w:ind w:left="5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(二)对采购过程、中标结果提出的质疑，合格供应商符合法定数量时，可以从合格的中标候</w:t>
      </w:r>
    </w:p>
    <w:p w14:paraId="4B0A242C">
      <w:pPr>
        <w:spacing w:line="213" w:lineRule="auto"/>
        <w:rPr>
          <w:rFonts w:hint="eastAsia" w:asciiTheme="minorEastAsia" w:hAnsiTheme="minorEastAsia" w:eastAsiaTheme="minorEastAsia" w:cstheme="minorEastAsia"/>
          <w:color w:val="auto"/>
          <w:sz w:val="21"/>
          <w:szCs w:val="21"/>
        </w:rPr>
        <w:sectPr>
          <w:footerReference r:id="rId22" w:type="default"/>
          <w:pgSz w:w="11900" w:h="16830"/>
          <w:pgMar w:top="1134" w:right="1385" w:bottom="991" w:left="1440" w:header="0" w:footer="847" w:gutter="0"/>
          <w:cols w:space="720" w:num="1"/>
        </w:sectPr>
      </w:pPr>
    </w:p>
    <w:p w14:paraId="1B49874E">
      <w:pPr>
        <w:spacing w:before="42" w:line="213"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选人中另行确定中标供应商的，应当依法另行确定中标供应商；否则应当重新开展采购活动。</w:t>
      </w:r>
    </w:p>
    <w:p w14:paraId="487B9F11">
      <w:pPr>
        <w:spacing w:before="167" w:line="341" w:lineRule="auto"/>
        <w:ind w:right="50" w:firstLine="409"/>
        <w:rPr>
          <w:rFonts w:hint="eastAsia" w:asciiTheme="minorEastAsia" w:hAnsiTheme="minorEastAsia" w:eastAsiaTheme="minorEastAsia" w:cstheme="minorEastAsia"/>
          <w:color w:val="auto"/>
          <w:sz w:val="25"/>
          <w:szCs w:val="25"/>
        </w:rPr>
      </w:pPr>
      <w:r>
        <w:rPr>
          <w:rFonts w:hint="eastAsia" w:asciiTheme="minorEastAsia" w:hAnsiTheme="minorEastAsia" w:eastAsiaTheme="minorEastAsia" w:cstheme="minorEastAsia"/>
          <w:color w:val="auto"/>
          <w:spacing w:val="-2"/>
          <w:sz w:val="21"/>
          <w:szCs w:val="21"/>
        </w:rPr>
        <w:t>质疑答复导致中标结果改变的，采购人或者采购代理机构应当将有关情况书面报告本级财政部</w:t>
      </w:r>
      <w:r>
        <w:rPr>
          <w:rFonts w:hint="eastAsia" w:asciiTheme="minorEastAsia" w:hAnsiTheme="minorEastAsia" w:eastAsiaTheme="minorEastAsia" w:cstheme="minorEastAsia"/>
          <w:color w:val="auto"/>
          <w:spacing w:val="18"/>
          <w:sz w:val="21"/>
          <w:szCs w:val="21"/>
        </w:rPr>
        <w:t xml:space="preserve"> </w:t>
      </w:r>
      <w:r>
        <w:rPr>
          <w:rFonts w:hint="eastAsia" w:asciiTheme="minorEastAsia" w:hAnsiTheme="minorEastAsia" w:eastAsiaTheme="minorEastAsia" w:cstheme="minorEastAsia"/>
          <w:color w:val="auto"/>
          <w:spacing w:val="-14"/>
          <w:sz w:val="25"/>
          <w:szCs w:val="25"/>
        </w:rPr>
        <w:t>门。</w:t>
      </w:r>
    </w:p>
    <w:p w14:paraId="7D614A46">
      <w:pPr>
        <w:spacing w:before="5" w:line="220" w:lineRule="auto"/>
        <w:ind w:left="41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1"/>
          <w:sz w:val="21"/>
          <w:szCs w:val="21"/>
        </w:rPr>
        <w:t>38.3投诉</w:t>
      </w:r>
    </w:p>
    <w:p w14:paraId="3CC877C9">
      <w:pPr>
        <w:spacing w:before="134" w:line="317" w:lineRule="auto"/>
        <w:ind w:firstLine="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38.3.1  供应商认为采购文件、采购过程、中标和成交结果使自己的</w:t>
      </w:r>
      <w:r>
        <w:rPr>
          <w:rFonts w:hint="eastAsia" w:asciiTheme="minorEastAsia" w:hAnsiTheme="minorEastAsia" w:eastAsiaTheme="minorEastAsia" w:cstheme="minorEastAsia"/>
          <w:color w:val="auto"/>
          <w:spacing w:val="-2"/>
          <w:sz w:val="21"/>
          <w:szCs w:val="21"/>
        </w:rPr>
        <w:t>合法权益受到损害的，应</w:t>
      </w:r>
      <w:r>
        <w:rPr>
          <w:rFonts w:hint="eastAsia" w:asciiTheme="minorEastAsia" w:hAnsiTheme="minorEastAsia" w:eastAsiaTheme="minorEastAsia" w:cstheme="minorEastAsia"/>
          <w:color w:val="auto"/>
          <w:sz w:val="21"/>
          <w:szCs w:val="21"/>
        </w:rPr>
        <w:t xml:space="preserve"> 当首先依法向采购人或采购人委托的采购代</w:t>
      </w:r>
      <w:r>
        <w:rPr>
          <w:rFonts w:hint="eastAsia" w:asciiTheme="minorEastAsia" w:hAnsiTheme="minorEastAsia" w:eastAsiaTheme="minorEastAsia" w:cstheme="minorEastAsia"/>
          <w:color w:val="auto"/>
          <w:spacing w:val="-1"/>
          <w:sz w:val="21"/>
          <w:szCs w:val="21"/>
        </w:rPr>
        <w:t>理机构提出质疑。对采购人或采购代理机构的答复不满</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4"/>
          <w:sz w:val="21"/>
          <w:szCs w:val="21"/>
        </w:rPr>
        <w:t>意，或者采购人或采购代理机构未在规定期限内做出答复的，供应商可以在答复期满后15个</w:t>
      </w:r>
      <w:r>
        <w:rPr>
          <w:rFonts w:hint="eastAsia" w:asciiTheme="minorEastAsia" w:hAnsiTheme="minorEastAsia" w:eastAsiaTheme="minorEastAsia" w:cstheme="minorEastAsia"/>
          <w:color w:val="auto"/>
          <w:spacing w:val="3"/>
          <w:sz w:val="21"/>
          <w:szCs w:val="21"/>
        </w:rPr>
        <w:t>工作</w:t>
      </w:r>
      <w:r>
        <w:rPr>
          <w:rFonts w:hint="eastAsia" w:asciiTheme="minorEastAsia" w:hAnsiTheme="minorEastAsia" w:eastAsiaTheme="minorEastAsia" w:cstheme="minorEastAsia"/>
          <w:color w:val="auto"/>
          <w:sz w:val="21"/>
          <w:szCs w:val="21"/>
        </w:rPr>
        <w:t xml:space="preserve"> 日内向本级财政部门提起投诉，投诉联系方式见“投标人须知前附表”。</w:t>
      </w:r>
    </w:p>
    <w:p w14:paraId="00820B8C">
      <w:pPr>
        <w:spacing w:before="178" w:line="316" w:lineRule="auto"/>
        <w:ind w:right="45" w:firstLine="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38.3.2  投诉人投诉时，应当提交投诉书，并按照被投诉采购</w:t>
      </w:r>
      <w:r>
        <w:rPr>
          <w:rFonts w:hint="eastAsia" w:asciiTheme="minorEastAsia" w:hAnsiTheme="minorEastAsia" w:eastAsiaTheme="minorEastAsia" w:cstheme="minorEastAsia"/>
          <w:color w:val="auto"/>
          <w:spacing w:val="-2"/>
          <w:sz w:val="21"/>
          <w:szCs w:val="21"/>
        </w:rPr>
        <w:t>人、采购代理机构和与投诉事项</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1"/>
          <w:sz w:val="21"/>
          <w:szCs w:val="21"/>
        </w:rPr>
        <w:t>有关的供应商数量提供投诉书的副本。投诉书应当包括下列主要内容(</w:t>
      </w:r>
      <w:r>
        <w:rPr>
          <w:rFonts w:hint="eastAsia" w:asciiTheme="minorEastAsia" w:hAnsiTheme="minorEastAsia" w:eastAsiaTheme="minorEastAsia" w:cstheme="minorEastAsia"/>
          <w:color w:val="auto"/>
          <w:sz w:val="21"/>
          <w:szCs w:val="21"/>
        </w:rPr>
        <w:t xml:space="preserve">如材料中有外文资料应同时 </w:t>
      </w:r>
      <w:r>
        <w:rPr>
          <w:rFonts w:hint="eastAsia" w:asciiTheme="minorEastAsia" w:hAnsiTheme="minorEastAsia" w:eastAsiaTheme="minorEastAsia" w:cstheme="minorEastAsia"/>
          <w:color w:val="auto"/>
          <w:spacing w:val="17"/>
          <w:sz w:val="21"/>
          <w:szCs w:val="21"/>
        </w:rPr>
        <w:t>附上对应的中文译本)(投诉书格式后附):</w:t>
      </w:r>
    </w:p>
    <w:p w14:paraId="7FC457A3">
      <w:pPr>
        <w:spacing w:before="151" w:line="213" w:lineRule="auto"/>
        <w:ind w:left="48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(1)投诉人和被投诉人的名称、地址、邮编、联系人及联</w:t>
      </w:r>
      <w:r>
        <w:rPr>
          <w:rFonts w:hint="eastAsia" w:asciiTheme="minorEastAsia" w:hAnsiTheme="minorEastAsia" w:eastAsiaTheme="minorEastAsia" w:cstheme="minorEastAsia"/>
          <w:color w:val="auto"/>
          <w:spacing w:val="3"/>
          <w:sz w:val="21"/>
          <w:szCs w:val="21"/>
        </w:rPr>
        <w:t>系电话等；</w:t>
      </w:r>
    </w:p>
    <w:p w14:paraId="720BD140">
      <w:pPr>
        <w:spacing w:before="158" w:line="213" w:lineRule="auto"/>
        <w:ind w:left="48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5"/>
          <w:sz w:val="21"/>
          <w:szCs w:val="21"/>
        </w:rPr>
        <w:t>(2)质疑和质疑答复情况及相关证明材料；</w:t>
      </w:r>
    </w:p>
    <w:p w14:paraId="3A555FEB">
      <w:pPr>
        <w:spacing w:before="187" w:line="213" w:lineRule="auto"/>
        <w:ind w:left="48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(3)具体、明确的投诉事项和与投诉事项相关的投诉请求；</w:t>
      </w:r>
    </w:p>
    <w:p w14:paraId="390632C5">
      <w:pPr>
        <w:spacing w:before="148" w:line="213" w:lineRule="auto"/>
        <w:ind w:left="48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2"/>
          <w:sz w:val="21"/>
          <w:szCs w:val="21"/>
        </w:rPr>
        <w:t>(4)事实依据；</w:t>
      </w:r>
    </w:p>
    <w:p w14:paraId="0C516A15">
      <w:pPr>
        <w:spacing w:before="178" w:line="213" w:lineRule="auto"/>
        <w:ind w:left="48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2"/>
          <w:sz w:val="21"/>
          <w:szCs w:val="21"/>
        </w:rPr>
        <w:t>(5)法律依据；</w:t>
      </w:r>
    </w:p>
    <w:p w14:paraId="186DA728">
      <w:pPr>
        <w:spacing w:before="166" w:line="220" w:lineRule="auto"/>
        <w:ind w:left="48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0"/>
          <w:sz w:val="21"/>
          <w:szCs w:val="21"/>
        </w:rPr>
        <w:t>(6)提起投诉的日期。</w:t>
      </w:r>
    </w:p>
    <w:p w14:paraId="41359E87">
      <w:pPr>
        <w:spacing w:before="161" w:line="358" w:lineRule="auto"/>
        <w:ind w:right="46" w:firstLine="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投诉人为自然人的，应当由本人签字；投诉人为法</w:t>
      </w:r>
      <w:r>
        <w:rPr>
          <w:rFonts w:hint="eastAsia" w:asciiTheme="minorEastAsia" w:hAnsiTheme="minorEastAsia" w:eastAsiaTheme="minorEastAsia" w:cstheme="minorEastAsia"/>
          <w:color w:val="auto"/>
          <w:spacing w:val="-2"/>
          <w:sz w:val="21"/>
          <w:szCs w:val="21"/>
        </w:rPr>
        <w:t>人或者其他组织的，应当由法定代表人、主</w:t>
      </w:r>
      <w:r>
        <w:rPr>
          <w:rFonts w:hint="eastAsia" w:asciiTheme="minorEastAsia" w:hAnsiTheme="minorEastAsia" w:eastAsiaTheme="minorEastAsia" w:cstheme="minorEastAsia"/>
          <w:color w:val="auto"/>
          <w:sz w:val="21"/>
          <w:szCs w:val="21"/>
        </w:rPr>
        <w:t xml:space="preserve"> 要负责人，或者其授权代表签字或者盖章，并加盖公章。</w:t>
      </w:r>
    </w:p>
    <w:p w14:paraId="76842EC0">
      <w:pPr>
        <w:spacing w:before="4" w:line="279" w:lineRule="auto"/>
        <w:ind w:right="49" w:firstLine="41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2"/>
          <w:sz w:val="21"/>
          <w:szCs w:val="21"/>
        </w:rPr>
        <w:t>38.3.3</w:t>
      </w:r>
      <w:r>
        <w:rPr>
          <w:rFonts w:hint="eastAsia" w:asciiTheme="minorEastAsia" w:hAnsiTheme="minorEastAsia" w:eastAsiaTheme="minorEastAsia" w:cstheme="minorEastAsia"/>
          <w:color w:val="auto"/>
          <w:spacing w:val="-2"/>
          <w:sz w:val="21"/>
          <w:szCs w:val="21"/>
        </w:rPr>
        <w:t xml:space="preserve">  投诉人可以委托代理人办理投诉事务。委托代理人应熟悉相关业务情况。代理人办理</w:t>
      </w:r>
      <w:r>
        <w:rPr>
          <w:rFonts w:hint="eastAsia" w:asciiTheme="minorEastAsia" w:hAnsiTheme="minorEastAsia" w:eastAsiaTheme="minorEastAsia" w:cstheme="minorEastAsia"/>
          <w:color w:val="auto"/>
          <w:spacing w:val="10"/>
          <w:sz w:val="21"/>
          <w:szCs w:val="21"/>
        </w:rPr>
        <w:t xml:space="preserve"> </w:t>
      </w:r>
      <w:r>
        <w:rPr>
          <w:rFonts w:hint="eastAsia" w:asciiTheme="minorEastAsia" w:hAnsiTheme="minorEastAsia" w:eastAsiaTheme="minorEastAsia" w:cstheme="minorEastAsia"/>
          <w:color w:val="auto"/>
          <w:spacing w:val="1"/>
          <w:sz w:val="21"/>
          <w:szCs w:val="21"/>
        </w:rPr>
        <w:t>投诉事务时，除提交投诉书外，还应当提交投诉人的</w:t>
      </w:r>
      <w:r>
        <w:rPr>
          <w:rFonts w:hint="eastAsia" w:asciiTheme="minorEastAsia" w:hAnsiTheme="minorEastAsia" w:eastAsiaTheme="minorEastAsia" w:cstheme="minorEastAsia"/>
          <w:color w:val="auto"/>
          <w:sz w:val="21"/>
          <w:szCs w:val="21"/>
        </w:rPr>
        <w:t>授权委托书和委托代理人身份证明复印件。</w:t>
      </w:r>
    </w:p>
    <w:p w14:paraId="6A59013D">
      <w:pPr>
        <w:spacing w:before="166" w:line="220" w:lineRule="auto"/>
        <w:ind w:left="41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1"/>
          <w:sz w:val="21"/>
          <w:szCs w:val="21"/>
        </w:rPr>
        <w:t>38.3.4</w:t>
      </w:r>
      <w:r>
        <w:rPr>
          <w:rFonts w:hint="eastAsia" w:asciiTheme="minorEastAsia" w:hAnsiTheme="minorEastAsia" w:eastAsiaTheme="minorEastAsia" w:cstheme="minorEastAsia"/>
          <w:color w:val="auto"/>
          <w:spacing w:val="104"/>
          <w:sz w:val="21"/>
          <w:szCs w:val="21"/>
        </w:rPr>
        <w:t xml:space="preserve"> </w:t>
      </w:r>
      <w:r>
        <w:rPr>
          <w:rFonts w:hint="eastAsia" w:asciiTheme="minorEastAsia" w:hAnsiTheme="minorEastAsia" w:eastAsiaTheme="minorEastAsia" w:cstheme="minorEastAsia"/>
          <w:color w:val="auto"/>
          <w:spacing w:val="-1"/>
          <w:sz w:val="21"/>
          <w:szCs w:val="21"/>
        </w:rPr>
        <w:t>投诉人提起投诉应当符合下列条件：</w:t>
      </w:r>
    </w:p>
    <w:p w14:paraId="609B6438">
      <w:pPr>
        <w:spacing w:before="171" w:line="213" w:lineRule="auto"/>
        <w:ind w:left="48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(1)投诉人是参与所投诉政府采购活动的供应商；</w:t>
      </w:r>
    </w:p>
    <w:p w14:paraId="7A3C4B7E">
      <w:pPr>
        <w:spacing w:before="158" w:line="213" w:lineRule="auto"/>
        <w:ind w:left="48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(2)提起投诉前已依法进行质疑；</w:t>
      </w:r>
    </w:p>
    <w:p w14:paraId="4A87FF2B">
      <w:pPr>
        <w:spacing w:before="157" w:line="213" w:lineRule="auto"/>
        <w:ind w:left="48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(3)投诉书内容符合本章第38.3.2项的规定；</w:t>
      </w:r>
    </w:p>
    <w:p w14:paraId="45A6D4CE">
      <w:pPr>
        <w:spacing w:before="168" w:line="213" w:lineRule="auto"/>
        <w:ind w:left="48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(4)在投诉有效期限内提起投诉；</w:t>
      </w:r>
    </w:p>
    <w:p w14:paraId="13B15C25">
      <w:pPr>
        <w:spacing w:before="188" w:line="213" w:lineRule="auto"/>
        <w:ind w:left="48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5"/>
          <w:sz w:val="21"/>
          <w:szCs w:val="21"/>
        </w:rPr>
        <w:t>(5)同一投诉事项未经财政部门投诉处理；</w:t>
      </w:r>
    </w:p>
    <w:p w14:paraId="641F3700">
      <w:pPr>
        <w:spacing w:before="157" w:line="221" w:lineRule="auto"/>
        <w:ind w:left="48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(6)国务院财政部门规定的其他条件。</w:t>
      </w:r>
    </w:p>
    <w:p w14:paraId="43D9C6CA">
      <w:pPr>
        <w:spacing w:before="210" w:line="219" w:lineRule="auto"/>
        <w:ind w:left="4174"/>
        <w:rPr>
          <w:rFonts w:hint="eastAsia" w:asciiTheme="minorEastAsia" w:hAnsiTheme="minorEastAsia" w:eastAsiaTheme="minorEastAsia" w:cstheme="minorEastAsia"/>
          <w:color w:val="auto"/>
          <w:sz w:val="33"/>
          <w:szCs w:val="33"/>
        </w:rPr>
      </w:pPr>
      <w:r>
        <w:rPr>
          <w:rFonts w:hint="eastAsia" w:asciiTheme="minorEastAsia" w:hAnsiTheme="minorEastAsia" w:eastAsiaTheme="minorEastAsia" w:cstheme="minorEastAsia"/>
          <w:b/>
          <w:bCs/>
          <w:color w:val="auto"/>
          <w:spacing w:val="-10"/>
          <w:sz w:val="33"/>
          <w:szCs w:val="33"/>
        </w:rPr>
        <w:t>八、验收</w:t>
      </w:r>
    </w:p>
    <w:p w14:paraId="301DB45C">
      <w:pPr>
        <w:spacing w:before="215" w:line="222" w:lineRule="auto"/>
        <w:ind w:left="493"/>
        <w:rPr>
          <w:rFonts w:hint="eastAsia" w:asciiTheme="minorEastAsia" w:hAnsiTheme="minorEastAsia" w:eastAsiaTheme="minorEastAsia" w:cstheme="minorEastAsia"/>
          <w:color w:val="auto"/>
          <w:sz w:val="25"/>
          <w:szCs w:val="25"/>
        </w:rPr>
      </w:pPr>
      <w:r>
        <w:rPr>
          <w:rFonts w:hint="eastAsia" w:asciiTheme="minorEastAsia" w:hAnsiTheme="minorEastAsia" w:eastAsiaTheme="minorEastAsia" w:cstheme="minorEastAsia"/>
          <w:b/>
          <w:bCs/>
          <w:color w:val="auto"/>
          <w:spacing w:val="-7"/>
          <w:sz w:val="25"/>
          <w:szCs w:val="25"/>
        </w:rPr>
        <w:t>39.验收</w:t>
      </w:r>
    </w:p>
    <w:p w14:paraId="27AD8F79">
      <w:pPr>
        <w:spacing w:before="134" w:line="305" w:lineRule="auto"/>
        <w:ind w:right="9" w:firstLine="48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39.1采购人组织对中标人履约的验收。大型或者</w:t>
      </w:r>
      <w:r>
        <w:rPr>
          <w:rFonts w:hint="eastAsia" w:asciiTheme="minorEastAsia" w:hAnsiTheme="minorEastAsia" w:eastAsiaTheme="minorEastAsia" w:cstheme="minorEastAsia"/>
          <w:color w:val="auto"/>
          <w:spacing w:val="2"/>
          <w:sz w:val="21"/>
          <w:szCs w:val="21"/>
        </w:rPr>
        <w:t>复杂的政府采购项目，应当邀请国家认可的</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2"/>
          <w:sz w:val="21"/>
          <w:szCs w:val="21"/>
        </w:rPr>
        <w:t>质量检测机构参加验收工作。验收方成员应当在验收书上签字，并承担相应的法律责任。如果发现</w:t>
      </w:r>
      <w:r>
        <w:rPr>
          <w:rFonts w:hint="eastAsia" w:asciiTheme="minorEastAsia" w:hAnsiTheme="minorEastAsia" w:eastAsiaTheme="minorEastAsia" w:cstheme="minorEastAsia"/>
          <w:color w:val="auto"/>
          <w:spacing w:val="12"/>
          <w:sz w:val="21"/>
          <w:szCs w:val="21"/>
        </w:rPr>
        <w:t xml:space="preserve"> </w:t>
      </w:r>
      <w:r>
        <w:rPr>
          <w:rFonts w:hint="eastAsia" w:asciiTheme="minorEastAsia" w:hAnsiTheme="minorEastAsia" w:eastAsiaTheme="minorEastAsia" w:cstheme="minorEastAsia"/>
          <w:color w:val="auto"/>
          <w:sz w:val="21"/>
          <w:szCs w:val="21"/>
        </w:rPr>
        <w:t>与合同中要求不符，中标人须承担由此发生的一切损失和费用，并接受相应的处理。</w:t>
      </w:r>
    </w:p>
    <w:p w14:paraId="1A313530">
      <w:pPr>
        <w:spacing w:before="167" w:line="299" w:lineRule="auto"/>
        <w:ind w:right="17" w:firstLine="48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39.2采购人可以邀请参加本项目的其他投标人或者第三方机构参与验收。参与验收的投标人</w:t>
      </w:r>
      <w:r>
        <w:rPr>
          <w:rFonts w:hint="eastAsia" w:asciiTheme="minorEastAsia" w:hAnsiTheme="minorEastAsia" w:eastAsiaTheme="minorEastAsia" w:cstheme="minorEastAsia"/>
          <w:color w:val="auto"/>
          <w:spacing w:val="15"/>
          <w:sz w:val="21"/>
          <w:szCs w:val="21"/>
        </w:rPr>
        <w:t xml:space="preserve"> </w:t>
      </w:r>
      <w:r>
        <w:rPr>
          <w:rFonts w:hint="eastAsia" w:asciiTheme="minorEastAsia" w:hAnsiTheme="minorEastAsia" w:eastAsiaTheme="minorEastAsia" w:cstheme="minorEastAsia"/>
          <w:color w:val="auto"/>
          <w:sz w:val="21"/>
          <w:szCs w:val="21"/>
        </w:rPr>
        <w:t>或者第三方机构的意见作为验收书的参考资料一并存档。</w:t>
      </w:r>
    </w:p>
    <w:p w14:paraId="252D0325">
      <w:pPr>
        <w:spacing w:line="299" w:lineRule="auto"/>
        <w:rPr>
          <w:rFonts w:hint="eastAsia" w:asciiTheme="minorEastAsia" w:hAnsiTheme="minorEastAsia" w:eastAsiaTheme="minorEastAsia" w:cstheme="minorEastAsia"/>
          <w:color w:val="auto"/>
          <w:sz w:val="21"/>
          <w:szCs w:val="21"/>
        </w:rPr>
        <w:sectPr>
          <w:footerReference r:id="rId23" w:type="default"/>
          <w:pgSz w:w="11900" w:h="16830"/>
          <w:pgMar w:top="1105" w:right="1452" w:bottom="1004" w:left="1440" w:header="0" w:footer="869" w:gutter="0"/>
          <w:cols w:space="720" w:num="1"/>
        </w:sectPr>
      </w:pPr>
    </w:p>
    <w:p w14:paraId="61057C17">
      <w:pPr>
        <w:spacing w:before="44" w:line="327" w:lineRule="auto"/>
        <w:ind w:firstLine="469"/>
        <w:rPr>
          <w:rFonts w:hint="eastAsia" w:asciiTheme="minorEastAsia" w:hAnsiTheme="minorEastAsia" w:eastAsiaTheme="minorEastAsia" w:cstheme="minorEastAsia"/>
          <w:color w:val="auto"/>
          <w:sz w:val="21"/>
          <w:szCs w:val="21"/>
        </w:rPr>
      </w:pPr>
      <w:bookmarkStart w:id="10" w:name="bookmark10"/>
      <w:bookmarkEnd w:id="10"/>
      <w:r>
        <w:rPr>
          <w:rFonts w:hint="eastAsia" w:asciiTheme="minorEastAsia" w:hAnsiTheme="minorEastAsia" w:eastAsiaTheme="minorEastAsia" w:cstheme="minorEastAsia"/>
          <w:color w:val="auto"/>
          <w:spacing w:val="2"/>
          <w:sz w:val="21"/>
          <w:szCs w:val="21"/>
        </w:rPr>
        <w:t>39.3严格按照采购合同开展履约验收。采购人成立验收小组，按照采购合同的约定对中标人</w:t>
      </w:r>
      <w:r>
        <w:rPr>
          <w:rFonts w:hint="eastAsia" w:asciiTheme="minorEastAsia" w:hAnsiTheme="minorEastAsia" w:eastAsiaTheme="minorEastAsia" w:cstheme="minorEastAsia"/>
          <w:color w:val="auto"/>
          <w:spacing w:val="15"/>
          <w:sz w:val="21"/>
          <w:szCs w:val="21"/>
        </w:rPr>
        <w:t xml:space="preserve"> </w:t>
      </w:r>
      <w:r>
        <w:rPr>
          <w:rFonts w:hint="eastAsia" w:asciiTheme="minorEastAsia" w:hAnsiTheme="minorEastAsia" w:eastAsiaTheme="minorEastAsia" w:cstheme="minorEastAsia"/>
          <w:color w:val="auto"/>
          <w:spacing w:val="-1"/>
          <w:sz w:val="21"/>
          <w:szCs w:val="21"/>
        </w:rPr>
        <w:t>履约情况进行验收。验收时，按照采购合同的约定</w:t>
      </w:r>
      <w:r>
        <w:rPr>
          <w:rFonts w:hint="eastAsia" w:asciiTheme="minorEastAsia" w:hAnsiTheme="minorEastAsia" w:eastAsiaTheme="minorEastAsia" w:cstheme="minorEastAsia"/>
          <w:color w:val="auto"/>
          <w:spacing w:val="-2"/>
          <w:sz w:val="21"/>
          <w:szCs w:val="21"/>
        </w:rPr>
        <w:t>对每一项技术、服务、安全标准的履约情况进行</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1"/>
          <w:sz w:val="21"/>
          <w:szCs w:val="21"/>
        </w:rPr>
        <w:t>确认。验收结束后，应当出具验收书，列明各项标准的验收情况及项目总体</w:t>
      </w:r>
      <w:r>
        <w:rPr>
          <w:rFonts w:hint="eastAsia" w:asciiTheme="minorEastAsia" w:hAnsiTheme="minorEastAsia" w:eastAsiaTheme="minorEastAsia" w:cstheme="minorEastAsia"/>
          <w:color w:val="auto"/>
          <w:spacing w:val="-2"/>
          <w:sz w:val="21"/>
          <w:szCs w:val="21"/>
        </w:rPr>
        <w:t>评价，由验收双方共同</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4"/>
          <w:sz w:val="21"/>
          <w:szCs w:val="21"/>
        </w:rPr>
        <w:t>签署。验收结果与采购合同约定的资金支付及履约保证金(如有)返还条件挂钩。履约验收的各项</w:t>
      </w:r>
      <w:r>
        <w:rPr>
          <w:rFonts w:hint="eastAsia" w:asciiTheme="minorEastAsia" w:hAnsiTheme="minorEastAsia" w:eastAsiaTheme="minorEastAsia" w:cstheme="minorEastAsia"/>
          <w:color w:val="auto"/>
          <w:sz w:val="21"/>
          <w:szCs w:val="21"/>
        </w:rPr>
        <w:t xml:space="preserve"> 资料应当存档备查。</w:t>
      </w:r>
    </w:p>
    <w:p w14:paraId="163AD6AD">
      <w:pPr>
        <w:spacing w:before="157" w:line="321" w:lineRule="auto"/>
        <w:ind w:right="10" w:firstLine="46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39.4验收合格的项目，采购人将根据采购合同的约定及时向中标人支付采购资金。验收不合</w:t>
      </w:r>
      <w:r>
        <w:rPr>
          <w:rFonts w:hint="eastAsia" w:asciiTheme="minorEastAsia" w:hAnsiTheme="minorEastAsia" w:eastAsiaTheme="minorEastAsia" w:cstheme="minorEastAsia"/>
          <w:color w:val="auto"/>
          <w:spacing w:val="15"/>
          <w:sz w:val="21"/>
          <w:szCs w:val="21"/>
        </w:rPr>
        <w:t xml:space="preserve"> </w:t>
      </w:r>
      <w:r>
        <w:rPr>
          <w:rFonts w:hint="eastAsia" w:asciiTheme="minorEastAsia" w:hAnsiTheme="minorEastAsia" w:eastAsiaTheme="minorEastAsia" w:cstheme="minorEastAsia"/>
          <w:color w:val="auto"/>
          <w:spacing w:val="-1"/>
          <w:sz w:val="21"/>
          <w:szCs w:val="21"/>
        </w:rPr>
        <w:t>格的项目，采购人将依法及时处理。采购合同的履行、</w:t>
      </w:r>
      <w:r>
        <w:rPr>
          <w:rFonts w:hint="eastAsia" w:asciiTheme="minorEastAsia" w:hAnsiTheme="minorEastAsia" w:eastAsiaTheme="minorEastAsia" w:cstheme="minorEastAsia"/>
          <w:color w:val="auto"/>
          <w:spacing w:val="-2"/>
          <w:sz w:val="21"/>
          <w:szCs w:val="21"/>
        </w:rPr>
        <w:t>违约责任和解决争议的方式等适用《中华人</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1"/>
          <w:sz w:val="21"/>
          <w:szCs w:val="21"/>
        </w:rPr>
        <w:t>民共和国民法典》。中标人在履约过程中有政府采购法律法规规定的违法违规情形的</w:t>
      </w:r>
      <w:r>
        <w:rPr>
          <w:rFonts w:hint="eastAsia" w:asciiTheme="minorEastAsia" w:hAnsiTheme="minorEastAsia" w:eastAsiaTheme="minorEastAsia" w:cstheme="minorEastAsia"/>
          <w:color w:val="auto"/>
          <w:spacing w:val="-2"/>
          <w:sz w:val="21"/>
          <w:szCs w:val="21"/>
        </w:rPr>
        <w:t>，采购人应当</w:t>
      </w:r>
      <w:r>
        <w:rPr>
          <w:rFonts w:hint="eastAsia" w:asciiTheme="minorEastAsia" w:hAnsiTheme="minorEastAsia" w:eastAsiaTheme="minorEastAsia" w:cstheme="minorEastAsia"/>
          <w:color w:val="auto"/>
          <w:sz w:val="21"/>
          <w:szCs w:val="21"/>
        </w:rPr>
        <w:t xml:space="preserve"> 及时报告本级财政部门。</w:t>
      </w:r>
    </w:p>
    <w:p w14:paraId="13CE83F2">
      <w:pPr>
        <w:pStyle w:val="10"/>
        <w:spacing w:line="263" w:lineRule="auto"/>
        <w:rPr>
          <w:rFonts w:hint="eastAsia" w:asciiTheme="minorEastAsia" w:hAnsiTheme="minorEastAsia" w:eastAsiaTheme="minorEastAsia" w:cstheme="minorEastAsia"/>
          <w:color w:val="auto"/>
        </w:rPr>
      </w:pPr>
    </w:p>
    <w:p w14:paraId="15E2AF9B">
      <w:pPr>
        <w:pStyle w:val="10"/>
        <w:spacing w:line="263" w:lineRule="auto"/>
        <w:rPr>
          <w:rFonts w:hint="eastAsia" w:asciiTheme="minorEastAsia" w:hAnsiTheme="minorEastAsia" w:eastAsiaTheme="minorEastAsia" w:cstheme="minorEastAsia"/>
          <w:color w:val="auto"/>
        </w:rPr>
      </w:pPr>
    </w:p>
    <w:p w14:paraId="4C3DE1BE">
      <w:pPr>
        <w:pStyle w:val="10"/>
        <w:spacing w:line="263" w:lineRule="auto"/>
        <w:rPr>
          <w:rFonts w:hint="eastAsia" w:asciiTheme="minorEastAsia" w:hAnsiTheme="minorEastAsia" w:eastAsiaTheme="minorEastAsia" w:cstheme="minorEastAsia"/>
          <w:color w:val="auto"/>
        </w:rPr>
      </w:pPr>
    </w:p>
    <w:p w14:paraId="4208A4CD">
      <w:pPr>
        <w:spacing w:before="107" w:line="220" w:lineRule="auto"/>
        <w:ind w:left="3554"/>
        <w:rPr>
          <w:rFonts w:hint="eastAsia" w:asciiTheme="minorEastAsia" w:hAnsiTheme="minorEastAsia" w:eastAsiaTheme="minorEastAsia" w:cstheme="minorEastAsia"/>
          <w:color w:val="auto"/>
          <w:sz w:val="33"/>
          <w:szCs w:val="33"/>
        </w:rPr>
      </w:pPr>
      <w:r>
        <w:rPr>
          <w:rFonts w:hint="eastAsia" w:asciiTheme="minorEastAsia" w:hAnsiTheme="minorEastAsia" w:eastAsiaTheme="minorEastAsia" w:cstheme="minorEastAsia"/>
          <w:b/>
          <w:bCs/>
          <w:color w:val="auto"/>
          <w:spacing w:val="-9"/>
          <w:sz w:val="33"/>
          <w:szCs w:val="33"/>
        </w:rPr>
        <w:t>九、其他事项</w:t>
      </w:r>
    </w:p>
    <w:p w14:paraId="38AAD7CA">
      <w:pPr>
        <w:pStyle w:val="10"/>
        <w:spacing w:line="439" w:lineRule="auto"/>
        <w:rPr>
          <w:rFonts w:hint="eastAsia" w:asciiTheme="minorEastAsia" w:hAnsiTheme="minorEastAsia" w:eastAsiaTheme="minorEastAsia" w:cstheme="minorEastAsia"/>
          <w:color w:val="auto"/>
        </w:rPr>
      </w:pPr>
    </w:p>
    <w:p w14:paraId="74A9B74D">
      <w:pPr>
        <w:spacing w:before="69" w:line="221" w:lineRule="auto"/>
        <w:ind w:left="47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22"/>
          <w:sz w:val="21"/>
          <w:szCs w:val="21"/>
        </w:rPr>
        <w:t>40.</w:t>
      </w:r>
      <w:r>
        <w:rPr>
          <w:rFonts w:hint="eastAsia" w:asciiTheme="minorEastAsia" w:hAnsiTheme="minorEastAsia" w:eastAsiaTheme="minorEastAsia" w:cstheme="minorEastAsia"/>
          <w:color w:val="auto"/>
          <w:spacing w:val="-37"/>
          <w:sz w:val="21"/>
          <w:szCs w:val="21"/>
        </w:rPr>
        <w:t xml:space="preserve"> </w:t>
      </w:r>
      <w:r>
        <w:rPr>
          <w:rFonts w:hint="eastAsia" w:asciiTheme="minorEastAsia" w:hAnsiTheme="minorEastAsia" w:eastAsiaTheme="minorEastAsia" w:cstheme="minorEastAsia"/>
          <w:b/>
          <w:bCs/>
          <w:color w:val="auto"/>
          <w:spacing w:val="22"/>
          <w:sz w:val="21"/>
          <w:szCs w:val="21"/>
        </w:rPr>
        <w:t>采购代理服务费</w:t>
      </w:r>
    </w:p>
    <w:p w14:paraId="6732DBB0">
      <w:pPr>
        <w:spacing w:before="143" w:line="290" w:lineRule="auto"/>
        <w:ind w:right="48" w:firstLine="41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40.1采购代理服务费收费标准及缴费账</w:t>
      </w:r>
      <w:r>
        <w:rPr>
          <w:rFonts w:hint="eastAsia" w:asciiTheme="minorEastAsia" w:hAnsiTheme="minorEastAsia" w:eastAsiaTheme="minorEastAsia" w:cstheme="minorEastAsia"/>
          <w:color w:val="auto"/>
          <w:spacing w:val="5"/>
          <w:sz w:val="21"/>
          <w:szCs w:val="21"/>
        </w:rPr>
        <w:t>户详见“投标人须知前附表”,投标人为联合体的，</w:t>
      </w:r>
      <w:r>
        <w:rPr>
          <w:rFonts w:hint="eastAsia" w:asciiTheme="minorEastAsia" w:hAnsiTheme="minorEastAsia" w:eastAsiaTheme="minorEastAsia" w:cstheme="minorEastAsia"/>
          <w:color w:val="auto"/>
          <w:sz w:val="21"/>
          <w:szCs w:val="21"/>
        </w:rPr>
        <w:t xml:space="preserve"> 可以由联合体中的一方或者多方共同缴纳采购代理服务费。</w:t>
      </w:r>
    </w:p>
    <w:p w14:paraId="108B7A79">
      <w:pPr>
        <w:spacing w:before="159" w:line="221" w:lineRule="auto"/>
        <w:ind w:left="41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40.2采购代理服务费收费标准：</w:t>
      </w:r>
    </w:p>
    <w:p w14:paraId="126F2272">
      <w:pPr>
        <w:spacing w:line="137" w:lineRule="exact"/>
        <w:rPr>
          <w:rFonts w:hint="eastAsia" w:asciiTheme="minorEastAsia" w:hAnsiTheme="minorEastAsia" w:eastAsiaTheme="minorEastAsia" w:cstheme="minorEastAsia"/>
          <w:color w:val="auto"/>
        </w:rPr>
      </w:pPr>
    </w:p>
    <w:tbl>
      <w:tblPr>
        <w:tblStyle w:val="20"/>
        <w:tblW w:w="8470" w:type="dxa"/>
        <w:tblInd w:w="4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71"/>
        <w:gridCol w:w="1658"/>
        <w:gridCol w:w="1668"/>
        <w:gridCol w:w="1673"/>
      </w:tblGrid>
      <w:tr w14:paraId="7AFE1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3471" w:type="dxa"/>
            <w:tcBorders>
              <w:tl2br w:val="single" w:color="000000" w:sz="4" w:space="0"/>
            </w:tcBorders>
            <w:vAlign w:val="top"/>
          </w:tcPr>
          <w:p w14:paraId="2CFC549A">
            <w:pPr>
              <w:pStyle w:val="21"/>
              <w:tabs>
                <w:tab w:val="left" w:pos="1645"/>
              </w:tabs>
              <w:spacing w:before="12" w:line="332" w:lineRule="auto"/>
              <w:ind w:left="75" w:right="1365" w:firstLine="120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u w:val="single" w:color="auto"/>
              </w:rPr>
              <w:tab/>
            </w:r>
            <w:r>
              <w:rPr>
                <w:rFonts w:hint="eastAsia" w:asciiTheme="minorEastAsia" w:hAnsiTheme="minorEastAsia" w:eastAsiaTheme="minorEastAsia" w:cstheme="minorEastAsia"/>
                <w:color w:val="auto"/>
                <w:spacing w:val="5"/>
              </w:rPr>
              <w:t>费率</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spacing w:val="2"/>
              </w:rPr>
              <w:t>中标金额</w:t>
            </w:r>
          </w:p>
        </w:tc>
        <w:tc>
          <w:tcPr>
            <w:tcW w:w="1658" w:type="dxa"/>
            <w:vAlign w:val="top"/>
          </w:tcPr>
          <w:p w14:paraId="173D4A77">
            <w:pPr>
              <w:pStyle w:val="21"/>
              <w:spacing w:before="212" w:line="219" w:lineRule="auto"/>
              <w:ind w:left="43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货物招标</w:t>
            </w:r>
          </w:p>
        </w:tc>
        <w:tc>
          <w:tcPr>
            <w:tcW w:w="1668" w:type="dxa"/>
            <w:vAlign w:val="top"/>
          </w:tcPr>
          <w:p w14:paraId="1DA6A928">
            <w:pPr>
              <w:pStyle w:val="21"/>
              <w:spacing w:before="214" w:line="219" w:lineRule="auto"/>
              <w:ind w:left="396"/>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服务招标</w:t>
            </w:r>
          </w:p>
        </w:tc>
        <w:tc>
          <w:tcPr>
            <w:tcW w:w="1673" w:type="dxa"/>
            <w:vAlign w:val="top"/>
          </w:tcPr>
          <w:p w14:paraId="0F7C3B0D">
            <w:pPr>
              <w:pStyle w:val="21"/>
              <w:spacing w:before="211" w:line="220" w:lineRule="auto"/>
              <w:ind w:left="391"/>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val="0"/>
                <w:bCs w:val="0"/>
                <w:color w:val="auto"/>
                <w:spacing w:val="-5"/>
              </w:rPr>
              <w:t>工程招标</w:t>
            </w:r>
          </w:p>
        </w:tc>
      </w:tr>
      <w:tr w14:paraId="4CC15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471" w:type="dxa"/>
            <w:vAlign w:val="top"/>
          </w:tcPr>
          <w:p w14:paraId="4C62CD11">
            <w:pPr>
              <w:pStyle w:val="21"/>
              <w:spacing w:before="20" w:line="220" w:lineRule="auto"/>
              <w:ind w:left="7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100万元以下</w:t>
            </w:r>
          </w:p>
        </w:tc>
        <w:tc>
          <w:tcPr>
            <w:tcW w:w="1658" w:type="dxa"/>
            <w:vAlign w:val="top"/>
          </w:tcPr>
          <w:p w14:paraId="282C5244">
            <w:pPr>
              <w:pStyle w:val="21"/>
              <w:spacing w:before="61" w:line="239" w:lineRule="auto"/>
              <w:ind w:left="17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1.5%</w:t>
            </w:r>
          </w:p>
        </w:tc>
        <w:tc>
          <w:tcPr>
            <w:tcW w:w="1668" w:type="dxa"/>
            <w:vAlign w:val="top"/>
          </w:tcPr>
          <w:p w14:paraId="6DBEA370">
            <w:pPr>
              <w:pStyle w:val="21"/>
              <w:spacing w:before="41" w:line="239" w:lineRule="auto"/>
              <w:ind w:left="286"/>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1.5%</w:t>
            </w:r>
          </w:p>
        </w:tc>
        <w:tc>
          <w:tcPr>
            <w:tcW w:w="1673" w:type="dxa"/>
            <w:vAlign w:val="top"/>
          </w:tcPr>
          <w:p w14:paraId="7EBD6A96">
            <w:pPr>
              <w:pStyle w:val="21"/>
              <w:spacing w:before="59" w:line="239" w:lineRule="auto"/>
              <w:ind w:left="191"/>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pacing w:val="-8"/>
              </w:rPr>
              <w:t>1.0%</w:t>
            </w:r>
          </w:p>
        </w:tc>
      </w:tr>
      <w:tr w14:paraId="78E41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3471" w:type="dxa"/>
            <w:vAlign w:val="top"/>
          </w:tcPr>
          <w:p w14:paraId="599BAE9D">
            <w:pPr>
              <w:pStyle w:val="21"/>
              <w:spacing w:before="31" w:line="220" w:lineRule="auto"/>
              <w:ind w:left="7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rPr>
              <w:t>100~500万元</w:t>
            </w:r>
          </w:p>
        </w:tc>
        <w:tc>
          <w:tcPr>
            <w:tcW w:w="1658" w:type="dxa"/>
            <w:vAlign w:val="top"/>
          </w:tcPr>
          <w:p w14:paraId="6B0C1CFB">
            <w:pPr>
              <w:pStyle w:val="21"/>
              <w:spacing w:before="62" w:line="239" w:lineRule="auto"/>
              <w:ind w:left="17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1.1%</w:t>
            </w:r>
          </w:p>
        </w:tc>
        <w:tc>
          <w:tcPr>
            <w:tcW w:w="1668" w:type="dxa"/>
            <w:vAlign w:val="top"/>
          </w:tcPr>
          <w:p w14:paraId="6475FBC7">
            <w:pPr>
              <w:pStyle w:val="21"/>
              <w:spacing w:before="62" w:line="239" w:lineRule="auto"/>
              <w:ind w:left="276"/>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0.8%</w:t>
            </w:r>
          </w:p>
        </w:tc>
        <w:tc>
          <w:tcPr>
            <w:tcW w:w="1673" w:type="dxa"/>
            <w:vAlign w:val="top"/>
          </w:tcPr>
          <w:p w14:paraId="25AB16CF">
            <w:pPr>
              <w:pStyle w:val="21"/>
              <w:spacing w:before="60" w:line="239" w:lineRule="auto"/>
              <w:ind w:left="191"/>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pacing w:val="-4"/>
              </w:rPr>
              <w:t>0.7%</w:t>
            </w:r>
          </w:p>
        </w:tc>
      </w:tr>
      <w:tr w14:paraId="3FD9A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3471" w:type="dxa"/>
            <w:vAlign w:val="top"/>
          </w:tcPr>
          <w:p w14:paraId="60C277BA">
            <w:pPr>
              <w:pStyle w:val="21"/>
              <w:spacing w:before="32" w:line="220" w:lineRule="auto"/>
              <w:ind w:left="7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500～1000万元</w:t>
            </w:r>
          </w:p>
        </w:tc>
        <w:tc>
          <w:tcPr>
            <w:tcW w:w="1658" w:type="dxa"/>
            <w:vAlign w:val="top"/>
          </w:tcPr>
          <w:p w14:paraId="763DB8CF">
            <w:pPr>
              <w:pStyle w:val="21"/>
              <w:spacing w:before="63" w:line="239" w:lineRule="auto"/>
              <w:ind w:left="17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0.8%</w:t>
            </w:r>
          </w:p>
        </w:tc>
        <w:tc>
          <w:tcPr>
            <w:tcW w:w="1668" w:type="dxa"/>
            <w:vAlign w:val="top"/>
          </w:tcPr>
          <w:p w14:paraId="4E2F8CE6">
            <w:pPr>
              <w:pStyle w:val="21"/>
              <w:spacing w:before="43" w:line="239" w:lineRule="auto"/>
              <w:ind w:left="266"/>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0.45%</w:t>
            </w:r>
          </w:p>
        </w:tc>
        <w:tc>
          <w:tcPr>
            <w:tcW w:w="1673" w:type="dxa"/>
            <w:vAlign w:val="top"/>
          </w:tcPr>
          <w:p w14:paraId="48D5A9A3">
            <w:pPr>
              <w:pStyle w:val="21"/>
              <w:spacing w:before="41" w:line="239" w:lineRule="auto"/>
              <w:ind w:left="191"/>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pacing w:val="-4"/>
              </w:rPr>
              <w:t>0.55%</w:t>
            </w:r>
          </w:p>
        </w:tc>
      </w:tr>
      <w:tr w14:paraId="04EC2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471" w:type="dxa"/>
            <w:vAlign w:val="top"/>
          </w:tcPr>
          <w:p w14:paraId="2B91671E">
            <w:pPr>
              <w:pStyle w:val="21"/>
              <w:spacing w:before="23" w:line="220" w:lineRule="auto"/>
              <w:ind w:left="7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1000~5000万元</w:t>
            </w:r>
          </w:p>
        </w:tc>
        <w:tc>
          <w:tcPr>
            <w:tcW w:w="1658" w:type="dxa"/>
            <w:vAlign w:val="top"/>
          </w:tcPr>
          <w:p w14:paraId="3C180616">
            <w:pPr>
              <w:pStyle w:val="21"/>
              <w:spacing w:before="34" w:line="239" w:lineRule="auto"/>
              <w:ind w:left="17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rPr>
              <w:t>0.5%</w:t>
            </w:r>
          </w:p>
        </w:tc>
        <w:tc>
          <w:tcPr>
            <w:tcW w:w="1668" w:type="dxa"/>
            <w:vAlign w:val="top"/>
          </w:tcPr>
          <w:p w14:paraId="4717DB04">
            <w:pPr>
              <w:pStyle w:val="21"/>
              <w:spacing w:before="34" w:line="239" w:lineRule="auto"/>
              <w:ind w:left="266"/>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0.25%</w:t>
            </w:r>
          </w:p>
        </w:tc>
        <w:tc>
          <w:tcPr>
            <w:tcW w:w="1673" w:type="dxa"/>
            <w:vAlign w:val="top"/>
          </w:tcPr>
          <w:p w14:paraId="5B43ADD4">
            <w:pPr>
              <w:pStyle w:val="21"/>
              <w:spacing w:before="32" w:line="239" w:lineRule="auto"/>
              <w:ind w:left="191"/>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pacing w:val="-4"/>
              </w:rPr>
              <w:t>0.35%</w:t>
            </w:r>
          </w:p>
        </w:tc>
      </w:tr>
      <w:tr w14:paraId="0F5C2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471" w:type="dxa"/>
            <w:vAlign w:val="top"/>
          </w:tcPr>
          <w:p w14:paraId="2E55BE82">
            <w:pPr>
              <w:pStyle w:val="21"/>
              <w:spacing w:before="24" w:line="220" w:lineRule="auto"/>
              <w:ind w:left="7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5000万元~1亿元</w:t>
            </w:r>
          </w:p>
        </w:tc>
        <w:tc>
          <w:tcPr>
            <w:tcW w:w="1658" w:type="dxa"/>
            <w:vAlign w:val="top"/>
          </w:tcPr>
          <w:p w14:paraId="3BD728A2">
            <w:pPr>
              <w:pStyle w:val="21"/>
              <w:spacing w:before="45" w:line="239" w:lineRule="auto"/>
              <w:ind w:left="17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0.25%</w:t>
            </w:r>
          </w:p>
        </w:tc>
        <w:tc>
          <w:tcPr>
            <w:tcW w:w="1668" w:type="dxa"/>
            <w:vAlign w:val="top"/>
          </w:tcPr>
          <w:p w14:paraId="2DC074DE">
            <w:pPr>
              <w:pStyle w:val="21"/>
              <w:spacing w:before="65" w:line="239" w:lineRule="auto"/>
              <w:ind w:left="276"/>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0.1%</w:t>
            </w:r>
          </w:p>
        </w:tc>
        <w:tc>
          <w:tcPr>
            <w:tcW w:w="1673" w:type="dxa"/>
            <w:vAlign w:val="top"/>
          </w:tcPr>
          <w:p w14:paraId="1749E805">
            <w:pPr>
              <w:pStyle w:val="21"/>
              <w:spacing w:before="63" w:line="239" w:lineRule="auto"/>
              <w:ind w:left="191"/>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pacing w:val="-4"/>
              </w:rPr>
              <w:t>0.2%</w:t>
            </w:r>
          </w:p>
        </w:tc>
      </w:tr>
      <w:tr w14:paraId="45E45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3471" w:type="dxa"/>
            <w:vAlign w:val="top"/>
          </w:tcPr>
          <w:p w14:paraId="671CBE01">
            <w:pPr>
              <w:pStyle w:val="21"/>
              <w:spacing w:before="105" w:line="220" w:lineRule="auto"/>
              <w:ind w:left="7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rPr>
              <w:t>1～5亿元</w:t>
            </w:r>
          </w:p>
        </w:tc>
        <w:tc>
          <w:tcPr>
            <w:tcW w:w="1658" w:type="dxa"/>
            <w:vAlign w:val="top"/>
          </w:tcPr>
          <w:p w14:paraId="77040C26">
            <w:pPr>
              <w:pStyle w:val="21"/>
              <w:spacing w:before="56" w:line="239" w:lineRule="auto"/>
              <w:ind w:left="17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0.05%</w:t>
            </w:r>
          </w:p>
        </w:tc>
        <w:tc>
          <w:tcPr>
            <w:tcW w:w="1668" w:type="dxa"/>
            <w:vAlign w:val="top"/>
          </w:tcPr>
          <w:p w14:paraId="6A857A88">
            <w:pPr>
              <w:pStyle w:val="21"/>
              <w:spacing w:before="56" w:line="239" w:lineRule="auto"/>
              <w:ind w:left="266"/>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0.05%</w:t>
            </w:r>
          </w:p>
        </w:tc>
        <w:tc>
          <w:tcPr>
            <w:tcW w:w="1673" w:type="dxa"/>
            <w:vAlign w:val="top"/>
          </w:tcPr>
          <w:p w14:paraId="496996A1">
            <w:pPr>
              <w:pStyle w:val="21"/>
              <w:spacing w:before="74" w:line="239" w:lineRule="auto"/>
              <w:ind w:left="191"/>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pacing w:val="-4"/>
              </w:rPr>
              <w:t>0.05%</w:t>
            </w:r>
          </w:p>
        </w:tc>
      </w:tr>
      <w:tr w14:paraId="58E73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3471" w:type="dxa"/>
            <w:vAlign w:val="top"/>
          </w:tcPr>
          <w:p w14:paraId="5A5056FB">
            <w:pPr>
              <w:pStyle w:val="21"/>
              <w:spacing w:before="106" w:line="220" w:lineRule="auto"/>
              <w:ind w:left="7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rPr>
              <w:t>5~10亿元</w:t>
            </w:r>
          </w:p>
        </w:tc>
        <w:tc>
          <w:tcPr>
            <w:tcW w:w="1658" w:type="dxa"/>
            <w:vAlign w:val="top"/>
          </w:tcPr>
          <w:p w14:paraId="1EFE8BD8">
            <w:pPr>
              <w:pStyle w:val="21"/>
              <w:spacing w:before="87" w:line="239" w:lineRule="auto"/>
              <w:ind w:left="17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0.035%</w:t>
            </w:r>
          </w:p>
        </w:tc>
        <w:tc>
          <w:tcPr>
            <w:tcW w:w="1668" w:type="dxa"/>
            <w:vAlign w:val="top"/>
          </w:tcPr>
          <w:p w14:paraId="410BD6E6">
            <w:pPr>
              <w:pStyle w:val="21"/>
              <w:spacing w:before="57" w:line="239" w:lineRule="auto"/>
              <w:ind w:left="276"/>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0.035%</w:t>
            </w:r>
          </w:p>
        </w:tc>
        <w:tc>
          <w:tcPr>
            <w:tcW w:w="1673" w:type="dxa"/>
            <w:vAlign w:val="top"/>
          </w:tcPr>
          <w:p w14:paraId="372F674C">
            <w:pPr>
              <w:pStyle w:val="21"/>
              <w:spacing w:before="85" w:line="239" w:lineRule="auto"/>
              <w:ind w:left="191"/>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pacing w:val="-4"/>
              </w:rPr>
              <w:t>0.035%</w:t>
            </w:r>
          </w:p>
        </w:tc>
      </w:tr>
      <w:tr w14:paraId="32243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3471" w:type="dxa"/>
            <w:vAlign w:val="top"/>
          </w:tcPr>
          <w:p w14:paraId="3B10A8BD">
            <w:pPr>
              <w:pStyle w:val="21"/>
              <w:spacing w:before="36" w:line="220" w:lineRule="auto"/>
              <w:ind w:left="7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rPr>
              <w:t>10~50亿元</w:t>
            </w:r>
          </w:p>
        </w:tc>
        <w:tc>
          <w:tcPr>
            <w:tcW w:w="1658" w:type="dxa"/>
            <w:vAlign w:val="top"/>
          </w:tcPr>
          <w:p w14:paraId="12CFF156">
            <w:pPr>
              <w:pStyle w:val="21"/>
              <w:spacing w:before="47" w:line="239" w:lineRule="auto"/>
              <w:ind w:left="17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0.008%</w:t>
            </w:r>
          </w:p>
        </w:tc>
        <w:tc>
          <w:tcPr>
            <w:tcW w:w="1668" w:type="dxa"/>
            <w:vAlign w:val="top"/>
          </w:tcPr>
          <w:p w14:paraId="026AFFE6">
            <w:pPr>
              <w:pStyle w:val="21"/>
              <w:spacing w:before="47" w:line="239" w:lineRule="auto"/>
              <w:ind w:left="276"/>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0.008%</w:t>
            </w:r>
          </w:p>
        </w:tc>
        <w:tc>
          <w:tcPr>
            <w:tcW w:w="1673" w:type="dxa"/>
            <w:vAlign w:val="top"/>
          </w:tcPr>
          <w:p w14:paraId="460ABCDE">
            <w:pPr>
              <w:pStyle w:val="21"/>
              <w:spacing w:before="55" w:line="239" w:lineRule="auto"/>
              <w:ind w:left="191"/>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pacing w:val="-4"/>
              </w:rPr>
              <w:t>0.008%</w:t>
            </w:r>
          </w:p>
        </w:tc>
      </w:tr>
      <w:tr w14:paraId="67DF4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3471" w:type="dxa"/>
            <w:vAlign w:val="top"/>
          </w:tcPr>
          <w:p w14:paraId="6BD77BAE">
            <w:pPr>
              <w:pStyle w:val="21"/>
              <w:spacing w:before="37" w:line="220" w:lineRule="auto"/>
              <w:ind w:left="7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rPr>
              <w:t>50～100亿元</w:t>
            </w:r>
          </w:p>
        </w:tc>
        <w:tc>
          <w:tcPr>
            <w:tcW w:w="1658" w:type="dxa"/>
            <w:vAlign w:val="top"/>
          </w:tcPr>
          <w:p w14:paraId="184711A8">
            <w:pPr>
              <w:pStyle w:val="21"/>
              <w:spacing w:before="78" w:line="239" w:lineRule="auto"/>
              <w:ind w:left="17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0.006%</w:t>
            </w:r>
          </w:p>
        </w:tc>
        <w:tc>
          <w:tcPr>
            <w:tcW w:w="1668" w:type="dxa"/>
            <w:vAlign w:val="top"/>
          </w:tcPr>
          <w:p w14:paraId="4A1449B3">
            <w:pPr>
              <w:pStyle w:val="21"/>
              <w:spacing w:before="78" w:line="239" w:lineRule="auto"/>
              <w:ind w:left="276"/>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0.006%</w:t>
            </w:r>
          </w:p>
        </w:tc>
        <w:tc>
          <w:tcPr>
            <w:tcW w:w="1673" w:type="dxa"/>
            <w:vAlign w:val="top"/>
          </w:tcPr>
          <w:p w14:paraId="3C2427B4">
            <w:pPr>
              <w:pStyle w:val="21"/>
              <w:spacing w:before="76" w:line="239" w:lineRule="auto"/>
              <w:ind w:left="191"/>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pacing w:val="-4"/>
              </w:rPr>
              <w:t>0.006%</w:t>
            </w:r>
          </w:p>
        </w:tc>
      </w:tr>
      <w:tr w14:paraId="78A8D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3471" w:type="dxa"/>
            <w:vAlign w:val="top"/>
          </w:tcPr>
          <w:p w14:paraId="20653146">
            <w:pPr>
              <w:pStyle w:val="21"/>
              <w:spacing w:before="38" w:line="220" w:lineRule="auto"/>
              <w:ind w:left="7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rPr>
              <w:t>100亿元以上</w:t>
            </w:r>
          </w:p>
        </w:tc>
        <w:tc>
          <w:tcPr>
            <w:tcW w:w="1658" w:type="dxa"/>
            <w:vAlign w:val="top"/>
          </w:tcPr>
          <w:p w14:paraId="58D26D9E">
            <w:pPr>
              <w:pStyle w:val="21"/>
              <w:spacing w:before="49" w:line="239" w:lineRule="auto"/>
              <w:ind w:left="17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0.004%</w:t>
            </w:r>
          </w:p>
        </w:tc>
        <w:tc>
          <w:tcPr>
            <w:tcW w:w="1668" w:type="dxa"/>
            <w:vAlign w:val="top"/>
          </w:tcPr>
          <w:p w14:paraId="03FDCB35">
            <w:pPr>
              <w:pStyle w:val="21"/>
              <w:spacing w:before="49" w:line="239" w:lineRule="auto"/>
              <w:ind w:left="276"/>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0.004%</w:t>
            </w:r>
          </w:p>
        </w:tc>
        <w:tc>
          <w:tcPr>
            <w:tcW w:w="1673" w:type="dxa"/>
            <w:vAlign w:val="top"/>
          </w:tcPr>
          <w:p w14:paraId="765A9026">
            <w:pPr>
              <w:pStyle w:val="21"/>
              <w:spacing w:before="47" w:line="239" w:lineRule="auto"/>
              <w:ind w:left="191"/>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pacing w:val="-4"/>
              </w:rPr>
              <w:t>0.004%</w:t>
            </w:r>
          </w:p>
        </w:tc>
      </w:tr>
    </w:tbl>
    <w:p w14:paraId="7D840238">
      <w:pPr>
        <w:spacing w:before="19" w:line="224" w:lineRule="auto"/>
        <w:ind w:left="409"/>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5"/>
          <w:sz w:val="23"/>
          <w:szCs w:val="23"/>
        </w:rPr>
        <w:t>注</w:t>
      </w:r>
      <w:r>
        <w:rPr>
          <w:rFonts w:hint="eastAsia" w:asciiTheme="minorEastAsia" w:hAnsiTheme="minorEastAsia" w:eastAsiaTheme="minorEastAsia" w:cstheme="minorEastAsia"/>
          <w:color w:val="auto"/>
          <w:spacing w:val="-59"/>
          <w:sz w:val="23"/>
          <w:szCs w:val="23"/>
        </w:rPr>
        <w:t xml:space="preserve"> </w:t>
      </w:r>
      <w:r>
        <w:rPr>
          <w:rFonts w:hint="eastAsia" w:asciiTheme="minorEastAsia" w:hAnsiTheme="minorEastAsia" w:eastAsiaTheme="minorEastAsia" w:cstheme="minorEastAsia"/>
          <w:color w:val="auto"/>
          <w:spacing w:val="-5"/>
          <w:sz w:val="23"/>
          <w:szCs w:val="23"/>
        </w:rPr>
        <w:t>：</w:t>
      </w:r>
    </w:p>
    <w:p w14:paraId="360CB04B">
      <w:pPr>
        <w:spacing w:before="124" w:line="213" w:lineRule="auto"/>
        <w:ind w:left="46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(1)按本表费率计算的收费为采购代理的收费</w:t>
      </w:r>
      <w:r>
        <w:rPr>
          <w:rFonts w:hint="eastAsia" w:asciiTheme="minorEastAsia" w:hAnsiTheme="minorEastAsia" w:eastAsiaTheme="minorEastAsia" w:cstheme="minorEastAsia"/>
          <w:color w:val="auto"/>
          <w:spacing w:val="3"/>
          <w:sz w:val="21"/>
          <w:szCs w:val="21"/>
        </w:rPr>
        <w:t>基准价格；</w:t>
      </w:r>
    </w:p>
    <w:p w14:paraId="213CF2E3">
      <w:pPr>
        <w:spacing w:before="197" w:line="222" w:lineRule="auto"/>
        <w:ind w:left="46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5"/>
          <w:sz w:val="21"/>
          <w:szCs w:val="21"/>
        </w:rPr>
        <w:t>(2)采购代理收费按差额定率累进法计算。</w:t>
      </w:r>
    </w:p>
    <w:p w14:paraId="045DAEF8">
      <w:pPr>
        <w:spacing w:before="138" w:line="366" w:lineRule="auto"/>
        <w:ind w:left="419" w:right="388"/>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例如：某服务采购代理业务中标金额或者暂定价为200万元，计算采购代理收费额如下：</w:t>
      </w:r>
      <w:r>
        <w:rPr>
          <w:rFonts w:hint="eastAsia" w:asciiTheme="minorEastAsia" w:hAnsiTheme="minorEastAsia" w:eastAsiaTheme="minorEastAsia" w:cstheme="minorEastAsia"/>
          <w:color w:val="auto"/>
          <w:spacing w:val="18"/>
          <w:sz w:val="21"/>
          <w:szCs w:val="21"/>
        </w:rPr>
        <w:t xml:space="preserve"> </w:t>
      </w:r>
      <w:r>
        <w:rPr>
          <w:rFonts w:hint="eastAsia" w:asciiTheme="minorEastAsia" w:hAnsiTheme="minorEastAsia" w:eastAsiaTheme="minorEastAsia" w:cstheme="minorEastAsia"/>
          <w:color w:val="auto"/>
          <w:spacing w:val="26"/>
          <w:sz w:val="21"/>
          <w:szCs w:val="21"/>
        </w:rPr>
        <w:t>100万元×1</w:t>
      </w:r>
      <w:r>
        <w:rPr>
          <w:rFonts w:hint="eastAsia" w:asciiTheme="minorEastAsia" w:hAnsiTheme="minorEastAsia" w:eastAsiaTheme="minorEastAsia" w:cstheme="minorEastAsia"/>
          <w:color w:val="auto"/>
          <w:spacing w:val="-41"/>
          <w:sz w:val="21"/>
          <w:szCs w:val="21"/>
        </w:rPr>
        <w:t xml:space="preserve"> </w:t>
      </w:r>
      <w:r>
        <w:rPr>
          <w:rFonts w:hint="eastAsia" w:asciiTheme="minorEastAsia" w:hAnsiTheme="minorEastAsia" w:eastAsiaTheme="minorEastAsia" w:cstheme="minorEastAsia"/>
          <w:color w:val="auto"/>
          <w:spacing w:val="26"/>
          <w:sz w:val="21"/>
          <w:szCs w:val="21"/>
        </w:rPr>
        <w:t>.</w:t>
      </w:r>
      <w:r>
        <w:rPr>
          <w:rFonts w:hint="eastAsia" w:asciiTheme="minorEastAsia" w:hAnsiTheme="minorEastAsia" w:eastAsiaTheme="minorEastAsia" w:cstheme="minorEastAsia"/>
          <w:color w:val="auto"/>
          <w:spacing w:val="-58"/>
          <w:sz w:val="21"/>
          <w:szCs w:val="21"/>
        </w:rPr>
        <w:t xml:space="preserve"> </w:t>
      </w:r>
      <w:r>
        <w:rPr>
          <w:rFonts w:hint="eastAsia" w:asciiTheme="minorEastAsia" w:hAnsiTheme="minorEastAsia" w:eastAsiaTheme="minorEastAsia" w:cstheme="minorEastAsia"/>
          <w:color w:val="auto"/>
          <w:spacing w:val="26"/>
          <w:sz w:val="21"/>
          <w:szCs w:val="21"/>
        </w:rPr>
        <w:t>5%=1</w:t>
      </w:r>
      <w:r>
        <w:rPr>
          <w:rFonts w:hint="eastAsia" w:asciiTheme="minorEastAsia" w:hAnsiTheme="minorEastAsia" w:eastAsiaTheme="minorEastAsia" w:cstheme="minorEastAsia"/>
          <w:color w:val="auto"/>
          <w:spacing w:val="-45"/>
          <w:sz w:val="21"/>
          <w:szCs w:val="21"/>
        </w:rPr>
        <w:t xml:space="preserve"> </w:t>
      </w:r>
      <w:r>
        <w:rPr>
          <w:rFonts w:hint="eastAsia" w:asciiTheme="minorEastAsia" w:hAnsiTheme="minorEastAsia" w:eastAsiaTheme="minorEastAsia" w:cstheme="minorEastAsia"/>
          <w:color w:val="auto"/>
          <w:spacing w:val="26"/>
          <w:sz w:val="21"/>
          <w:szCs w:val="21"/>
        </w:rPr>
        <w:t>.</w:t>
      </w:r>
      <w:r>
        <w:rPr>
          <w:rFonts w:hint="eastAsia" w:asciiTheme="minorEastAsia" w:hAnsiTheme="minorEastAsia" w:eastAsiaTheme="minorEastAsia" w:cstheme="minorEastAsia"/>
          <w:color w:val="auto"/>
          <w:spacing w:val="-58"/>
          <w:sz w:val="21"/>
          <w:szCs w:val="21"/>
        </w:rPr>
        <w:t xml:space="preserve"> </w:t>
      </w:r>
      <w:r>
        <w:rPr>
          <w:rFonts w:hint="eastAsia" w:asciiTheme="minorEastAsia" w:hAnsiTheme="minorEastAsia" w:eastAsiaTheme="minorEastAsia" w:cstheme="minorEastAsia"/>
          <w:color w:val="auto"/>
          <w:spacing w:val="26"/>
          <w:sz w:val="21"/>
          <w:szCs w:val="21"/>
        </w:rPr>
        <w:t>5万元</w:t>
      </w:r>
    </w:p>
    <w:p w14:paraId="0153E745">
      <w:pPr>
        <w:spacing w:before="1" w:line="223" w:lineRule="auto"/>
        <w:ind w:left="46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2"/>
          <w:sz w:val="21"/>
          <w:szCs w:val="21"/>
        </w:rPr>
        <w:t>(</w:t>
      </w:r>
      <w:r>
        <w:rPr>
          <w:rFonts w:hint="eastAsia" w:asciiTheme="minorEastAsia" w:hAnsiTheme="minorEastAsia" w:eastAsiaTheme="minorEastAsia" w:cstheme="minorEastAsia"/>
          <w:color w:val="auto"/>
          <w:spacing w:val="-40"/>
          <w:sz w:val="21"/>
          <w:szCs w:val="21"/>
        </w:rPr>
        <w:t xml:space="preserve"> </w:t>
      </w:r>
      <w:r>
        <w:rPr>
          <w:rFonts w:hint="eastAsia" w:asciiTheme="minorEastAsia" w:hAnsiTheme="minorEastAsia" w:eastAsiaTheme="minorEastAsia" w:cstheme="minorEastAsia"/>
          <w:color w:val="auto"/>
          <w:spacing w:val="-12"/>
          <w:sz w:val="21"/>
          <w:szCs w:val="21"/>
        </w:rPr>
        <w:t>2</w:t>
      </w:r>
      <w:r>
        <w:rPr>
          <w:rFonts w:hint="eastAsia" w:asciiTheme="minorEastAsia" w:hAnsiTheme="minorEastAsia" w:eastAsiaTheme="minorEastAsia" w:cstheme="minorEastAsia"/>
          <w:color w:val="auto"/>
          <w:spacing w:val="-47"/>
          <w:sz w:val="21"/>
          <w:szCs w:val="21"/>
        </w:rPr>
        <w:t xml:space="preserve"> </w:t>
      </w:r>
      <w:r>
        <w:rPr>
          <w:rFonts w:hint="eastAsia" w:asciiTheme="minorEastAsia" w:hAnsiTheme="minorEastAsia" w:eastAsiaTheme="minorEastAsia" w:cstheme="minorEastAsia"/>
          <w:color w:val="auto"/>
          <w:spacing w:val="-12"/>
          <w:sz w:val="21"/>
          <w:szCs w:val="21"/>
        </w:rPr>
        <w:t>0</w:t>
      </w:r>
      <w:r>
        <w:rPr>
          <w:rFonts w:hint="eastAsia" w:asciiTheme="minorEastAsia" w:hAnsiTheme="minorEastAsia" w:eastAsiaTheme="minorEastAsia" w:cstheme="minorEastAsia"/>
          <w:color w:val="auto"/>
          <w:spacing w:val="-47"/>
          <w:sz w:val="21"/>
          <w:szCs w:val="21"/>
        </w:rPr>
        <w:t xml:space="preserve"> </w:t>
      </w:r>
      <w:r>
        <w:rPr>
          <w:rFonts w:hint="eastAsia" w:asciiTheme="minorEastAsia" w:hAnsiTheme="minorEastAsia" w:eastAsiaTheme="minorEastAsia" w:cstheme="minorEastAsia"/>
          <w:color w:val="auto"/>
          <w:spacing w:val="-12"/>
          <w:sz w:val="21"/>
          <w:szCs w:val="21"/>
        </w:rPr>
        <w:t>0</w:t>
      </w:r>
      <w:r>
        <w:rPr>
          <w:rFonts w:hint="eastAsia" w:asciiTheme="minorEastAsia" w:hAnsiTheme="minorEastAsia" w:eastAsiaTheme="minorEastAsia" w:cstheme="minorEastAsia"/>
          <w:color w:val="auto"/>
          <w:spacing w:val="-49"/>
          <w:sz w:val="21"/>
          <w:szCs w:val="21"/>
        </w:rPr>
        <w:t xml:space="preserve"> </w:t>
      </w:r>
      <w:r>
        <w:rPr>
          <w:rFonts w:hint="eastAsia" w:asciiTheme="minorEastAsia" w:hAnsiTheme="minorEastAsia" w:eastAsiaTheme="minorEastAsia" w:cstheme="minorEastAsia"/>
          <w:color w:val="auto"/>
          <w:spacing w:val="-12"/>
          <w:sz w:val="21"/>
          <w:szCs w:val="21"/>
        </w:rPr>
        <w:t>-</w:t>
      </w:r>
      <w:r>
        <w:rPr>
          <w:rFonts w:hint="eastAsia" w:asciiTheme="minorEastAsia" w:hAnsiTheme="minorEastAsia" w:eastAsiaTheme="minorEastAsia" w:cstheme="minorEastAsia"/>
          <w:color w:val="auto"/>
          <w:spacing w:val="-34"/>
          <w:sz w:val="21"/>
          <w:szCs w:val="21"/>
        </w:rPr>
        <w:t xml:space="preserve"> </w:t>
      </w:r>
      <w:r>
        <w:rPr>
          <w:rFonts w:hint="eastAsia" w:asciiTheme="minorEastAsia" w:hAnsiTheme="minorEastAsia" w:eastAsiaTheme="minorEastAsia" w:cstheme="minorEastAsia"/>
          <w:color w:val="auto"/>
          <w:spacing w:val="-12"/>
          <w:sz w:val="21"/>
          <w:szCs w:val="21"/>
        </w:rPr>
        <w:t>1</w:t>
      </w:r>
      <w:r>
        <w:rPr>
          <w:rFonts w:hint="eastAsia" w:asciiTheme="minorEastAsia" w:hAnsiTheme="minorEastAsia" w:eastAsiaTheme="minorEastAsia" w:cstheme="minorEastAsia"/>
          <w:color w:val="auto"/>
          <w:spacing w:val="-47"/>
          <w:sz w:val="21"/>
          <w:szCs w:val="21"/>
        </w:rPr>
        <w:t xml:space="preserve"> </w:t>
      </w:r>
      <w:r>
        <w:rPr>
          <w:rFonts w:hint="eastAsia" w:asciiTheme="minorEastAsia" w:hAnsiTheme="minorEastAsia" w:eastAsiaTheme="minorEastAsia" w:cstheme="minorEastAsia"/>
          <w:color w:val="auto"/>
          <w:spacing w:val="-12"/>
          <w:sz w:val="21"/>
          <w:szCs w:val="21"/>
        </w:rPr>
        <w:t>0</w:t>
      </w:r>
      <w:r>
        <w:rPr>
          <w:rFonts w:hint="eastAsia" w:asciiTheme="minorEastAsia" w:hAnsiTheme="minorEastAsia" w:eastAsiaTheme="minorEastAsia" w:cstheme="minorEastAsia"/>
          <w:color w:val="auto"/>
          <w:spacing w:val="-47"/>
          <w:sz w:val="21"/>
          <w:szCs w:val="21"/>
        </w:rPr>
        <w:t xml:space="preserve"> </w:t>
      </w:r>
      <w:r>
        <w:rPr>
          <w:rFonts w:hint="eastAsia" w:asciiTheme="minorEastAsia" w:hAnsiTheme="minorEastAsia" w:eastAsiaTheme="minorEastAsia" w:cstheme="minorEastAsia"/>
          <w:color w:val="auto"/>
          <w:spacing w:val="-12"/>
          <w:sz w:val="21"/>
          <w:szCs w:val="21"/>
        </w:rPr>
        <w:t>0</w:t>
      </w:r>
      <w:r>
        <w:rPr>
          <w:rFonts w:hint="eastAsia" w:asciiTheme="minorEastAsia" w:hAnsiTheme="minorEastAsia" w:eastAsiaTheme="minorEastAsia" w:cstheme="minorEastAsia"/>
          <w:color w:val="auto"/>
          <w:spacing w:val="-49"/>
          <w:sz w:val="21"/>
          <w:szCs w:val="21"/>
        </w:rPr>
        <w:t xml:space="preserve"> </w:t>
      </w:r>
      <w:r>
        <w:rPr>
          <w:rFonts w:hint="eastAsia" w:asciiTheme="minorEastAsia" w:hAnsiTheme="minorEastAsia" w:eastAsiaTheme="minorEastAsia" w:cstheme="minorEastAsia"/>
          <w:color w:val="auto"/>
          <w:spacing w:val="-12"/>
          <w:sz w:val="21"/>
          <w:szCs w:val="21"/>
        </w:rPr>
        <w:t>)</w:t>
      </w:r>
      <w:r>
        <w:rPr>
          <w:rFonts w:hint="eastAsia" w:asciiTheme="minorEastAsia" w:hAnsiTheme="minorEastAsia" w:eastAsiaTheme="minorEastAsia" w:cstheme="minorEastAsia"/>
          <w:color w:val="auto"/>
          <w:spacing w:val="-40"/>
          <w:sz w:val="21"/>
          <w:szCs w:val="21"/>
        </w:rPr>
        <w:t xml:space="preserve"> </w:t>
      </w:r>
      <w:r>
        <w:rPr>
          <w:rFonts w:hint="eastAsia" w:asciiTheme="minorEastAsia" w:hAnsiTheme="minorEastAsia" w:eastAsiaTheme="minorEastAsia" w:cstheme="minorEastAsia"/>
          <w:color w:val="auto"/>
          <w:spacing w:val="-12"/>
          <w:sz w:val="21"/>
          <w:szCs w:val="21"/>
        </w:rPr>
        <w:t>万</w:t>
      </w:r>
      <w:r>
        <w:rPr>
          <w:rFonts w:hint="eastAsia" w:asciiTheme="minorEastAsia" w:hAnsiTheme="minorEastAsia" w:eastAsiaTheme="minorEastAsia" w:cstheme="minorEastAsia"/>
          <w:color w:val="auto"/>
          <w:spacing w:val="-40"/>
          <w:sz w:val="21"/>
          <w:szCs w:val="21"/>
        </w:rPr>
        <w:t xml:space="preserve"> </w:t>
      </w:r>
      <w:r>
        <w:rPr>
          <w:rFonts w:hint="eastAsia" w:asciiTheme="minorEastAsia" w:hAnsiTheme="minorEastAsia" w:eastAsiaTheme="minorEastAsia" w:cstheme="minorEastAsia"/>
          <w:color w:val="auto"/>
          <w:spacing w:val="-12"/>
          <w:sz w:val="21"/>
          <w:szCs w:val="21"/>
        </w:rPr>
        <w:t>元 ×</w:t>
      </w:r>
      <w:r>
        <w:rPr>
          <w:rFonts w:hint="eastAsia" w:asciiTheme="minorEastAsia" w:hAnsiTheme="minorEastAsia" w:eastAsiaTheme="minorEastAsia" w:cstheme="minorEastAsia"/>
          <w:color w:val="auto"/>
          <w:spacing w:val="-47"/>
          <w:sz w:val="21"/>
          <w:szCs w:val="21"/>
        </w:rPr>
        <w:t xml:space="preserve"> </w:t>
      </w:r>
      <w:r>
        <w:rPr>
          <w:rFonts w:hint="eastAsia" w:asciiTheme="minorEastAsia" w:hAnsiTheme="minorEastAsia" w:eastAsiaTheme="minorEastAsia" w:cstheme="minorEastAsia"/>
          <w:color w:val="auto"/>
          <w:spacing w:val="-12"/>
          <w:sz w:val="21"/>
          <w:szCs w:val="21"/>
        </w:rPr>
        <w:t>0</w:t>
      </w:r>
      <w:r>
        <w:rPr>
          <w:rFonts w:hint="eastAsia" w:asciiTheme="minorEastAsia" w:hAnsiTheme="minorEastAsia" w:eastAsiaTheme="minorEastAsia" w:cstheme="minorEastAsia"/>
          <w:color w:val="auto"/>
          <w:spacing w:val="-37"/>
          <w:sz w:val="21"/>
          <w:szCs w:val="21"/>
        </w:rPr>
        <w:t xml:space="preserve"> </w:t>
      </w:r>
      <w:r>
        <w:rPr>
          <w:rFonts w:hint="eastAsia" w:asciiTheme="minorEastAsia" w:hAnsiTheme="minorEastAsia" w:eastAsiaTheme="minorEastAsia" w:cstheme="minorEastAsia"/>
          <w:color w:val="auto"/>
          <w:spacing w:val="-12"/>
          <w:sz w:val="21"/>
          <w:szCs w:val="21"/>
        </w:rPr>
        <w:t>.</w:t>
      </w:r>
      <w:r>
        <w:rPr>
          <w:rFonts w:hint="eastAsia" w:asciiTheme="minorEastAsia" w:hAnsiTheme="minorEastAsia" w:eastAsiaTheme="minorEastAsia" w:cstheme="minorEastAsia"/>
          <w:color w:val="auto"/>
          <w:spacing w:val="-48"/>
          <w:sz w:val="21"/>
          <w:szCs w:val="21"/>
        </w:rPr>
        <w:t xml:space="preserve"> </w:t>
      </w:r>
      <w:r>
        <w:rPr>
          <w:rFonts w:hint="eastAsia" w:asciiTheme="minorEastAsia" w:hAnsiTheme="minorEastAsia" w:eastAsiaTheme="minorEastAsia" w:cstheme="minorEastAsia"/>
          <w:color w:val="auto"/>
          <w:spacing w:val="-12"/>
          <w:sz w:val="21"/>
          <w:szCs w:val="21"/>
        </w:rPr>
        <w:t>8</w:t>
      </w:r>
      <w:r>
        <w:rPr>
          <w:rFonts w:hint="eastAsia" w:asciiTheme="minorEastAsia" w:hAnsiTheme="minorEastAsia" w:eastAsiaTheme="minorEastAsia" w:cstheme="minorEastAsia"/>
          <w:color w:val="auto"/>
          <w:spacing w:val="-48"/>
          <w:sz w:val="21"/>
          <w:szCs w:val="21"/>
        </w:rPr>
        <w:t xml:space="preserve"> </w:t>
      </w:r>
      <w:r>
        <w:rPr>
          <w:rFonts w:hint="eastAsia" w:asciiTheme="minorEastAsia" w:hAnsiTheme="minorEastAsia" w:eastAsiaTheme="minorEastAsia" w:cstheme="minorEastAsia"/>
          <w:color w:val="auto"/>
          <w:spacing w:val="-12"/>
          <w:sz w:val="21"/>
          <w:szCs w:val="21"/>
        </w:rPr>
        <w:t>%</w:t>
      </w:r>
      <w:r>
        <w:rPr>
          <w:rFonts w:hint="eastAsia" w:asciiTheme="minorEastAsia" w:hAnsiTheme="minorEastAsia" w:eastAsiaTheme="minorEastAsia" w:cstheme="minorEastAsia"/>
          <w:color w:val="auto"/>
          <w:spacing w:val="-50"/>
          <w:sz w:val="21"/>
          <w:szCs w:val="21"/>
        </w:rPr>
        <w:t xml:space="preserve"> </w:t>
      </w:r>
      <w:r>
        <w:rPr>
          <w:rFonts w:hint="eastAsia" w:asciiTheme="minorEastAsia" w:hAnsiTheme="minorEastAsia" w:eastAsiaTheme="minorEastAsia" w:cstheme="minorEastAsia"/>
          <w:color w:val="auto"/>
          <w:spacing w:val="-12"/>
          <w:sz w:val="21"/>
          <w:szCs w:val="21"/>
        </w:rPr>
        <w:t>=</w:t>
      </w:r>
      <w:r>
        <w:rPr>
          <w:rFonts w:hint="eastAsia" w:asciiTheme="minorEastAsia" w:hAnsiTheme="minorEastAsia" w:eastAsiaTheme="minorEastAsia" w:cstheme="minorEastAsia"/>
          <w:color w:val="auto"/>
          <w:spacing w:val="-47"/>
          <w:sz w:val="21"/>
          <w:szCs w:val="21"/>
        </w:rPr>
        <w:t xml:space="preserve"> </w:t>
      </w:r>
      <w:r>
        <w:rPr>
          <w:rFonts w:hint="eastAsia" w:asciiTheme="minorEastAsia" w:hAnsiTheme="minorEastAsia" w:eastAsiaTheme="minorEastAsia" w:cstheme="minorEastAsia"/>
          <w:color w:val="auto"/>
          <w:spacing w:val="-12"/>
          <w:sz w:val="21"/>
          <w:szCs w:val="21"/>
        </w:rPr>
        <w:t>0</w:t>
      </w:r>
      <w:r>
        <w:rPr>
          <w:rFonts w:hint="eastAsia" w:asciiTheme="minorEastAsia" w:hAnsiTheme="minorEastAsia" w:eastAsiaTheme="minorEastAsia" w:cstheme="minorEastAsia"/>
          <w:color w:val="auto"/>
          <w:spacing w:val="-37"/>
          <w:sz w:val="21"/>
          <w:szCs w:val="21"/>
        </w:rPr>
        <w:t xml:space="preserve"> </w:t>
      </w:r>
      <w:r>
        <w:rPr>
          <w:rFonts w:hint="eastAsia" w:asciiTheme="minorEastAsia" w:hAnsiTheme="minorEastAsia" w:eastAsiaTheme="minorEastAsia" w:cstheme="minorEastAsia"/>
          <w:color w:val="auto"/>
          <w:spacing w:val="-12"/>
          <w:sz w:val="21"/>
          <w:szCs w:val="21"/>
        </w:rPr>
        <w:t>.</w:t>
      </w:r>
      <w:r>
        <w:rPr>
          <w:rFonts w:hint="eastAsia" w:asciiTheme="minorEastAsia" w:hAnsiTheme="minorEastAsia" w:eastAsiaTheme="minorEastAsia" w:cstheme="minorEastAsia"/>
          <w:color w:val="auto"/>
          <w:spacing w:val="-47"/>
          <w:sz w:val="21"/>
          <w:szCs w:val="21"/>
        </w:rPr>
        <w:t xml:space="preserve"> </w:t>
      </w:r>
      <w:r>
        <w:rPr>
          <w:rFonts w:hint="eastAsia" w:asciiTheme="minorEastAsia" w:hAnsiTheme="minorEastAsia" w:eastAsiaTheme="minorEastAsia" w:cstheme="minorEastAsia"/>
          <w:color w:val="auto"/>
          <w:spacing w:val="-12"/>
          <w:sz w:val="21"/>
          <w:szCs w:val="21"/>
        </w:rPr>
        <w:t>8</w:t>
      </w:r>
      <w:r>
        <w:rPr>
          <w:rFonts w:hint="eastAsia" w:asciiTheme="minorEastAsia" w:hAnsiTheme="minorEastAsia" w:eastAsiaTheme="minorEastAsia" w:cstheme="minorEastAsia"/>
          <w:color w:val="auto"/>
          <w:spacing w:val="-41"/>
          <w:sz w:val="21"/>
          <w:szCs w:val="21"/>
        </w:rPr>
        <w:t xml:space="preserve"> </w:t>
      </w:r>
      <w:r>
        <w:rPr>
          <w:rFonts w:hint="eastAsia" w:asciiTheme="minorEastAsia" w:hAnsiTheme="minorEastAsia" w:eastAsiaTheme="minorEastAsia" w:cstheme="minorEastAsia"/>
          <w:color w:val="auto"/>
          <w:spacing w:val="-12"/>
          <w:sz w:val="21"/>
          <w:szCs w:val="21"/>
        </w:rPr>
        <w:t>万</w:t>
      </w:r>
      <w:r>
        <w:rPr>
          <w:rFonts w:hint="eastAsia" w:asciiTheme="minorEastAsia" w:hAnsiTheme="minorEastAsia" w:eastAsiaTheme="minorEastAsia" w:cstheme="minorEastAsia"/>
          <w:color w:val="auto"/>
          <w:spacing w:val="-40"/>
          <w:sz w:val="21"/>
          <w:szCs w:val="21"/>
        </w:rPr>
        <w:t xml:space="preserve"> </w:t>
      </w:r>
      <w:r>
        <w:rPr>
          <w:rFonts w:hint="eastAsia" w:asciiTheme="minorEastAsia" w:hAnsiTheme="minorEastAsia" w:eastAsiaTheme="minorEastAsia" w:cstheme="minorEastAsia"/>
          <w:color w:val="auto"/>
          <w:spacing w:val="-12"/>
          <w:sz w:val="21"/>
          <w:szCs w:val="21"/>
        </w:rPr>
        <w:t>元</w:t>
      </w:r>
    </w:p>
    <w:p w14:paraId="24CE801D">
      <w:pPr>
        <w:spacing w:line="223" w:lineRule="auto"/>
        <w:rPr>
          <w:rFonts w:hint="eastAsia" w:asciiTheme="minorEastAsia" w:hAnsiTheme="minorEastAsia" w:eastAsiaTheme="minorEastAsia" w:cstheme="minorEastAsia"/>
          <w:color w:val="auto"/>
          <w:sz w:val="21"/>
          <w:szCs w:val="21"/>
        </w:rPr>
        <w:sectPr>
          <w:footerReference r:id="rId24" w:type="default"/>
          <w:pgSz w:w="11900" w:h="16830"/>
          <w:pgMar w:top="1125" w:right="1456" w:bottom="991" w:left="1450" w:header="0" w:footer="847" w:gutter="0"/>
          <w:cols w:space="720" w:num="1"/>
        </w:sectPr>
      </w:pPr>
    </w:p>
    <w:p w14:paraId="0A19C65F">
      <w:pPr>
        <w:spacing w:before="42" w:line="223"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1"/>
          <w:sz w:val="21"/>
          <w:szCs w:val="21"/>
        </w:rPr>
        <w:t>合计收费=1</w:t>
      </w:r>
      <w:r>
        <w:rPr>
          <w:rFonts w:hint="eastAsia" w:asciiTheme="minorEastAsia" w:hAnsiTheme="minorEastAsia" w:eastAsiaTheme="minorEastAsia" w:cstheme="minorEastAsia"/>
          <w:color w:val="auto"/>
          <w:spacing w:val="-50"/>
          <w:sz w:val="21"/>
          <w:szCs w:val="21"/>
        </w:rPr>
        <w:t xml:space="preserve"> </w:t>
      </w:r>
      <w:r>
        <w:rPr>
          <w:rFonts w:hint="eastAsia" w:asciiTheme="minorEastAsia" w:hAnsiTheme="minorEastAsia" w:eastAsiaTheme="minorEastAsia" w:cstheme="minorEastAsia"/>
          <w:color w:val="auto"/>
          <w:spacing w:val="21"/>
          <w:sz w:val="21"/>
          <w:szCs w:val="21"/>
        </w:rPr>
        <w:t>.5+0</w:t>
      </w:r>
      <w:r>
        <w:rPr>
          <w:rFonts w:hint="eastAsia" w:asciiTheme="minorEastAsia" w:hAnsiTheme="minorEastAsia" w:eastAsiaTheme="minorEastAsia" w:cstheme="minorEastAsia"/>
          <w:color w:val="auto"/>
          <w:spacing w:val="-58"/>
          <w:sz w:val="21"/>
          <w:szCs w:val="21"/>
        </w:rPr>
        <w:t xml:space="preserve"> </w:t>
      </w:r>
      <w:r>
        <w:rPr>
          <w:rFonts w:hint="eastAsia" w:asciiTheme="minorEastAsia" w:hAnsiTheme="minorEastAsia" w:eastAsiaTheme="minorEastAsia" w:cstheme="minorEastAsia"/>
          <w:color w:val="auto"/>
          <w:spacing w:val="21"/>
          <w:sz w:val="21"/>
          <w:szCs w:val="21"/>
        </w:rPr>
        <w:t>.8=2</w:t>
      </w:r>
      <w:r>
        <w:rPr>
          <w:rFonts w:hint="eastAsia" w:asciiTheme="minorEastAsia" w:hAnsiTheme="minorEastAsia" w:eastAsiaTheme="minorEastAsia" w:cstheme="minorEastAsia"/>
          <w:color w:val="auto"/>
          <w:spacing w:val="-58"/>
          <w:sz w:val="21"/>
          <w:szCs w:val="21"/>
        </w:rPr>
        <w:t xml:space="preserve"> </w:t>
      </w:r>
      <w:r>
        <w:rPr>
          <w:rFonts w:hint="eastAsia" w:asciiTheme="minorEastAsia" w:hAnsiTheme="minorEastAsia" w:eastAsiaTheme="minorEastAsia" w:cstheme="minorEastAsia"/>
          <w:color w:val="auto"/>
          <w:spacing w:val="21"/>
          <w:sz w:val="21"/>
          <w:szCs w:val="21"/>
        </w:rPr>
        <w:t>.3(万元)</w:t>
      </w:r>
    </w:p>
    <w:p w14:paraId="793B6CEF">
      <w:pPr>
        <w:spacing w:before="263" w:line="222" w:lineRule="auto"/>
        <w:ind w:left="503"/>
        <w:rPr>
          <w:rFonts w:hint="eastAsia" w:asciiTheme="minorEastAsia" w:hAnsiTheme="minorEastAsia" w:eastAsiaTheme="minorEastAsia" w:cstheme="minorEastAsia"/>
          <w:color w:val="auto"/>
          <w:sz w:val="25"/>
          <w:szCs w:val="25"/>
        </w:rPr>
      </w:pPr>
      <w:r>
        <w:rPr>
          <w:rFonts w:hint="eastAsia" w:asciiTheme="minorEastAsia" w:hAnsiTheme="minorEastAsia" w:eastAsiaTheme="minorEastAsia" w:cstheme="minorEastAsia"/>
          <w:b/>
          <w:bCs/>
          <w:color w:val="auto"/>
          <w:spacing w:val="-8"/>
          <w:sz w:val="25"/>
          <w:szCs w:val="25"/>
        </w:rPr>
        <w:t>41.</w:t>
      </w:r>
      <w:r>
        <w:rPr>
          <w:rFonts w:hint="eastAsia" w:asciiTheme="minorEastAsia" w:hAnsiTheme="minorEastAsia" w:eastAsiaTheme="minorEastAsia" w:cstheme="minorEastAsia"/>
          <w:color w:val="auto"/>
          <w:spacing w:val="-8"/>
          <w:sz w:val="25"/>
          <w:szCs w:val="25"/>
        </w:rPr>
        <w:t xml:space="preserve"> </w:t>
      </w:r>
      <w:r>
        <w:rPr>
          <w:rFonts w:hint="eastAsia" w:asciiTheme="minorEastAsia" w:hAnsiTheme="minorEastAsia" w:eastAsiaTheme="minorEastAsia" w:cstheme="minorEastAsia"/>
          <w:b/>
          <w:bCs/>
          <w:color w:val="auto"/>
          <w:spacing w:val="-8"/>
          <w:sz w:val="25"/>
          <w:szCs w:val="25"/>
        </w:rPr>
        <w:t>需要补充的其他内容</w:t>
      </w:r>
    </w:p>
    <w:p w14:paraId="674884FF">
      <w:pPr>
        <w:spacing w:before="169" w:line="221"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41.1本招标文件解释规则详见“投标人须知前附表”。</w:t>
      </w:r>
    </w:p>
    <w:p w14:paraId="02E437FA">
      <w:pPr>
        <w:spacing w:before="148" w:line="221"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41.2其他事项详见“投标人须知前附表”。</w:t>
      </w:r>
    </w:p>
    <w:p w14:paraId="4D6FCF18">
      <w:pPr>
        <w:spacing w:before="128" w:line="339" w:lineRule="auto"/>
        <w:ind w:right="59" w:firstLine="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41.3本文件所称中小企业，是指在中华人民共和国境内依法设立，</w:t>
      </w:r>
      <w:r>
        <w:rPr>
          <w:rFonts w:hint="eastAsia" w:asciiTheme="minorEastAsia" w:hAnsiTheme="minorEastAsia" w:eastAsiaTheme="minorEastAsia" w:cstheme="minorEastAsia"/>
          <w:color w:val="auto"/>
          <w:spacing w:val="3"/>
          <w:sz w:val="21"/>
          <w:szCs w:val="21"/>
        </w:rPr>
        <w:t>依据国务院批准的中小企</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1"/>
          <w:sz w:val="21"/>
          <w:szCs w:val="21"/>
        </w:rPr>
        <w:t>业划分标准确定的中型企业、小型企业和微型企业，但与</w:t>
      </w:r>
      <w:r>
        <w:rPr>
          <w:rFonts w:hint="eastAsia" w:asciiTheme="minorEastAsia" w:hAnsiTheme="minorEastAsia" w:eastAsiaTheme="minorEastAsia" w:cstheme="minorEastAsia"/>
          <w:color w:val="auto"/>
          <w:spacing w:val="-2"/>
          <w:sz w:val="21"/>
          <w:szCs w:val="21"/>
        </w:rPr>
        <w:t>大企业的负责人为同一人，或者与大企业</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1"/>
          <w:sz w:val="21"/>
          <w:szCs w:val="21"/>
        </w:rPr>
        <w:t>存在直接控股、管理关系的除外。符合中小企业划分标准的个体工商户，在政府采购活动中</w:t>
      </w:r>
      <w:r>
        <w:rPr>
          <w:rFonts w:hint="eastAsia" w:asciiTheme="minorEastAsia" w:hAnsiTheme="minorEastAsia" w:eastAsiaTheme="minorEastAsia" w:cstheme="minorEastAsia"/>
          <w:color w:val="auto"/>
          <w:spacing w:val="-2"/>
          <w:sz w:val="21"/>
          <w:szCs w:val="21"/>
        </w:rPr>
        <w:t>视同中</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1"/>
          <w:sz w:val="21"/>
          <w:szCs w:val="21"/>
        </w:rPr>
        <w:t>小企业。在政府采购活动中，投标人提供的服务的人员为中小企业依照《中</w:t>
      </w:r>
      <w:r>
        <w:rPr>
          <w:rFonts w:hint="eastAsia" w:asciiTheme="minorEastAsia" w:hAnsiTheme="minorEastAsia" w:eastAsiaTheme="minorEastAsia" w:cstheme="minorEastAsia"/>
          <w:color w:val="auto"/>
          <w:spacing w:val="-2"/>
          <w:sz w:val="21"/>
          <w:szCs w:val="21"/>
        </w:rPr>
        <w:t>华人民共和国劳动合同</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1"/>
          <w:sz w:val="21"/>
          <w:szCs w:val="21"/>
        </w:rPr>
        <w:t>法》订立劳动合同的从业人员，不对其中涉及的货物的</w:t>
      </w:r>
      <w:r>
        <w:rPr>
          <w:rFonts w:hint="eastAsia" w:asciiTheme="minorEastAsia" w:hAnsiTheme="minorEastAsia" w:eastAsiaTheme="minorEastAsia" w:cstheme="minorEastAsia"/>
          <w:color w:val="auto"/>
          <w:spacing w:val="-2"/>
          <w:sz w:val="21"/>
          <w:szCs w:val="21"/>
        </w:rPr>
        <w:t>制造商和工程承建商作出要求，享受本文件</w:t>
      </w:r>
      <w:r>
        <w:rPr>
          <w:rFonts w:hint="eastAsia" w:asciiTheme="minorEastAsia" w:hAnsiTheme="minorEastAsia" w:eastAsiaTheme="minorEastAsia" w:cstheme="minorEastAsia"/>
          <w:color w:val="auto"/>
          <w:sz w:val="21"/>
          <w:szCs w:val="21"/>
        </w:rPr>
        <w:t xml:space="preserve"> 规定的中小企业扶持政策。</w:t>
      </w:r>
    </w:p>
    <w:p w14:paraId="1CF95E2D">
      <w:pPr>
        <w:spacing w:before="168" w:line="340" w:lineRule="auto"/>
        <w:ind w:firstLine="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以联合体形式参加政府采购活动，联合体各方均为中小</w:t>
      </w:r>
      <w:r>
        <w:rPr>
          <w:rFonts w:hint="eastAsia" w:asciiTheme="minorEastAsia" w:hAnsiTheme="minorEastAsia" w:eastAsiaTheme="minorEastAsia" w:cstheme="minorEastAsia"/>
          <w:color w:val="auto"/>
          <w:sz w:val="21"/>
          <w:szCs w:val="21"/>
        </w:rPr>
        <w:t>企业的，联合体视同中小企业。其中， 联合体各方均为小微企业的，联合体视同小微企业。</w:t>
      </w:r>
    </w:p>
    <w:p w14:paraId="132EBB14">
      <w:pPr>
        <w:spacing w:before="16" w:line="373" w:lineRule="auto"/>
        <w:ind w:right="80" w:firstLine="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依据本文件规定享受扶持政策获得政府采购合同的，小微</w:t>
      </w:r>
      <w:r>
        <w:rPr>
          <w:rFonts w:hint="eastAsia" w:asciiTheme="minorEastAsia" w:hAnsiTheme="minorEastAsia" w:eastAsiaTheme="minorEastAsia" w:cstheme="minorEastAsia"/>
          <w:color w:val="auto"/>
          <w:spacing w:val="-2"/>
          <w:sz w:val="21"/>
          <w:szCs w:val="21"/>
        </w:rPr>
        <w:t>企业不得将合同分包给大中</w:t>
      </w:r>
      <w:r>
        <w:rPr>
          <w:rFonts w:hint="eastAsia" w:asciiTheme="minorEastAsia" w:hAnsiTheme="minorEastAsia" w:eastAsiaTheme="minorEastAsia" w:cstheme="minorEastAsia"/>
          <w:color w:val="auto"/>
          <w:spacing w:val="-2"/>
          <w:sz w:val="21"/>
          <w:szCs w:val="21"/>
          <w:u w:val="single" w:color="auto"/>
        </w:rPr>
        <w:t>型企业</w:t>
      </w:r>
      <w:r>
        <w:rPr>
          <w:rFonts w:hint="eastAsia" w:asciiTheme="minorEastAsia" w:hAnsiTheme="minorEastAsia" w:eastAsiaTheme="minorEastAsia" w:cstheme="minorEastAsia"/>
          <w:color w:val="auto"/>
          <w:spacing w:val="-2"/>
          <w:sz w:val="21"/>
          <w:szCs w:val="21"/>
        </w:rPr>
        <w:t>，</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1"/>
          <w:sz w:val="21"/>
          <w:szCs w:val="21"/>
        </w:rPr>
        <w:t>中型企业不得将合同分包给大型企业。</w:t>
      </w:r>
    </w:p>
    <w:p w14:paraId="23DEA1AE">
      <w:pPr>
        <w:spacing w:before="1" w:line="219" w:lineRule="auto"/>
        <w:ind w:left="500"/>
        <w:rPr>
          <w:rFonts w:hint="eastAsia" w:asciiTheme="minorEastAsia" w:hAnsiTheme="minorEastAsia" w:eastAsiaTheme="minorEastAsia" w:cstheme="minorEastAsia"/>
          <w:color w:val="auto"/>
          <w:sz w:val="25"/>
          <w:szCs w:val="25"/>
        </w:rPr>
      </w:pPr>
      <w:r>
        <w:rPr>
          <w:rFonts w:hint="eastAsia" w:asciiTheme="minorEastAsia" w:hAnsiTheme="minorEastAsia" w:eastAsiaTheme="minorEastAsia" w:cstheme="minorEastAsia"/>
          <w:color w:val="auto"/>
          <w:spacing w:val="-6"/>
          <w:sz w:val="25"/>
          <w:szCs w:val="25"/>
        </w:rPr>
        <w:t>42.</w:t>
      </w:r>
      <w:r>
        <w:rPr>
          <w:rFonts w:hint="eastAsia" w:asciiTheme="minorEastAsia" w:hAnsiTheme="minorEastAsia" w:eastAsiaTheme="minorEastAsia" w:cstheme="minorEastAsia"/>
          <w:color w:val="auto"/>
          <w:spacing w:val="-56"/>
          <w:sz w:val="25"/>
          <w:szCs w:val="25"/>
        </w:rPr>
        <w:t xml:space="preserve"> </w:t>
      </w:r>
      <w:r>
        <w:rPr>
          <w:rFonts w:hint="eastAsia" w:asciiTheme="minorEastAsia" w:hAnsiTheme="minorEastAsia" w:eastAsiaTheme="minorEastAsia" w:cstheme="minorEastAsia"/>
          <w:color w:val="auto"/>
          <w:spacing w:val="-6"/>
          <w:sz w:val="25"/>
          <w:szCs w:val="25"/>
        </w:rPr>
        <w:t>广西线上“政采贷”政策告知函</w:t>
      </w:r>
    </w:p>
    <w:p w14:paraId="5F88953A">
      <w:pPr>
        <w:pStyle w:val="10"/>
        <w:spacing w:line="272" w:lineRule="auto"/>
        <w:rPr>
          <w:rFonts w:hint="eastAsia" w:asciiTheme="minorEastAsia" w:hAnsiTheme="minorEastAsia" w:eastAsiaTheme="minorEastAsia" w:cstheme="minorEastAsia"/>
          <w:color w:val="auto"/>
        </w:rPr>
      </w:pPr>
    </w:p>
    <w:p w14:paraId="2B97457B">
      <w:pPr>
        <w:pStyle w:val="10"/>
        <w:spacing w:line="272" w:lineRule="auto"/>
        <w:rPr>
          <w:rFonts w:hint="eastAsia" w:asciiTheme="minorEastAsia" w:hAnsiTheme="minorEastAsia" w:eastAsiaTheme="minorEastAsia" w:cstheme="minorEastAsia"/>
          <w:color w:val="auto"/>
        </w:rPr>
      </w:pPr>
    </w:p>
    <w:p w14:paraId="3E2A4664">
      <w:pPr>
        <w:pStyle w:val="10"/>
        <w:spacing w:line="273" w:lineRule="auto"/>
        <w:rPr>
          <w:rFonts w:hint="eastAsia" w:asciiTheme="minorEastAsia" w:hAnsiTheme="minorEastAsia" w:eastAsiaTheme="minorEastAsia" w:cstheme="minorEastAsia"/>
          <w:color w:val="auto"/>
        </w:rPr>
      </w:pPr>
    </w:p>
    <w:p w14:paraId="21874B6E">
      <w:pPr>
        <w:spacing w:before="105" w:line="218" w:lineRule="auto"/>
        <w:ind w:left="2259"/>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pacing w:val="-1"/>
          <w:sz w:val="32"/>
          <w:szCs w:val="32"/>
        </w:rPr>
        <w:t>广西线上“政采贷”政策告知函</w:t>
      </w:r>
    </w:p>
    <w:p w14:paraId="58823FEE">
      <w:pPr>
        <w:pStyle w:val="10"/>
        <w:spacing w:line="261" w:lineRule="auto"/>
        <w:rPr>
          <w:rFonts w:hint="eastAsia" w:asciiTheme="minorEastAsia" w:hAnsiTheme="minorEastAsia" w:eastAsiaTheme="minorEastAsia" w:cstheme="minorEastAsia"/>
          <w:color w:val="auto"/>
        </w:rPr>
      </w:pPr>
    </w:p>
    <w:p w14:paraId="38493EAA">
      <w:pPr>
        <w:pStyle w:val="10"/>
        <w:spacing w:line="262" w:lineRule="auto"/>
        <w:rPr>
          <w:rFonts w:hint="eastAsia" w:asciiTheme="minorEastAsia" w:hAnsiTheme="minorEastAsia" w:eastAsiaTheme="minorEastAsia" w:cstheme="minorEastAsia"/>
          <w:color w:val="auto"/>
        </w:rPr>
      </w:pPr>
    </w:p>
    <w:p w14:paraId="04A7292D">
      <w:pPr>
        <w:pStyle w:val="10"/>
        <w:spacing w:line="262" w:lineRule="auto"/>
        <w:rPr>
          <w:rFonts w:hint="eastAsia" w:asciiTheme="minorEastAsia" w:hAnsiTheme="minorEastAsia" w:eastAsiaTheme="minorEastAsia" w:cstheme="minorEastAsia"/>
          <w:color w:val="auto"/>
        </w:rPr>
      </w:pPr>
    </w:p>
    <w:p w14:paraId="032F4281">
      <w:pPr>
        <w:spacing w:before="69" w:line="222"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各供应商：</w:t>
      </w:r>
    </w:p>
    <w:p w14:paraId="787C89CA">
      <w:pPr>
        <w:spacing w:before="307" w:line="222"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欢迎贵公司参与广西政府采购活动!</w:t>
      </w:r>
    </w:p>
    <w:p w14:paraId="73EADFDC">
      <w:pPr>
        <w:pStyle w:val="10"/>
        <w:spacing w:line="246" w:lineRule="auto"/>
        <w:rPr>
          <w:rFonts w:hint="eastAsia" w:asciiTheme="minorEastAsia" w:hAnsiTheme="minorEastAsia" w:eastAsiaTheme="minorEastAsia" w:cstheme="minorEastAsia"/>
          <w:color w:val="auto"/>
        </w:rPr>
      </w:pPr>
    </w:p>
    <w:p w14:paraId="36AD5EC7">
      <w:pPr>
        <w:spacing w:before="69" w:line="512" w:lineRule="auto"/>
        <w:ind w:right="72" w:firstLine="409"/>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线上“政采贷”是人民银行南宁中心支行和自治区财政厅共同支持企</w:t>
      </w:r>
      <w:r>
        <w:rPr>
          <w:rFonts w:hint="eastAsia" w:asciiTheme="minorEastAsia" w:hAnsiTheme="minorEastAsia" w:eastAsiaTheme="minorEastAsia" w:cstheme="minorEastAsia"/>
          <w:color w:val="auto"/>
          <w:spacing w:val="-2"/>
          <w:sz w:val="21"/>
          <w:szCs w:val="21"/>
        </w:rPr>
        <w:t>业发展，针对参与政府采</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1"/>
          <w:sz w:val="21"/>
          <w:szCs w:val="21"/>
        </w:rPr>
        <w:t>购活动的企业融资难、融资贵、融资慢、融资繁问题推出的一</w:t>
      </w:r>
      <w:r>
        <w:rPr>
          <w:rFonts w:hint="eastAsia" w:asciiTheme="minorEastAsia" w:hAnsiTheme="minorEastAsia" w:eastAsiaTheme="minorEastAsia" w:cstheme="minorEastAsia"/>
          <w:color w:val="auto"/>
          <w:spacing w:val="-2"/>
          <w:sz w:val="21"/>
          <w:szCs w:val="21"/>
        </w:rPr>
        <w:t>项融资政策。贵公司若成为本次政府</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4"/>
          <w:sz w:val="21"/>
          <w:szCs w:val="21"/>
        </w:rPr>
        <w:t>采购项目的中标(成交)供应商，可持政府</w:t>
      </w:r>
      <w:r>
        <w:rPr>
          <w:rFonts w:hint="eastAsia" w:asciiTheme="minorEastAsia" w:hAnsiTheme="minorEastAsia" w:eastAsiaTheme="minorEastAsia" w:cstheme="minorEastAsia"/>
          <w:color w:val="auto"/>
          <w:spacing w:val="3"/>
          <w:sz w:val="21"/>
          <w:szCs w:val="21"/>
        </w:rPr>
        <w:t>采购合同在线向银行业金融机构申请贷款，融资机构将</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4"/>
          <w:sz w:val="21"/>
          <w:szCs w:val="21"/>
        </w:rPr>
        <w:t>根据《中国人民银行南宁中心支行广西壮族自治</w:t>
      </w:r>
      <w:r>
        <w:rPr>
          <w:rFonts w:hint="eastAsia" w:asciiTheme="minorEastAsia" w:hAnsiTheme="minorEastAsia" w:eastAsiaTheme="minorEastAsia" w:cstheme="minorEastAsia"/>
          <w:color w:val="auto"/>
          <w:spacing w:val="3"/>
          <w:sz w:val="21"/>
          <w:szCs w:val="21"/>
        </w:rPr>
        <w:t>区财政厅关于推广线上“政采贷”融资模式的通</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10"/>
          <w:sz w:val="21"/>
          <w:szCs w:val="21"/>
        </w:rPr>
        <w:t>知》(南宁银发〔2021〕258号),按照双方自愿</w:t>
      </w:r>
      <w:r>
        <w:rPr>
          <w:rFonts w:hint="eastAsia" w:asciiTheme="minorEastAsia" w:hAnsiTheme="minorEastAsia" w:eastAsiaTheme="minorEastAsia" w:cstheme="minorEastAsia"/>
          <w:color w:val="auto"/>
          <w:spacing w:val="9"/>
          <w:sz w:val="21"/>
          <w:szCs w:val="21"/>
        </w:rPr>
        <w:t>的原则提供便捷、优惠的贷款服务。</w:t>
      </w:r>
    </w:p>
    <w:p w14:paraId="11706383">
      <w:pPr>
        <w:spacing w:before="1" w:line="212"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2"/>
          <w:sz w:val="21"/>
          <w:szCs w:val="21"/>
        </w:rPr>
        <w:t>相关金融产品和银行业金融机构联系方式，可在中征应收账款融资</w:t>
      </w:r>
      <w:r>
        <w:rPr>
          <w:rFonts w:hint="eastAsia" w:asciiTheme="minorEastAsia" w:hAnsiTheme="minorEastAsia" w:eastAsiaTheme="minorEastAsia" w:cstheme="minorEastAsia"/>
          <w:color w:val="auto"/>
          <w:spacing w:val="11"/>
          <w:sz w:val="21"/>
          <w:szCs w:val="21"/>
        </w:rPr>
        <w:t>服务平台查询(网址：</w:t>
      </w:r>
    </w:p>
    <w:p w14:paraId="31C2859D">
      <w:pPr>
        <w:pStyle w:val="10"/>
        <w:spacing w:line="292" w:lineRule="auto"/>
        <w:rPr>
          <w:rFonts w:hint="eastAsia" w:asciiTheme="minorEastAsia" w:hAnsiTheme="minorEastAsia" w:eastAsiaTheme="minorEastAsia" w:cstheme="minorEastAsia"/>
          <w:color w:val="auto"/>
        </w:rPr>
      </w:pPr>
    </w:p>
    <w:p w14:paraId="301F687A">
      <w:pPr>
        <w:spacing w:before="69" w:line="217"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"https://www.crcrfsp.com/"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z w:val="21"/>
          <w:szCs w:val="21"/>
          <w:u w:val="single" w:color="auto"/>
        </w:rPr>
        <w:t>https</w:t>
      </w:r>
      <w:r>
        <w:rPr>
          <w:rFonts w:hint="eastAsia" w:asciiTheme="minorEastAsia" w:hAnsiTheme="minorEastAsia" w:eastAsiaTheme="minorEastAsia" w:cstheme="minorEastAsia"/>
          <w:color w:val="auto"/>
          <w:spacing w:val="4"/>
          <w:sz w:val="21"/>
          <w:szCs w:val="21"/>
          <w:u w:val="single" w:color="auto"/>
        </w:rPr>
        <w:t>://</w:t>
      </w:r>
      <w:r>
        <w:rPr>
          <w:rFonts w:hint="eastAsia" w:asciiTheme="minorEastAsia" w:hAnsiTheme="minorEastAsia" w:eastAsiaTheme="minorEastAsia" w:cstheme="minorEastAsia"/>
          <w:color w:val="auto"/>
          <w:sz w:val="21"/>
          <w:szCs w:val="21"/>
          <w:u w:val="single" w:color="auto"/>
        </w:rPr>
        <w:t>www</w:t>
      </w:r>
      <w:r>
        <w:rPr>
          <w:rFonts w:hint="eastAsia" w:asciiTheme="minorEastAsia" w:hAnsiTheme="minorEastAsia" w:eastAsiaTheme="minorEastAsia" w:cstheme="minorEastAsia"/>
          <w:color w:val="auto"/>
          <w:spacing w:val="4"/>
          <w:sz w:val="21"/>
          <w:szCs w:val="21"/>
          <w:u w:val="single" w:color="auto"/>
        </w:rPr>
        <w:t>.</w:t>
      </w:r>
      <w:r>
        <w:rPr>
          <w:rFonts w:hint="eastAsia" w:asciiTheme="minorEastAsia" w:hAnsiTheme="minorEastAsia" w:eastAsiaTheme="minorEastAsia" w:cstheme="minorEastAsia"/>
          <w:color w:val="auto"/>
          <w:sz w:val="21"/>
          <w:szCs w:val="21"/>
          <w:u w:val="single" w:color="auto"/>
        </w:rPr>
        <w:t>crcrfsp</w:t>
      </w:r>
      <w:r>
        <w:rPr>
          <w:rFonts w:hint="eastAsia" w:asciiTheme="minorEastAsia" w:hAnsiTheme="minorEastAsia" w:eastAsiaTheme="minorEastAsia" w:cstheme="minorEastAsia"/>
          <w:color w:val="auto"/>
          <w:spacing w:val="4"/>
          <w:sz w:val="21"/>
          <w:szCs w:val="21"/>
          <w:u w:val="single" w:color="auto"/>
        </w:rPr>
        <w:t>.</w:t>
      </w:r>
      <w:r>
        <w:rPr>
          <w:rFonts w:hint="eastAsia" w:asciiTheme="minorEastAsia" w:hAnsiTheme="minorEastAsia" w:eastAsiaTheme="minorEastAsia" w:cstheme="minorEastAsia"/>
          <w:color w:val="auto"/>
          <w:sz w:val="21"/>
          <w:szCs w:val="21"/>
          <w:u w:val="single" w:color="auto"/>
        </w:rPr>
        <w:t>com</w:t>
      </w:r>
      <w:r>
        <w:rPr>
          <w:rFonts w:hint="eastAsia" w:asciiTheme="minorEastAsia" w:hAnsiTheme="minorEastAsia" w:eastAsiaTheme="minorEastAsia" w:cstheme="minorEastAsia"/>
          <w:color w:val="auto"/>
          <w:spacing w:val="4"/>
          <w:sz w:val="21"/>
          <w:szCs w:val="21"/>
          <w:u w:val="single" w:color="auto"/>
        </w:rPr>
        <w:t>/</w:t>
      </w:r>
      <w:r>
        <w:rPr>
          <w:rFonts w:hint="eastAsia" w:asciiTheme="minorEastAsia" w:hAnsiTheme="minorEastAsia" w:eastAsiaTheme="minorEastAsia" w:cstheme="minorEastAsia"/>
          <w:color w:val="auto"/>
          <w:spacing w:val="4"/>
          <w:sz w:val="21"/>
          <w:szCs w:val="21"/>
          <w:u w:val="single" w:color="auto"/>
        </w:rPr>
        <w:fldChar w:fldCharType="end"/>
      </w:r>
      <w:r>
        <w:rPr>
          <w:rFonts w:hint="eastAsia" w:asciiTheme="minorEastAsia" w:hAnsiTheme="minorEastAsia" w:eastAsiaTheme="minorEastAsia" w:cstheme="minorEastAsia"/>
          <w:color w:val="auto"/>
          <w:spacing w:val="-38"/>
          <w:sz w:val="21"/>
          <w:szCs w:val="21"/>
        </w:rPr>
        <w:t xml:space="preserve"> </w:t>
      </w:r>
      <w:r>
        <w:rPr>
          <w:rFonts w:hint="eastAsia" w:asciiTheme="minorEastAsia" w:hAnsiTheme="minorEastAsia" w:eastAsiaTheme="minorEastAsia" w:cstheme="minorEastAsia"/>
          <w:color w:val="auto"/>
          <w:spacing w:val="4"/>
          <w:sz w:val="21"/>
          <w:szCs w:val="21"/>
        </w:rPr>
        <w:t>,</w:t>
      </w:r>
      <w:r>
        <w:rPr>
          <w:rFonts w:hint="eastAsia" w:asciiTheme="minorEastAsia" w:hAnsiTheme="minorEastAsia" w:eastAsiaTheme="minorEastAsia" w:cstheme="minorEastAsia"/>
          <w:color w:val="auto"/>
          <w:spacing w:val="-52"/>
          <w:sz w:val="21"/>
          <w:szCs w:val="21"/>
        </w:rPr>
        <w:t xml:space="preserve"> </w:t>
      </w:r>
      <w:r>
        <w:rPr>
          <w:rFonts w:hint="eastAsia" w:asciiTheme="minorEastAsia" w:hAnsiTheme="minorEastAsia" w:eastAsiaTheme="minorEastAsia" w:cstheme="minorEastAsia"/>
          <w:color w:val="auto"/>
          <w:spacing w:val="4"/>
          <w:sz w:val="21"/>
          <w:szCs w:val="21"/>
        </w:rPr>
        <w:t>客服电话：400-009-0001)。</w:t>
      </w:r>
    </w:p>
    <w:p w14:paraId="0AFB8D19">
      <w:pPr>
        <w:spacing w:line="217" w:lineRule="auto"/>
        <w:rPr>
          <w:rFonts w:hint="eastAsia" w:asciiTheme="minorEastAsia" w:hAnsiTheme="minorEastAsia" w:eastAsiaTheme="minorEastAsia" w:cstheme="minorEastAsia"/>
          <w:color w:val="auto"/>
          <w:sz w:val="21"/>
          <w:szCs w:val="21"/>
        </w:rPr>
        <w:sectPr>
          <w:footerReference r:id="rId25" w:type="default"/>
          <w:pgSz w:w="11900" w:h="16830"/>
          <w:pgMar w:top="1136" w:right="1414" w:bottom="991" w:left="1440" w:header="0" w:footer="847" w:gutter="0"/>
          <w:cols w:space="720" w:num="1"/>
        </w:sectPr>
      </w:pPr>
    </w:p>
    <w:p w14:paraId="7E695B45">
      <w:pPr>
        <w:spacing w:before="266" w:line="219" w:lineRule="auto"/>
        <w:ind w:left="2174"/>
        <w:outlineLvl w:val="0"/>
        <w:rPr>
          <w:rFonts w:hint="eastAsia" w:asciiTheme="minorEastAsia" w:hAnsiTheme="minorEastAsia" w:eastAsiaTheme="minorEastAsia" w:cstheme="minorEastAsia"/>
          <w:color w:val="auto"/>
          <w:sz w:val="33"/>
          <w:szCs w:val="33"/>
        </w:rPr>
      </w:pPr>
      <w:bookmarkStart w:id="11" w:name="_Toc7003"/>
      <w:r>
        <w:rPr>
          <w:rFonts w:hint="eastAsia" w:asciiTheme="minorEastAsia" w:hAnsiTheme="minorEastAsia" w:eastAsiaTheme="minorEastAsia" w:cstheme="minorEastAsia"/>
          <w:b/>
          <w:bCs/>
          <w:color w:val="auto"/>
          <w:spacing w:val="26"/>
          <w:sz w:val="33"/>
          <w:szCs w:val="33"/>
        </w:rPr>
        <w:t>第四章</w:t>
      </w:r>
      <w:r>
        <w:rPr>
          <w:rFonts w:hint="eastAsia" w:asciiTheme="minorEastAsia" w:hAnsiTheme="minorEastAsia" w:eastAsiaTheme="minorEastAsia" w:cstheme="minorEastAsia"/>
          <w:color w:val="auto"/>
          <w:spacing w:val="26"/>
          <w:sz w:val="33"/>
          <w:szCs w:val="33"/>
        </w:rPr>
        <w:t xml:space="preserve">  </w:t>
      </w:r>
      <w:r>
        <w:rPr>
          <w:rFonts w:hint="eastAsia" w:asciiTheme="minorEastAsia" w:hAnsiTheme="minorEastAsia" w:eastAsiaTheme="minorEastAsia" w:cstheme="minorEastAsia"/>
          <w:b/>
          <w:bCs/>
          <w:color w:val="auto"/>
          <w:spacing w:val="26"/>
          <w:sz w:val="33"/>
          <w:szCs w:val="33"/>
        </w:rPr>
        <w:t>评标方法和评标标准</w:t>
      </w:r>
      <w:bookmarkEnd w:id="11"/>
    </w:p>
    <w:p w14:paraId="31E87C06">
      <w:pPr>
        <w:pStyle w:val="10"/>
        <w:spacing w:line="341" w:lineRule="auto"/>
        <w:rPr>
          <w:rFonts w:hint="eastAsia" w:asciiTheme="minorEastAsia" w:hAnsiTheme="minorEastAsia" w:eastAsiaTheme="minorEastAsia" w:cstheme="minorEastAsia"/>
          <w:color w:val="auto"/>
        </w:rPr>
      </w:pPr>
    </w:p>
    <w:p w14:paraId="5CA9F3A0">
      <w:pPr>
        <w:spacing w:before="107" w:line="219" w:lineRule="auto"/>
        <w:ind w:left="3334"/>
        <w:rPr>
          <w:rFonts w:hint="eastAsia" w:asciiTheme="minorEastAsia" w:hAnsiTheme="minorEastAsia" w:eastAsiaTheme="minorEastAsia" w:cstheme="minorEastAsia"/>
          <w:color w:val="auto"/>
          <w:sz w:val="33"/>
          <w:szCs w:val="33"/>
        </w:rPr>
      </w:pPr>
      <w:r>
        <w:rPr>
          <w:rFonts w:hint="eastAsia" w:asciiTheme="minorEastAsia" w:hAnsiTheme="minorEastAsia" w:eastAsiaTheme="minorEastAsia" w:cstheme="minorEastAsia"/>
          <w:b/>
          <w:bCs/>
          <w:color w:val="auto"/>
          <w:spacing w:val="8"/>
          <w:sz w:val="33"/>
          <w:szCs w:val="33"/>
        </w:rPr>
        <w:t>第一节评标方法</w:t>
      </w:r>
    </w:p>
    <w:p w14:paraId="0A701CF1">
      <w:pPr>
        <w:spacing w:before="156" w:line="221" w:lineRule="auto"/>
        <w:ind w:left="4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本项目采用</w:t>
      </w:r>
      <w:r>
        <w:rPr>
          <w:rFonts w:hint="eastAsia" w:asciiTheme="minorEastAsia" w:hAnsiTheme="minorEastAsia" w:eastAsiaTheme="minorEastAsia" w:cstheme="minorEastAsia"/>
          <w:color w:val="auto"/>
          <w:spacing w:val="-67"/>
          <w:sz w:val="21"/>
          <w:szCs w:val="21"/>
        </w:rPr>
        <w:t xml:space="preserve"> </w:t>
      </w:r>
      <w:r>
        <w:rPr>
          <w:rFonts w:hint="eastAsia" w:asciiTheme="minorEastAsia" w:hAnsiTheme="minorEastAsia" w:eastAsiaTheme="minorEastAsia" w:cstheme="minorEastAsia"/>
          <w:color w:val="auto"/>
          <w:spacing w:val="-83"/>
          <w:sz w:val="21"/>
          <w:szCs w:val="21"/>
          <w:u w:val="single" w:color="auto"/>
        </w:rPr>
        <w:t xml:space="preserve"> </w:t>
      </w:r>
      <w:r>
        <w:rPr>
          <w:rFonts w:hint="eastAsia" w:asciiTheme="minorEastAsia" w:hAnsiTheme="minorEastAsia" w:eastAsiaTheme="minorEastAsia" w:cstheme="minorEastAsia"/>
          <w:color w:val="auto"/>
          <w:spacing w:val="2"/>
          <w:sz w:val="21"/>
          <w:szCs w:val="21"/>
          <w:u w:val="single" w:color="auto"/>
        </w:rPr>
        <w:t>以下勾选的方式进</w:t>
      </w:r>
      <w:r>
        <w:rPr>
          <w:rFonts w:hint="eastAsia" w:asciiTheme="minorEastAsia" w:hAnsiTheme="minorEastAsia" w:eastAsiaTheme="minorEastAsia" w:cstheme="minorEastAsia"/>
          <w:color w:val="auto"/>
          <w:spacing w:val="2"/>
          <w:sz w:val="21"/>
          <w:szCs w:val="21"/>
        </w:rPr>
        <w:t>行评审。</w:t>
      </w:r>
    </w:p>
    <w:p w14:paraId="6C5E3A9F">
      <w:pPr>
        <w:spacing w:before="180" w:line="404" w:lineRule="auto"/>
        <w:ind w:right="79" w:firstLine="4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□最低评标价法，是指投标文件满足招标文件全部实质性要</w:t>
      </w:r>
      <w:r>
        <w:rPr>
          <w:rFonts w:hint="eastAsia" w:asciiTheme="minorEastAsia" w:hAnsiTheme="minorEastAsia" w:eastAsiaTheme="minorEastAsia" w:cstheme="minorEastAsia"/>
          <w:color w:val="auto"/>
          <w:spacing w:val="-2"/>
          <w:sz w:val="21"/>
          <w:szCs w:val="21"/>
        </w:rPr>
        <w:t>求，且投标报价最低的投标人为中</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1"/>
          <w:sz w:val="21"/>
          <w:szCs w:val="21"/>
        </w:rPr>
        <w:t>标候选人的评标方法。</w:t>
      </w:r>
    </w:p>
    <w:p w14:paraId="530F1CE8">
      <w:pPr>
        <w:spacing w:before="2" w:line="394" w:lineRule="auto"/>
        <w:ind w:right="30" w:firstLine="429"/>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☑综合评分法，是指投标文件满足招标文件全部实质性要求，且按照评审因素的量化指标评审</w:t>
      </w:r>
      <w:r>
        <w:rPr>
          <w:rFonts w:hint="eastAsia" w:asciiTheme="minorEastAsia" w:hAnsiTheme="minorEastAsia" w:eastAsiaTheme="minorEastAsia" w:cstheme="minorEastAsia"/>
          <w:color w:val="auto"/>
          <w:spacing w:val="16"/>
          <w:sz w:val="21"/>
          <w:szCs w:val="21"/>
        </w:rPr>
        <w:t xml:space="preserve"> </w:t>
      </w:r>
      <w:r>
        <w:rPr>
          <w:rFonts w:hint="eastAsia" w:asciiTheme="minorEastAsia" w:hAnsiTheme="minorEastAsia" w:eastAsiaTheme="minorEastAsia" w:cstheme="minorEastAsia"/>
          <w:color w:val="auto"/>
          <w:sz w:val="21"/>
          <w:szCs w:val="21"/>
        </w:rPr>
        <w:t>得分最高的投标人为中标候选人的评标方法。评标委员会将对各投标人的投标文件进行综合评审，</w:t>
      </w:r>
      <w:r>
        <w:rPr>
          <w:rFonts w:hint="eastAsia" w:asciiTheme="minorEastAsia" w:hAnsiTheme="minorEastAsia" w:eastAsiaTheme="minorEastAsia" w:cstheme="minorEastAsia"/>
          <w:color w:val="auto"/>
          <w:spacing w:val="3"/>
          <w:sz w:val="21"/>
          <w:szCs w:val="21"/>
        </w:rPr>
        <w:t xml:space="preserve"> </w:t>
      </w:r>
      <w:r>
        <w:rPr>
          <w:rFonts w:hint="eastAsia" w:asciiTheme="minorEastAsia" w:hAnsiTheme="minorEastAsia" w:eastAsiaTheme="minorEastAsia" w:cstheme="minorEastAsia"/>
          <w:color w:val="auto"/>
          <w:spacing w:val="-1"/>
          <w:sz w:val="21"/>
          <w:szCs w:val="21"/>
        </w:rPr>
        <w:t>对实质上响应招标文件的投标人，由各评委独立记名打分</w:t>
      </w:r>
      <w:r>
        <w:rPr>
          <w:rFonts w:hint="eastAsia" w:asciiTheme="minorEastAsia" w:hAnsiTheme="minorEastAsia" w:eastAsiaTheme="minorEastAsia" w:cstheme="minorEastAsia"/>
          <w:color w:val="auto"/>
          <w:spacing w:val="-2"/>
          <w:sz w:val="21"/>
          <w:szCs w:val="21"/>
        </w:rPr>
        <w:t>。经统计，得出各投标人的综合得分，按</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1"/>
          <w:sz w:val="21"/>
          <w:szCs w:val="21"/>
        </w:rPr>
        <w:t>综合得分由高到低顺序排列。若综合得分相同的</w:t>
      </w:r>
      <w:r>
        <w:rPr>
          <w:rFonts w:hint="eastAsia" w:asciiTheme="minorEastAsia" w:hAnsiTheme="minorEastAsia" w:eastAsiaTheme="minorEastAsia" w:cstheme="minorEastAsia"/>
          <w:color w:val="auto"/>
          <w:spacing w:val="-2"/>
          <w:sz w:val="21"/>
          <w:szCs w:val="21"/>
        </w:rPr>
        <w:t>，按投标报价由低到高顺序排列。若综合得分且投</w:t>
      </w:r>
      <w:r>
        <w:rPr>
          <w:rFonts w:hint="eastAsia" w:asciiTheme="minorEastAsia" w:hAnsiTheme="minorEastAsia" w:eastAsiaTheme="minorEastAsia" w:cstheme="minorEastAsia"/>
          <w:color w:val="auto"/>
          <w:sz w:val="21"/>
          <w:szCs w:val="21"/>
        </w:rPr>
        <w:t xml:space="preserve"> 标报价相同的，服务类采购项目以“投标人须知前附表”规定的方式排列。</w:t>
      </w:r>
    </w:p>
    <w:p w14:paraId="6F899F24">
      <w:pPr>
        <w:spacing w:before="308" w:line="219" w:lineRule="auto"/>
        <w:ind w:left="3334"/>
        <w:rPr>
          <w:rFonts w:hint="eastAsia" w:asciiTheme="minorEastAsia" w:hAnsiTheme="minorEastAsia" w:eastAsiaTheme="minorEastAsia" w:cstheme="minorEastAsia"/>
          <w:color w:val="auto"/>
          <w:sz w:val="33"/>
          <w:szCs w:val="33"/>
        </w:rPr>
      </w:pPr>
      <w:r>
        <w:rPr>
          <w:rFonts w:hint="eastAsia" w:asciiTheme="minorEastAsia" w:hAnsiTheme="minorEastAsia" w:eastAsiaTheme="minorEastAsia" w:cstheme="minorEastAsia"/>
          <w:b/>
          <w:bCs/>
          <w:color w:val="auto"/>
          <w:spacing w:val="6"/>
          <w:sz w:val="33"/>
          <w:szCs w:val="33"/>
        </w:rPr>
        <w:t>第二节评标程序</w:t>
      </w:r>
    </w:p>
    <w:p w14:paraId="0E9B885C">
      <w:pPr>
        <w:spacing w:before="3" w:line="222" w:lineRule="auto"/>
        <w:ind w:left="43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2"/>
          <w:sz w:val="21"/>
          <w:szCs w:val="21"/>
        </w:rPr>
        <w:t>1.符合性审查</w:t>
      </w:r>
    </w:p>
    <w:p w14:paraId="27E6C1F3">
      <w:pPr>
        <w:spacing w:before="171" w:line="332" w:lineRule="auto"/>
        <w:ind w:right="94" w:firstLine="4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评标委员会应当对符合资格的投标人的投标文件进行投标报价、商务、技术等实质性内容符合</w:t>
      </w:r>
      <w:r>
        <w:rPr>
          <w:rFonts w:hint="eastAsia" w:asciiTheme="minorEastAsia" w:hAnsiTheme="minorEastAsia" w:eastAsiaTheme="minorEastAsia" w:cstheme="minorEastAsia"/>
          <w:color w:val="auto"/>
          <w:spacing w:val="10"/>
          <w:sz w:val="21"/>
          <w:szCs w:val="21"/>
        </w:rPr>
        <w:t xml:space="preserve"> </w:t>
      </w:r>
      <w:r>
        <w:rPr>
          <w:rFonts w:hint="eastAsia" w:asciiTheme="minorEastAsia" w:hAnsiTheme="minorEastAsia" w:eastAsiaTheme="minorEastAsia" w:cstheme="minorEastAsia"/>
          <w:color w:val="auto"/>
          <w:sz w:val="21"/>
          <w:szCs w:val="21"/>
        </w:rPr>
        <w:t>性审查，以确定其是否满足招标文件的实质性要求。</w:t>
      </w:r>
    </w:p>
    <w:p w14:paraId="46BB59CC">
      <w:pPr>
        <w:spacing w:before="51" w:line="221" w:lineRule="auto"/>
        <w:ind w:left="43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2"/>
          <w:sz w:val="21"/>
          <w:szCs w:val="21"/>
        </w:rPr>
        <w:t>2.符合性审查不通过而导致投标无效的情形</w:t>
      </w:r>
    </w:p>
    <w:p w14:paraId="5AE338AB">
      <w:pPr>
        <w:spacing w:before="153" w:line="213" w:lineRule="auto"/>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投标人的投标文件中存在对招标文件的任何实质性要</w:t>
      </w:r>
      <w:r>
        <w:rPr>
          <w:rFonts w:hint="eastAsia" w:asciiTheme="minorEastAsia" w:hAnsiTheme="minorEastAsia" w:eastAsiaTheme="minorEastAsia" w:cstheme="minorEastAsia"/>
          <w:color w:val="auto"/>
          <w:sz w:val="21"/>
          <w:szCs w:val="21"/>
        </w:rPr>
        <w:t>求和条件的负偏离，将被视为投标无效。</w:t>
      </w:r>
    </w:p>
    <w:p w14:paraId="3762C670">
      <w:pPr>
        <w:spacing w:before="167" w:line="213" w:lineRule="auto"/>
        <w:ind w:left="4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2.1在报价评审时，如发现下列情形之一</w:t>
      </w:r>
      <w:r>
        <w:rPr>
          <w:rFonts w:hint="eastAsia" w:asciiTheme="minorEastAsia" w:hAnsiTheme="minorEastAsia" w:eastAsiaTheme="minorEastAsia" w:cstheme="minorEastAsia"/>
          <w:color w:val="auto"/>
          <w:spacing w:val="1"/>
          <w:sz w:val="21"/>
          <w:szCs w:val="21"/>
        </w:rPr>
        <w:t>的，将被视为投标无效：</w:t>
      </w:r>
    </w:p>
    <w:p w14:paraId="7D9B6E86">
      <w:pPr>
        <w:spacing w:before="158" w:line="213" w:lineRule="auto"/>
        <w:ind w:left="53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5"/>
          <w:sz w:val="21"/>
          <w:szCs w:val="21"/>
        </w:rPr>
        <w:t>(1)投标文件未提供“投标人须知前附表”第13.1条规定中“必须提供”的文件资料的；</w:t>
      </w:r>
    </w:p>
    <w:p w14:paraId="4DE4E840">
      <w:pPr>
        <w:spacing w:before="168" w:line="213" w:lineRule="auto"/>
        <w:ind w:left="53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(2)未采用人民币报价或者未按照招标文件标</w:t>
      </w:r>
      <w:r>
        <w:rPr>
          <w:rFonts w:hint="eastAsia" w:asciiTheme="minorEastAsia" w:hAnsiTheme="minorEastAsia" w:eastAsiaTheme="minorEastAsia" w:cstheme="minorEastAsia"/>
          <w:color w:val="auto"/>
          <w:spacing w:val="3"/>
          <w:sz w:val="21"/>
          <w:szCs w:val="21"/>
        </w:rPr>
        <w:t>明的币种报价的；</w:t>
      </w:r>
    </w:p>
    <w:p w14:paraId="119DD5F5">
      <w:pPr>
        <w:spacing w:before="178" w:line="213" w:lineRule="auto"/>
        <w:ind w:left="53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(3)报价超出招标文件规定最高限价，或者超出采购预算金额的；</w:t>
      </w:r>
    </w:p>
    <w:p w14:paraId="6D2C1CF0">
      <w:pPr>
        <w:spacing w:before="156" w:line="314" w:lineRule="auto"/>
        <w:ind w:right="95" w:firstLine="53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(4)投标人未就所投项目进行报价或者存在漏项报价；投标人未就所投项目的单项内容作唯</w:t>
      </w:r>
      <w:r>
        <w:rPr>
          <w:rFonts w:hint="eastAsia" w:asciiTheme="minorEastAsia" w:hAnsiTheme="minorEastAsia" w:eastAsiaTheme="minorEastAsia" w:cstheme="minorEastAsia"/>
          <w:color w:val="auto"/>
          <w:spacing w:val="17"/>
          <w:sz w:val="21"/>
          <w:szCs w:val="21"/>
        </w:rPr>
        <w:t xml:space="preserve"> </w:t>
      </w:r>
      <w:r>
        <w:rPr>
          <w:rFonts w:hint="eastAsia" w:asciiTheme="minorEastAsia" w:hAnsiTheme="minorEastAsia" w:eastAsiaTheme="minorEastAsia" w:cstheme="minorEastAsia"/>
          <w:color w:val="auto"/>
          <w:spacing w:val="1"/>
          <w:sz w:val="21"/>
          <w:szCs w:val="21"/>
        </w:rPr>
        <w:t>一报价；投标人未就所投项目的全部内容作唯一总价报价；存在有选择、有条件报价的(招标文件</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6"/>
          <w:sz w:val="21"/>
          <w:szCs w:val="21"/>
        </w:rPr>
        <w:t>允许有备选方案或者其他约定的除外);</w:t>
      </w:r>
    </w:p>
    <w:p w14:paraId="20F94A86">
      <w:pPr>
        <w:spacing w:before="170" w:line="213" w:lineRule="auto"/>
        <w:ind w:left="53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5"/>
          <w:sz w:val="21"/>
          <w:szCs w:val="21"/>
        </w:rPr>
        <w:t>(5)修正后的报价，投标人不确认的；</w:t>
      </w:r>
    </w:p>
    <w:p w14:paraId="1C67AF30">
      <w:pPr>
        <w:spacing w:before="157" w:line="222" w:lineRule="auto"/>
        <w:ind w:left="53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9"/>
          <w:sz w:val="21"/>
          <w:szCs w:val="21"/>
        </w:rPr>
        <w:t>(6)投标人属于本章第5条第(2)项情形的。</w:t>
      </w:r>
    </w:p>
    <w:p w14:paraId="50C11747">
      <w:pPr>
        <w:spacing w:before="148" w:line="213" w:lineRule="auto"/>
        <w:ind w:left="4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2.2在商务评审时，如发现下列情形之一</w:t>
      </w:r>
      <w:r>
        <w:rPr>
          <w:rFonts w:hint="eastAsia" w:asciiTheme="minorEastAsia" w:hAnsiTheme="minorEastAsia" w:eastAsiaTheme="minorEastAsia" w:cstheme="minorEastAsia"/>
          <w:color w:val="auto"/>
          <w:spacing w:val="1"/>
          <w:sz w:val="21"/>
          <w:szCs w:val="21"/>
        </w:rPr>
        <w:t>的，将被视为投标无效：</w:t>
      </w:r>
    </w:p>
    <w:p w14:paraId="32A485CE">
      <w:pPr>
        <w:spacing w:before="168" w:line="213" w:lineRule="auto"/>
        <w:ind w:left="53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(1)投标文件未按招标文件要求签署、盖章的；</w:t>
      </w:r>
    </w:p>
    <w:p w14:paraId="4B790FDE">
      <w:pPr>
        <w:spacing w:before="177" w:line="213" w:lineRule="auto"/>
        <w:ind w:left="53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(2)委托代理人未能出具有效身份证明或者出具的身份证</w:t>
      </w:r>
      <w:r>
        <w:rPr>
          <w:rFonts w:hint="eastAsia" w:asciiTheme="minorEastAsia" w:hAnsiTheme="minorEastAsia" w:eastAsiaTheme="minorEastAsia" w:cstheme="minorEastAsia"/>
          <w:color w:val="auto"/>
          <w:spacing w:val="2"/>
          <w:sz w:val="21"/>
          <w:szCs w:val="21"/>
        </w:rPr>
        <w:t>明与授权委托书中的信息不符的；</w:t>
      </w:r>
    </w:p>
    <w:p w14:paraId="32AEA4BB">
      <w:pPr>
        <w:spacing w:before="168" w:line="213" w:lineRule="auto"/>
        <w:ind w:left="53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(3)为无效投标保证金的或者未按照招标文件的规定提交投标保证金的；</w:t>
      </w:r>
    </w:p>
    <w:p w14:paraId="075D9959">
      <w:pPr>
        <w:spacing w:before="168" w:line="278" w:lineRule="auto"/>
        <w:ind w:right="73" w:firstLine="53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(4)投标文件未提供“投标人须知前附表”第13.1条规定中“必须提供”或</w:t>
      </w:r>
      <w:r>
        <w:rPr>
          <w:rFonts w:hint="eastAsia" w:asciiTheme="minorEastAsia" w:hAnsiTheme="minorEastAsia" w:eastAsiaTheme="minorEastAsia" w:cstheme="minorEastAsia"/>
          <w:color w:val="auto"/>
          <w:spacing w:val="3"/>
          <w:sz w:val="21"/>
          <w:szCs w:val="21"/>
        </w:rPr>
        <w:t>者“委托时必须</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1"/>
          <w:sz w:val="21"/>
          <w:szCs w:val="21"/>
        </w:rPr>
        <w:t>提供”的文件资料的；</w:t>
      </w:r>
    </w:p>
    <w:p w14:paraId="7B11C87E">
      <w:pPr>
        <w:spacing w:line="278" w:lineRule="auto"/>
        <w:rPr>
          <w:rFonts w:hint="eastAsia" w:asciiTheme="minorEastAsia" w:hAnsiTheme="minorEastAsia" w:eastAsiaTheme="minorEastAsia" w:cstheme="minorEastAsia"/>
          <w:color w:val="auto"/>
          <w:sz w:val="21"/>
          <w:szCs w:val="21"/>
        </w:rPr>
        <w:sectPr>
          <w:footerReference r:id="rId26" w:type="default"/>
          <w:pgSz w:w="11900" w:h="16830"/>
          <w:pgMar w:top="1430" w:right="1405" w:bottom="991" w:left="1430" w:header="0" w:footer="847" w:gutter="0"/>
          <w:cols w:space="720" w:num="1"/>
        </w:sectPr>
      </w:pPr>
    </w:p>
    <w:p w14:paraId="11DFD0F3">
      <w:pPr>
        <w:spacing w:before="42" w:line="287" w:lineRule="auto"/>
        <w:ind w:right="255" w:firstLine="53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(5)投标有效期、项目完成时间(交货时间、服务完成时间或者服务期</w:t>
      </w:r>
      <w:r>
        <w:rPr>
          <w:rFonts w:hint="eastAsia" w:asciiTheme="minorEastAsia" w:hAnsiTheme="minorEastAsia" w:eastAsiaTheme="minorEastAsia" w:cstheme="minorEastAsia"/>
          <w:color w:val="auto"/>
          <w:spacing w:val="8"/>
          <w:sz w:val="21"/>
          <w:szCs w:val="21"/>
        </w:rPr>
        <w:t>等)、质保期及招标</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1"/>
          <w:sz w:val="21"/>
          <w:szCs w:val="21"/>
        </w:rPr>
        <w:t>文件中标“★”的商务条款发生负偏离的；</w:t>
      </w:r>
    </w:p>
    <w:p w14:paraId="715CD9B7">
      <w:pPr>
        <w:spacing w:before="176" w:line="221" w:lineRule="auto"/>
        <w:ind w:left="53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(6)商务条款评审允许负偏离的条款数超过“投标人须知前附表”规定项数的。</w:t>
      </w:r>
    </w:p>
    <w:p w14:paraId="5966A839">
      <w:pPr>
        <w:spacing w:before="149" w:line="213" w:lineRule="auto"/>
        <w:ind w:left="53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(7)投标文件的实质性内容未使用中文表述、使用</w:t>
      </w:r>
      <w:r>
        <w:rPr>
          <w:rFonts w:hint="eastAsia" w:asciiTheme="minorEastAsia" w:hAnsiTheme="minorEastAsia" w:eastAsiaTheme="minorEastAsia" w:cstheme="minorEastAsia"/>
          <w:color w:val="auto"/>
          <w:spacing w:val="2"/>
          <w:sz w:val="21"/>
          <w:szCs w:val="21"/>
        </w:rPr>
        <w:t>计量单位不符合招标文件要求的；</w:t>
      </w:r>
    </w:p>
    <w:p w14:paraId="570ADCC0">
      <w:pPr>
        <w:spacing w:before="177" w:line="287" w:lineRule="auto"/>
        <w:ind w:right="250" w:firstLine="53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(8)投标文件中的文件资料因填写不齐全或者内容虚假或者出现其他情</w:t>
      </w:r>
      <w:r>
        <w:rPr>
          <w:rFonts w:hint="eastAsia" w:asciiTheme="minorEastAsia" w:hAnsiTheme="minorEastAsia" w:eastAsiaTheme="minorEastAsia" w:cstheme="minorEastAsia"/>
          <w:color w:val="auto"/>
          <w:spacing w:val="3"/>
          <w:sz w:val="21"/>
          <w:szCs w:val="21"/>
        </w:rPr>
        <w:t>形而导致被评标委员</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2"/>
          <w:sz w:val="21"/>
          <w:szCs w:val="21"/>
        </w:rPr>
        <w:t>会认定无效的；</w:t>
      </w:r>
    </w:p>
    <w:p w14:paraId="3C141BDB">
      <w:pPr>
        <w:spacing w:before="148" w:line="213" w:lineRule="auto"/>
        <w:ind w:left="53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(9)投标文件含有采购人不能接受的附加条件的；</w:t>
      </w:r>
    </w:p>
    <w:p w14:paraId="35B64D91">
      <w:pPr>
        <w:spacing w:before="167" w:line="213" w:lineRule="auto"/>
        <w:ind w:left="53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(10)未响应招标文件实质性要求的；</w:t>
      </w:r>
    </w:p>
    <w:p w14:paraId="627039C9">
      <w:pPr>
        <w:spacing w:before="168" w:line="213" w:lineRule="auto"/>
        <w:ind w:left="53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(11)属于投标人须知正文第9.2条情形的；</w:t>
      </w:r>
    </w:p>
    <w:p w14:paraId="0CDDDC90">
      <w:pPr>
        <w:spacing w:before="177" w:line="221" w:lineRule="auto"/>
        <w:ind w:left="53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(12)法律、法规和招标文件规定的其他无效情形。</w:t>
      </w:r>
    </w:p>
    <w:p w14:paraId="38971A68">
      <w:pPr>
        <w:spacing w:before="149" w:line="213" w:lineRule="auto"/>
        <w:ind w:left="4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2.3在技术评审时，如发现下列情形之一</w:t>
      </w:r>
      <w:r>
        <w:rPr>
          <w:rFonts w:hint="eastAsia" w:asciiTheme="minorEastAsia" w:hAnsiTheme="minorEastAsia" w:eastAsiaTheme="minorEastAsia" w:cstheme="minorEastAsia"/>
          <w:color w:val="auto"/>
          <w:spacing w:val="1"/>
          <w:sz w:val="21"/>
          <w:szCs w:val="21"/>
        </w:rPr>
        <w:t>的，将被视为投标无效：</w:t>
      </w:r>
    </w:p>
    <w:p w14:paraId="21581CE6">
      <w:pPr>
        <w:spacing w:before="158" w:line="291" w:lineRule="auto"/>
        <w:ind w:firstLine="53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(1)不满足招标文件要求的服务内容、技术要求、安全、质量标</w:t>
      </w:r>
      <w:r>
        <w:rPr>
          <w:rFonts w:hint="eastAsia" w:asciiTheme="minorEastAsia" w:hAnsiTheme="minorEastAsia" w:eastAsiaTheme="minorEastAsia" w:cstheme="minorEastAsia"/>
          <w:color w:val="auto"/>
          <w:spacing w:val="-1"/>
          <w:sz w:val="21"/>
          <w:szCs w:val="21"/>
        </w:rPr>
        <w:t>准，或者与招标文件中标“★ ”</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3"/>
          <w:sz w:val="21"/>
          <w:szCs w:val="21"/>
        </w:rPr>
        <w:t>的技术需求发生负偏离的；</w:t>
      </w:r>
    </w:p>
    <w:p w14:paraId="7B47381D">
      <w:pPr>
        <w:spacing w:before="168" w:line="213" w:lineRule="auto"/>
        <w:ind w:left="53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(2)技术需求评审允许负偏离的条款数超过“投标人须知前附表”规定项数的；</w:t>
      </w:r>
    </w:p>
    <w:p w14:paraId="66B9DBED">
      <w:pPr>
        <w:spacing w:before="158" w:line="213" w:lineRule="auto"/>
        <w:ind w:left="53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5"/>
          <w:sz w:val="21"/>
          <w:szCs w:val="21"/>
        </w:rPr>
        <w:t>(3)投标文件未提供“投标人须知前附表”第13.1条规定中“必须提供”的文件资料的；</w:t>
      </w:r>
    </w:p>
    <w:p w14:paraId="585271F6">
      <w:pPr>
        <w:spacing w:before="167" w:line="213" w:lineRule="auto"/>
        <w:ind w:left="53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(4)虚假投标，或者出现其他情形而导致被评标委员会认</w:t>
      </w:r>
      <w:r>
        <w:rPr>
          <w:rFonts w:hint="eastAsia" w:asciiTheme="minorEastAsia" w:hAnsiTheme="minorEastAsia" w:eastAsiaTheme="minorEastAsia" w:cstheme="minorEastAsia"/>
          <w:color w:val="auto"/>
          <w:spacing w:val="3"/>
          <w:sz w:val="21"/>
          <w:szCs w:val="21"/>
        </w:rPr>
        <w:t>定无效的；</w:t>
      </w:r>
    </w:p>
    <w:p w14:paraId="52BF614C">
      <w:pPr>
        <w:spacing w:before="167" w:line="295" w:lineRule="auto"/>
        <w:ind w:right="229" w:firstLine="53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(5)招标文件要求提供技术方案的，投标技术方案不明确，招标文件未允许但存在一个或者</w:t>
      </w:r>
      <w:r>
        <w:rPr>
          <w:rFonts w:hint="eastAsia" w:asciiTheme="minorEastAsia" w:hAnsiTheme="minorEastAsia" w:eastAsiaTheme="minorEastAsia" w:cstheme="minorEastAsia"/>
          <w:color w:val="auto"/>
          <w:spacing w:val="12"/>
          <w:sz w:val="21"/>
          <w:szCs w:val="21"/>
        </w:rPr>
        <w:t xml:space="preserve"> </w:t>
      </w:r>
      <w:r>
        <w:rPr>
          <w:rFonts w:hint="eastAsia" w:asciiTheme="minorEastAsia" w:hAnsiTheme="minorEastAsia" w:eastAsiaTheme="minorEastAsia" w:cstheme="minorEastAsia"/>
          <w:color w:val="auto"/>
          <w:spacing w:val="13"/>
          <w:sz w:val="21"/>
          <w:szCs w:val="21"/>
        </w:rPr>
        <w:t>一个以上备选(替代)投标方案的。</w:t>
      </w:r>
    </w:p>
    <w:p w14:paraId="34D0549E">
      <w:pPr>
        <w:spacing w:before="156" w:line="221" w:lineRule="auto"/>
        <w:ind w:left="43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3.澄清补正、说明或者补正</w:t>
      </w:r>
    </w:p>
    <w:p w14:paraId="300F4F9F">
      <w:pPr>
        <w:spacing w:before="141" w:line="351" w:lineRule="auto"/>
        <w:ind w:right="240" w:firstLine="429"/>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对投标文件中含义不明确、同类问题表述不一致或者有明显文字和计算错误</w:t>
      </w:r>
      <w:r>
        <w:rPr>
          <w:rFonts w:hint="eastAsia" w:asciiTheme="minorEastAsia" w:hAnsiTheme="minorEastAsia" w:eastAsiaTheme="minorEastAsia" w:cstheme="minorEastAsia"/>
          <w:color w:val="auto"/>
          <w:spacing w:val="-3"/>
          <w:sz w:val="21"/>
          <w:szCs w:val="21"/>
        </w:rPr>
        <w:t>的内容，评标委员</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1"/>
          <w:sz w:val="21"/>
          <w:szCs w:val="21"/>
        </w:rPr>
        <w:t>会应在广西政府采购云平台发布电子澄清函，要求投标人在规定时间内作出必要的澄</w:t>
      </w:r>
      <w:r>
        <w:rPr>
          <w:rFonts w:hint="eastAsia" w:asciiTheme="minorEastAsia" w:hAnsiTheme="minorEastAsia" w:eastAsiaTheme="minorEastAsia" w:cstheme="minorEastAsia"/>
          <w:color w:val="auto"/>
          <w:spacing w:val="-2"/>
          <w:sz w:val="21"/>
          <w:szCs w:val="21"/>
        </w:rPr>
        <w:t>清、说明或者</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1"/>
          <w:sz w:val="21"/>
          <w:szCs w:val="21"/>
        </w:rPr>
        <w:t>补正。投标人在广西政府采购云平台接收到电子澄清函后根据澄清函内容上传PDF</w:t>
      </w:r>
      <w:r>
        <w:rPr>
          <w:rFonts w:hint="eastAsia" w:asciiTheme="minorEastAsia" w:hAnsiTheme="minorEastAsia" w:eastAsiaTheme="minorEastAsia" w:cstheme="minorEastAsia"/>
          <w:color w:val="auto"/>
          <w:spacing w:val="-13"/>
          <w:sz w:val="21"/>
          <w:szCs w:val="21"/>
        </w:rPr>
        <w:t xml:space="preserve"> </w:t>
      </w:r>
      <w:r>
        <w:rPr>
          <w:rFonts w:hint="eastAsia" w:asciiTheme="minorEastAsia" w:hAnsiTheme="minorEastAsia" w:eastAsiaTheme="minorEastAsia" w:cstheme="minorEastAsia"/>
          <w:color w:val="auto"/>
          <w:spacing w:val="-1"/>
          <w:sz w:val="21"/>
          <w:szCs w:val="21"/>
        </w:rPr>
        <w:t>格式回函，电子</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2"/>
          <w:sz w:val="21"/>
          <w:szCs w:val="21"/>
        </w:rPr>
        <w:t>澄清答复函使用</w:t>
      </w:r>
      <w:r>
        <w:rPr>
          <w:rFonts w:hint="eastAsia" w:asciiTheme="minorEastAsia" w:hAnsiTheme="minorEastAsia" w:eastAsiaTheme="minorEastAsia" w:cstheme="minorEastAsia"/>
          <w:color w:val="auto"/>
          <w:sz w:val="21"/>
          <w:szCs w:val="21"/>
        </w:rPr>
        <w:t>CA</w:t>
      </w:r>
      <w:r>
        <w:rPr>
          <w:rFonts w:hint="eastAsia" w:asciiTheme="minorEastAsia" w:hAnsiTheme="minorEastAsia" w:eastAsiaTheme="minorEastAsia" w:cstheme="minorEastAsia"/>
          <w:color w:val="auto"/>
          <w:spacing w:val="-22"/>
          <w:sz w:val="21"/>
          <w:szCs w:val="21"/>
        </w:rPr>
        <w:t xml:space="preserve"> </w:t>
      </w:r>
      <w:r>
        <w:rPr>
          <w:rFonts w:hint="eastAsia" w:asciiTheme="minorEastAsia" w:hAnsiTheme="minorEastAsia" w:eastAsiaTheme="minorEastAsia" w:cstheme="minorEastAsia"/>
          <w:color w:val="auto"/>
          <w:spacing w:val="2"/>
          <w:sz w:val="21"/>
          <w:szCs w:val="21"/>
        </w:rPr>
        <w:t>证书加盖投标人公章后在线上传至评标委员会。投标人的澄清、说明或者补正</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1"/>
          <w:sz w:val="21"/>
          <w:szCs w:val="21"/>
        </w:rPr>
        <w:t>不得超出投标文件的范围或者改变投标文件的实质性内容。投标人未在规定时间内进行澄清、说明</w:t>
      </w:r>
      <w:r>
        <w:rPr>
          <w:rFonts w:hint="eastAsia" w:asciiTheme="minorEastAsia" w:hAnsiTheme="minorEastAsia" w:eastAsiaTheme="minorEastAsia" w:cstheme="minorEastAsia"/>
          <w:color w:val="auto"/>
          <w:spacing w:val="2"/>
          <w:sz w:val="21"/>
          <w:szCs w:val="21"/>
        </w:rPr>
        <w:t xml:space="preserve"> </w:t>
      </w:r>
      <w:r>
        <w:rPr>
          <w:rFonts w:hint="eastAsia" w:asciiTheme="minorEastAsia" w:hAnsiTheme="minorEastAsia" w:eastAsiaTheme="minorEastAsia" w:cstheme="minorEastAsia"/>
          <w:color w:val="auto"/>
          <w:spacing w:val="-1"/>
          <w:sz w:val="21"/>
          <w:szCs w:val="21"/>
        </w:rPr>
        <w:t>或者补正的，有可能对评审产生影响。</w:t>
      </w:r>
    </w:p>
    <w:p w14:paraId="235591AD">
      <w:pPr>
        <w:spacing w:before="37" w:line="364" w:lineRule="auto"/>
        <w:ind w:right="157" w:firstLine="429"/>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异常情况处理：如遇无法正常使用线上发送澄</w:t>
      </w:r>
      <w:r>
        <w:rPr>
          <w:rFonts w:hint="eastAsia" w:asciiTheme="minorEastAsia" w:hAnsiTheme="minorEastAsia" w:eastAsiaTheme="minorEastAsia" w:cstheme="minorEastAsia"/>
          <w:color w:val="auto"/>
          <w:spacing w:val="-2"/>
          <w:sz w:val="21"/>
          <w:szCs w:val="21"/>
        </w:rPr>
        <w:t>清函的情况，将启动书面形式办理。启动书面形</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4"/>
          <w:sz w:val="21"/>
          <w:szCs w:val="21"/>
        </w:rPr>
        <w:t>式办理的情况下，评标委员会以书面形式要求投标人在规定时间内作出必要的澄清、说明或者补正。</w:t>
      </w:r>
      <w:r>
        <w:rPr>
          <w:rFonts w:hint="eastAsia" w:asciiTheme="minorEastAsia" w:hAnsiTheme="minorEastAsia" w:eastAsiaTheme="minorEastAsia" w:cstheme="minorEastAsia"/>
          <w:color w:val="auto"/>
          <w:spacing w:val="10"/>
          <w:sz w:val="21"/>
          <w:szCs w:val="21"/>
        </w:rPr>
        <w:t xml:space="preserve"> </w:t>
      </w:r>
      <w:r>
        <w:rPr>
          <w:rFonts w:hint="eastAsia" w:asciiTheme="minorEastAsia" w:hAnsiTheme="minorEastAsia" w:eastAsiaTheme="minorEastAsia" w:cstheme="minorEastAsia"/>
          <w:color w:val="auto"/>
          <w:spacing w:val="-1"/>
          <w:sz w:val="21"/>
          <w:szCs w:val="21"/>
        </w:rPr>
        <w:t>投标人的澄清、说明或者补正必须采用书面形式，并加盖公章，或者由法定代表人或者其授权的代</w:t>
      </w:r>
      <w:r>
        <w:rPr>
          <w:rFonts w:hint="eastAsia" w:asciiTheme="minorEastAsia" w:hAnsiTheme="minorEastAsia" w:eastAsiaTheme="minorEastAsia" w:cstheme="minorEastAsia"/>
          <w:color w:val="auto"/>
          <w:spacing w:val="12"/>
          <w:sz w:val="21"/>
          <w:szCs w:val="21"/>
        </w:rPr>
        <w:t xml:space="preserve"> </w:t>
      </w:r>
      <w:r>
        <w:rPr>
          <w:rFonts w:hint="eastAsia" w:asciiTheme="minorEastAsia" w:hAnsiTheme="minorEastAsia" w:eastAsiaTheme="minorEastAsia" w:cstheme="minorEastAsia"/>
          <w:color w:val="auto"/>
          <w:spacing w:val="6"/>
          <w:sz w:val="21"/>
          <w:szCs w:val="21"/>
        </w:rPr>
        <w:t>表签字。</w:t>
      </w:r>
    </w:p>
    <w:p w14:paraId="7301001B">
      <w:pPr>
        <w:spacing w:before="9" w:line="222" w:lineRule="auto"/>
        <w:ind w:left="43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1"/>
          <w:sz w:val="21"/>
          <w:szCs w:val="21"/>
        </w:rPr>
        <w:t>4.投标文件修正</w:t>
      </w:r>
    </w:p>
    <w:p w14:paraId="696BF659">
      <w:pPr>
        <w:spacing w:before="151" w:line="213" w:lineRule="auto"/>
        <w:ind w:left="4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4.1投标文件报价出现前后不一致的，按照下列规定修正：</w:t>
      </w:r>
    </w:p>
    <w:p w14:paraId="469702D5">
      <w:pPr>
        <w:spacing w:before="149" w:line="295" w:lineRule="auto"/>
        <w:ind w:right="244" w:firstLine="53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(1)报价文件中“开标一览表”内容与投标文件中相应内容不一致的，以“开标一览</w:t>
      </w:r>
      <w:r>
        <w:rPr>
          <w:rFonts w:hint="eastAsia" w:asciiTheme="minorEastAsia" w:hAnsiTheme="minorEastAsia" w:eastAsiaTheme="minorEastAsia" w:cstheme="minorEastAsia"/>
          <w:color w:val="auto"/>
          <w:spacing w:val="3"/>
          <w:sz w:val="21"/>
          <w:szCs w:val="21"/>
        </w:rPr>
        <w:t>表”为</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5"/>
          <w:sz w:val="21"/>
          <w:szCs w:val="21"/>
        </w:rPr>
        <w:t>准</w:t>
      </w:r>
      <w:r>
        <w:rPr>
          <w:rFonts w:hint="eastAsia" w:asciiTheme="minorEastAsia" w:hAnsiTheme="minorEastAsia" w:eastAsiaTheme="minorEastAsia" w:cstheme="minorEastAsia"/>
          <w:color w:val="auto"/>
          <w:spacing w:val="-53"/>
          <w:sz w:val="21"/>
          <w:szCs w:val="21"/>
        </w:rPr>
        <w:t xml:space="preserve"> </w:t>
      </w:r>
      <w:r>
        <w:rPr>
          <w:rFonts w:hint="eastAsia" w:asciiTheme="minorEastAsia" w:hAnsiTheme="minorEastAsia" w:eastAsiaTheme="minorEastAsia" w:cstheme="minorEastAsia"/>
          <w:color w:val="auto"/>
          <w:spacing w:val="-5"/>
          <w:sz w:val="21"/>
          <w:szCs w:val="21"/>
        </w:rPr>
        <w:t>；</w:t>
      </w:r>
    </w:p>
    <w:p w14:paraId="7CCE3869">
      <w:pPr>
        <w:spacing w:before="168" w:line="213" w:lineRule="auto"/>
        <w:ind w:left="53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(2)大写金额和小写金额不一致的，以大写金额为</w:t>
      </w:r>
      <w:r>
        <w:rPr>
          <w:rFonts w:hint="eastAsia" w:asciiTheme="minorEastAsia" w:hAnsiTheme="minorEastAsia" w:eastAsiaTheme="minorEastAsia" w:cstheme="minorEastAsia"/>
          <w:color w:val="auto"/>
          <w:spacing w:val="3"/>
          <w:sz w:val="21"/>
          <w:szCs w:val="21"/>
        </w:rPr>
        <w:t>准；</w:t>
      </w:r>
    </w:p>
    <w:p w14:paraId="2B8223D3">
      <w:pPr>
        <w:spacing w:before="168" w:line="213" w:lineRule="auto"/>
        <w:ind w:left="53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(3)单价金额小数点或者百分比有明显错位的，以开标一览表的总价为准，并修改单</w:t>
      </w:r>
      <w:r>
        <w:rPr>
          <w:rFonts w:hint="eastAsia" w:asciiTheme="minorEastAsia" w:hAnsiTheme="minorEastAsia" w:eastAsiaTheme="minorEastAsia" w:cstheme="minorEastAsia"/>
          <w:color w:val="auto"/>
          <w:spacing w:val="2"/>
          <w:sz w:val="21"/>
          <w:szCs w:val="21"/>
        </w:rPr>
        <w:t>价；</w:t>
      </w:r>
    </w:p>
    <w:p w14:paraId="6FB8C21E">
      <w:pPr>
        <w:spacing w:line="213" w:lineRule="auto"/>
        <w:rPr>
          <w:rFonts w:hint="eastAsia" w:asciiTheme="minorEastAsia" w:hAnsiTheme="minorEastAsia" w:eastAsiaTheme="minorEastAsia" w:cstheme="minorEastAsia"/>
          <w:color w:val="auto"/>
          <w:sz w:val="21"/>
          <w:szCs w:val="21"/>
        </w:rPr>
        <w:sectPr>
          <w:footerReference r:id="rId27" w:type="default"/>
          <w:pgSz w:w="11900" w:h="16830"/>
          <w:pgMar w:top="1104" w:right="1237" w:bottom="991" w:left="1430" w:header="0" w:footer="847" w:gutter="0"/>
          <w:cols w:space="720" w:num="1"/>
        </w:sectPr>
      </w:pPr>
    </w:p>
    <w:p w14:paraId="53A6E949">
      <w:pPr>
        <w:spacing w:before="42" w:line="213" w:lineRule="auto"/>
        <w:ind w:left="5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(4)总价金额与按单价汇总金额不一致的，以单</w:t>
      </w:r>
      <w:r>
        <w:rPr>
          <w:rFonts w:hint="eastAsia" w:asciiTheme="minorEastAsia" w:hAnsiTheme="minorEastAsia" w:eastAsiaTheme="minorEastAsia" w:cstheme="minorEastAsia"/>
          <w:color w:val="auto"/>
          <w:spacing w:val="3"/>
          <w:sz w:val="21"/>
          <w:szCs w:val="21"/>
        </w:rPr>
        <w:t>价金额计算结果为准。</w:t>
      </w:r>
    </w:p>
    <w:p w14:paraId="067308BC">
      <w:pPr>
        <w:spacing w:before="167" w:line="356" w:lineRule="auto"/>
        <w:ind w:right="95" w:firstLine="41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1"/>
          <w:sz w:val="21"/>
          <w:szCs w:val="21"/>
        </w:rPr>
        <w:t xml:space="preserve">同时出现两种以上不一致的，按照以上(1)-(4)规定的顺序修正。修正后的报价经投标人 </w:t>
      </w:r>
      <w:r>
        <w:rPr>
          <w:rFonts w:hint="eastAsia" w:asciiTheme="minorEastAsia" w:hAnsiTheme="minorEastAsia" w:eastAsiaTheme="minorEastAsia" w:cstheme="minorEastAsia"/>
          <w:color w:val="auto"/>
          <w:sz w:val="21"/>
          <w:szCs w:val="21"/>
        </w:rPr>
        <w:t>确认后产生约束力，投标人不确认的，其投标无效。</w:t>
      </w:r>
    </w:p>
    <w:p w14:paraId="10655BBF">
      <w:pPr>
        <w:spacing w:line="300" w:lineRule="auto"/>
        <w:ind w:right="97" w:firstLine="41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4.2经投标人确认修正后的报价若超过采购预算金额或者最高限价，投标人的投标文件作无效</w:t>
      </w:r>
      <w:r>
        <w:rPr>
          <w:rFonts w:hint="eastAsia" w:asciiTheme="minorEastAsia" w:hAnsiTheme="minorEastAsia" w:eastAsiaTheme="minorEastAsia" w:cstheme="minorEastAsia"/>
          <w:color w:val="auto"/>
          <w:spacing w:val="9"/>
          <w:sz w:val="21"/>
          <w:szCs w:val="21"/>
        </w:rPr>
        <w:t xml:space="preserve"> </w:t>
      </w:r>
      <w:r>
        <w:rPr>
          <w:rFonts w:hint="eastAsia" w:asciiTheme="minorEastAsia" w:hAnsiTheme="minorEastAsia" w:eastAsiaTheme="minorEastAsia" w:cstheme="minorEastAsia"/>
          <w:color w:val="auto"/>
          <w:spacing w:val="2"/>
          <w:sz w:val="21"/>
          <w:szCs w:val="21"/>
        </w:rPr>
        <w:t>投标处理。</w:t>
      </w:r>
    </w:p>
    <w:p w14:paraId="79A39A85">
      <w:pPr>
        <w:spacing w:before="136" w:line="213" w:lineRule="auto"/>
        <w:ind w:left="41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4.3经投标人确认修正后的报价作为签订合同的依据，并以此报价计算</w:t>
      </w:r>
      <w:r>
        <w:rPr>
          <w:rFonts w:hint="eastAsia" w:asciiTheme="minorEastAsia" w:hAnsiTheme="minorEastAsia" w:eastAsiaTheme="minorEastAsia" w:cstheme="minorEastAsia"/>
          <w:color w:val="auto"/>
          <w:spacing w:val="1"/>
          <w:sz w:val="21"/>
          <w:szCs w:val="21"/>
        </w:rPr>
        <w:t>价格分。</w:t>
      </w:r>
    </w:p>
    <w:p w14:paraId="5C931B8B">
      <w:pPr>
        <w:spacing w:before="178" w:line="222" w:lineRule="auto"/>
        <w:ind w:left="41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5.比较与评价</w:t>
      </w:r>
    </w:p>
    <w:p w14:paraId="173C0BDC">
      <w:pPr>
        <w:spacing w:before="127" w:line="287" w:lineRule="auto"/>
        <w:ind w:right="95" w:firstLine="41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5.1评标委员会按照招标文件中规定的评标方法和评标标准，对符合性审查合格的投标文件进</w:t>
      </w:r>
      <w:r>
        <w:rPr>
          <w:rFonts w:hint="eastAsia" w:asciiTheme="minorEastAsia" w:hAnsiTheme="minorEastAsia" w:eastAsiaTheme="minorEastAsia" w:cstheme="minorEastAsia"/>
          <w:color w:val="auto"/>
          <w:spacing w:val="11"/>
          <w:sz w:val="21"/>
          <w:szCs w:val="21"/>
        </w:rPr>
        <w:t xml:space="preserve"> </w:t>
      </w:r>
      <w:r>
        <w:rPr>
          <w:rFonts w:hint="eastAsia" w:asciiTheme="minorEastAsia" w:hAnsiTheme="minorEastAsia" w:eastAsiaTheme="minorEastAsia" w:cstheme="minorEastAsia"/>
          <w:color w:val="auto"/>
          <w:spacing w:val="-1"/>
          <w:sz w:val="21"/>
          <w:szCs w:val="21"/>
        </w:rPr>
        <w:t>行商务和技术评估，综合比较与评价。</w:t>
      </w:r>
    </w:p>
    <w:p w14:paraId="0A59BECD">
      <w:pPr>
        <w:spacing w:before="188" w:line="213" w:lineRule="auto"/>
        <w:ind w:left="41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5.2评标委员会各成员独立对每个投标人的投标文件进行评价</w:t>
      </w:r>
      <w:r>
        <w:rPr>
          <w:rFonts w:hint="eastAsia" w:asciiTheme="minorEastAsia" w:hAnsiTheme="minorEastAsia" w:eastAsiaTheme="minorEastAsia" w:cstheme="minorEastAsia"/>
          <w:color w:val="auto"/>
          <w:spacing w:val="1"/>
          <w:sz w:val="21"/>
          <w:szCs w:val="21"/>
        </w:rPr>
        <w:t>，并汇总每个投标人的得分。</w:t>
      </w:r>
    </w:p>
    <w:p w14:paraId="600B920F">
      <w:pPr>
        <w:spacing w:before="156" w:line="485" w:lineRule="auto"/>
        <w:ind w:firstLine="52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(1)评审委员会成员要根据政府采购法律法规和招标文件所载明的评标方法、标准进行评审。</w:t>
      </w:r>
      <w:r>
        <w:rPr>
          <w:rFonts w:hint="eastAsia" w:asciiTheme="minorEastAsia" w:hAnsiTheme="minorEastAsia" w:eastAsiaTheme="minorEastAsia" w:cstheme="minorEastAsia"/>
          <w:color w:val="auto"/>
          <w:spacing w:val="6"/>
          <w:sz w:val="21"/>
          <w:szCs w:val="21"/>
        </w:rPr>
        <w:t xml:space="preserve"> </w:t>
      </w:r>
      <w:r>
        <w:rPr>
          <w:rFonts w:hint="eastAsia" w:asciiTheme="minorEastAsia" w:hAnsiTheme="minorEastAsia" w:eastAsiaTheme="minorEastAsia" w:cstheme="minorEastAsia"/>
          <w:color w:val="auto"/>
          <w:spacing w:val="-1"/>
          <w:sz w:val="21"/>
          <w:szCs w:val="21"/>
        </w:rPr>
        <w:t>对投标人的价格分等客观评分项的评分应当一致，对其他需要借助专业知识评判的主观评分</w:t>
      </w:r>
      <w:r>
        <w:rPr>
          <w:rFonts w:hint="eastAsia" w:asciiTheme="minorEastAsia" w:hAnsiTheme="minorEastAsia" w:eastAsiaTheme="minorEastAsia" w:cstheme="minorEastAsia"/>
          <w:color w:val="auto"/>
          <w:spacing w:val="-2"/>
          <w:sz w:val="21"/>
          <w:szCs w:val="21"/>
        </w:rPr>
        <w:t>项，应</w:t>
      </w:r>
      <w:r>
        <w:rPr>
          <w:rFonts w:hint="eastAsia" w:asciiTheme="minorEastAsia" w:hAnsiTheme="minorEastAsia" w:eastAsiaTheme="minorEastAsia" w:cstheme="minorEastAsia"/>
          <w:color w:val="auto"/>
          <w:sz w:val="21"/>
          <w:szCs w:val="21"/>
        </w:rPr>
        <w:t xml:space="preserve">  当严格按照评分细则公正评分。</w:t>
      </w:r>
    </w:p>
    <w:p w14:paraId="102F2834">
      <w:pPr>
        <w:spacing w:before="136" w:line="473" w:lineRule="auto"/>
        <w:ind w:right="87" w:firstLine="52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(2)评标委员会认为投标人的报价明显低于其他通过符合性审查投标人的报价，有可能影响</w:t>
      </w:r>
      <w:r>
        <w:rPr>
          <w:rFonts w:hint="eastAsia" w:asciiTheme="minorEastAsia" w:hAnsiTheme="minorEastAsia" w:eastAsiaTheme="minorEastAsia" w:cstheme="minorEastAsia"/>
          <w:color w:val="auto"/>
          <w:spacing w:val="7"/>
          <w:sz w:val="21"/>
          <w:szCs w:val="21"/>
        </w:rPr>
        <w:t xml:space="preserve"> </w:t>
      </w:r>
      <w:r>
        <w:rPr>
          <w:rFonts w:hint="eastAsia" w:asciiTheme="minorEastAsia" w:hAnsiTheme="minorEastAsia" w:eastAsiaTheme="minorEastAsia" w:cstheme="minorEastAsia"/>
          <w:color w:val="auto"/>
          <w:spacing w:val="2"/>
          <w:sz w:val="21"/>
          <w:szCs w:val="21"/>
        </w:rPr>
        <w:t>产品质量或者不能诚信履约的，应当要求其在评标现场合理的时间内</w:t>
      </w:r>
      <w:r>
        <w:rPr>
          <w:rFonts w:hint="eastAsia" w:asciiTheme="minorEastAsia" w:hAnsiTheme="minorEastAsia" w:eastAsiaTheme="minorEastAsia" w:cstheme="minorEastAsia"/>
          <w:color w:val="auto"/>
          <w:spacing w:val="1"/>
          <w:sz w:val="21"/>
          <w:szCs w:val="21"/>
        </w:rPr>
        <w:t>提供书面说明，必要时提交</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2"/>
          <w:sz w:val="21"/>
          <w:szCs w:val="21"/>
        </w:rPr>
        <w:t>相关证明材料；投标人不能证明其报价合理性的，评标委员</w:t>
      </w:r>
      <w:r>
        <w:rPr>
          <w:rFonts w:hint="eastAsia" w:asciiTheme="minorEastAsia" w:hAnsiTheme="minorEastAsia" w:eastAsiaTheme="minorEastAsia" w:cstheme="minorEastAsia"/>
          <w:color w:val="auto"/>
          <w:spacing w:val="1"/>
          <w:sz w:val="21"/>
          <w:szCs w:val="21"/>
        </w:rPr>
        <w:t>会将其作为无效投标处理。</w:t>
      </w:r>
    </w:p>
    <w:p w14:paraId="66CEF6F1">
      <w:pPr>
        <w:spacing w:before="165" w:line="283" w:lineRule="auto"/>
        <w:ind w:right="127" w:firstLine="41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5.3评标委员会按照招标文件中规定的评标方</w:t>
      </w:r>
      <w:r>
        <w:rPr>
          <w:rFonts w:hint="eastAsia" w:asciiTheme="minorEastAsia" w:hAnsiTheme="minorEastAsia" w:eastAsiaTheme="minorEastAsia" w:cstheme="minorEastAsia"/>
          <w:color w:val="auto"/>
          <w:sz w:val="21"/>
          <w:szCs w:val="21"/>
        </w:rPr>
        <w:t>法和标准计算各投标人的报价得分。在评标过程 中，不得去掉报价中的最高报价和最低报价。</w:t>
      </w:r>
    </w:p>
    <w:p w14:paraId="242D8080">
      <w:pPr>
        <w:spacing w:before="176" w:line="221" w:lineRule="auto"/>
        <w:ind w:left="41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5.4各投标人的得分为评标委员会各成员的有效评分的算术平均数。</w:t>
      </w:r>
    </w:p>
    <w:p w14:paraId="279FC96D">
      <w:pPr>
        <w:spacing w:before="149" w:line="221" w:lineRule="auto"/>
        <w:ind w:left="41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5.5评标委员会按照招标文件中的规定推荐中标候</w:t>
      </w:r>
      <w:r>
        <w:rPr>
          <w:rFonts w:hint="eastAsia" w:asciiTheme="minorEastAsia" w:hAnsiTheme="minorEastAsia" w:eastAsiaTheme="minorEastAsia" w:cstheme="minorEastAsia"/>
          <w:color w:val="auto"/>
          <w:spacing w:val="1"/>
          <w:sz w:val="21"/>
          <w:szCs w:val="21"/>
        </w:rPr>
        <w:t>选人。</w:t>
      </w:r>
    </w:p>
    <w:p w14:paraId="715A133D">
      <w:pPr>
        <w:spacing w:before="179" w:line="315" w:lineRule="auto"/>
        <w:ind w:right="86" w:firstLine="41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5.6起草并签署评标报告。评标委员会根据评标委员会各成员签字的原始评标记录和评标结果</w:t>
      </w:r>
      <w:r>
        <w:rPr>
          <w:rFonts w:hint="eastAsia" w:asciiTheme="minorEastAsia" w:hAnsiTheme="minorEastAsia" w:eastAsiaTheme="minorEastAsia" w:cstheme="minorEastAsia"/>
          <w:color w:val="auto"/>
          <w:spacing w:val="13"/>
          <w:sz w:val="21"/>
          <w:szCs w:val="21"/>
        </w:rPr>
        <w:t xml:space="preserve"> </w:t>
      </w:r>
      <w:r>
        <w:rPr>
          <w:rFonts w:hint="eastAsia" w:asciiTheme="minorEastAsia" w:hAnsiTheme="minorEastAsia" w:eastAsiaTheme="minorEastAsia" w:cstheme="minorEastAsia"/>
          <w:color w:val="auto"/>
          <w:spacing w:val="-1"/>
          <w:sz w:val="21"/>
          <w:szCs w:val="21"/>
        </w:rPr>
        <w:t>编写评标报告。评标委员会成员均应当在评标报告上签字，对自己的评标</w:t>
      </w:r>
      <w:r>
        <w:rPr>
          <w:rFonts w:hint="eastAsia" w:asciiTheme="minorEastAsia" w:hAnsiTheme="minorEastAsia" w:eastAsiaTheme="minorEastAsia" w:cstheme="minorEastAsia"/>
          <w:color w:val="auto"/>
          <w:spacing w:val="-2"/>
          <w:sz w:val="21"/>
          <w:szCs w:val="21"/>
        </w:rPr>
        <w:t>意见承担法律责任。对评</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1"/>
          <w:sz w:val="21"/>
          <w:szCs w:val="21"/>
        </w:rPr>
        <w:t>标过程中需要共同认定的事项存在争议的，应当按照少数服从多数的原则做出结论。持不同意见的</w:t>
      </w:r>
      <w:r>
        <w:rPr>
          <w:rFonts w:hint="eastAsia" w:asciiTheme="minorEastAsia" w:hAnsiTheme="minorEastAsia" w:eastAsiaTheme="minorEastAsia" w:cstheme="minorEastAsia"/>
          <w:color w:val="auto"/>
          <w:sz w:val="21"/>
          <w:szCs w:val="21"/>
        </w:rPr>
        <w:t xml:space="preserve"> 评标委员会应当在评标报告上签署不同意见及理由，否则视为同意评标报告。</w:t>
      </w:r>
    </w:p>
    <w:p w14:paraId="66D16B3E">
      <w:pPr>
        <w:spacing w:before="207" w:line="222" w:lineRule="auto"/>
        <w:ind w:left="41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6.评审复核</w:t>
      </w:r>
    </w:p>
    <w:p w14:paraId="3B670D81">
      <w:pPr>
        <w:spacing w:before="138" w:line="213" w:lineRule="auto"/>
        <w:ind w:left="41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6.1评标报告签署前，评标委员会要对评审结果进行复核，复核意见要体现在评标报告中。</w:t>
      </w:r>
    </w:p>
    <w:p w14:paraId="21018938">
      <w:pPr>
        <w:pStyle w:val="10"/>
        <w:spacing w:line="327" w:lineRule="auto"/>
        <w:rPr>
          <w:rFonts w:hint="eastAsia" w:asciiTheme="minorEastAsia" w:hAnsiTheme="minorEastAsia" w:eastAsiaTheme="minorEastAsia" w:cstheme="minorEastAsia"/>
          <w:color w:val="auto"/>
        </w:rPr>
      </w:pPr>
    </w:p>
    <w:p w14:paraId="21DCCC49">
      <w:pPr>
        <w:spacing w:before="68" w:line="213" w:lineRule="auto"/>
        <w:ind w:left="41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6.2评标结果汇总完成后，除下列情形外，任何人不得修改评标结果：</w:t>
      </w:r>
    </w:p>
    <w:p w14:paraId="5CA3B9DA">
      <w:pPr>
        <w:spacing w:before="308" w:line="213" w:lineRule="auto"/>
        <w:ind w:left="5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(一)分值汇总计算错误的；</w:t>
      </w:r>
    </w:p>
    <w:p w14:paraId="7288C623">
      <w:pPr>
        <w:pStyle w:val="10"/>
        <w:spacing w:line="257" w:lineRule="auto"/>
        <w:rPr>
          <w:rFonts w:hint="eastAsia" w:asciiTheme="minorEastAsia" w:hAnsiTheme="minorEastAsia" w:eastAsiaTheme="minorEastAsia" w:cstheme="minorEastAsia"/>
          <w:color w:val="auto"/>
        </w:rPr>
      </w:pPr>
    </w:p>
    <w:p w14:paraId="745584F8">
      <w:pPr>
        <w:spacing w:before="69" w:line="213" w:lineRule="auto"/>
        <w:ind w:left="5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5"/>
          <w:sz w:val="21"/>
          <w:szCs w:val="21"/>
        </w:rPr>
        <w:t>(二)分项评分超出评分标准范围的；</w:t>
      </w:r>
    </w:p>
    <w:p w14:paraId="5C375343">
      <w:pPr>
        <w:pStyle w:val="10"/>
        <w:spacing w:line="257" w:lineRule="auto"/>
        <w:rPr>
          <w:rFonts w:hint="eastAsia" w:asciiTheme="minorEastAsia" w:hAnsiTheme="minorEastAsia" w:eastAsiaTheme="minorEastAsia" w:cstheme="minorEastAsia"/>
          <w:color w:val="auto"/>
        </w:rPr>
      </w:pPr>
    </w:p>
    <w:p w14:paraId="4615C02D">
      <w:pPr>
        <w:spacing w:before="70" w:line="213" w:lineRule="auto"/>
        <w:ind w:left="5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(三)评标委员会成员对客观评审因素评分不一致的；</w:t>
      </w:r>
    </w:p>
    <w:p w14:paraId="05910EBE">
      <w:pPr>
        <w:spacing w:before="306" w:line="221" w:lineRule="auto"/>
        <w:ind w:left="5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5"/>
          <w:sz w:val="21"/>
          <w:szCs w:val="21"/>
        </w:rPr>
        <w:t>(四)经评标委员会认定评分畸高、畸低的。</w:t>
      </w:r>
    </w:p>
    <w:p w14:paraId="0D97DEE2">
      <w:pPr>
        <w:spacing w:line="221" w:lineRule="auto"/>
        <w:rPr>
          <w:rFonts w:hint="eastAsia" w:asciiTheme="minorEastAsia" w:hAnsiTheme="minorEastAsia" w:eastAsiaTheme="minorEastAsia" w:cstheme="minorEastAsia"/>
          <w:color w:val="auto"/>
          <w:sz w:val="21"/>
          <w:szCs w:val="21"/>
        </w:rPr>
        <w:sectPr>
          <w:footerReference r:id="rId28" w:type="default"/>
          <w:pgSz w:w="11900" w:h="16830"/>
          <w:pgMar w:top="1115" w:right="1385" w:bottom="991" w:left="1440" w:header="0" w:footer="847" w:gutter="0"/>
          <w:cols w:space="720" w:num="1"/>
        </w:sectPr>
      </w:pPr>
    </w:p>
    <w:p w14:paraId="06A70BCC">
      <w:pPr>
        <w:spacing w:before="41" w:line="350" w:lineRule="auto"/>
        <w:ind w:firstLine="419"/>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评标报告签署前，经复核发现存在以上情形之一的，评标委员会应当当场修改评标结果，并在</w:t>
      </w:r>
      <w:r>
        <w:rPr>
          <w:rFonts w:hint="eastAsia" w:asciiTheme="minorEastAsia" w:hAnsiTheme="minorEastAsia" w:eastAsiaTheme="minorEastAsia" w:cstheme="minorEastAsia"/>
          <w:color w:val="auto"/>
          <w:spacing w:val="13"/>
          <w:sz w:val="21"/>
          <w:szCs w:val="21"/>
        </w:rPr>
        <w:t xml:space="preserve"> </w:t>
      </w:r>
      <w:r>
        <w:rPr>
          <w:rFonts w:hint="eastAsia" w:asciiTheme="minorEastAsia" w:hAnsiTheme="minorEastAsia" w:eastAsiaTheme="minorEastAsia" w:cstheme="minorEastAsia"/>
          <w:color w:val="auto"/>
          <w:spacing w:val="-1"/>
          <w:sz w:val="21"/>
          <w:szCs w:val="21"/>
        </w:rPr>
        <w:t>评标报告中记载；评标报告签署后，采购人或者采购代理机构发现存在以上情形之一的，应</w:t>
      </w:r>
      <w:r>
        <w:rPr>
          <w:rFonts w:hint="eastAsia" w:asciiTheme="minorEastAsia" w:hAnsiTheme="minorEastAsia" w:eastAsiaTheme="minorEastAsia" w:cstheme="minorEastAsia"/>
          <w:color w:val="auto"/>
          <w:spacing w:val="-2"/>
          <w:sz w:val="21"/>
          <w:szCs w:val="21"/>
        </w:rPr>
        <w:t>当组织</w:t>
      </w:r>
      <w:r>
        <w:rPr>
          <w:rFonts w:hint="eastAsia" w:asciiTheme="minorEastAsia" w:hAnsiTheme="minorEastAsia" w:eastAsiaTheme="minorEastAsia" w:cstheme="minorEastAsia"/>
          <w:color w:val="auto"/>
          <w:sz w:val="21"/>
          <w:szCs w:val="21"/>
        </w:rPr>
        <w:t xml:space="preserve"> 原评标委员会进行重新评审，重新评审改变评标结果的，书面报告本级财政部门。</w:t>
      </w:r>
    </w:p>
    <w:p w14:paraId="7EB39310">
      <w:pPr>
        <w:spacing w:line="350" w:lineRule="auto"/>
        <w:rPr>
          <w:rFonts w:hint="eastAsia" w:asciiTheme="minorEastAsia" w:hAnsiTheme="minorEastAsia" w:eastAsiaTheme="minorEastAsia" w:cstheme="minorEastAsia"/>
          <w:color w:val="auto"/>
          <w:sz w:val="21"/>
          <w:szCs w:val="21"/>
        </w:rPr>
        <w:sectPr>
          <w:footerReference r:id="rId29" w:type="default"/>
          <w:pgSz w:w="11900" w:h="16830"/>
          <w:pgMar w:top="1125" w:right="1464" w:bottom="991" w:left="1450" w:header="0" w:footer="847" w:gutter="0"/>
          <w:cols w:space="720" w:num="1"/>
        </w:sectPr>
      </w:pPr>
    </w:p>
    <w:p w14:paraId="69F71D95">
      <w:pPr>
        <w:pStyle w:val="3"/>
        <w:numPr>
          <w:ilvl w:val="1"/>
          <w:numId w:val="0"/>
        </w:numPr>
        <w:bidi w:val="0"/>
        <w:ind w:leftChars="0"/>
        <w:jc w:val="center"/>
        <w:rPr>
          <w:rFonts w:hint="eastAsia"/>
          <w:color w:val="auto"/>
        </w:rPr>
      </w:pPr>
      <w:r>
        <w:rPr>
          <w:rFonts w:hint="eastAsia"/>
          <w:color w:val="auto"/>
        </w:rPr>
        <w:t>第三节</w:t>
      </w:r>
      <w:r>
        <w:rPr>
          <w:rFonts w:hint="eastAsia"/>
          <w:color w:val="auto"/>
          <w:lang w:val="en-US" w:eastAsia="zh-CN"/>
        </w:rPr>
        <w:t xml:space="preserve"> </w:t>
      </w:r>
      <w:r>
        <w:rPr>
          <w:rFonts w:hint="eastAsia"/>
          <w:color w:val="auto"/>
        </w:rPr>
        <w:t>评分标准</w:t>
      </w:r>
    </w:p>
    <w:p w14:paraId="2BD26AA8">
      <w:pPr>
        <w:pStyle w:val="10"/>
        <w:spacing w:line="257" w:lineRule="auto"/>
        <w:rPr>
          <w:rFonts w:hint="eastAsia" w:asciiTheme="minorEastAsia" w:hAnsiTheme="minorEastAsia" w:eastAsiaTheme="minorEastAsia" w:cstheme="minorEastAsia"/>
          <w:color w:val="auto"/>
        </w:rPr>
      </w:pPr>
    </w:p>
    <w:p w14:paraId="61BF6562">
      <w:pPr>
        <w:spacing w:before="101" w:line="220" w:lineRule="auto"/>
        <w:jc w:val="center"/>
        <w:rPr>
          <w:rFonts w:hint="eastAsia" w:asciiTheme="minorEastAsia" w:hAnsiTheme="minorEastAsia" w:eastAsiaTheme="minorEastAsia" w:cstheme="minorEastAsia"/>
          <w:b/>
          <w:bCs/>
          <w:color w:val="auto"/>
          <w:spacing w:val="-11"/>
          <w:sz w:val="31"/>
          <w:szCs w:val="31"/>
          <w:highlight w:val="none"/>
        </w:rPr>
      </w:pPr>
      <w:r>
        <w:rPr>
          <w:rFonts w:hint="eastAsia" w:asciiTheme="minorEastAsia" w:hAnsiTheme="minorEastAsia" w:eastAsiaTheme="minorEastAsia" w:cstheme="minorEastAsia"/>
          <w:b/>
          <w:bCs/>
          <w:color w:val="auto"/>
          <w:spacing w:val="-11"/>
          <w:sz w:val="31"/>
          <w:szCs w:val="31"/>
          <w:highlight w:val="none"/>
          <w:lang w:val="en-US" w:eastAsia="zh-CN"/>
        </w:rPr>
        <w:t>评分法1：</w:t>
      </w:r>
      <w:r>
        <w:rPr>
          <w:rFonts w:hint="eastAsia" w:asciiTheme="minorEastAsia" w:hAnsiTheme="minorEastAsia" w:eastAsiaTheme="minorEastAsia" w:cstheme="minorEastAsia"/>
          <w:b/>
          <w:bCs/>
          <w:color w:val="auto"/>
          <w:spacing w:val="-11"/>
          <w:sz w:val="31"/>
          <w:szCs w:val="31"/>
          <w:highlight w:val="none"/>
        </w:rPr>
        <w:t>综合评分法</w:t>
      </w:r>
      <w:r>
        <w:rPr>
          <w:rFonts w:hint="eastAsia" w:asciiTheme="minorEastAsia" w:hAnsiTheme="minorEastAsia" w:eastAsiaTheme="minorEastAsia" w:cstheme="minorEastAsia"/>
          <w:b/>
          <w:bCs/>
          <w:color w:val="auto"/>
          <w:spacing w:val="-11"/>
          <w:sz w:val="31"/>
          <w:szCs w:val="31"/>
          <w:highlight w:val="none"/>
          <w:lang w:eastAsia="zh-CN"/>
        </w:rPr>
        <w:t>（</w:t>
      </w:r>
      <w:r>
        <w:rPr>
          <w:rFonts w:hint="eastAsia" w:asciiTheme="minorEastAsia" w:hAnsiTheme="minorEastAsia" w:eastAsiaTheme="minorEastAsia" w:cstheme="minorEastAsia"/>
          <w:b/>
          <w:bCs/>
          <w:color w:val="auto"/>
          <w:spacing w:val="-11"/>
          <w:sz w:val="31"/>
          <w:szCs w:val="31"/>
          <w:highlight w:val="none"/>
          <w:lang w:val="en-US" w:eastAsia="zh-CN"/>
        </w:rPr>
        <w:t>适用于标段1）</w:t>
      </w:r>
    </w:p>
    <w:p w14:paraId="11B299E8">
      <w:pPr>
        <w:spacing w:before="65" w:line="221" w:lineRule="auto"/>
        <w:ind w:left="454"/>
        <w:rPr>
          <w:rFonts w:hint="eastAsia" w:asciiTheme="minorEastAsia" w:hAnsiTheme="minorEastAsia" w:eastAsiaTheme="minorEastAsia" w:cstheme="minorEastAsia"/>
          <w:color w:val="auto"/>
          <w:spacing w:val="10"/>
          <w:sz w:val="20"/>
          <w:szCs w:val="20"/>
        </w:rPr>
      </w:pPr>
    </w:p>
    <w:p w14:paraId="080A9012">
      <w:pPr>
        <w:spacing w:before="65" w:line="221" w:lineRule="auto"/>
        <w:ind w:left="45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0"/>
          <w:sz w:val="20"/>
          <w:szCs w:val="20"/>
        </w:rPr>
        <w:t>注：计分方法按四舍五入取至百分位。</w:t>
      </w:r>
    </w:p>
    <w:tbl>
      <w:tblPr>
        <w:tblStyle w:val="17"/>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320"/>
        <w:gridCol w:w="1518"/>
        <w:gridCol w:w="6466"/>
      </w:tblGrid>
      <w:tr w14:paraId="05CC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5" w:type="dxa"/>
            <w:gridSpan w:val="2"/>
            <w:tcBorders>
              <w:top w:val="single" w:color="auto" w:sz="4" w:space="0"/>
              <w:left w:val="single" w:color="auto" w:sz="4" w:space="0"/>
              <w:bottom w:val="single" w:color="auto" w:sz="4" w:space="0"/>
              <w:right w:val="single" w:color="auto" w:sz="4" w:space="0"/>
            </w:tcBorders>
            <w:noWrap w:val="0"/>
            <w:vAlign w:val="center"/>
          </w:tcPr>
          <w:p w14:paraId="49CA48F9">
            <w:pPr>
              <w:pStyle w:val="11"/>
              <w:spacing w:line="44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b/>
                <w:color w:val="auto"/>
                <w:sz w:val="24"/>
                <w:highlight w:val="none"/>
                <w:lang w:val="en-US" w:eastAsia="zh-CN"/>
              </w:rPr>
              <w:t>序号</w:t>
            </w:r>
          </w:p>
        </w:tc>
        <w:tc>
          <w:tcPr>
            <w:tcW w:w="1518" w:type="dxa"/>
            <w:tcBorders>
              <w:top w:val="single" w:color="auto" w:sz="4" w:space="0"/>
              <w:left w:val="single" w:color="auto" w:sz="4" w:space="0"/>
              <w:bottom w:val="single" w:color="auto" w:sz="4" w:space="0"/>
              <w:right w:val="single" w:color="auto" w:sz="4" w:space="0"/>
            </w:tcBorders>
            <w:noWrap w:val="0"/>
            <w:vAlign w:val="center"/>
          </w:tcPr>
          <w:p w14:paraId="6156E37A">
            <w:pPr>
              <w:pStyle w:val="11"/>
              <w:spacing w:line="44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b/>
                <w:color w:val="auto"/>
                <w:sz w:val="24"/>
                <w:highlight w:val="none"/>
                <w:lang w:val="en-US" w:eastAsia="zh-CN"/>
              </w:rPr>
              <w:t>评分因素</w:t>
            </w:r>
          </w:p>
        </w:tc>
        <w:tc>
          <w:tcPr>
            <w:tcW w:w="6466" w:type="dxa"/>
            <w:tcBorders>
              <w:top w:val="single" w:color="auto" w:sz="4" w:space="0"/>
              <w:left w:val="single" w:color="auto" w:sz="4" w:space="0"/>
              <w:bottom w:val="single" w:color="auto" w:sz="4" w:space="0"/>
              <w:right w:val="single" w:color="auto" w:sz="4" w:space="0"/>
            </w:tcBorders>
            <w:noWrap w:val="0"/>
            <w:vAlign w:val="center"/>
          </w:tcPr>
          <w:p w14:paraId="7967BEC8">
            <w:pPr>
              <w:pStyle w:val="11"/>
              <w:spacing w:line="44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b/>
                <w:color w:val="auto"/>
                <w:sz w:val="24"/>
                <w:highlight w:val="none"/>
                <w:lang w:val="en-US" w:eastAsia="zh-CN"/>
              </w:rPr>
              <w:t>评分标准</w:t>
            </w:r>
          </w:p>
        </w:tc>
      </w:tr>
      <w:tr w14:paraId="0644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dxa"/>
            <w:tcBorders>
              <w:top w:val="single" w:color="auto" w:sz="4" w:space="0"/>
              <w:left w:val="single" w:color="auto" w:sz="4" w:space="0"/>
              <w:bottom w:val="single" w:color="auto" w:sz="4" w:space="0"/>
              <w:right w:val="single" w:color="auto" w:sz="4" w:space="0"/>
            </w:tcBorders>
            <w:noWrap w:val="0"/>
            <w:vAlign w:val="center"/>
          </w:tcPr>
          <w:p w14:paraId="74C0D431">
            <w:pPr>
              <w:pStyle w:val="11"/>
              <w:spacing w:line="440" w:lineRule="exac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1</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717BE0B">
            <w:pPr>
              <w:pStyle w:val="11"/>
              <w:spacing w:line="440" w:lineRule="exac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价格分</w:t>
            </w:r>
          </w:p>
          <w:p w14:paraId="04A2F2DF">
            <w:pPr>
              <w:pStyle w:val="11"/>
              <w:spacing w:line="440" w:lineRule="exact"/>
              <w:jc w:val="center"/>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（30分）</w:t>
            </w:r>
          </w:p>
          <w:p w14:paraId="541EE9E9">
            <w:pPr>
              <w:pStyle w:val="11"/>
              <w:spacing w:line="440" w:lineRule="exact"/>
              <w:jc w:val="center"/>
              <w:rPr>
                <w:rFonts w:hint="eastAsia" w:ascii="仿宋" w:hAnsi="仿宋" w:eastAsia="仿宋" w:cs="仿宋"/>
                <w:color w:val="auto"/>
                <w:sz w:val="24"/>
                <w:highlight w:val="none"/>
                <w:lang w:val="en-US" w:eastAsia="zh-CN"/>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14:paraId="31BAF615">
            <w:pPr>
              <w:pStyle w:val="11"/>
              <w:spacing w:line="44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价格分（满分30分）</w:t>
            </w:r>
          </w:p>
        </w:tc>
        <w:tc>
          <w:tcPr>
            <w:tcW w:w="6466" w:type="dxa"/>
            <w:tcBorders>
              <w:top w:val="single" w:color="auto" w:sz="4" w:space="0"/>
              <w:left w:val="single" w:color="auto" w:sz="4" w:space="0"/>
              <w:bottom w:val="single" w:color="auto" w:sz="4" w:space="0"/>
              <w:right w:val="single" w:color="auto" w:sz="4" w:space="0"/>
            </w:tcBorders>
            <w:noWrap w:val="0"/>
            <w:vAlign w:val="center"/>
          </w:tcPr>
          <w:p w14:paraId="415768C1">
            <w:pPr>
              <w:pStyle w:val="11"/>
              <w:spacing w:line="44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以满足</w:t>
            </w:r>
            <w:r>
              <w:rPr>
                <w:rFonts w:hint="eastAsia" w:ascii="仿宋" w:hAnsi="仿宋" w:eastAsia="仿宋" w:cs="仿宋"/>
                <w:bCs/>
                <w:color w:val="auto"/>
                <w:sz w:val="24"/>
                <w:highlight w:val="none"/>
                <w:lang w:val="en-US" w:eastAsia="zh-CN"/>
              </w:rPr>
              <w:t>招标</w:t>
            </w:r>
            <w:r>
              <w:rPr>
                <w:rFonts w:hint="eastAsia" w:ascii="仿宋" w:hAnsi="仿宋" w:eastAsia="仿宋" w:cs="仿宋"/>
                <w:bCs/>
                <w:color w:val="auto"/>
                <w:sz w:val="24"/>
                <w:highlight w:val="none"/>
              </w:rPr>
              <w:t>文件要求且报价最低的供应商的价格为</w:t>
            </w:r>
            <w:r>
              <w:rPr>
                <w:rFonts w:hint="eastAsia" w:ascii="仿宋" w:hAnsi="仿宋" w:eastAsia="仿宋" w:cs="仿宋"/>
                <w:bCs/>
                <w:color w:val="auto"/>
                <w:sz w:val="24"/>
                <w:highlight w:val="none"/>
                <w:lang w:val="en-US" w:eastAsia="zh-CN"/>
              </w:rPr>
              <w:t>评标</w:t>
            </w:r>
            <w:r>
              <w:rPr>
                <w:rFonts w:hint="eastAsia" w:ascii="仿宋" w:hAnsi="仿宋" w:eastAsia="仿宋" w:cs="仿宋"/>
                <w:bCs/>
                <w:color w:val="auto"/>
                <w:sz w:val="24"/>
                <w:highlight w:val="none"/>
              </w:rPr>
              <w:t>基准价，其价格分为满分。其他供应商的价格分统一按照下列公式计算：</w:t>
            </w:r>
          </w:p>
          <w:p w14:paraId="79D2091C">
            <w:pPr>
              <w:pStyle w:val="11"/>
              <w:spacing w:line="44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投标</w:t>
            </w:r>
            <w:r>
              <w:rPr>
                <w:rFonts w:hint="eastAsia" w:ascii="仿宋" w:hAnsi="仿宋" w:eastAsia="仿宋" w:cs="仿宋"/>
                <w:bCs/>
                <w:color w:val="auto"/>
                <w:sz w:val="24"/>
                <w:highlight w:val="none"/>
              </w:rPr>
              <w:t>报价得分=（</w:t>
            </w:r>
            <w:r>
              <w:rPr>
                <w:rFonts w:hint="eastAsia" w:ascii="仿宋" w:hAnsi="仿宋" w:eastAsia="仿宋" w:cs="仿宋"/>
                <w:bCs/>
                <w:color w:val="auto"/>
                <w:sz w:val="24"/>
                <w:highlight w:val="none"/>
                <w:lang w:val="en-US" w:eastAsia="zh-CN"/>
              </w:rPr>
              <w:t>评标</w:t>
            </w:r>
            <w:r>
              <w:rPr>
                <w:rFonts w:hint="eastAsia" w:ascii="仿宋" w:hAnsi="仿宋" w:eastAsia="仿宋" w:cs="仿宋"/>
                <w:bCs/>
                <w:color w:val="auto"/>
                <w:sz w:val="24"/>
                <w:highlight w:val="none"/>
              </w:rPr>
              <w:t>基准价/</w:t>
            </w:r>
            <w:r>
              <w:rPr>
                <w:rFonts w:hint="eastAsia" w:ascii="仿宋" w:hAnsi="仿宋" w:eastAsia="仿宋" w:cs="仿宋"/>
                <w:bCs/>
                <w:color w:val="auto"/>
                <w:sz w:val="24"/>
                <w:highlight w:val="none"/>
                <w:lang w:val="en-US" w:eastAsia="zh-CN"/>
              </w:rPr>
              <w:t>投标</w:t>
            </w:r>
            <w:r>
              <w:rPr>
                <w:rFonts w:hint="eastAsia" w:ascii="仿宋" w:hAnsi="仿宋" w:eastAsia="仿宋" w:cs="仿宋"/>
                <w:bCs/>
                <w:color w:val="auto"/>
                <w:sz w:val="24"/>
                <w:highlight w:val="none"/>
              </w:rPr>
              <w:t>报价）×</w:t>
            </w: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rPr>
              <w:t>0</w:t>
            </w:r>
          </w:p>
          <w:p w14:paraId="55B32368">
            <w:pPr>
              <w:pStyle w:val="7"/>
              <w:ind w:left="0"/>
              <w:rPr>
                <w:rFonts w:hint="eastAsia" w:eastAsia="宋体"/>
                <w:color w:val="auto"/>
                <w:lang w:val="en-US" w:eastAsia="zh-CN"/>
              </w:rPr>
            </w:pPr>
            <w:r>
              <w:rPr>
                <w:rFonts w:hint="eastAsia"/>
                <w:color w:val="auto"/>
                <w:lang w:val="en-US" w:eastAsia="zh-CN"/>
              </w:rPr>
              <w:t xml:space="preserve">          </w:t>
            </w:r>
            <w:r>
              <w:rPr>
                <w:rFonts w:hint="eastAsia"/>
                <w:b/>
                <w:bCs/>
                <w:color w:val="auto"/>
                <w:lang w:val="en-US" w:eastAsia="zh-CN"/>
              </w:rPr>
              <w:t>注：标段1</w:t>
            </w:r>
            <w:r>
              <w:rPr>
                <w:rFonts w:hint="eastAsia" w:ascii="宋体" w:hAnsi="宋体" w:cs="宋体"/>
                <w:b/>
                <w:bCs/>
                <w:color w:val="auto"/>
                <w:szCs w:val="21"/>
                <w:highlight w:val="none"/>
              </w:rPr>
              <w:t>属于专门面向中小企业</w:t>
            </w:r>
            <w:r>
              <w:rPr>
                <w:rFonts w:hint="eastAsia" w:ascii="宋体" w:hAnsi="宋体" w:eastAsia="宋体" w:cs="宋体"/>
                <w:b/>
                <w:bCs/>
                <w:color w:val="auto"/>
                <w:szCs w:val="21"/>
                <w:highlight w:val="none"/>
                <w:lang w:val="en-US" w:eastAsia="zh-CN"/>
              </w:rPr>
              <w:t>和</w:t>
            </w:r>
            <w:r>
              <w:rPr>
                <w:rFonts w:hint="eastAsia" w:ascii="宋体" w:hAnsi="宋体" w:cs="宋体"/>
                <w:b/>
                <w:bCs/>
                <w:color w:val="auto"/>
                <w:szCs w:val="21"/>
                <w:highlight w:val="none"/>
              </w:rPr>
              <w:t>小微企业采购的项目</w:t>
            </w:r>
            <w:r>
              <w:rPr>
                <w:rFonts w:hint="eastAsia" w:ascii="宋体" w:hAnsi="宋体" w:eastAsia="宋体" w:cs="宋体"/>
                <w:b/>
                <w:bCs/>
                <w:color w:val="auto"/>
                <w:szCs w:val="21"/>
                <w:highlight w:val="none"/>
                <w:lang w:eastAsia="zh-CN"/>
              </w:rPr>
              <w:t>。</w:t>
            </w:r>
          </w:p>
        </w:tc>
      </w:tr>
      <w:tr w14:paraId="28B5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dxa"/>
            <w:vMerge w:val="restart"/>
            <w:tcBorders>
              <w:top w:val="single" w:color="auto" w:sz="4" w:space="0"/>
              <w:left w:val="single" w:color="auto" w:sz="4" w:space="0"/>
              <w:right w:val="single" w:color="auto" w:sz="4" w:space="0"/>
            </w:tcBorders>
            <w:noWrap w:val="0"/>
            <w:vAlign w:val="center"/>
          </w:tcPr>
          <w:p w14:paraId="7E7966C4">
            <w:pPr>
              <w:jc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1320" w:type="dxa"/>
            <w:vMerge w:val="restart"/>
            <w:tcBorders>
              <w:top w:val="single" w:color="auto" w:sz="4" w:space="0"/>
              <w:left w:val="single" w:color="auto" w:sz="4" w:space="0"/>
              <w:right w:val="single" w:color="auto" w:sz="4" w:space="0"/>
            </w:tcBorders>
            <w:noWrap w:val="0"/>
            <w:vAlign w:val="center"/>
          </w:tcPr>
          <w:p w14:paraId="131FAAD8">
            <w:pPr>
              <w:pStyle w:val="11"/>
              <w:spacing w:line="440" w:lineRule="exact"/>
              <w:jc w:val="center"/>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技术分</w:t>
            </w:r>
          </w:p>
          <w:p w14:paraId="302F7903">
            <w:pPr>
              <w:pStyle w:val="11"/>
              <w:spacing w:line="440" w:lineRule="exact"/>
              <w:jc w:val="center"/>
              <w:rPr>
                <w:rFonts w:hint="eastAsia" w:ascii="仿宋" w:hAnsi="仿宋" w:eastAsia="仿宋" w:cs="仿宋"/>
                <w:bCs w:val="0"/>
                <w:color w:val="auto"/>
                <w:sz w:val="24"/>
                <w:highlight w:val="none"/>
                <w:lang w:val="en-US" w:eastAsia="zh-CN"/>
              </w:rPr>
            </w:pPr>
            <w:r>
              <w:rPr>
                <w:rFonts w:hint="eastAsia" w:ascii="仿宋" w:hAnsi="仿宋" w:eastAsia="仿宋" w:cs="仿宋"/>
                <w:b/>
                <w:bCs/>
                <w:color w:val="auto"/>
                <w:sz w:val="24"/>
                <w:highlight w:val="none"/>
                <w:lang w:val="en-US" w:eastAsia="zh-CN"/>
              </w:rPr>
              <w:t>（满分55分）</w:t>
            </w:r>
          </w:p>
          <w:p w14:paraId="393F04C1">
            <w:pPr>
              <w:pStyle w:val="11"/>
              <w:spacing w:line="440" w:lineRule="exact"/>
              <w:jc w:val="center"/>
              <w:rPr>
                <w:rFonts w:hint="eastAsia" w:ascii="仿宋" w:hAnsi="仿宋" w:eastAsia="仿宋" w:cs="仿宋"/>
                <w:color w:val="auto"/>
                <w:sz w:val="24"/>
                <w:highlight w:val="none"/>
                <w:lang w:val="en-US" w:eastAsia="zh-CN"/>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14:paraId="3DD7691A">
            <w:pPr>
              <w:pStyle w:val="11"/>
              <w:spacing w:line="44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rPr>
              <w:t>货物性能分（满分30 分）</w:t>
            </w:r>
          </w:p>
        </w:tc>
        <w:tc>
          <w:tcPr>
            <w:tcW w:w="6466" w:type="dxa"/>
            <w:tcBorders>
              <w:top w:val="single" w:color="auto" w:sz="4" w:space="0"/>
              <w:left w:val="single" w:color="auto" w:sz="4" w:space="0"/>
              <w:bottom w:val="single" w:color="auto" w:sz="4" w:space="0"/>
              <w:right w:val="single" w:color="auto" w:sz="4" w:space="0"/>
            </w:tcBorders>
            <w:noWrap w:val="0"/>
            <w:vAlign w:val="center"/>
          </w:tcPr>
          <w:p w14:paraId="04BA70F4">
            <w:pPr>
              <w:rPr>
                <w:rFonts w:hint="eastAsia" w:ascii="仿宋" w:hAnsi="仿宋" w:eastAsia="仿宋" w:cs="仿宋"/>
                <w:bCs/>
                <w:color w:val="auto"/>
                <w:kern w:val="0"/>
                <w:sz w:val="24"/>
                <w:szCs w:val="21"/>
                <w:highlight w:val="none"/>
                <w:lang w:val="en-US" w:eastAsia="zh-CN"/>
              </w:rPr>
            </w:pPr>
            <w:r>
              <w:rPr>
                <w:rFonts w:hint="eastAsia" w:ascii="仿宋" w:hAnsi="仿宋" w:eastAsia="仿宋" w:cs="仿宋"/>
                <w:bCs/>
                <w:color w:val="auto"/>
                <w:kern w:val="0"/>
                <w:sz w:val="24"/>
                <w:szCs w:val="21"/>
                <w:highlight w:val="none"/>
                <w:lang w:val="en-US" w:eastAsia="zh-CN"/>
              </w:rPr>
              <w:t>根据招标文件的“采购需求及附件”和投标人提供的“技术服务要求偏离表”进行评审，投标人完全满足或优于招标文件采购需求表及附件清单“打▲项的技术参数且均能提供由国家认可的的第三方检测（验）机构出具的合格有效的检测（验）报告，得30分，满分30分；每存在一项标“▲”技术参数不能提供检测（验）报告或检测（验）报告中无体现或不完全体现的扣2分，扣完为止，不计负分。</w:t>
            </w:r>
          </w:p>
        </w:tc>
      </w:tr>
      <w:tr w14:paraId="60DB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dxa"/>
            <w:vMerge w:val="continue"/>
            <w:tcBorders>
              <w:left w:val="single" w:color="auto" w:sz="4" w:space="0"/>
              <w:right w:val="single" w:color="auto" w:sz="4" w:space="0"/>
            </w:tcBorders>
            <w:noWrap w:val="0"/>
            <w:vAlign w:val="center"/>
          </w:tcPr>
          <w:p w14:paraId="37BE5C83">
            <w:pPr>
              <w:jc w:val="center"/>
              <w:rPr>
                <w:rFonts w:hint="eastAsia" w:ascii="仿宋" w:hAnsi="仿宋" w:eastAsia="仿宋" w:cs="仿宋"/>
                <w:color w:val="auto"/>
                <w:highlight w:val="none"/>
              </w:rPr>
            </w:pPr>
          </w:p>
        </w:tc>
        <w:tc>
          <w:tcPr>
            <w:tcW w:w="1320" w:type="dxa"/>
            <w:vMerge w:val="continue"/>
            <w:tcBorders>
              <w:left w:val="single" w:color="auto" w:sz="4" w:space="0"/>
              <w:right w:val="single" w:color="auto" w:sz="4" w:space="0"/>
            </w:tcBorders>
            <w:noWrap w:val="0"/>
            <w:vAlign w:val="center"/>
          </w:tcPr>
          <w:p w14:paraId="1B6BB2C4">
            <w:pPr>
              <w:pStyle w:val="11"/>
              <w:spacing w:line="440" w:lineRule="exact"/>
              <w:jc w:val="center"/>
              <w:rPr>
                <w:rFonts w:hint="eastAsia" w:ascii="仿宋" w:hAnsi="仿宋" w:eastAsia="仿宋" w:cs="仿宋"/>
                <w:color w:val="auto"/>
                <w:sz w:val="24"/>
                <w:highlight w:val="none"/>
                <w:lang w:val="en-US" w:eastAsia="zh-CN"/>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14:paraId="089BCE41">
            <w:pPr>
              <w:pStyle w:val="11"/>
              <w:spacing w:line="440" w:lineRule="exact"/>
              <w:jc w:val="center"/>
              <w:rPr>
                <w:rFonts w:hint="eastAsia" w:ascii="仿宋" w:hAnsi="仿宋" w:eastAsia="仿宋" w:cs="仿宋"/>
                <w:bCs w:val="0"/>
                <w:color w:val="auto"/>
                <w:sz w:val="24"/>
                <w:szCs w:val="21"/>
                <w:highlight w:val="none"/>
                <w:lang w:val="en-US" w:eastAsia="zh-CN" w:bidi="ar-SA"/>
              </w:rPr>
            </w:pPr>
            <w:r>
              <w:rPr>
                <w:rFonts w:hint="eastAsia" w:ascii="仿宋" w:hAnsi="仿宋" w:eastAsia="仿宋" w:cs="仿宋"/>
                <w:bCs w:val="0"/>
                <w:color w:val="auto"/>
                <w:sz w:val="24"/>
                <w:szCs w:val="21"/>
                <w:highlight w:val="none"/>
                <w:lang w:val="en-US" w:eastAsia="zh-CN" w:bidi="ar-SA"/>
              </w:rPr>
              <w:t>技术及项目实施方案分（满分25 分）</w:t>
            </w:r>
          </w:p>
          <w:p w14:paraId="69765EC1">
            <w:pPr>
              <w:pStyle w:val="11"/>
              <w:spacing w:line="440" w:lineRule="exact"/>
              <w:jc w:val="center"/>
              <w:rPr>
                <w:rFonts w:hint="eastAsia" w:ascii="仿宋" w:hAnsi="仿宋" w:eastAsia="仿宋" w:cs="仿宋"/>
                <w:bCs w:val="0"/>
                <w:color w:val="auto"/>
                <w:sz w:val="24"/>
                <w:szCs w:val="21"/>
                <w:highlight w:val="none"/>
                <w:lang w:val="en-US" w:eastAsia="zh-CN" w:bidi="ar-SA"/>
              </w:rPr>
            </w:pPr>
          </w:p>
        </w:tc>
        <w:tc>
          <w:tcPr>
            <w:tcW w:w="6466" w:type="dxa"/>
            <w:tcBorders>
              <w:top w:val="single" w:color="auto" w:sz="4" w:space="0"/>
              <w:left w:val="single" w:color="auto" w:sz="4" w:space="0"/>
              <w:bottom w:val="single" w:color="auto" w:sz="4" w:space="0"/>
              <w:right w:val="single" w:color="auto" w:sz="4" w:space="0"/>
            </w:tcBorders>
            <w:noWrap w:val="0"/>
            <w:vAlign w:val="center"/>
          </w:tcPr>
          <w:p w14:paraId="51E6CE5B">
            <w:pPr>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根据投标文件中投标人的技术及项目实施方案内容完整性、针对性、可行性及项目团队配置合理性进行独立评分。投标人各项证明材料（证书复印件等）须随投标文件一并提交，否则对应评分不予记分：</w:t>
            </w:r>
          </w:p>
          <w:p w14:paraId="166DA6CC">
            <w:pPr>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一档（8分）：方案提供了项目组织机构及岗位职责、供货方案、配送运输方案、安装方案、调试方案、应急预案、培训方案；为项目实施组建团队，包含一名项目经理，技术人员不少于3人，方案满足项目</w:t>
            </w:r>
            <w:r>
              <w:rPr>
                <w:rFonts w:hint="eastAsia" w:ascii="仿宋" w:hAnsi="仿宋" w:eastAsia="仿宋" w:cs="仿宋"/>
                <w:bCs/>
                <w:color w:val="auto"/>
                <w:sz w:val="24"/>
                <w:highlight w:val="none"/>
                <w:lang w:val="en-US" w:eastAsia="zh-CN"/>
              </w:rPr>
              <w:t>需</w:t>
            </w:r>
            <w:r>
              <w:rPr>
                <w:rFonts w:hint="eastAsia" w:ascii="仿宋" w:hAnsi="仿宋" w:eastAsia="仿宋" w:cs="仿宋"/>
                <w:bCs/>
                <w:color w:val="auto"/>
                <w:sz w:val="24"/>
                <w:highlight w:val="none"/>
                <w:lang w:eastAsia="zh-CN"/>
              </w:rPr>
              <w:t>求，</w:t>
            </w:r>
            <w:r>
              <w:rPr>
                <w:rFonts w:hint="eastAsia" w:ascii="仿宋" w:hAnsi="仿宋" w:eastAsia="仿宋" w:cs="仿宋"/>
                <w:bCs/>
                <w:color w:val="auto"/>
                <w:sz w:val="24"/>
                <w:highlight w:val="none"/>
                <w:lang w:val="en-US" w:eastAsia="zh-CN"/>
              </w:rPr>
              <w:t>核心内容</w:t>
            </w:r>
            <w:r>
              <w:rPr>
                <w:rFonts w:hint="eastAsia" w:ascii="仿宋" w:hAnsi="仿宋" w:eastAsia="仿宋" w:cs="仿宋"/>
                <w:bCs/>
                <w:color w:val="auto"/>
                <w:sz w:val="24"/>
                <w:highlight w:val="none"/>
                <w:lang w:eastAsia="zh-CN"/>
              </w:rPr>
              <w:t>表述</w:t>
            </w:r>
            <w:r>
              <w:rPr>
                <w:rFonts w:hint="eastAsia" w:ascii="仿宋" w:hAnsi="仿宋" w:eastAsia="仿宋" w:cs="仿宋"/>
                <w:bCs/>
                <w:color w:val="auto"/>
                <w:sz w:val="24"/>
                <w:highlight w:val="none"/>
                <w:lang w:val="en-US" w:eastAsia="zh-CN"/>
              </w:rPr>
              <w:t>贴合</w:t>
            </w:r>
            <w:r>
              <w:rPr>
                <w:rFonts w:hint="eastAsia" w:ascii="仿宋" w:hAnsi="仿宋" w:eastAsia="仿宋" w:cs="仿宋"/>
                <w:bCs/>
                <w:color w:val="auto"/>
                <w:sz w:val="24"/>
                <w:highlight w:val="none"/>
                <w:lang w:eastAsia="zh-CN"/>
              </w:rPr>
              <w:t>采购需求原意，</w:t>
            </w:r>
            <w:r>
              <w:rPr>
                <w:rFonts w:hint="eastAsia" w:ascii="仿宋" w:hAnsi="仿宋" w:eastAsia="仿宋" w:cs="仿宋"/>
                <w:bCs/>
                <w:color w:val="auto"/>
                <w:sz w:val="24"/>
                <w:highlight w:val="none"/>
                <w:lang w:val="en-US" w:eastAsia="zh-CN"/>
              </w:rPr>
              <w:t>无重大偏离。</w:t>
            </w:r>
          </w:p>
          <w:p w14:paraId="425F9C15">
            <w:pPr>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eastAsia="zh-CN"/>
              </w:rPr>
              <w:t>二档（18分）：</w:t>
            </w:r>
            <w:r>
              <w:rPr>
                <w:rFonts w:hint="eastAsia" w:ascii="仿宋" w:hAnsi="仿宋" w:eastAsia="仿宋" w:cs="仿宋"/>
                <w:bCs/>
                <w:color w:val="auto"/>
                <w:sz w:val="24"/>
                <w:highlight w:val="none"/>
                <w:lang w:val="en-US" w:eastAsia="zh-CN"/>
              </w:rPr>
              <w:t>完全</w:t>
            </w:r>
            <w:r>
              <w:rPr>
                <w:rFonts w:hint="eastAsia" w:ascii="仿宋" w:hAnsi="仿宋" w:eastAsia="仿宋" w:cs="仿宋"/>
                <w:bCs/>
                <w:color w:val="auto"/>
                <w:sz w:val="24"/>
                <w:highlight w:val="none"/>
                <w:lang w:eastAsia="zh-CN"/>
              </w:rPr>
              <w:t>满足一档要求，</w:t>
            </w:r>
            <w:r>
              <w:rPr>
                <w:rFonts w:hint="eastAsia" w:ascii="仿宋" w:hAnsi="仿宋" w:eastAsia="仿宋" w:cs="仿宋"/>
                <w:bCs/>
                <w:color w:val="auto"/>
                <w:sz w:val="24"/>
                <w:highlight w:val="none"/>
                <w:lang w:val="en-US" w:eastAsia="zh-CN"/>
              </w:rPr>
              <w:t>且同时具备以下条件：</w:t>
            </w:r>
          </w:p>
          <w:p w14:paraId="722E08E6">
            <w:pPr>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①</w:t>
            </w:r>
            <w:r>
              <w:rPr>
                <w:rFonts w:hint="eastAsia" w:ascii="仿宋" w:hAnsi="仿宋" w:eastAsia="仿宋" w:cs="仿宋"/>
                <w:bCs/>
                <w:color w:val="auto"/>
                <w:sz w:val="24"/>
                <w:highlight w:val="none"/>
                <w:lang w:eastAsia="zh-CN"/>
              </w:rPr>
              <w:t>拟投入项目实施人员不少于5人；</w:t>
            </w:r>
          </w:p>
          <w:p w14:paraId="77CCE443">
            <w:pPr>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②</w:t>
            </w:r>
            <w:r>
              <w:rPr>
                <w:rFonts w:hint="eastAsia" w:ascii="仿宋" w:hAnsi="仿宋" w:eastAsia="仿宋" w:cs="仿宋"/>
                <w:bCs/>
                <w:color w:val="auto"/>
                <w:sz w:val="24"/>
                <w:highlight w:val="none"/>
                <w:lang w:eastAsia="zh-CN"/>
              </w:rPr>
              <w:t>团队成员具备1名 IT服务</w:t>
            </w:r>
            <w:r>
              <w:rPr>
                <w:rFonts w:hint="eastAsia" w:ascii="仿宋" w:hAnsi="仿宋" w:eastAsia="仿宋" w:cs="仿宋"/>
                <w:bCs/>
                <w:color w:val="auto"/>
                <w:sz w:val="24"/>
                <w:highlight w:val="none"/>
                <w:lang w:val="en-US" w:eastAsia="zh-CN"/>
              </w:rPr>
              <w:t>工程师</w:t>
            </w:r>
            <w:r>
              <w:rPr>
                <w:rFonts w:hint="eastAsia" w:ascii="仿宋" w:hAnsi="仿宋" w:eastAsia="仿宋" w:cs="仿宋"/>
                <w:bCs/>
                <w:color w:val="auto"/>
                <w:sz w:val="24"/>
                <w:highlight w:val="none"/>
                <w:lang w:eastAsia="zh-CN"/>
              </w:rPr>
              <w:t>；</w:t>
            </w:r>
          </w:p>
          <w:p w14:paraId="61FCA9AC">
            <w:pPr>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③团队成员具备</w:t>
            </w:r>
            <w:r>
              <w:rPr>
                <w:rFonts w:hint="eastAsia" w:ascii="仿宋" w:hAnsi="仿宋" w:eastAsia="仿宋" w:cs="仿宋"/>
                <w:bCs/>
                <w:color w:val="auto"/>
                <w:sz w:val="24"/>
                <w:highlight w:val="none"/>
                <w:lang w:eastAsia="zh-CN"/>
              </w:rPr>
              <w:t>1名信息系统运维管理工程师(高级)；</w:t>
            </w:r>
          </w:p>
          <w:p w14:paraId="089706EB">
            <w:pPr>
              <w:rPr>
                <w:rFonts w:hint="default"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④实施方案措施完善、可操作性强，针对本项目实施过程中影响进度和质量的主要风险点、难点进行了具体分析，并初步明确应对思路。</w:t>
            </w:r>
          </w:p>
          <w:p w14:paraId="4A82C1D7">
            <w:pPr>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⑤方案中明确项目阶段性验收节点及验收标准，节点设置贴合项目实施节奏，标准清晰可落地。</w:t>
            </w:r>
          </w:p>
          <w:p w14:paraId="6A046DC1">
            <w:pPr>
              <w:numPr>
                <w:ilvl w:val="0"/>
                <w:numId w:val="0"/>
              </w:numPr>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eastAsia="zh-CN"/>
              </w:rPr>
              <w:t>三档（</w:t>
            </w:r>
            <w:r>
              <w:rPr>
                <w:rFonts w:hint="eastAsia" w:ascii="仿宋" w:hAnsi="仿宋" w:eastAsia="仿宋" w:cs="仿宋"/>
                <w:bCs/>
                <w:color w:val="auto"/>
                <w:sz w:val="24"/>
                <w:highlight w:val="none"/>
                <w:lang w:val="en-US" w:eastAsia="zh-CN"/>
              </w:rPr>
              <w:t>25</w:t>
            </w:r>
            <w:r>
              <w:rPr>
                <w:rFonts w:hint="eastAsia" w:ascii="仿宋" w:hAnsi="仿宋" w:eastAsia="仿宋" w:cs="仿宋"/>
                <w:bCs/>
                <w:color w:val="auto"/>
                <w:sz w:val="24"/>
                <w:highlight w:val="none"/>
                <w:lang w:eastAsia="zh-CN"/>
              </w:rPr>
              <w:t>分）：</w:t>
            </w:r>
            <w:r>
              <w:rPr>
                <w:rFonts w:hint="eastAsia" w:ascii="仿宋" w:hAnsi="仿宋" w:eastAsia="仿宋" w:cs="仿宋"/>
                <w:bCs/>
                <w:color w:val="auto"/>
                <w:sz w:val="24"/>
                <w:highlight w:val="none"/>
                <w:lang w:val="en-US" w:eastAsia="zh-CN"/>
              </w:rPr>
              <w:t>完全</w:t>
            </w:r>
            <w:r>
              <w:rPr>
                <w:rFonts w:hint="eastAsia" w:ascii="仿宋" w:hAnsi="仿宋" w:eastAsia="仿宋" w:cs="仿宋"/>
                <w:bCs/>
                <w:color w:val="auto"/>
                <w:sz w:val="24"/>
                <w:highlight w:val="none"/>
                <w:lang w:eastAsia="zh-CN"/>
              </w:rPr>
              <w:t>满足二档要求，</w:t>
            </w:r>
            <w:r>
              <w:rPr>
                <w:rFonts w:hint="eastAsia" w:ascii="仿宋" w:hAnsi="仿宋" w:eastAsia="仿宋" w:cs="仿宋"/>
                <w:bCs/>
                <w:color w:val="auto"/>
                <w:sz w:val="24"/>
                <w:highlight w:val="none"/>
                <w:lang w:val="en-US" w:eastAsia="zh-CN"/>
              </w:rPr>
              <w:t>同时具备以下条件：</w:t>
            </w:r>
          </w:p>
          <w:p w14:paraId="0CA0ADEF">
            <w:pPr>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①</w:t>
            </w:r>
            <w:r>
              <w:rPr>
                <w:rFonts w:hint="eastAsia" w:ascii="仿宋" w:hAnsi="仿宋" w:eastAsia="仿宋" w:cs="仿宋"/>
                <w:bCs/>
                <w:color w:val="auto"/>
                <w:sz w:val="24"/>
                <w:highlight w:val="none"/>
                <w:lang w:eastAsia="zh-CN"/>
              </w:rPr>
              <w:t>实施方案</w:t>
            </w:r>
            <w:r>
              <w:rPr>
                <w:rFonts w:hint="eastAsia" w:ascii="仿宋" w:hAnsi="仿宋" w:eastAsia="仿宋" w:cs="仿宋"/>
                <w:bCs/>
                <w:color w:val="auto"/>
                <w:sz w:val="24"/>
                <w:highlight w:val="none"/>
                <w:lang w:val="en-US" w:eastAsia="zh-CN"/>
              </w:rPr>
              <w:t>针对项目整体进度制定了具体、可落实的进度保障措施，对供货、安装、调试、验收等各项关键工作环节进行了详细描述；</w:t>
            </w:r>
          </w:p>
          <w:p w14:paraId="2506A7F4">
            <w:pPr>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②针对本项目实施过程中影响</w:t>
            </w:r>
            <w:r>
              <w:rPr>
                <w:rFonts w:hint="eastAsia" w:ascii="仿宋" w:hAnsi="仿宋" w:eastAsia="仿宋" w:cs="仿宋"/>
                <w:bCs/>
                <w:color w:val="auto"/>
                <w:sz w:val="24"/>
                <w:highlight w:val="none"/>
                <w:lang w:eastAsia="zh-CN"/>
              </w:rPr>
              <w:t>进度和质量的主要风险点和难点进行</w:t>
            </w:r>
            <w:r>
              <w:rPr>
                <w:rFonts w:hint="eastAsia" w:ascii="仿宋" w:hAnsi="仿宋" w:eastAsia="仿宋" w:cs="仿宋"/>
                <w:bCs/>
                <w:color w:val="auto"/>
                <w:sz w:val="24"/>
                <w:highlight w:val="none"/>
                <w:lang w:val="en-US" w:eastAsia="zh-CN"/>
              </w:rPr>
              <w:t>深度</w:t>
            </w:r>
            <w:r>
              <w:rPr>
                <w:rFonts w:hint="eastAsia" w:ascii="仿宋" w:hAnsi="仿宋" w:eastAsia="仿宋" w:cs="仿宋"/>
                <w:bCs/>
                <w:color w:val="auto"/>
                <w:sz w:val="24"/>
                <w:highlight w:val="none"/>
                <w:lang w:eastAsia="zh-CN"/>
              </w:rPr>
              <w:t>针对性分析，</w:t>
            </w:r>
            <w:r>
              <w:rPr>
                <w:rFonts w:hint="eastAsia" w:ascii="仿宋" w:hAnsi="仿宋" w:eastAsia="仿宋" w:cs="仿宋"/>
                <w:bCs/>
                <w:color w:val="auto"/>
                <w:sz w:val="24"/>
                <w:highlight w:val="none"/>
                <w:lang w:val="en-US" w:eastAsia="zh-CN"/>
              </w:rPr>
              <w:t>并结合项目实际</w:t>
            </w:r>
            <w:r>
              <w:rPr>
                <w:rFonts w:hint="eastAsia" w:ascii="仿宋" w:hAnsi="仿宋" w:eastAsia="仿宋" w:cs="仿宋"/>
                <w:bCs/>
                <w:color w:val="auto"/>
                <w:sz w:val="24"/>
                <w:highlight w:val="none"/>
                <w:lang w:eastAsia="zh-CN"/>
              </w:rPr>
              <w:t>提出合理化建议及</w:t>
            </w:r>
            <w:r>
              <w:rPr>
                <w:rFonts w:hint="eastAsia" w:ascii="仿宋" w:hAnsi="仿宋" w:eastAsia="仿宋" w:cs="仿宋"/>
                <w:bCs/>
                <w:color w:val="auto"/>
                <w:sz w:val="24"/>
                <w:highlight w:val="none"/>
                <w:lang w:val="en-US" w:eastAsia="zh-CN"/>
              </w:rPr>
              <w:t>具体可执行的</w:t>
            </w:r>
            <w:r>
              <w:rPr>
                <w:rFonts w:hint="eastAsia" w:ascii="仿宋" w:hAnsi="仿宋" w:eastAsia="仿宋" w:cs="仿宋"/>
                <w:bCs/>
                <w:color w:val="auto"/>
                <w:sz w:val="24"/>
                <w:highlight w:val="none"/>
                <w:lang w:eastAsia="zh-CN"/>
              </w:rPr>
              <w:t>应对措施；</w:t>
            </w:r>
          </w:p>
          <w:p w14:paraId="789FD7D2">
            <w:pPr>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③针对项目交付后的售后保障服务制定具体细则，明确响应时限、响应方式等。</w:t>
            </w:r>
          </w:p>
          <w:p w14:paraId="04C72B78">
            <w:pPr>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④</w:t>
            </w:r>
            <w:r>
              <w:rPr>
                <w:rFonts w:hint="eastAsia" w:ascii="仿宋" w:hAnsi="仿宋" w:eastAsia="仿宋" w:cs="仿宋"/>
                <w:bCs/>
                <w:color w:val="auto"/>
                <w:sz w:val="24"/>
                <w:highlight w:val="none"/>
                <w:lang w:eastAsia="zh-CN"/>
              </w:rPr>
              <w:t>拟投入项目实施人员不少于7人；</w:t>
            </w:r>
          </w:p>
          <w:p w14:paraId="69689401">
            <w:pPr>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⑤</w:t>
            </w:r>
            <w:r>
              <w:rPr>
                <w:rFonts w:hint="eastAsia" w:ascii="仿宋" w:hAnsi="仿宋" w:eastAsia="仿宋" w:cs="仿宋"/>
                <w:bCs/>
                <w:color w:val="auto"/>
                <w:sz w:val="24"/>
                <w:highlight w:val="none"/>
                <w:lang w:eastAsia="zh-CN"/>
              </w:rPr>
              <w:t>团队成员</w:t>
            </w:r>
            <w:r>
              <w:rPr>
                <w:rFonts w:hint="eastAsia" w:ascii="仿宋" w:hAnsi="仿宋" w:eastAsia="仿宋" w:cs="仿宋"/>
                <w:bCs/>
                <w:color w:val="auto"/>
                <w:sz w:val="24"/>
                <w:highlight w:val="none"/>
                <w:lang w:val="en-US" w:eastAsia="zh-CN"/>
              </w:rPr>
              <w:t>中</w:t>
            </w:r>
            <w:r>
              <w:rPr>
                <w:rFonts w:hint="eastAsia" w:ascii="仿宋" w:hAnsi="仿宋" w:eastAsia="仿宋" w:cs="仿宋"/>
                <w:bCs/>
                <w:color w:val="auto"/>
                <w:sz w:val="24"/>
                <w:highlight w:val="none"/>
                <w:lang w:eastAsia="zh-CN"/>
              </w:rPr>
              <w:t>具备1名IT服务项目经理</w:t>
            </w:r>
          </w:p>
          <w:p w14:paraId="21B450D9">
            <w:pPr>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⑥</w:t>
            </w:r>
            <w:r>
              <w:rPr>
                <w:rFonts w:hint="eastAsia" w:ascii="仿宋" w:hAnsi="仿宋" w:eastAsia="仿宋" w:cs="仿宋"/>
                <w:bCs/>
                <w:color w:val="auto"/>
                <w:sz w:val="24"/>
                <w:highlight w:val="none"/>
                <w:lang w:eastAsia="zh-CN"/>
              </w:rPr>
              <w:t>团队成员</w:t>
            </w:r>
            <w:r>
              <w:rPr>
                <w:rFonts w:hint="eastAsia" w:ascii="仿宋" w:hAnsi="仿宋" w:eastAsia="仿宋" w:cs="仿宋"/>
                <w:bCs/>
                <w:color w:val="auto"/>
                <w:sz w:val="24"/>
                <w:highlight w:val="none"/>
                <w:lang w:val="en-US" w:eastAsia="zh-CN"/>
              </w:rPr>
              <w:t>中</w:t>
            </w:r>
            <w:r>
              <w:rPr>
                <w:rFonts w:hint="eastAsia" w:ascii="仿宋" w:hAnsi="仿宋" w:eastAsia="仿宋" w:cs="仿宋"/>
                <w:bCs/>
                <w:color w:val="auto"/>
                <w:sz w:val="24"/>
                <w:highlight w:val="none"/>
                <w:lang w:eastAsia="zh-CN"/>
              </w:rPr>
              <w:t>具备1名数据库管理工程师、</w:t>
            </w:r>
            <w:r>
              <w:rPr>
                <w:rFonts w:hint="eastAsia" w:ascii="仿宋" w:hAnsi="仿宋" w:eastAsia="仿宋" w:cs="仿宋"/>
                <w:bCs/>
                <w:color w:val="auto"/>
                <w:sz w:val="24"/>
                <w:highlight w:val="none"/>
                <w:lang w:val="en-US" w:eastAsia="zh-CN"/>
              </w:rPr>
              <w:t>1</w:t>
            </w:r>
            <w:r>
              <w:rPr>
                <w:rFonts w:hint="eastAsia" w:ascii="仿宋" w:hAnsi="仿宋" w:eastAsia="仿宋" w:cs="仿宋"/>
                <w:bCs/>
                <w:color w:val="auto"/>
                <w:sz w:val="24"/>
                <w:highlight w:val="none"/>
                <w:lang w:eastAsia="zh-CN"/>
              </w:rPr>
              <w:t>名IT服务工程</w:t>
            </w:r>
            <w:r>
              <w:rPr>
                <w:rFonts w:hint="eastAsia" w:ascii="仿宋" w:hAnsi="仿宋" w:eastAsia="仿宋" w:cs="仿宋"/>
                <w:bCs/>
                <w:color w:val="auto"/>
                <w:sz w:val="24"/>
                <w:highlight w:val="none"/>
                <w:lang w:val="en-US" w:eastAsia="zh-CN"/>
              </w:rPr>
              <w:t>师、1</w:t>
            </w:r>
            <w:r>
              <w:rPr>
                <w:rFonts w:hint="eastAsia" w:ascii="仿宋" w:hAnsi="仿宋" w:eastAsia="仿宋" w:cs="仿宋"/>
                <w:bCs/>
                <w:color w:val="auto"/>
                <w:sz w:val="24"/>
                <w:highlight w:val="none"/>
                <w:lang w:eastAsia="zh-CN"/>
              </w:rPr>
              <w:t>名信息系统运维管理工程师(高级)、</w:t>
            </w:r>
            <w:r>
              <w:rPr>
                <w:rFonts w:hint="eastAsia" w:ascii="仿宋" w:hAnsi="仿宋" w:eastAsia="仿宋" w:cs="仿宋"/>
                <w:bCs/>
                <w:color w:val="auto"/>
                <w:sz w:val="24"/>
                <w:highlight w:val="none"/>
                <w:lang w:val="en-US" w:eastAsia="zh-CN"/>
              </w:rPr>
              <w:t>1</w:t>
            </w:r>
            <w:r>
              <w:rPr>
                <w:rFonts w:hint="eastAsia" w:ascii="仿宋" w:hAnsi="仿宋" w:eastAsia="仿宋" w:cs="仿宋"/>
                <w:bCs/>
                <w:color w:val="auto"/>
                <w:sz w:val="24"/>
                <w:highlight w:val="none"/>
                <w:lang w:eastAsia="zh-CN"/>
              </w:rPr>
              <w:t>名高级网络信息安全工程师、</w:t>
            </w:r>
            <w:r>
              <w:rPr>
                <w:rFonts w:hint="eastAsia" w:ascii="仿宋" w:hAnsi="仿宋" w:eastAsia="仿宋" w:cs="仿宋"/>
                <w:bCs/>
                <w:color w:val="auto"/>
                <w:sz w:val="24"/>
                <w:highlight w:val="none"/>
                <w:lang w:val="en-US" w:eastAsia="zh-CN"/>
              </w:rPr>
              <w:t>1</w:t>
            </w:r>
            <w:r>
              <w:rPr>
                <w:rFonts w:hint="eastAsia" w:ascii="仿宋" w:hAnsi="仿宋" w:eastAsia="仿宋" w:cs="仿宋"/>
                <w:bCs/>
                <w:color w:val="auto"/>
                <w:sz w:val="24"/>
                <w:highlight w:val="none"/>
                <w:lang w:eastAsia="zh-CN"/>
              </w:rPr>
              <w:t>名弱电系统工程师（高级）、</w:t>
            </w:r>
            <w:r>
              <w:rPr>
                <w:rFonts w:hint="eastAsia" w:ascii="仿宋" w:hAnsi="仿宋" w:eastAsia="仿宋" w:cs="仿宋"/>
                <w:bCs/>
                <w:color w:val="auto"/>
                <w:sz w:val="24"/>
                <w:highlight w:val="none"/>
                <w:lang w:val="en-US" w:eastAsia="zh-CN"/>
              </w:rPr>
              <w:t>1</w:t>
            </w:r>
            <w:r>
              <w:rPr>
                <w:rFonts w:hint="eastAsia" w:ascii="仿宋" w:hAnsi="仿宋" w:eastAsia="仿宋" w:cs="仿宋"/>
                <w:bCs/>
                <w:color w:val="auto"/>
                <w:sz w:val="24"/>
                <w:highlight w:val="none"/>
                <w:lang w:eastAsia="zh-CN"/>
              </w:rPr>
              <w:t>名信息系统集成管理(高级）。</w:t>
            </w:r>
          </w:p>
        </w:tc>
      </w:tr>
      <w:tr w14:paraId="5BA9F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jc w:val="center"/>
        </w:trPr>
        <w:tc>
          <w:tcPr>
            <w:tcW w:w="535" w:type="dxa"/>
            <w:vMerge w:val="restart"/>
            <w:tcBorders>
              <w:top w:val="single" w:color="auto" w:sz="4" w:space="0"/>
              <w:left w:val="single" w:color="auto" w:sz="4" w:space="0"/>
              <w:right w:val="single" w:color="auto" w:sz="4" w:space="0"/>
            </w:tcBorders>
            <w:noWrap w:val="0"/>
            <w:vAlign w:val="center"/>
          </w:tcPr>
          <w:p w14:paraId="2825F4F2">
            <w:pPr>
              <w:jc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1320" w:type="dxa"/>
            <w:vMerge w:val="restart"/>
            <w:tcBorders>
              <w:top w:val="single" w:color="auto" w:sz="4" w:space="0"/>
              <w:left w:val="single" w:color="auto" w:sz="4" w:space="0"/>
              <w:right w:val="single" w:color="auto" w:sz="4" w:space="0"/>
            </w:tcBorders>
            <w:noWrap w:val="0"/>
            <w:vAlign w:val="center"/>
          </w:tcPr>
          <w:p w14:paraId="73DB3ACA">
            <w:pPr>
              <w:pStyle w:val="11"/>
              <w:spacing w:line="440" w:lineRule="exact"/>
              <w:jc w:val="center"/>
              <w:rPr>
                <w:rFonts w:hint="eastAsia" w:ascii="仿宋" w:hAnsi="仿宋" w:eastAsia="仿宋" w:cs="仿宋"/>
                <w:b/>
                <w:color w:val="auto"/>
                <w:sz w:val="24"/>
                <w:highlight w:val="none"/>
                <w:lang w:val="en-US" w:eastAsia="zh-CN"/>
              </w:rPr>
            </w:pPr>
            <w:r>
              <w:rPr>
                <w:rFonts w:hint="eastAsia" w:ascii="仿宋" w:hAnsi="仿宋" w:eastAsia="仿宋" w:cs="仿宋"/>
                <w:b/>
                <w:bCs w:val="0"/>
                <w:color w:val="auto"/>
                <w:sz w:val="24"/>
                <w:highlight w:val="none"/>
                <w:lang w:val="en-US" w:eastAsia="zh-CN"/>
              </w:rPr>
              <w:t>商务分（满分15分）</w:t>
            </w:r>
          </w:p>
        </w:tc>
        <w:tc>
          <w:tcPr>
            <w:tcW w:w="1518" w:type="dxa"/>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2E47B6D5">
            <w:pPr>
              <w:pStyle w:val="11"/>
              <w:spacing w:line="440" w:lineRule="exact"/>
              <w:jc w:val="center"/>
              <w:rPr>
                <w:rFonts w:hint="eastAsia" w:ascii="仿宋" w:hAnsi="仿宋" w:eastAsia="仿宋" w:cs="仿宋"/>
                <w:bCs w:val="0"/>
                <w:color w:val="auto"/>
                <w:sz w:val="24"/>
                <w:szCs w:val="21"/>
                <w:highlight w:val="none"/>
                <w:lang w:val="en-US" w:eastAsia="zh-CN" w:bidi="ar-SA"/>
              </w:rPr>
            </w:pPr>
            <w:r>
              <w:rPr>
                <w:rFonts w:hint="default" w:ascii="仿宋" w:hAnsi="仿宋" w:eastAsia="仿宋" w:cs="仿宋"/>
                <w:bCs w:val="0"/>
                <w:color w:val="auto"/>
                <w:sz w:val="24"/>
                <w:szCs w:val="21"/>
                <w:highlight w:val="none"/>
                <w:lang w:val="en-US" w:eastAsia="zh-CN" w:bidi="ar-SA"/>
              </w:rPr>
              <mc:AlternateContent>
                <mc:Choice Requires="wps">
                  <w:drawing>
                    <wp:anchor distT="0" distB="0" distL="114300" distR="114300" simplePos="0" relativeHeight="251668480" behindDoc="0" locked="0" layoutInCell="1" allowOverlap="1">
                      <wp:simplePos x="0" y="0"/>
                      <wp:positionH relativeFrom="column">
                        <wp:posOffset>32385</wp:posOffset>
                      </wp:positionH>
                      <wp:positionV relativeFrom="paragraph">
                        <wp:posOffset>175895</wp:posOffset>
                      </wp:positionV>
                      <wp:extent cx="538480" cy="12700"/>
                      <wp:effectExtent l="5080" t="4445" r="5080" b="5715"/>
                      <wp:wrapNone/>
                      <wp:docPr id="3" name="任意多边形 5"/>
                      <wp:cNvGraphicFramePr/>
                      <a:graphic xmlns:a="http://schemas.openxmlformats.org/drawingml/2006/main">
                        <a:graphicData uri="http://schemas.microsoft.com/office/word/2010/wordprocessingShape">
                          <wps:wsp>
                            <wps:cNvSpPr/>
                            <wps:spPr>
                              <a:xfrm>
                                <a:off x="0" y="0"/>
                                <a:ext cx="538480" cy="12700"/>
                              </a:xfrm>
                              <a:custGeom>
                                <a:avLst/>
                                <a:gdLst/>
                                <a:ahLst/>
                                <a:cxnLst/>
                                <a:pathLst>
                                  <a:path w="848" h="20">
                                    <a:moveTo>
                                      <a:pt x="2" y="7"/>
                                    </a:moveTo>
                                    <a:lnTo>
                                      <a:pt x="16" y="16"/>
                                    </a:lnTo>
                                    <a:lnTo>
                                      <a:pt x="40" y="2"/>
                                    </a:lnTo>
                                    <a:lnTo>
                                      <a:pt x="64" y="16"/>
                                    </a:lnTo>
                                    <a:lnTo>
                                      <a:pt x="88" y="2"/>
                                    </a:lnTo>
                                    <a:lnTo>
                                      <a:pt x="112" y="16"/>
                                    </a:lnTo>
                                    <a:lnTo>
                                      <a:pt x="136" y="2"/>
                                    </a:lnTo>
                                    <a:lnTo>
                                      <a:pt x="160" y="16"/>
                                    </a:lnTo>
                                    <a:lnTo>
                                      <a:pt x="184" y="2"/>
                                    </a:lnTo>
                                    <a:lnTo>
                                      <a:pt x="208" y="16"/>
                                    </a:lnTo>
                                    <a:lnTo>
                                      <a:pt x="232" y="2"/>
                                    </a:lnTo>
                                    <a:lnTo>
                                      <a:pt x="256" y="16"/>
                                    </a:lnTo>
                                    <a:lnTo>
                                      <a:pt x="280" y="2"/>
                                    </a:lnTo>
                                    <a:lnTo>
                                      <a:pt x="304" y="16"/>
                                    </a:lnTo>
                                    <a:lnTo>
                                      <a:pt x="328" y="2"/>
                                    </a:lnTo>
                                    <a:lnTo>
                                      <a:pt x="352" y="16"/>
                                    </a:lnTo>
                                    <a:lnTo>
                                      <a:pt x="376" y="2"/>
                                    </a:lnTo>
                                    <a:lnTo>
                                      <a:pt x="400" y="16"/>
                                    </a:lnTo>
                                    <a:lnTo>
                                      <a:pt x="424" y="2"/>
                                    </a:lnTo>
                                    <a:lnTo>
                                      <a:pt x="448" y="16"/>
                                    </a:lnTo>
                                    <a:lnTo>
                                      <a:pt x="472" y="2"/>
                                    </a:lnTo>
                                    <a:lnTo>
                                      <a:pt x="496" y="16"/>
                                    </a:lnTo>
                                    <a:lnTo>
                                      <a:pt x="520" y="2"/>
                                    </a:lnTo>
                                    <a:lnTo>
                                      <a:pt x="544" y="16"/>
                                    </a:lnTo>
                                    <a:lnTo>
                                      <a:pt x="568" y="2"/>
                                    </a:lnTo>
                                    <a:lnTo>
                                      <a:pt x="592" y="16"/>
                                    </a:lnTo>
                                    <a:lnTo>
                                      <a:pt x="616" y="2"/>
                                    </a:lnTo>
                                    <a:lnTo>
                                      <a:pt x="640" y="16"/>
                                    </a:lnTo>
                                    <a:lnTo>
                                      <a:pt x="664" y="2"/>
                                    </a:lnTo>
                                    <a:lnTo>
                                      <a:pt x="688" y="16"/>
                                    </a:lnTo>
                                    <a:lnTo>
                                      <a:pt x="712" y="2"/>
                                    </a:lnTo>
                                    <a:lnTo>
                                      <a:pt x="736" y="16"/>
                                    </a:lnTo>
                                    <a:moveTo>
                                      <a:pt x="736" y="16"/>
                                    </a:moveTo>
                                    <a:lnTo>
                                      <a:pt x="760" y="2"/>
                                    </a:lnTo>
                                    <a:lnTo>
                                      <a:pt x="784" y="16"/>
                                    </a:lnTo>
                                    <a:lnTo>
                                      <a:pt x="808" y="2"/>
                                    </a:lnTo>
                                    <a:lnTo>
                                      <a:pt x="832" y="16"/>
                                    </a:lnTo>
                                    <a:lnTo>
                                      <a:pt x="844" y="9"/>
                                    </a:lnTo>
                                  </a:path>
                                </a:pathLst>
                              </a:custGeom>
                              <a:noFill/>
                              <a:ln w="3048" cap="sq" cmpd="sng">
                                <a:solidFill>
                                  <a:srgbClr val="FFFFFF"/>
                                </a:solidFill>
                                <a:prstDash val="solid"/>
                                <a:miter lim="1000000"/>
                                <a:headEnd type="none" w="med" len="med"/>
                                <a:tailEnd type="none" w="med" len="med"/>
                              </a:ln>
                            </wps:spPr>
                            <wps:bodyPr upright="1"/>
                          </wps:wsp>
                        </a:graphicData>
                      </a:graphic>
                    </wp:anchor>
                  </w:drawing>
                </mc:Choice>
                <mc:Fallback>
                  <w:pict>
                    <v:shape id="任意多边形 5" o:spid="_x0000_s1026" o:spt="100" style="position:absolute;left:0pt;margin-left:2.55pt;margin-top:13.85pt;height:1pt;width:42.4pt;z-index:251668480;mso-width-relative:page;mso-height-relative:page;" filled="f" stroked="t" coordsize="848,20" o:gfxdata="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" path="m2,7l16,16,40,2,64,16,88,2,112,16,136,2,160,16,184,2,208,16,232,2,256,16,280,2,304,16,328,2,352,16,376,2,400,16,424,2,448,16,472,2,496,16,520,2,544,16,568,2,592,16,616,2,640,16,664,2,688,16,712,2,736,16m736,16l760,2,784,16,808,2,832,16,844,9e">
                      <v:fill on="f" focussize="0,0"/>
                      <v:stroke weight="0.24pt" color="#FFFFFF" miterlimit="10" joinstyle="miter" endcap="square"/>
                      <v:imagedata o:title=""/>
                      <o:lock v:ext="edit" aspectratio="f"/>
                    </v:shape>
                  </w:pict>
                </mc:Fallback>
              </mc:AlternateContent>
            </w:r>
            <w:r>
              <w:rPr>
                <w:rFonts w:hint="eastAsia" w:ascii="仿宋" w:hAnsi="仿宋" w:eastAsia="仿宋" w:cs="仿宋"/>
                <w:bCs w:val="0"/>
                <w:color w:val="auto"/>
                <w:sz w:val="24"/>
                <w:szCs w:val="21"/>
                <w:highlight w:val="none"/>
                <w:lang w:val="en-US" w:eastAsia="zh-CN" w:bidi="ar-SA"/>
              </w:rPr>
              <w:t>售后服务分（满分9分）</w:t>
            </w:r>
          </w:p>
          <w:p w14:paraId="05C83FCD">
            <w:pPr>
              <w:pStyle w:val="11"/>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Cs/>
                <w:color w:val="auto"/>
                <w:sz w:val="24"/>
                <w:szCs w:val="24"/>
                <w:highlight w:val="none"/>
                <w:lang w:val="en-US" w:eastAsia="zh-CN" w:bidi="ar-SA"/>
              </w:rPr>
            </w:pPr>
          </w:p>
        </w:tc>
        <w:tc>
          <w:tcPr>
            <w:tcW w:w="6466" w:type="dxa"/>
            <w:tcBorders>
              <w:top w:val="single" w:color="auto" w:sz="4" w:space="0"/>
              <w:left w:val="single" w:color="auto" w:sz="4" w:space="0"/>
              <w:bottom w:val="single" w:color="auto" w:sz="4" w:space="0"/>
              <w:right w:val="single" w:color="auto" w:sz="4" w:space="0"/>
            </w:tcBorders>
            <w:noWrap w:val="0"/>
            <w:vAlign w:val="top"/>
          </w:tcPr>
          <w:p w14:paraId="2090417C">
            <w:pPr>
              <w:spacing w:line="360" w:lineRule="exact"/>
              <w:ind w:firstLine="480" w:firstLineChars="200"/>
              <w:jc w:val="left"/>
              <w:rPr>
                <w:rFonts w:hint="eastAsia" w:ascii="仿宋" w:hAnsi="仿宋" w:eastAsia="仿宋" w:cs="仿宋"/>
                <w:bCs/>
                <w:snapToGrid w:val="0"/>
                <w:color w:val="auto"/>
                <w:kern w:val="0"/>
                <w:sz w:val="24"/>
                <w:szCs w:val="21"/>
                <w:highlight w:val="none"/>
                <w:lang w:val="en-US" w:eastAsia="zh-CN" w:bidi="ar-SA"/>
              </w:rPr>
            </w:pPr>
            <w:r>
              <w:rPr>
                <w:rFonts w:hint="eastAsia" w:ascii="仿宋" w:hAnsi="仿宋" w:eastAsia="仿宋" w:cs="仿宋"/>
                <w:bCs/>
                <w:snapToGrid w:val="0"/>
                <w:color w:val="auto"/>
                <w:kern w:val="0"/>
                <w:sz w:val="24"/>
                <w:szCs w:val="21"/>
                <w:highlight w:val="none"/>
                <w:lang w:val="en-US" w:eastAsia="zh-CN" w:bidi="ar-SA"/>
              </w:rPr>
              <w:t>投标人可以提供包括不限于以下内容的售后服务方案：设备生产厂家或委托代理商在质量保证期内的技术支持与售后服务的承诺情况、售后服务体系、售后服务人员的数量、技术水平及现场服务措施如响应时间、服务范围、应急处理方案等。</w:t>
            </w:r>
          </w:p>
          <w:p w14:paraId="04A8BD63">
            <w:pPr>
              <w:spacing w:line="360" w:lineRule="exact"/>
              <w:ind w:firstLine="480" w:firstLineChars="200"/>
              <w:jc w:val="left"/>
              <w:rPr>
                <w:rFonts w:hint="eastAsia" w:ascii="仿宋" w:hAnsi="仿宋" w:eastAsia="仿宋" w:cs="仿宋"/>
                <w:bCs/>
                <w:snapToGrid w:val="0"/>
                <w:color w:val="auto"/>
                <w:kern w:val="0"/>
                <w:sz w:val="24"/>
                <w:szCs w:val="21"/>
                <w:highlight w:val="none"/>
                <w:lang w:val="en-US" w:eastAsia="zh-CN" w:bidi="ar-SA"/>
              </w:rPr>
            </w:pPr>
            <w:r>
              <w:rPr>
                <w:rFonts w:hint="eastAsia" w:ascii="仿宋" w:hAnsi="仿宋" w:eastAsia="仿宋" w:cs="仿宋"/>
                <w:bCs/>
                <w:snapToGrid w:val="0"/>
                <w:color w:val="auto"/>
                <w:kern w:val="0"/>
                <w:sz w:val="24"/>
                <w:szCs w:val="21"/>
                <w:highlight w:val="none"/>
                <w:lang w:val="en-US" w:eastAsia="zh-CN" w:bidi="ar-SA"/>
              </w:rPr>
              <w:t>评标委员会根据投标人提供的以上有关内容，按以下标准进行独立评审，并独立打分。</w:t>
            </w:r>
          </w:p>
          <w:p w14:paraId="05AEACEA">
            <w:pPr>
              <w:spacing w:line="360" w:lineRule="exact"/>
              <w:ind w:firstLine="480" w:firstLineChars="200"/>
              <w:jc w:val="left"/>
              <w:rPr>
                <w:rFonts w:hint="default" w:ascii="仿宋" w:hAnsi="仿宋" w:eastAsia="仿宋" w:cs="仿宋"/>
                <w:bCs/>
                <w:snapToGrid w:val="0"/>
                <w:color w:val="auto"/>
                <w:kern w:val="0"/>
                <w:sz w:val="24"/>
                <w:szCs w:val="21"/>
                <w:highlight w:val="none"/>
                <w:lang w:val="en-US" w:eastAsia="zh-CN" w:bidi="ar-SA"/>
              </w:rPr>
            </w:pPr>
            <w:r>
              <w:rPr>
                <w:rFonts w:hint="eastAsia" w:ascii="仿宋" w:hAnsi="仿宋" w:eastAsia="仿宋" w:cs="仿宋"/>
                <w:bCs/>
                <w:snapToGrid w:val="0"/>
                <w:color w:val="auto"/>
                <w:kern w:val="0"/>
                <w:sz w:val="24"/>
                <w:szCs w:val="21"/>
                <w:highlight w:val="none"/>
                <w:lang w:val="en-US" w:eastAsia="zh-CN" w:bidi="ar-SA"/>
              </w:rPr>
              <w:t>一档（3分）：包括但不限于：①到达故障现场时间；②故障出现解决方案；③定期维护 (注明时间)；④技术培训方案（技术培训费用包含在投标报价中，采购人不再另行支付）；⑤免费保修（维护、升级）期外维修方案；⑥售后服务保障措施；⑦售后维护和应急保障方案的方法，满足基本的售后服务要求。</w:t>
            </w:r>
          </w:p>
          <w:p w14:paraId="5CDCE7B8">
            <w:pPr>
              <w:spacing w:line="360" w:lineRule="exact"/>
              <w:ind w:firstLine="480" w:firstLineChars="200"/>
              <w:jc w:val="left"/>
              <w:rPr>
                <w:rFonts w:hint="eastAsia" w:ascii="仿宋" w:hAnsi="仿宋" w:eastAsia="仿宋" w:cs="仿宋"/>
                <w:bCs/>
                <w:snapToGrid w:val="0"/>
                <w:color w:val="auto"/>
                <w:kern w:val="0"/>
                <w:sz w:val="24"/>
                <w:szCs w:val="21"/>
                <w:highlight w:val="none"/>
                <w:lang w:val="en-US" w:eastAsia="zh-CN" w:bidi="ar-SA"/>
              </w:rPr>
            </w:pPr>
            <w:r>
              <w:rPr>
                <w:rFonts w:hint="eastAsia" w:ascii="仿宋" w:hAnsi="仿宋" w:eastAsia="仿宋" w:cs="仿宋"/>
                <w:bCs/>
                <w:snapToGrid w:val="0"/>
                <w:color w:val="auto"/>
                <w:kern w:val="0"/>
                <w:sz w:val="24"/>
                <w:szCs w:val="21"/>
                <w:highlight w:val="none"/>
                <w:lang w:val="en-US" w:eastAsia="zh-CN" w:bidi="ar-SA"/>
              </w:rPr>
              <w:t>二档（6分）：质保期满后维修零配件优惠，质保期内如货物发生质量问题，在1小时内电话服务应答，12小时内提供现场维修服务，24小时内排除故障或提供应急措施（保修期内为免费服务），售后服务方案较优于招标文件要求，服务内容、保障措施较为详细，方案优于一档。</w:t>
            </w:r>
          </w:p>
          <w:p w14:paraId="7C211ADB">
            <w:pPr>
              <w:pStyle w:val="11"/>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Cs/>
                <w:snapToGrid w:val="0"/>
                <w:color w:val="auto"/>
                <w:kern w:val="0"/>
                <w:sz w:val="24"/>
                <w:szCs w:val="21"/>
                <w:highlight w:val="none"/>
                <w:lang w:val="en-US" w:eastAsia="zh-CN" w:bidi="ar-SA"/>
              </w:rPr>
            </w:pPr>
            <w:r>
              <w:rPr>
                <w:rFonts w:hint="eastAsia" w:ascii="仿宋" w:hAnsi="仿宋" w:eastAsia="仿宋" w:cs="仿宋"/>
                <w:bCs/>
                <w:snapToGrid w:val="0"/>
                <w:color w:val="auto"/>
                <w:kern w:val="0"/>
                <w:sz w:val="24"/>
                <w:szCs w:val="21"/>
                <w:highlight w:val="none"/>
                <w:lang w:val="en-US" w:eastAsia="zh-CN" w:bidi="ar-SA"/>
              </w:rPr>
              <w:t>三档（9分）：提供了售后服务人员完整名录并明确人员职责、具体分工和工作交接程序，服务内容、保障措施详细、具体。发生故障时有替代产品、提供技术支持服务、定期回访，配送及售后服务方案，在采购要求的基础上有额外的售后服务措施，方案优于二档。</w:t>
            </w:r>
          </w:p>
        </w:tc>
      </w:tr>
      <w:tr w14:paraId="20B2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jc w:val="center"/>
        </w:trPr>
        <w:tc>
          <w:tcPr>
            <w:tcW w:w="535" w:type="dxa"/>
            <w:vMerge w:val="continue"/>
            <w:tcBorders>
              <w:left w:val="single" w:color="auto" w:sz="4" w:space="0"/>
              <w:right w:val="single" w:color="auto" w:sz="4" w:space="0"/>
            </w:tcBorders>
            <w:noWrap w:val="0"/>
            <w:vAlign w:val="center"/>
          </w:tcPr>
          <w:p w14:paraId="15B69CB1">
            <w:pPr>
              <w:jc w:val="center"/>
              <w:rPr>
                <w:rFonts w:hint="eastAsia" w:ascii="仿宋" w:hAnsi="仿宋" w:eastAsia="仿宋" w:cs="仿宋"/>
                <w:color w:val="auto"/>
                <w:highlight w:val="none"/>
              </w:rPr>
            </w:pPr>
          </w:p>
        </w:tc>
        <w:tc>
          <w:tcPr>
            <w:tcW w:w="1320" w:type="dxa"/>
            <w:vMerge w:val="continue"/>
            <w:tcBorders>
              <w:left w:val="single" w:color="auto" w:sz="4" w:space="0"/>
              <w:right w:val="single" w:color="auto" w:sz="4" w:space="0"/>
            </w:tcBorders>
            <w:noWrap w:val="0"/>
            <w:vAlign w:val="center"/>
          </w:tcPr>
          <w:p w14:paraId="00AE00B4">
            <w:pPr>
              <w:pStyle w:val="11"/>
              <w:spacing w:line="440" w:lineRule="exact"/>
              <w:jc w:val="center"/>
              <w:rPr>
                <w:rFonts w:hint="eastAsia" w:ascii="仿宋" w:hAnsi="仿宋" w:eastAsia="仿宋" w:cs="仿宋"/>
                <w:b/>
                <w:color w:val="auto"/>
                <w:sz w:val="24"/>
                <w:highlight w:val="none"/>
                <w:lang w:val="en-US" w:eastAsia="zh-CN"/>
              </w:rPr>
            </w:pPr>
          </w:p>
        </w:tc>
        <w:tc>
          <w:tcPr>
            <w:tcW w:w="1518" w:type="dxa"/>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5E7D27DE">
            <w:pPr>
              <w:pStyle w:val="11"/>
              <w:spacing w:line="440" w:lineRule="exact"/>
              <w:jc w:val="center"/>
              <w:rPr>
                <w:rFonts w:hint="eastAsia" w:ascii="仿宋" w:hAnsi="仿宋" w:eastAsia="仿宋" w:cs="仿宋"/>
                <w:bCs w:val="0"/>
                <w:color w:val="auto"/>
                <w:sz w:val="24"/>
                <w:szCs w:val="21"/>
                <w:highlight w:val="none"/>
                <w:lang w:val="en-US" w:eastAsia="zh-CN" w:bidi="ar-SA"/>
              </w:rPr>
            </w:pPr>
            <w:r>
              <w:rPr>
                <w:rFonts w:hint="eastAsia" w:ascii="仿宋" w:hAnsi="仿宋" w:eastAsia="仿宋" w:cs="仿宋"/>
                <w:bCs w:val="0"/>
                <w:color w:val="auto"/>
                <w:sz w:val="24"/>
                <w:szCs w:val="21"/>
                <w:highlight w:val="none"/>
                <w:lang w:val="en-US" w:eastAsia="zh-CN" w:bidi="ar-SA"/>
              </w:rPr>
              <w:t>信誉业绩分（满分6分）</w:t>
            </w:r>
          </w:p>
          <w:p w14:paraId="3A87E214">
            <w:pPr>
              <w:pStyle w:val="22"/>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Cs/>
                <w:strike/>
                <w:color w:val="auto"/>
                <w:sz w:val="24"/>
                <w:szCs w:val="24"/>
                <w:highlight w:val="none"/>
                <w:lang w:val="en-US" w:eastAsia="zh-CN" w:bidi="ar-SA"/>
              </w:rPr>
            </w:pPr>
          </w:p>
        </w:tc>
        <w:tc>
          <w:tcPr>
            <w:tcW w:w="6466" w:type="dxa"/>
            <w:tcBorders>
              <w:top w:val="single" w:color="auto" w:sz="4" w:space="0"/>
              <w:left w:val="single" w:color="auto" w:sz="4" w:space="0"/>
              <w:bottom w:val="single" w:color="auto" w:sz="4" w:space="0"/>
              <w:right w:val="single" w:color="auto" w:sz="4" w:space="0"/>
            </w:tcBorders>
            <w:noWrap w:val="0"/>
            <w:vAlign w:val="top"/>
          </w:tcPr>
          <w:p w14:paraId="014E8520">
            <w:pPr>
              <w:pStyle w:val="22"/>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bCs/>
                <w:snapToGrid w:val="0"/>
                <w:color w:val="auto"/>
                <w:kern w:val="0"/>
                <w:sz w:val="24"/>
                <w:szCs w:val="21"/>
                <w:highlight w:val="none"/>
                <w:lang w:val="en-US" w:eastAsia="zh-CN" w:bidi="ar-SA"/>
              </w:rPr>
            </w:pPr>
            <w:r>
              <w:rPr>
                <w:rFonts w:hint="eastAsia" w:ascii="仿宋" w:hAnsi="仿宋" w:eastAsia="仿宋" w:cs="仿宋"/>
                <w:bCs/>
                <w:snapToGrid w:val="0"/>
                <w:color w:val="auto"/>
                <w:kern w:val="0"/>
                <w:sz w:val="24"/>
                <w:szCs w:val="21"/>
                <w:highlight w:val="none"/>
                <w:lang w:val="en-US" w:eastAsia="zh-CN" w:bidi="ar-SA"/>
              </w:rPr>
              <w:t>业绩分：投标人自 2022 年 1 月 1 日至投标截止时间具有同类项目业绩（投标文件提供有效的合同复印件，合同应清晰反应合同采购内容），每有一份类似业绩得3分，满分6分。</w:t>
            </w:r>
          </w:p>
          <w:p w14:paraId="33EAB111">
            <w:pPr>
              <w:pStyle w:val="22"/>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仿宋" w:hAnsi="仿宋" w:eastAsia="仿宋" w:cs="仿宋"/>
                <w:bCs/>
                <w:snapToGrid w:val="0"/>
                <w:color w:val="auto"/>
                <w:kern w:val="0"/>
                <w:sz w:val="24"/>
                <w:szCs w:val="21"/>
                <w:highlight w:val="none"/>
                <w:lang w:val="en-US" w:eastAsia="zh-CN" w:bidi="ar-SA"/>
              </w:rPr>
            </w:pPr>
          </w:p>
        </w:tc>
      </w:tr>
      <w:tr w14:paraId="172FC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9" w:type="dxa"/>
            <w:gridSpan w:val="4"/>
            <w:tcBorders>
              <w:top w:val="single" w:color="auto" w:sz="4" w:space="0"/>
              <w:left w:val="single" w:color="auto" w:sz="4" w:space="0"/>
              <w:bottom w:val="single" w:color="auto" w:sz="4" w:space="0"/>
              <w:right w:val="single" w:color="auto" w:sz="4" w:space="0"/>
            </w:tcBorders>
            <w:noWrap w:val="0"/>
            <w:vAlign w:val="center"/>
          </w:tcPr>
          <w:p w14:paraId="5335166B">
            <w:pPr>
              <w:pStyle w:val="11"/>
              <w:spacing w:line="440" w:lineRule="exact"/>
              <w:ind w:firstLine="482" w:firstLineChars="200"/>
              <w:rPr>
                <w:rFonts w:hint="eastAsia" w:ascii="仿宋" w:hAnsi="仿宋" w:eastAsia="仿宋" w:cs="仿宋"/>
                <w:bCs/>
                <w:color w:val="auto"/>
                <w:sz w:val="24"/>
                <w:highlight w:val="none"/>
                <w:lang w:val="en-US" w:eastAsia="zh-CN"/>
              </w:rPr>
            </w:pPr>
            <w:r>
              <w:rPr>
                <w:rFonts w:hint="eastAsia" w:ascii="仿宋" w:hAnsi="仿宋" w:eastAsia="仿宋" w:cs="仿宋"/>
                <w:b/>
                <w:bCs/>
                <w:color w:val="auto"/>
                <w:sz w:val="24"/>
                <w:highlight w:val="none"/>
                <w:lang w:val="en-US" w:eastAsia="zh-CN"/>
              </w:rPr>
              <w:t>总得分=1+2+3。</w:t>
            </w:r>
          </w:p>
        </w:tc>
      </w:tr>
    </w:tbl>
    <w:p w14:paraId="7183EEB7">
      <w:pPr>
        <w:pStyle w:val="10"/>
        <w:spacing w:line="340" w:lineRule="auto"/>
        <w:rPr>
          <w:rFonts w:hint="eastAsia" w:asciiTheme="minorEastAsia" w:hAnsiTheme="minorEastAsia" w:eastAsiaTheme="minorEastAsia" w:cstheme="minorEastAsia"/>
          <w:color w:val="auto"/>
        </w:rPr>
      </w:pPr>
    </w:p>
    <w:p w14:paraId="3B7E1BC8">
      <w:pPr>
        <w:pStyle w:val="10"/>
        <w:spacing w:line="340" w:lineRule="auto"/>
        <w:rPr>
          <w:rFonts w:hint="eastAsia" w:asciiTheme="minorEastAsia" w:hAnsiTheme="minorEastAsia" w:eastAsiaTheme="minorEastAsia" w:cstheme="minorEastAsia"/>
          <w:color w:val="auto"/>
        </w:rPr>
      </w:pPr>
    </w:p>
    <w:p w14:paraId="0EBF0B67">
      <w:pPr>
        <w:spacing w:before="101" w:line="220" w:lineRule="auto"/>
        <w:jc w:val="center"/>
        <w:rPr>
          <w:rFonts w:hint="default" w:asciiTheme="minorEastAsia" w:hAnsiTheme="minorEastAsia" w:eastAsiaTheme="minorEastAsia" w:cstheme="minorEastAsia"/>
          <w:b/>
          <w:bCs/>
          <w:color w:val="auto"/>
          <w:spacing w:val="-11"/>
          <w:sz w:val="31"/>
          <w:szCs w:val="31"/>
          <w:highlight w:val="none"/>
          <w:lang w:val="en-US" w:eastAsia="zh-CN"/>
        </w:rPr>
      </w:pPr>
      <w:r>
        <w:rPr>
          <w:rFonts w:hint="eastAsia" w:asciiTheme="minorEastAsia" w:hAnsiTheme="minorEastAsia" w:eastAsiaTheme="minorEastAsia" w:cstheme="minorEastAsia"/>
          <w:b/>
          <w:bCs/>
          <w:color w:val="auto"/>
          <w:spacing w:val="-11"/>
          <w:sz w:val="31"/>
          <w:szCs w:val="31"/>
          <w:highlight w:val="none"/>
          <w:lang w:val="en-US" w:eastAsia="zh-CN"/>
        </w:rPr>
        <w:t>评分法2：</w:t>
      </w:r>
      <w:r>
        <w:rPr>
          <w:rFonts w:hint="eastAsia" w:asciiTheme="minorEastAsia" w:hAnsiTheme="minorEastAsia" w:eastAsiaTheme="minorEastAsia" w:cstheme="minorEastAsia"/>
          <w:b/>
          <w:bCs/>
          <w:color w:val="auto"/>
          <w:spacing w:val="-11"/>
          <w:sz w:val="31"/>
          <w:szCs w:val="31"/>
          <w:highlight w:val="none"/>
        </w:rPr>
        <w:t>综合评分法</w:t>
      </w:r>
      <w:r>
        <w:rPr>
          <w:rFonts w:hint="eastAsia" w:asciiTheme="minorEastAsia" w:hAnsiTheme="minorEastAsia" w:eastAsiaTheme="minorEastAsia" w:cstheme="minorEastAsia"/>
          <w:b/>
          <w:bCs/>
          <w:color w:val="auto"/>
          <w:spacing w:val="-11"/>
          <w:sz w:val="31"/>
          <w:szCs w:val="31"/>
          <w:highlight w:val="none"/>
          <w:lang w:eastAsia="zh-CN"/>
        </w:rPr>
        <w:t>（</w:t>
      </w:r>
      <w:r>
        <w:rPr>
          <w:rFonts w:hint="eastAsia" w:asciiTheme="minorEastAsia" w:hAnsiTheme="minorEastAsia" w:eastAsiaTheme="minorEastAsia" w:cstheme="minorEastAsia"/>
          <w:b/>
          <w:bCs/>
          <w:color w:val="auto"/>
          <w:spacing w:val="-11"/>
          <w:sz w:val="31"/>
          <w:szCs w:val="31"/>
          <w:highlight w:val="none"/>
          <w:lang w:val="en-US" w:eastAsia="zh-CN"/>
        </w:rPr>
        <w:t>适用于标段2）</w:t>
      </w:r>
    </w:p>
    <w:p w14:paraId="69AA6E73">
      <w:pPr>
        <w:spacing w:before="65" w:line="221" w:lineRule="auto"/>
        <w:ind w:left="454"/>
        <w:rPr>
          <w:rFonts w:hint="eastAsia" w:asciiTheme="minorEastAsia" w:hAnsiTheme="minorEastAsia" w:eastAsiaTheme="minorEastAsia" w:cstheme="minorEastAsia"/>
          <w:color w:val="auto"/>
          <w:spacing w:val="10"/>
          <w:sz w:val="20"/>
          <w:szCs w:val="20"/>
        </w:rPr>
      </w:pPr>
    </w:p>
    <w:p w14:paraId="3190FBD2">
      <w:pPr>
        <w:spacing w:before="65" w:line="221" w:lineRule="auto"/>
        <w:ind w:left="454"/>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0"/>
          <w:sz w:val="20"/>
          <w:szCs w:val="20"/>
        </w:rPr>
        <w:t>注：计分方法按四舍五入取至百分位。</w:t>
      </w:r>
    </w:p>
    <w:p w14:paraId="2A2641EF">
      <w:pPr>
        <w:spacing w:line="109" w:lineRule="exact"/>
        <w:rPr>
          <w:rFonts w:hint="eastAsia" w:asciiTheme="minorEastAsia" w:hAnsiTheme="minorEastAsia" w:eastAsiaTheme="minorEastAsia" w:cstheme="minorEastAsia"/>
          <w:color w:val="auto"/>
        </w:rPr>
      </w:pPr>
    </w:p>
    <w:p w14:paraId="736823F4">
      <w:pPr>
        <w:pStyle w:val="10"/>
        <w:rPr>
          <w:rFonts w:hint="eastAsia" w:asciiTheme="minorEastAsia" w:hAnsiTheme="minorEastAsia" w:eastAsiaTheme="minorEastAsia" w:cstheme="minorEastAsia"/>
          <w:color w:val="auto"/>
        </w:rPr>
      </w:pPr>
    </w:p>
    <w:tbl>
      <w:tblPr>
        <w:tblStyle w:val="17"/>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320"/>
        <w:gridCol w:w="1518"/>
        <w:gridCol w:w="6466"/>
      </w:tblGrid>
      <w:tr w14:paraId="11350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5" w:type="dxa"/>
            <w:gridSpan w:val="2"/>
            <w:tcBorders>
              <w:top w:val="single" w:color="auto" w:sz="4" w:space="0"/>
              <w:left w:val="single" w:color="auto" w:sz="4" w:space="0"/>
              <w:bottom w:val="single" w:color="auto" w:sz="4" w:space="0"/>
              <w:right w:val="single" w:color="auto" w:sz="4" w:space="0"/>
            </w:tcBorders>
            <w:vAlign w:val="center"/>
          </w:tcPr>
          <w:p w14:paraId="10FD63F6">
            <w:pPr>
              <w:kinsoku w:val="0"/>
              <w:autoSpaceDE w:val="0"/>
              <w:autoSpaceDN w:val="0"/>
              <w:spacing w:line="440" w:lineRule="exact"/>
              <w:jc w:val="center"/>
              <w:textAlignment w:val="baseline"/>
              <w:rPr>
                <w:rFonts w:hint="eastAsia" w:ascii="仿宋" w:hAnsi="仿宋" w:eastAsia="仿宋" w:cs="仿宋"/>
                <w:snapToGrid w:val="0"/>
                <w:color w:val="auto"/>
                <w:kern w:val="0"/>
                <w:sz w:val="24"/>
                <w:szCs w:val="21"/>
                <w14:ligatures w14:val="none"/>
              </w:rPr>
            </w:pPr>
            <w:r>
              <w:rPr>
                <w:rFonts w:hint="eastAsia" w:ascii="仿宋" w:hAnsi="仿宋" w:eastAsia="仿宋" w:cs="仿宋"/>
                <w:b/>
                <w:snapToGrid w:val="0"/>
                <w:color w:val="auto"/>
                <w:kern w:val="0"/>
                <w:sz w:val="24"/>
                <w:szCs w:val="21"/>
                <w14:ligatures w14:val="none"/>
              </w:rPr>
              <w:t>序号</w:t>
            </w:r>
          </w:p>
        </w:tc>
        <w:tc>
          <w:tcPr>
            <w:tcW w:w="1518" w:type="dxa"/>
            <w:tcBorders>
              <w:top w:val="single" w:color="auto" w:sz="4" w:space="0"/>
              <w:left w:val="single" w:color="auto" w:sz="4" w:space="0"/>
              <w:bottom w:val="single" w:color="auto" w:sz="4" w:space="0"/>
              <w:right w:val="single" w:color="auto" w:sz="4" w:space="0"/>
            </w:tcBorders>
            <w:vAlign w:val="center"/>
          </w:tcPr>
          <w:p w14:paraId="63F09A63">
            <w:pPr>
              <w:kinsoku w:val="0"/>
              <w:autoSpaceDE w:val="0"/>
              <w:autoSpaceDN w:val="0"/>
              <w:spacing w:line="440" w:lineRule="exact"/>
              <w:jc w:val="center"/>
              <w:textAlignment w:val="baseline"/>
              <w:rPr>
                <w:rFonts w:hint="eastAsia" w:ascii="仿宋" w:hAnsi="仿宋" w:eastAsia="仿宋" w:cs="仿宋"/>
                <w:snapToGrid w:val="0"/>
                <w:color w:val="auto"/>
                <w:kern w:val="0"/>
                <w:sz w:val="24"/>
                <w:szCs w:val="21"/>
                <w14:ligatures w14:val="none"/>
              </w:rPr>
            </w:pPr>
            <w:r>
              <w:rPr>
                <w:rFonts w:hint="eastAsia" w:ascii="仿宋" w:hAnsi="仿宋" w:eastAsia="仿宋" w:cs="仿宋"/>
                <w:b/>
                <w:snapToGrid w:val="0"/>
                <w:color w:val="auto"/>
                <w:kern w:val="0"/>
                <w:sz w:val="24"/>
                <w:szCs w:val="21"/>
                <w14:ligatures w14:val="none"/>
              </w:rPr>
              <w:t>评分因素</w:t>
            </w:r>
          </w:p>
        </w:tc>
        <w:tc>
          <w:tcPr>
            <w:tcW w:w="6466" w:type="dxa"/>
            <w:tcBorders>
              <w:top w:val="single" w:color="auto" w:sz="4" w:space="0"/>
              <w:left w:val="single" w:color="auto" w:sz="4" w:space="0"/>
              <w:bottom w:val="single" w:color="auto" w:sz="4" w:space="0"/>
              <w:right w:val="single" w:color="auto" w:sz="4" w:space="0"/>
            </w:tcBorders>
            <w:vAlign w:val="center"/>
          </w:tcPr>
          <w:p w14:paraId="205FAB22">
            <w:pPr>
              <w:kinsoku w:val="0"/>
              <w:autoSpaceDE w:val="0"/>
              <w:autoSpaceDN w:val="0"/>
              <w:spacing w:line="440" w:lineRule="exact"/>
              <w:jc w:val="center"/>
              <w:textAlignment w:val="baseline"/>
              <w:rPr>
                <w:rFonts w:hint="eastAsia" w:ascii="仿宋" w:hAnsi="仿宋" w:eastAsia="仿宋" w:cs="仿宋"/>
                <w:snapToGrid w:val="0"/>
                <w:color w:val="auto"/>
                <w:kern w:val="0"/>
                <w:sz w:val="24"/>
                <w:szCs w:val="21"/>
                <w14:ligatures w14:val="none"/>
              </w:rPr>
            </w:pPr>
            <w:r>
              <w:rPr>
                <w:rFonts w:hint="eastAsia" w:ascii="仿宋" w:hAnsi="仿宋" w:eastAsia="仿宋" w:cs="仿宋"/>
                <w:b/>
                <w:snapToGrid w:val="0"/>
                <w:color w:val="auto"/>
                <w:kern w:val="0"/>
                <w:sz w:val="24"/>
                <w:szCs w:val="21"/>
                <w14:ligatures w14:val="none"/>
              </w:rPr>
              <w:t>评分标准</w:t>
            </w:r>
          </w:p>
        </w:tc>
      </w:tr>
      <w:tr w14:paraId="51369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dxa"/>
            <w:tcBorders>
              <w:top w:val="single" w:color="auto" w:sz="4" w:space="0"/>
              <w:left w:val="single" w:color="auto" w:sz="4" w:space="0"/>
              <w:bottom w:val="single" w:color="auto" w:sz="4" w:space="0"/>
              <w:right w:val="single" w:color="auto" w:sz="4" w:space="0"/>
            </w:tcBorders>
            <w:vAlign w:val="center"/>
          </w:tcPr>
          <w:p w14:paraId="3B4EBD12">
            <w:pPr>
              <w:kinsoku w:val="0"/>
              <w:autoSpaceDE w:val="0"/>
              <w:autoSpaceDN w:val="0"/>
              <w:spacing w:line="440" w:lineRule="exact"/>
              <w:jc w:val="center"/>
              <w:textAlignment w:val="baseline"/>
              <w:rPr>
                <w:rFonts w:hint="eastAsia" w:ascii="仿宋" w:hAnsi="仿宋" w:eastAsia="仿宋" w:cs="仿宋"/>
                <w:b/>
                <w:snapToGrid w:val="0"/>
                <w:color w:val="auto"/>
                <w:kern w:val="0"/>
                <w:sz w:val="24"/>
                <w:szCs w:val="21"/>
                <w14:ligatures w14:val="none"/>
              </w:rPr>
            </w:pPr>
            <w:r>
              <w:rPr>
                <w:rFonts w:hint="eastAsia" w:ascii="仿宋" w:hAnsi="仿宋" w:eastAsia="仿宋" w:cs="仿宋"/>
                <w:b/>
                <w:snapToGrid w:val="0"/>
                <w:color w:val="auto"/>
                <w:kern w:val="0"/>
                <w:sz w:val="24"/>
                <w:szCs w:val="21"/>
                <w14:ligatures w14:val="none"/>
              </w:rPr>
              <w:t>1</w:t>
            </w:r>
          </w:p>
        </w:tc>
        <w:tc>
          <w:tcPr>
            <w:tcW w:w="1320" w:type="dxa"/>
            <w:tcBorders>
              <w:top w:val="single" w:color="auto" w:sz="4" w:space="0"/>
              <w:left w:val="single" w:color="auto" w:sz="4" w:space="0"/>
              <w:bottom w:val="single" w:color="auto" w:sz="4" w:space="0"/>
              <w:right w:val="single" w:color="auto" w:sz="4" w:space="0"/>
            </w:tcBorders>
            <w:vAlign w:val="center"/>
          </w:tcPr>
          <w:p w14:paraId="56B820EC">
            <w:pPr>
              <w:kinsoku w:val="0"/>
              <w:autoSpaceDE w:val="0"/>
              <w:autoSpaceDN w:val="0"/>
              <w:spacing w:line="440" w:lineRule="exact"/>
              <w:jc w:val="center"/>
              <w:textAlignment w:val="baseline"/>
              <w:rPr>
                <w:rFonts w:hint="eastAsia" w:ascii="仿宋" w:hAnsi="仿宋" w:eastAsia="仿宋" w:cs="仿宋"/>
                <w:b/>
                <w:snapToGrid w:val="0"/>
                <w:color w:val="auto"/>
                <w:kern w:val="0"/>
                <w:sz w:val="24"/>
                <w:szCs w:val="21"/>
                <w14:ligatures w14:val="none"/>
              </w:rPr>
            </w:pPr>
            <w:r>
              <w:rPr>
                <w:rFonts w:hint="eastAsia" w:ascii="仿宋" w:hAnsi="仿宋" w:eastAsia="仿宋" w:cs="仿宋"/>
                <w:b/>
                <w:snapToGrid w:val="0"/>
                <w:color w:val="auto"/>
                <w:kern w:val="0"/>
                <w:sz w:val="24"/>
                <w:szCs w:val="21"/>
                <w14:ligatures w14:val="none"/>
              </w:rPr>
              <w:t>价格分</w:t>
            </w:r>
          </w:p>
          <w:p w14:paraId="70D3DF37">
            <w:pPr>
              <w:kinsoku w:val="0"/>
              <w:autoSpaceDE w:val="0"/>
              <w:autoSpaceDN w:val="0"/>
              <w:spacing w:line="440" w:lineRule="exact"/>
              <w:jc w:val="center"/>
              <w:textAlignment w:val="baseline"/>
              <w:rPr>
                <w:rFonts w:hint="eastAsia" w:ascii="仿宋" w:hAnsi="仿宋" w:eastAsia="仿宋" w:cs="仿宋"/>
                <w:b/>
                <w:snapToGrid w:val="0"/>
                <w:color w:val="auto"/>
                <w:kern w:val="0"/>
                <w:sz w:val="24"/>
                <w:szCs w:val="21"/>
                <w14:ligatures w14:val="none"/>
              </w:rPr>
            </w:pPr>
            <w:r>
              <w:rPr>
                <w:rFonts w:hint="eastAsia" w:ascii="仿宋" w:hAnsi="仿宋" w:eastAsia="仿宋" w:cs="仿宋"/>
                <w:b/>
                <w:snapToGrid w:val="0"/>
                <w:color w:val="auto"/>
                <w:kern w:val="0"/>
                <w:sz w:val="24"/>
                <w:szCs w:val="21"/>
                <w14:ligatures w14:val="none"/>
              </w:rPr>
              <w:t>（10分）</w:t>
            </w:r>
          </w:p>
          <w:p w14:paraId="0B2726E3">
            <w:pPr>
              <w:kinsoku w:val="0"/>
              <w:autoSpaceDE w:val="0"/>
              <w:autoSpaceDN w:val="0"/>
              <w:spacing w:line="440" w:lineRule="exact"/>
              <w:jc w:val="center"/>
              <w:textAlignment w:val="baseline"/>
              <w:rPr>
                <w:rFonts w:hint="eastAsia" w:ascii="仿宋" w:hAnsi="仿宋" w:eastAsia="仿宋" w:cs="仿宋"/>
                <w:snapToGrid w:val="0"/>
                <w:color w:val="auto"/>
                <w:kern w:val="0"/>
                <w:sz w:val="24"/>
                <w:szCs w:val="21"/>
                <w14:ligatures w14:val="none"/>
              </w:rPr>
            </w:pPr>
          </w:p>
        </w:tc>
        <w:tc>
          <w:tcPr>
            <w:tcW w:w="1518" w:type="dxa"/>
            <w:tcBorders>
              <w:top w:val="single" w:color="auto" w:sz="4" w:space="0"/>
              <w:left w:val="single" w:color="auto" w:sz="4" w:space="0"/>
              <w:bottom w:val="single" w:color="auto" w:sz="4" w:space="0"/>
              <w:right w:val="single" w:color="auto" w:sz="4" w:space="0"/>
            </w:tcBorders>
            <w:vAlign w:val="center"/>
          </w:tcPr>
          <w:p w14:paraId="780B8723">
            <w:pPr>
              <w:kinsoku w:val="0"/>
              <w:autoSpaceDE w:val="0"/>
              <w:autoSpaceDN w:val="0"/>
              <w:spacing w:line="440" w:lineRule="exact"/>
              <w:jc w:val="center"/>
              <w:textAlignment w:val="baseline"/>
              <w:rPr>
                <w:rFonts w:hint="eastAsia" w:ascii="仿宋" w:hAnsi="仿宋" w:eastAsia="仿宋" w:cs="仿宋"/>
                <w:snapToGrid w:val="0"/>
                <w:color w:val="auto"/>
                <w:kern w:val="0"/>
                <w:sz w:val="24"/>
                <w:szCs w:val="21"/>
                <w14:ligatures w14:val="none"/>
              </w:rPr>
            </w:pPr>
            <w:r>
              <w:rPr>
                <w:rFonts w:hint="eastAsia" w:ascii="仿宋" w:hAnsi="仿宋" w:eastAsia="仿宋" w:cs="仿宋"/>
                <w:snapToGrid w:val="0"/>
                <w:color w:val="auto"/>
                <w:kern w:val="0"/>
                <w:sz w:val="24"/>
                <w:szCs w:val="21"/>
                <w14:ligatures w14:val="none"/>
              </w:rPr>
              <w:t>价格分（满分10分）</w:t>
            </w:r>
          </w:p>
        </w:tc>
        <w:tc>
          <w:tcPr>
            <w:tcW w:w="6466" w:type="dxa"/>
            <w:tcBorders>
              <w:top w:val="single" w:color="auto" w:sz="4" w:space="0"/>
              <w:left w:val="single" w:color="auto" w:sz="4" w:space="0"/>
              <w:bottom w:val="single" w:color="auto" w:sz="4" w:space="0"/>
              <w:right w:val="single" w:color="auto" w:sz="4" w:space="0"/>
            </w:tcBorders>
            <w:vAlign w:val="center"/>
          </w:tcPr>
          <w:p w14:paraId="6D4C3E27">
            <w:pPr>
              <w:kinsoku w:val="0"/>
              <w:autoSpaceDE w:val="0"/>
              <w:autoSpaceDN w:val="0"/>
              <w:spacing w:line="440" w:lineRule="exact"/>
              <w:textAlignment w:val="baseline"/>
              <w:rPr>
                <w:rFonts w:hint="eastAsia" w:ascii="仿宋" w:hAnsi="仿宋" w:eastAsia="仿宋" w:cs="仿宋"/>
                <w:bCs/>
                <w:snapToGrid w:val="0"/>
                <w:color w:val="auto"/>
                <w:kern w:val="0"/>
                <w:sz w:val="24"/>
                <w:szCs w:val="21"/>
                <w14:ligatures w14:val="none"/>
              </w:rPr>
            </w:pPr>
            <w:r>
              <w:rPr>
                <w:rFonts w:hint="eastAsia" w:ascii="仿宋" w:hAnsi="仿宋" w:eastAsia="仿宋" w:cs="仿宋"/>
                <w:bCs/>
                <w:snapToGrid w:val="0"/>
                <w:color w:val="auto"/>
                <w:kern w:val="0"/>
                <w:sz w:val="24"/>
                <w:szCs w:val="21"/>
                <w14:ligatures w14:val="none"/>
              </w:rPr>
              <w:t>（1）以满足招标文件要求且报价最低的供应商的价格为评标基准价，其价格分为满分。其他供应商的价格分统一按照下列公式计算：</w:t>
            </w:r>
          </w:p>
          <w:p w14:paraId="20F94280">
            <w:pPr>
              <w:kinsoku w:val="0"/>
              <w:autoSpaceDE w:val="0"/>
              <w:autoSpaceDN w:val="0"/>
              <w:spacing w:line="440" w:lineRule="exact"/>
              <w:textAlignment w:val="baseline"/>
              <w:rPr>
                <w:rFonts w:hint="eastAsia" w:ascii="仿宋" w:hAnsi="仿宋" w:eastAsia="仿宋" w:cs="仿宋"/>
                <w:bCs/>
                <w:snapToGrid w:val="0"/>
                <w:color w:val="auto"/>
                <w:kern w:val="0"/>
                <w:sz w:val="24"/>
                <w:szCs w:val="21"/>
                <w14:ligatures w14:val="none"/>
              </w:rPr>
            </w:pPr>
            <w:r>
              <w:rPr>
                <w:rFonts w:hint="eastAsia" w:ascii="仿宋" w:hAnsi="仿宋" w:eastAsia="仿宋" w:cs="仿宋"/>
                <w:bCs/>
                <w:snapToGrid w:val="0"/>
                <w:color w:val="auto"/>
                <w:kern w:val="0"/>
                <w:sz w:val="24"/>
                <w:szCs w:val="21"/>
                <w14:ligatures w14:val="none"/>
              </w:rPr>
              <w:t>投标报价得分=（评标基准价/投标报价）×10</w:t>
            </w:r>
          </w:p>
          <w:p w14:paraId="1578E45F">
            <w:pPr>
              <w:kinsoku w:val="0"/>
              <w:autoSpaceDE w:val="0"/>
              <w:autoSpaceDN w:val="0"/>
              <w:spacing w:line="440" w:lineRule="exact"/>
              <w:textAlignment w:val="baseline"/>
              <w:rPr>
                <w:rFonts w:hint="eastAsia" w:ascii="仿宋" w:hAnsi="仿宋" w:eastAsia="仿宋" w:cs="仿宋"/>
                <w:bCs/>
                <w:snapToGrid w:val="0"/>
                <w:color w:val="auto"/>
                <w:kern w:val="0"/>
                <w:sz w:val="24"/>
                <w:szCs w:val="21"/>
                <w14:ligatures w14:val="none"/>
              </w:rPr>
            </w:pPr>
            <w:r>
              <w:rPr>
                <w:rFonts w:hint="eastAsia" w:ascii="仿宋" w:hAnsi="仿宋" w:eastAsia="仿宋" w:cs="仿宋"/>
                <w:bCs/>
                <w:snapToGrid w:val="0"/>
                <w:color w:val="auto"/>
                <w:kern w:val="0"/>
                <w:sz w:val="24"/>
                <w:szCs w:val="21"/>
                <w14:ligatures w14:val="none"/>
              </w:rPr>
              <w:t>（2）因落实政府采购政策进行价格调整的，以调整后的价格计算评标基准价和投标报价：</w:t>
            </w:r>
          </w:p>
          <w:p w14:paraId="59DDC902">
            <w:pPr>
              <w:kinsoku w:val="0"/>
              <w:autoSpaceDE w:val="0"/>
              <w:autoSpaceDN w:val="0"/>
              <w:spacing w:line="440" w:lineRule="exact"/>
              <w:ind w:firstLine="480" w:firstLineChars="200"/>
              <w:textAlignment w:val="baseline"/>
              <w:rPr>
                <w:rFonts w:hint="eastAsia" w:ascii="仿宋" w:hAnsi="仿宋" w:eastAsia="仿宋" w:cs="仿宋"/>
                <w:bCs/>
                <w:snapToGrid w:val="0"/>
                <w:color w:val="auto"/>
                <w:kern w:val="0"/>
                <w:sz w:val="24"/>
                <w:szCs w:val="21"/>
                <w14:ligatures w14:val="none"/>
              </w:rPr>
            </w:pPr>
            <w:r>
              <w:rPr>
                <w:rFonts w:hint="eastAsia" w:ascii="仿宋" w:hAnsi="仿宋" w:eastAsia="仿宋" w:cs="仿宋"/>
                <w:bCs/>
                <w:snapToGrid w:val="0"/>
                <w:color w:val="auto"/>
                <w:kern w:val="0"/>
                <w:sz w:val="24"/>
                <w:szCs w:val="21"/>
                <w14:ligatures w14:val="none"/>
              </w:rPr>
              <w:t>①按照《政府采购促进中小企业发展管理办法》（财库2020）46号）以及《广西壮族自治区财政厅关于持续优化政府采购营商环境推动高质量发展的通知》（桂财采〔2024〕55 号）之规定，认定为小微企业的（以投标文件提供的符合规定的有关材料为准），对其投标报价给予20%的扣除，扣除后的价格为评审报价，即评审报价=最后报价×（1-20%）；大中型企业与小微企业组成联合体投标，其中小微企业的协议合同金额占到联合体协议合同总金额30%以上的，联合体投标价给予6%的扣除，扣除后的价格为评审报价，即评审报价=最后报价×（1-6%）。</w:t>
            </w:r>
          </w:p>
          <w:p w14:paraId="2C7529EB">
            <w:pPr>
              <w:kinsoku w:val="0"/>
              <w:autoSpaceDE w:val="0"/>
              <w:autoSpaceDN w:val="0"/>
              <w:spacing w:line="440" w:lineRule="exact"/>
              <w:ind w:firstLine="482" w:firstLineChars="200"/>
              <w:textAlignment w:val="baseline"/>
              <w:rPr>
                <w:rFonts w:hint="eastAsia" w:ascii="仿宋" w:hAnsi="仿宋" w:eastAsia="仿宋" w:cs="仿宋"/>
                <w:bCs/>
                <w:snapToGrid w:val="0"/>
                <w:color w:val="auto"/>
                <w:kern w:val="0"/>
                <w:sz w:val="24"/>
                <w:szCs w:val="21"/>
                <w14:ligatures w14:val="none"/>
              </w:rPr>
            </w:pPr>
            <w:r>
              <w:rPr>
                <w:rFonts w:hint="eastAsia" w:ascii="仿宋" w:hAnsi="仿宋" w:eastAsia="仿宋" w:cs="仿宋"/>
                <w:b/>
                <w:snapToGrid w:val="0"/>
                <w:color w:val="auto"/>
                <w:kern w:val="0"/>
                <w:sz w:val="24"/>
                <w:szCs w:val="21"/>
                <w14:ligatures w14:val="none"/>
              </w:rPr>
              <w:t>如采购项目或采购包属于专门面向中小企业采购的项目或者采购包，不再执行价格评审优惠的扶持政策。</w:t>
            </w:r>
          </w:p>
          <w:p w14:paraId="25D5EE32">
            <w:pPr>
              <w:kinsoku w:val="0"/>
              <w:autoSpaceDE w:val="0"/>
              <w:autoSpaceDN w:val="0"/>
              <w:spacing w:line="440" w:lineRule="exact"/>
              <w:ind w:firstLine="480" w:firstLineChars="200"/>
              <w:textAlignment w:val="baseline"/>
              <w:rPr>
                <w:rFonts w:hint="eastAsia" w:ascii="仿宋" w:hAnsi="仿宋" w:eastAsia="仿宋" w:cs="仿宋"/>
                <w:bCs/>
                <w:snapToGrid w:val="0"/>
                <w:color w:val="auto"/>
                <w:kern w:val="0"/>
                <w:sz w:val="24"/>
                <w:szCs w:val="21"/>
                <w14:ligatures w14:val="none"/>
              </w:rPr>
            </w:pPr>
            <w:r>
              <w:rPr>
                <w:rFonts w:hint="eastAsia" w:ascii="仿宋" w:hAnsi="仿宋" w:eastAsia="仿宋" w:cs="仿宋"/>
                <w:bCs/>
                <w:snapToGrid w:val="0"/>
                <w:color w:val="auto"/>
                <w:kern w:val="0"/>
                <w:sz w:val="24"/>
                <w:szCs w:val="21"/>
                <w14:ligatures w14:val="none"/>
              </w:rPr>
              <w:t>②按照《关于政府采购支持监狱企业发展有关问题的通知》(财库[2014]68号)，供应商认定为监狱企业的，在政府采购活动中，监狱企业视同小型、微型企业。评审时投标价格给予同等比例扣除的政府采购政策。监狱企业以提供由省级以上监狱管理局、戒毒管理局(含新疆生产建设兵团)出具的属于监狱企业的证明文件为准。</w:t>
            </w:r>
          </w:p>
          <w:p w14:paraId="1B1FB521">
            <w:pPr>
              <w:kinsoku w:val="0"/>
              <w:autoSpaceDE w:val="0"/>
              <w:autoSpaceDN w:val="0"/>
              <w:spacing w:line="440" w:lineRule="exact"/>
              <w:ind w:firstLine="480" w:firstLineChars="200"/>
              <w:textAlignment w:val="baseline"/>
              <w:rPr>
                <w:rFonts w:hint="eastAsia" w:ascii="仿宋" w:hAnsi="仿宋" w:eastAsia="仿宋" w:cs="仿宋"/>
                <w:bCs/>
                <w:snapToGrid w:val="0"/>
                <w:color w:val="auto"/>
                <w:kern w:val="0"/>
                <w:sz w:val="24"/>
                <w:szCs w:val="21"/>
                <w14:ligatures w14:val="none"/>
              </w:rPr>
            </w:pPr>
            <w:r>
              <w:rPr>
                <w:rFonts w:hint="eastAsia" w:ascii="仿宋" w:hAnsi="仿宋" w:eastAsia="仿宋" w:cs="仿宋"/>
                <w:bCs/>
                <w:snapToGrid w:val="0"/>
                <w:color w:val="auto"/>
                <w:kern w:val="0"/>
                <w:sz w:val="24"/>
                <w:szCs w:val="21"/>
                <w14:ligatures w14:val="none"/>
              </w:rPr>
              <w:t>③根据《三部门联合发布关于促进残疾人就业政府采购政策的通知》（财库[2017]141 号）的规定，残疾人福利性单位视同小型、微型企业，享受小型、微型企业。评审时投标价格给予同等比例扣除的政府采购政策。</w:t>
            </w:r>
          </w:p>
          <w:p w14:paraId="2A7478F9">
            <w:pPr>
              <w:kinsoku w:val="0"/>
              <w:autoSpaceDE w:val="0"/>
              <w:autoSpaceDN w:val="0"/>
              <w:spacing w:line="440" w:lineRule="exact"/>
              <w:textAlignment w:val="baseline"/>
              <w:rPr>
                <w:rFonts w:hint="eastAsia" w:ascii="仿宋" w:hAnsi="仿宋" w:eastAsia="仿宋" w:cs="仿宋"/>
                <w:bCs/>
                <w:snapToGrid w:val="0"/>
                <w:color w:val="auto"/>
                <w:kern w:val="0"/>
                <w:sz w:val="24"/>
                <w:szCs w:val="21"/>
                <w14:ligatures w14:val="none"/>
              </w:rPr>
            </w:pPr>
            <w:r>
              <w:rPr>
                <w:rFonts w:hint="eastAsia" w:ascii="仿宋" w:hAnsi="仿宋" w:eastAsia="仿宋" w:cs="仿宋"/>
                <w:bCs/>
                <w:snapToGrid w:val="0"/>
                <w:color w:val="auto"/>
                <w:kern w:val="0"/>
                <w:sz w:val="24"/>
                <w:szCs w:val="21"/>
                <w14:ligatures w14:val="none"/>
              </w:rPr>
              <w:t>（必须提供残疾人福利性单位声明函，否则不予以认定）。</w:t>
            </w:r>
          </w:p>
          <w:p w14:paraId="5151B4F5">
            <w:pPr>
              <w:kinsoku w:val="0"/>
              <w:autoSpaceDE w:val="0"/>
              <w:autoSpaceDN w:val="0"/>
              <w:spacing w:line="440" w:lineRule="exact"/>
              <w:textAlignment w:val="baseline"/>
              <w:rPr>
                <w:rFonts w:hint="eastAsia" w:ascii="仿宋" w:hAnsi="仿宋" w:eastAsia="仿宋" w:cs="仿宋"/>
                <w:bCs/>
                <w:snapToGrid w:val="0"/>
                <w:color w:val="auto"/>
                <w:kern w:val="0"/>
                <w:sz w:val="24"/>
                <w:szCs w:val="21"/>
                <w14:ligatures w14:val="none"/>
              </w:rPr>
            </w:pPr>
            <w:r>
              <w:rPr>
                <w:rFonts w:hint="eastAsia" w:ascii="仿宋" w:hAnsi="仿宋" w:eastAsia="仿宋" w:cs="仿宋"/>
                <w:bCs/>
                <w:snapToGrid w:val="0"/>
                <w:color w:val="auto"/>
                <w:kern w:val="0"/>
                <w:sz w:val="24"/>
                <w:szCs w:val="21"/>
                <w14:ligatures w14:val="none"/>
              </w:rPr>
              <w:t>供应商既属于残疾人福利性单位又属于小型、微型企业的，其报价只能享受一次的扣除，不重复享受政策。</w:t>
            </w:r>
          </w:p>
          <w:p w14:paraId="4698064D">
            <w:pPr>
              <w:kinsoku w:val="0"/>
              <w:autoSpaceDE w:val="0"/>
              <w:autoSpaceDN w:val="0"/>
              <w:spacing w:line="440" w:lineRule="exact"/>
              <w:ind w:firstLine="480" w:firstLineChars="200"/>
              <w:textAlignment w:val="baseline"/>
              <w:rPr>
                <w:rFonts w:hint="eastAsia" w:ascii="仿宋" w:hAnsi="仿宋" w:eastAsia="仿宋" w:cs="仿宋"/>
                <w:bCs/>
                <w:snapToGrid w:val="0"/>
                <w:color w:val="auto"/>
                <w:kern w:val="0"/>
                <w:sz w:val="24"/>
                <w:szCs w:val="21"/>
                <w14:ligatures w14:val="none"/>
              </w:rPr>
            </w:pPr>
            <w:r>
              <w:rPr>
                <w:rFonts w:hint="eastAsia" w:ascii="仿宋" w:hAnsi="仿宋" w:eastAsia="仿宋" w:cs="仿宋"/>
                <w:bCs/>
                <w:snapToGrid w:val="0"/>
                <w:color w:val="auto"/>
                <w:kern w:val="0"/>
                <w:sz w:val="24"/>
                <w:szCs w:val="21"/>
                <w14:ligatures w14:val="none"/>
              </w:rPr>
              <w:t>（3）报价得分计算时，报价均为供应商的实际投标报价进行政府采购政策性扣除后的价格，即进行报价得分计算时的报价=最后报价×（1—因落实政府采购政策进行的价格扣除）；最终中标金额＝投标报价。</w:t>
            </w:r>
          </w:p>
        </w:tc>
      </w:tr>
      <w:tr w14:paraId="723E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dxa"/>
            <w:vMerge w:val="restart"/>
            <w:tcBorders>
              <w:top w:val="single" w:color="auto" w:sz="4" w:space="0"/>
              <w:left w:val="single" w:color="auto" w:sz="4" w:space="0"/>
              <w:right w:val="single" w:color="auto" w:sz="4" w:space="0"/>
            </w:tcBorders>
            <w:vAlign w:val="center"/>
          </w:tcPr>
          <w:p w14:paraId="3625A2FE">
            <w:pPr>
              <w:widowControl/>
              <w:kinsoku w:val="0"/>
              <w:autoSpaceDE w:val="0"/>
              <w:autoSpaceDN w:val="0"/>
              <w:adjustRightInd w:val="0"/>
              <w:snapToGrid w:val="0"/>
              <w:jc w:val="center"/>
              <w:textAlignment w:val="baseline"/>
              <w:rPr>
                <w:rFonts w:hint="eastAsia" w:ascii="仿宋" w:hAnsi="仿宋" w:eastAsia="仿宋" w:cs="仿宋"/>
                <w:snapToGrid w:val="0"/>
                <w:color w:val="auto"/>
                <w:kern w:val="0"/>
                <w:szCs w:val="21"/>
                <w:lang w:eastAsia="en-US"/>
                <w14:ligatures w14:val="none"/>
              </w:rPr>
            </w:pPr>
            <w:r>
              <w:rPr>
                <w:rFonts w:hint="eastAsia" w:ascii="仿宋" w:hAnsi="仿宋" w:eastAsia="仿宋" w:cs="仿宋"/>
                <w:snapToGrid w:val="0"/>
                <w:color w:val="auto"/>
                <w:kern w:val="0"/>
                <w:szCs w:val="21"/>
                <w:lang w:eastAsia="en-US"/>
                <w14:ligatures w14:val="none"/>
              </w:rPr>
              <w:t>2</w:t>
            </w:r>
          </w:p>
        </w:tc>
        <w:tc>
          <w:tcPr>
            <w:tcW w:w="1320" w:type="dxa"/>
            <w:vMerge w:val="restart"/>
            <w:tcBorders>
              <w:top w:val="single" w:color="auto" w:sz="4" w:space="0"/>
              <w:left w:val="single" w:color="auto" w:sz="4" w:space="0"/>
              <w:right w:val="single" w:color="auto" w:sz="4" w:space="0"/>
            </w:tcBorders>
            <w:vAlign w:val="center"/>
          </w:tcPr>
          <w:p w14:paraId="5CEAC310">
            <w:pPr>
              <w:kinsoku w:val="0"/>
              <w:autoSpaceDE w:val="0"/>
              <w:autoSpaceDN w:val="0"/>
              <w:spacing w:line="440" w:lineRule="exact"/>
              <w:jc w:val="center"/>
              <w:textAlignment w:val="baseline"/>
              <w:rPr>
                <w:rFonts w:hint="eastAsia" w:ascii="仿宋" w:hAnsi="仿宋" w:eastAsia="仿宋" w:cs="仿宋"/>
                <w:b/>
                <w:bCs/>
                <w:snapToGrid w:val="0"/>
                <w:color w:val="auto"/>
                <w:kern w:val="0"/>
                <w:sz w:val="24"/>
                <w:szCs w:val="21"/>
                <w14:ligatures w14:val="none"/>
              </w:rPr>
            </w:pPr>
            <w:r>
              <w:rPr>
                <w:rFonts w:hint="eastAsia" w:ascii="仿宋" w:hAnsi="仿宋" w:eastAsia="仿宋" w:cs="仿宋"/>
                <w:b/>
                <w:bCs/>
                <w:snapToGrid w:val="0"/>
                <w:color w:val="auto"/>
                <w:kern w:val="0"/>
                <w:sz w:val="24"/>
                <w:szCs w:val="21"/>
                <w14:ligatures w14:val="none"/>
              </w:rPr>
              <w:t>技术分</w:t>
            </w:r>
          </w:p>
          <w:p w14:paraId="354A2005">
            <w:pPr>
              <w:kinsoku w:val="0"/>
              <w:autoSpaceDE w:val="0"/>
              <w:autoSpaceDN w:val="0"/>
              <w:spacing w:line="440" w:lineRule="exact"/>
              <w:jc w:val="center"/>
              <w:textAlignment w:val="baseline"/>
              <w:rPr>
                <w:rFonts w:hint="eastAsia" w:ascii="仿宋" w:hAnsi="仿宋" w:eastAsia="仿宋" w:cs="仿宋"/>
                <w:snapToGrid w:val="0"/>
                <w:color w:val="auto"/>
                <w:kern w:val="0"/>
                <w:sz w:val="24"/>
                <w:szCs w:val="21"/>
                <w14:ligatures w14:val="none"/>
              </w:rPr>
            </w:pPr>
            <w:r>
              <w:rPr>
                <w:rFonts w:hint="eastAsia" w:ascii="仿宋" w:hAnsi="仿宋" w:eastAsia="仿宋" w:cs="仿宋"/>
                <w:b/>
                <w:bCs/>
                <w:snapToGrid w:val="0"/>
                <w:color w:val="auto"/>
                <w:kern w:val="0"/>
                <w:sz w:val="24"/>
                <w:szCs w:val="21"/>
                <w14:ligatures w14:val="none"/>
              </w:rPr>
              <w:t>（满分70分）</w:t>
            </w:r>
          </w:p>
          <w:p w14:paraId="77BB262C">
            <w:pPr>
              <w:kinsoku w:val="0"/>
              <w:autoSpaceDE w:val="0"/>
              <w:autoSpaceDN w:val="0"/>
              <w:spacing w:line="440" w:lineRule="exact"/>
              <w:jc w:val="center"/>
              <w:textAlignment w:val="baseline"/>
              <w:rPr>
                <w:rFonts w:hint="eastAsia" w:ascii="仿宋" w:hAnsi="仿宋" w:eastAsia="仿宋" w:cs="仿宋"/>
                <w:snapToGrid w:val="0"/>
                <w:color w:val="auto"/>
                <w:kern w:val="0"/>
                <w:sz w:val="24"/>
                <w:szCs w:val="21"/>
                <w14:ligatures w14:val="none"/>
              </w:rPr>
            </w:pPr>
          </w:p>
        </w:tc>
        <w:tc>
          <w:tcPr>
            <w:tcW w:w="1518" w:type="dxa"/>
            <w:tcBorders>
              <w:top w:val="single" w:color="auto" w:sz="4" w:space="0"/>
              <w:left w:val="single" w:color="auto" w:sz="4" w:space="0"/>
              <w:bottom w:val="single" w:color="auto" w:sz="4" w:space="0"/>
              <w:right w:val="single" w:color="auto" w:sz="4" w:space="0"/>
            </w:tcBorders>
            <w:vAlign w:val="center"/>
          </w:tcPr>
          <w:p w14:paraId="61B45553">
            <w:pPr>
              <w:kinsoku w:val="0"/>
              <w:autoSpaceDE w:val="0"/>
              <w:autoSpaceDN w:val="0"/>
              <w:spacing w:line="440" w:lineRule="exact"/>
              <w:jc w:val="center"/>
              <w:textAlignment w:val="baseline"/>
              <w:rPr>
                <w:rFonts w:hint="eastAsia" w:ascii="仿宋" w:hAnsi="仿宋" w:eastAsia="仿宋" w:cs="仿宋"/>
                <w:snapToGrid w:val="0"/>
                <w:color w:val="auto"/>
                <w:kern w:val="0"/>
                <w:sz w:val="24"/>
                <w:szCs w:val="21"/>
                <w14:ligatures w14:val="none"/>
              </w:rPr>
            </w:pPr>
            <w:r>
              <w:rPr>
                <w:rFonts w:hint="eastAsia" w:ascii="仿宋" w:hAnsi="仿宋" w:eastAsia="仿宋" w:cs="仿宋"/>
                <w:snapToGrid w:val="0"/>
                <w:color w:val="auto"/>
                <w:kern w:val="0"/>
                <w:sz w:val="24"/>
                <w:szCs w:val="21"/>
                <w14:ligatures w14:val="none"/>
              </w:rPr>
              <w:t>项目理解 (满分15分)</w:t>
            </w:r>
          </w:p>
        </w:tc>
        <w:tc>
          <w:tcPr>
            <w:tcW w:w="6466" w:type="dxa"/>
            <w:tcBorders>
              <w:top w:val="single" w:color="auto" w:sz="4" w:space="0"/>
              <w:left w:val="single" w:color="auto" w:sz="4" w:space="0"/>
              <w:bottom w:val="single" w:color="auto" w:sz="4" w:space="0"/>
              <w:right w:val="single" w:color="auto" w:sz="4" w:space="0"/>
            </w:tcBorders>
            <w:vAlign w:val="center"/>
          </w:tcPr>
          <w:p w14:paraId="5E3A4E5B">
            <w:pPr>
              <w:kinsoku w:val="0"/>
              <w:autoSpaceDE w:val="0"/>
              <w:autoSpaceDN w:val="0"/>
              <w:spacing w:line="400" w:lineRule="exact"/>
              <w:ind w:firstLine="480" w:firstLineChars="200"/>
              <w:textAlignment w:val="baseline"/>
              <w:rPr>
                <w:rFonts w:ascii="仿宋" w:hAnsi="仿宋" w:eastAsia="仿宋" w:cs="仿宋"/>
                <w:bCs/>
                <w:snapToGrid w:val="0"/>
                <w:color w:val="auto"/>
                <w:kern w:val="0"/>
                <w:sz w:val="24"/>
                <w:szCs w:val="24"/>
                <w14:ligatures w14:val="none"/>
              </w:rPr>
            </w:pPr>
            <w:r>
              <w:rPr>
                <w:rFonts w:hint="eastAsia" w:ascii="仿宋" w:hAnsi="仿宋" w:eastAsia="仿宋" w:cs="仿宋"/>
                <w:bCs/>
                <w:snapToGrid w:val="0"/>
                <w:color w:val="auto"/>
                <w:kern w:val="0"/>
                <w:sz w:val="24"/>
                <w:szCs w:val="24"/>
                <w14:ligatures w14:val="none"/>
              </w:rPr>
              <w:t>根据供应商提供的对本项目的理解（包括但不限于对项目背景、目标、现状、项目服务内容及要求的理解，对相关系统的了解程度，对项目重点难点、关键点的分析）进行评审：</w:t>
            </w:r>
          </w:p>
          <w:p w14:paraId="7DDCE6E6">
            <w:pPr>
              <w:kinsoku w:val="0"/>
              <w:autoSpaceDE w:val="0"/>
              <w:autoSpaceDN w:val="0"/>
              <w:spacing w:line="400" w:lineRule="exact"/>
              <w:ind w:firstLine="480" w:firstLineChars="200"/>
              <w:textAlignment w:val="baseline"/>
              <w:rPr>
                <w:rFonts w:ascii="仿宋" w:hAnsi="仿宋" w:eastAsia="仿宋" w:cs="仿宋"/>
                <w:bCs/>
                <w:snapToGrid w:val="0"/>
                <w:color w:val="auto"/>
                <w:kern w:val="0"/>
                <w:sz w:val="24"/>
                <w:szCs w:val="24"/>
                <w14:ligatures w14:val="none"/>
              </w:rPr>
            </w:pPr>
            <w:r>
              <w:rPr>
                <w:rFonts w:hint="eastAsia" w:ascii="仿宋" w:hAnsi="仿宋" w:eastAsia="仿宋" w:cs="仿宋"/>
                <w:bCs/>
                <w:snapToGrid w:val="0"/>
                <w:color w:val="auto"/>
                <w:kern w:val="0"/>
                <w:sz w:val="24"/>
                <w:szCs w:val="24"/>
                <w14:ligatures w14:val="none"/>
              </w:rPr>
              <w:t xml:space="preserve"> ①对本项目的背景、现状、目标以及项目服务内容和要求理解深入透彻，阐述准确全面，对相关设施及系统非常了解，能准确分析出项目的重点难点以及关键点，完全满足并优于采购需求，得15分；</w:t>
            </w:r>
          </w:p>
          <w:p w14:paraId="1E9310B3">
            <w:pPr>
              <w:kinsoku w:val="0"/>
              <w:autoSpaceDE w:val="0"/>
              <w:autoSpaceDN w:val="0"/>
              <w:spacing w:line="400" w:lineRule="exact"/>
              <w:ind w:firstLine="480" w:firstLineChars="200"/>
              <w:textAlignment w:val="baseline"/>
              <w:rPr>
                <w:rFonts w:ascii="仿宋" w:hAnsi="仿宋" w:eastAsia="仿宋" w:cs="仿宋"/>
                <w:bCs/>
                <w:snapToGrid w:val="0"/>
                <w:color w:val="auto"/>
                <w:kern w:val="0"/>
                <w:sz w:val="24"/>
                <w:szCs w:val="24"/>
                <w14:ligatures w14:val="none"/>
              </w:rPr>
            </w:pPr>
            <w:r>
              <w:rPr>
                <w:rFonts w:hint="eastAsia" w:ascii="仿宋" w:hAnsi="仿宋" w:eastAsia="仿宋" w:cs="仿宋"/>
                <w:bCs/>
                <w:snapToGrid w:val="0"/>
                <w:color w:val="auto"/>
                <w:kern w:val="0"/>
                <w:sz w:val="24"/>
                <w:szCs w:val="24"/>
                <w14:ligatures w14:val="none"/>
              </w:rPr>
              <w:t xml:space="preserve"> ②有对本项目的背景、现状、目标以及项目服务内容和要求理解内容，有对相关设施及系统了解内容，有分析出项目的重点难点以及关键点，完全满足采购需求，得10分； </w:t>
            </w:r>
          </w:p>
          <w:p w14:paraId="0AF46258">
            <w:pPr>
              <w:kinsoku w:val="0"/>
              <w:autoSpaceDE w:val="0"/>
              <w:autoSpaceDN w:val="0"/>
              <w:spacing w:line="400" w:lineRule="exact"/>
              <w:ind w:firstLine="480" w:firstLineChars="200"/>
              <w:textAlignment w:val="baseline"/>
              <w:rPr>
                <w:rFonts w:ascii="仿宋" w:hAnsi="仿宋" w:eastAsia="仿宋" w:cs="仿宋"/>
                <w:bCs/>
                <w:snapToGrid w:val="0"/>
                <w:color w:val="auto"/>
                <w:kern w:val="0"/>
                <w:sz w:val="24"/>
                <w:szCs w:val="24"/>
                <w14:ligatures w14:val="none"/>
              </w:rPr>
            </w:pPr>
            <w:r>
              <w:rPr>
                <w:rFonts w:hint="eastAsia" w:ascii="仿宋" w:hAnsi="仿宋" w:eastAsia="仿宋" w:cs="仿宋"/>
                <w:bCs/>
                <w:snapToGrid w:val="0"/>
                <w:color w:val="auto"/>
                <w:kern w:val="0"/>
                <w:sz w:val="24"/>
                <w:szCs w:val="24"/>
                <w14:ligatures w14:val="none"/>
              </w:rPr>
              <w:t>③对本项目的背景、现状、目标以及项目服务内容和要求理解不透彻、不深入，阐述较差，对相关设施及系统不了解，未能分析出项目的重点难点以及关键点，内容有缺项、不完整或缺少关键点，部分满足采购需求，得5分；</w:t>
            </w:r>
          </w:p>
          <w:p w14:paraId="5C6D901A">
            <w:pPr>
              <w:kinsoku w:val="0"/>
              <w:autoSpaceDE w:val="0"/>
              <w:autoSpaceDN w:val="0"/>
              <w:spacing w:line="400" w:lineRule="exact"/>
              <w:ind w:firstLine="480" w:firstLineChars="200"/>
              <w:textAlignment w:val="baseline"/>
              <w:rPr>
                <w:rFonts w:hint="eastAsia" w:ascii="仿宋" w:hAnsi="仿宋" w:eastAsia="仿宋" w:cs="仿宋"/>
                <w:snapToGrid w:val="0"/>
                <w:color w:val="auto"/>
                <w:sz w:val="24"/>
                <w:szCs w:val="24"/>
                <w14:ligatures w14:val="none"/>
              </w:rPr>
            </w:pPr>
            <w:r>
              <w:rPr>
                <w:rFonts w:hint="eastAsia" w:ascii="仿宋" w:hAnsi="仿宋" w:eastAsia="仿宋" w:cs="仿宋"/>
                <w:bCs/>
                <w:snapToGrid w:val="0"/>
                <w:color w:val="auto"/>
                <w:kern w:val="0"/>
                <w:sz w:val="24"/>
                <w:szCs w:val="24"/>
                <w14:ligatures w14:val="none"/>
              </w:rPr>
              <w:t>④没有提供相关内容的不得分。</w:t>
            </w:r>
          </w:p>
        </w:tc>
      </w:tr>
      <w:tr w14:paraId="645FE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dxa"/>
            <w:vMerge w:val="continue"/>
            <w:tcBorders>
              <w:left w:val="single" w:color="auto" w:sz="4" w:space="0"/>
              <w:right w:val="single" w:color="auto" w:sz="4" w:space="0"/>
            </w:tcBorders>
            <w:vAlign w:val="center"/>
          </w:tcPr>
          <w:p w14:paraId="51F43428">
            <w:pPr>
              <w:widowControl/>
              <w:kinsoku w:val="0"/>
              <w:autoSpaceDE w:val="0"/>
              <w:autoSpaceDN w:val="0"/>
              <w:adjustRightInd w:val="0"/>
              <w:snapToGrid w:val="0"/>
              <w:jc w:val="center"/>
              <w:textAlignment w:val="baseline"/>
              <w:rPr>
                <w:rFonts w:hint="eastAsia" w:ascii="仿宋" w:hAnsi="仿宋" w:eastAsia="仿宋" w:cs="仿宋"/>
                <w:snapToGrid w:val="0"/>
                <w:color w:val="auto"/>
                <w:kern w:val="0"/>
                <w:szCs w:val="21"/>
                <w14:ligatures w14:val="none"/>
              </w:rPr>
            </w:pPr>
          </w:p>
        </w:tc>
        <w:tc>
          <w:tcPr>
            <w:tcW w:w="1320" w:type="dxa"/>
            <w:vMerge w:val="continue"/>
            <w:tcBorders>
              <w:left w:val="single" w:color="auto" w:sz="4" w:space="0"/>
              <w:right w:val="single" w:color="auto" w:sz="4" w:space="0"/>
            </w:tcBorders>
            <w:vAlign w:val="center"/>
          </w:tcPr>
          <w:p w14:paraId="2081C178">
            <w:pPr>
              <w:kinsoku w:val="0"/>
              <w:autoSpaceDE w:val="0"/>
              <w:autoSpaceDN w:val="0"/>
              <w:spacing w:line="440" w:lineRule="exact"/>
              <w:jc w:val="center"/>
              <w:textAlignment w:val="baseline"/>
              <w:rPr>
                <w:rFonts w:hint="eastAsia" w:ascii="仿宋" w:hAnsi="仿宋" w:eastAsia="仿宋" w:cs="仿宋"/>
                <w:snapToGrid w:val="0"/>
                <w:color w:val="auto"/>
                <w:kern w:val="0"/>
                <w:sz w:val="24"/>
                <w:szCs w:val="21"/>
                <w14:ligatures w14:val="none"/>
              </w:rPr>
            </w:pPr>
          </w:p>
        </w:tc>
        <w:tc>
          <w:tcPr>
            <w:tcW w:w="1518" w:type="dxa"/>
            <w:tcBorders>
              <w:top w:val="single" w:color="auto" w:sz="4" w:space="0"/>
              <w:left w:val="single" w:color="auto" w:sz="4" w:space="0"/>
              <w:bottom w:val="single" w:color="auto" w:sz="4" w:space="0"/>
              <w:right w:val="single" w:color="auto" w:sz="4" w:space="0"/>
            </w:tcBorders>
            <w:vAlign w:val="center"/>
          </w:tcPr>
          <w:p w14:paraId="2CE7D164">
            <w:pPr>
              <w:kinsoku w:val="0"/>
              <w:autoSpaceDE w:val="0"/>
              <w:autoSpaceDN w:val="0"/>
              <w:spacing w:line="440" w:lineRule="exact"/>
              <w:jc w:val="center"/>
              <w:textAlignment w:val="baseline"/>
              <w:rPr>
                <w:rFonts w:hint="eastAsia" w:ascii="仿宋" w:hAnsi="仿宋" w:eastAsia="仿宋" w:cs="仿宋"/>
                <w:snapToGrid w:val="0"/>
                <w:color w:val="auto"/>
                <w:kern w:val="0"/>
                <w:sz w:val="24"/>
                <w:szCs w:val="21"/>
                <w14:ligatures w14:val="none"/>
              </w:rPr>
            </w:pPr>
            <w:r>
              <w:rPr>
                <w:rFonts w:hint="eastAsia" w:ascii="仿宋" w:hAnsi="仿宋" w:eastAsia="仿宋" w:cs="仿宋"/>
                <w:snapToGrid w:val="0"/>
                <w:color w:val="auto"/>
                <w:kern w:val="0"/>
                <w:sz w:val="24"/>
                <w:szCs w:val="21"/>
                <w14:ligatures w14:val="none"/>
              </w:rPr>
              <w:t>项目整体实施与</w:t>
            </w:r>
            <w:r>
              <w:rPr>
                <w:rFonts w:hint="eastAsia" w:ascii="仿宋" w:hAnsi="仿宋" w:eastAsia="仿宋" w:cs="仿宋"/>
                <w:snapToGrid w:val="0"/>
                <w:color w:val="auto"/>
                <w:kern w:val="0"/>
                <w:sz w:val="24"/>
                <w:szCs w:val="21"/>
                <w:lang w:eastAsia="zh-CN"/>
                <w14:ligatures w14:val="none"/>
              </w:rPr>
              <w:t>2年运维</w:t>
            </w:r>
            <w:r>
              <w:rPr>
                <w:rFonts w:hint="eastAsia" w:ascii="仿宋" w:hAnsi="仿宋" w:eastAsia="仿宋" w:cs="仿宋"/>
                <w:snapToGrid w:val="0"/>
                <w:color w:val="auto"/>
                <w:kern w:val="0"/>
                <w:sz w:val="24"/>
                <w:szCs w:val="21"/>
                <w14:ligatures w14:val="none"/>
              </w:rPr>
              <w:t>服务方案 (满分15分)</w:t>
            </w:r>
          </w:p>
        </w:tc>
        <w:tc>
          <w:tcPr>
            <w:tcW w:w="6466" w:type="dxa"/>
            <w:tcBorders>
              <w:top w:val="single" w:color="auto" w:sz="4" w:space="0"/>
              <w:left w:val="single" w:color="auto" w:sz="4" w:space="0"/>
              <w:bottom w:val="single" w:color="auto" w:sz="4" w:space="0"/>
              <w:right w:val="single" w:color="auto" w:sz="4" w:space="0"/>
            </w:tcBorders>
            <w:vAlign w:val="center"/>
          </w:tcPr>
          <w:p w14:paraId="5458B707">
            <w:pPr>
              <w:kinsoku w:val="0"/>
              <w:autoSpaceDE w:val="0"/>
              <w:autoSpaceDN w:val="0"/>
              <w:spacing w:line="400" w:lineRule="exact"/>
              <w:textAlignment w:val="baseline"/>
              <w:rPr>
                <w:rFonts w:hint="eastAsia" w:ascii="仿宋" w:hAnsi="仿宋" w:eastAsia="仿宋" w:cs="仿宋"/>
                <w:bCs/>
                <w:snapToGrid w:val="0"/>
                <w:color w:val="auto"/>
                <w:kern w:val="0"/>
                <w:sz w:val="24"/>
                <w:szCs w:val="24"/>
                <w14:ligatures w14:val="none"/>
              </w:rPr>
            </w:pPr>
            <w:r>
              <w:rPr>
                <w:rFonts w:hint="eastAsia" w:ascii="仿宋" w:hAnsi="仿宋" w:eastAsia="仿宋" w:cs="仿宋"/>
                <w:bCs/>
                <w:snapToGrid w:val="0"/>
                <w:color w:val="auto"/>
                <w:kern w:val="0"/>
                <w:sz w:val="24"/>
                <w:szCs w:val="24"/>
                <w14:ligatures w14:val="none"/>
              </w:rPr>
              <w:t>根据供应商为整个项目（含新增模块集成、安全建设及长期运维）制定的整体实施、项目管理与</w:t>
            </w:r>
            <w:r>
              <w:rPr>
                <w:rFonts w:hint="eastAsia" w:ascii="仿宋" w:hAnsi="仿宋" w:eastAsia="仿宋" w:cs="仿宋"/>
                <w:bCs/>
                <w:snapToGrid w:val="0"/>
                <w:color w:val="auto"/>
                <w:kern w:val="0"/>
                <w:sz w:val="24"/>
                <w:szCs w:val="24"/>
                <w:lang w:eastAsia="zh-CN"/>
                <w14:ligatures w14:val="none"/>
              </w:rPr>
              <w:t>2年运维</w:t>
            </w:r>
            <w:r>
              <w:rPr>
                <w:rFonts w:hint="eastAsia" w:ascii="仿宋" w:hAnsi="仿宋" w:eastAsia="仿宋" w:cs="仿宋"/>
                <w:bCs/>
                <w:snapToGrid w:val="0"/>
                <w:color w:val="auto"/>
                <w:kern w:val="0"/>
                <w:sz w:val="24"/>
                <w:szCs w:val="24"/>
                <w14:ligatures w14:val="none"/>
              </w:rPr>
              <w:t>服务方案进行评审。内容包括但不限于：项目组织架构、人员配置、进度计划与关键节点、质量保证体系、风险控制措施、知识转移培训计划及持续服务响应机制。</w:t>
            </w:r>
          </w:p>
          <w:p w14:paraId="6A726F3E">
            <w:pPr>
              <w:kinsoku w:val="0"/>
              <w:autoSpaceDE w:val="0"/>
              <w:autoSpaceDN w:val="0"/>
              <w:spacing w:line="400" w:lineRule="exact"/>
              <w:ind w:firstLine="480" w:firstLineChars="200"/>
              <w:textAlignment w:val="baseline"/>
              <w:rPr>
                <w:rFonts w:hint="eastAsia" w:ascii="仿宋" w:hAnsi="仿宋" w:eastAsia="仿宋" w:cs="仿宋"/>
                <w:bCs/>
                <w:snapToGrid w:val="0"/>
                <w:color w:val="auto"/>
                <w:kern w:val="0"/>
                <w:sz w:val="24"/>
                <w:szCs w:val="24"/>
                <w14:ligatures w14:val="none"/>
              </w:rPr>
            </w:pPr>
            <w:r>
              <w:rPr>
                <w:rFonts w:hint="eastAsia" w:ascii="仿宋" w:hAnsi="仿宋" w:eastAsia="仿宋" w:cs="仿宋"/>
                <w:bCs/>
                <w:snapToGrid w:val="0"/>
                <w:color w:val="auto"/>
                <w:kern w:val="0"/>
                <w:sz w:val="24"/>
                <w:szCs w:val="24"/>
                <w14:ligatures w14:val="none"/>
              </w:rPr>
              <w:t>优 (15分)：项目团队专业、经验匹配，实施路线图清晰合理，进度安排科学，质量与风险管控措施严密有效。</w:t>
            </w:r>
            <w:r>
              <w:rPr>
                <w:rFonts w:hint="eastAsia" w:ascii="仿宋" w:hAnsi="仿宋" w:eastAsia="仿宋" w:cs="仿宋"/>
                <w:bCs/>
                <w:snapToGrid w:val="0"/>
                <w:color w:val="auto"/>
                <w:kern w:val="0"/>
                <w:sz w:val="24"/>
                <w:szCs w:val="24"/>
                <w:lang w:eastAsia="zh-CN"/>
                <w14:ligatures w14:val="none"/>
              </w:rPr>
              <w:t>2年运维</w:t>
            </w:r>
            <w:r>
              <w:rPr>
                <w:rFonts w:hint="eastAsia" w:ascii="仿宋" w:hAnsi="仿宋" w:eastAsia="仿宋" w:cs="仿宋"/>
                <w:bCs/>
                <w:snapToGrid w:val="0"/>
                <w:color w:val="auto"/>
                <w:kern w:val="0"/>
                <w:sz w:val="24"/>
                <w:szCs w:val="24"/>
                <w14:ligatures w14:val="none"/>
              </w:rPr>
              <w:t>服务等级协议(SLA)明确，响应机制健全，培训计划完善，完全满足且优于采购方长期运营需求。</w:t>
            </w:r>
          </w:p>
          <w:p w14:paraId="43228659">
            <w:pPr>
              <w:kinsoku w:val="0"/>
              <w:autoSpaceDE w:val="0"/>
              <w:autoSpaceDN w:val="0"/>
              <w:spacing w:line="400" w:lineRule="exact"/>
              <w:ind w:firstLine="480" w:firstLineChars="200"/>
              <w:textAlignment w:val="baseline"/>
              <w:rPr>
                <w:rFonts w:hint="eastAsia" w:ascii="仿宋" w:hAnsi="仿宋" w:eastAsia="仿宋" w:cs="仿宋"/>
                <w:bCs/>
                <w:snapToGrid w:val="0"/>
                <w:color w:val="auto"/>
                <w:kern w:val="0"/>
                <w:sz w:val="24"/>
                <w:szCs w:val="24"/>
                <w14:ligatures w14:val="none"/>
              </w:rPr>
            </w:pPr>
            <w:r>
              <w:rPr>
                <w:rFonts w:hint="eastAsia" w:ascii="仿宋" w:hAnsi="仿宋" w:eastAsia="仿宋" w:cs="仿宋"/>
                <w:bCs/>
                <w:snapToGrid w:val="0"/>
                <w:color w:val="auto"/>
                <w:kern w:val="0"/>
                <w:sz w:val="24"/>
                <w:szCs w:val="24"/>
                <w14:ligatures w14:val="none"/>
              </w:rPr>
              <w:t>良 (10分)：项目团队与计划可行，有基本的质量、风险管控和运维服务安排，能完全满足项目实施的各项需求。</w:t>
            </w:r>
          </w:p>
          <w:p w14:paraId="1E88E298">
            <w:pPr>
              <w:kinsoku w:val="0"/>
              <w:autoSpaceDE w:val="0"/>
              <w:autoSpaceDN w:val="0"/>
              <w:spacing w:line="400" w:lineRule="exact"/>
              <w:ind w:firstLine="480" w:firstLineChars="200"/>
              <w:textAlignment w:val="baseline"/>
              <w:rPr>
                <w:rFonts w:hint="eastAsia" w:ascii="仿宋" w:hAnsi="仿宋" w:eastAsia="仿宋" w:cs="仿宋"/>
                <w:bCs/>
                <w:snapToGrid w:val="0"/>
                <w:color w:val="auto"/>
                <w:kern w:val="0"/>
                <w:sz w:val="24"/>
                <w:szCs w:val="24"/>
                <w14:ligatures w14:val="none"/>
              </w:rPr>
            </w:pPr>
            <w:r>
              <w:rPr>
                <w:rFonts w:hint="eastAsia" w:ascii="仿宋" w:hAnsi="仿宋" w:eastAsia="仿宋" w:cs="仿宋"/>
                <w:bCs/>
                <w:snapToGrid w:val="0"/>
                <w:color w:val="auto"/>
                <w:kern w:val="0"/>
                <w:sz w:val="24"/>
                <w:szCs w:val="24"/>
                <w14:ligatures w14:val="none"/>
              </w:rPr>
              <w:t>中 (5分)：项目实施或运维方案存在薄弱环节，计划不够周详，部分内容缺失，可行性一般。</w:t>
            </w:r>
          </w:p>
          <w:p w14:paraId="0469A808">
            <w:pPr>
              <w:kinsoku w:val="0"/>
              <w:autoSpaceDE w:val="0"/>
              <w:autoSpaceDN w:val="0"/>
              <w:spacing w:line="400" w:lineRule="exact"/>
              <w:ind w:firstLine="480" w:firstLineChars="200"/>
              <w:textAlignment w:val="baseline"/>
              <w:rPr>
                <w:rFonts w:hint="eastAsia" w:ascii="仿宋" w:hAnsi="仿宋" w:eastAsia="仿宋" w:cs="仿宋"/>
                <w:snapToGrid w:val="0"/>
                <w:color w:val="auto"/>
                <w:kern w:val="0"/>
                <w:sz w:val="24"/>
                <w:szCs w:val="21"/>
                <w14:ligatures w14:val="none"/>
              </w:rPr>
            </w:pPr>
            <w:r>
              <w:rPr>
                <w:rFonts w:hint="eastAsia" w:ascii="仿宋" w:hAnsi="仿宋" w:eastAsia="仿宋" w:cs="仿宋"/>
                <w:bCs/>
                <w:snapToGrid w:val="0"/>
                <w:color w:val="auto"/>
                <w:kern w:val="0"/>
                <w:sz w:val="24"/>
                <w:szCs w:val="24"/>
                <w14:ligatures w14:val="none"/>
              </w:rPr>
              <w:t>差 (0分)：未提供相关方案。</w:t>
            </w:r>
          </w:p>
        </w:tc>
      </w:tr>
      <w:tr w14:paraId="620A1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dxa"/>
            <w:vMerge w:val="continue"/>
            <w:tcBorders>
              <w:left w:val="single" w:color="auto" w:sz="4" w:space="0"/>
              <w:right w:val="single" w:color="auto" w:sz="4" w:space="0"/>
            </w:tcBorders>
            <w:vAlign w:val="center"/>
          </w:tcPr>
          <w:p w14:paraId="4D466E6C">
            <w:pPr>
              <w:widowControl/>
              <w:kinsoku w:val="0"/>
              <w:autoSpaceDE w:val="0"/>
              <w:autoSpaceDN w:val="0"/>
              <w:adjustRightInd w:val="0"/>
              <w:snapToGrid w:val="0"/>
              <w:jc w:val="center"/>
              <w:textAlignment w:val="baseline"/>
              <w:rPr>
                <w:rFonts w:hint="eastAsia" w:ascii="仿宋" w:hAnsi="仿宋" w:eastAsia="仿宋" w:cs="仿宋"/>
                <w:snapToGrid w:val="0"/>
                <w:color w:val="auto"/>
                <w:kern w:val="0"/>
                <w:szCs w:val="21"/>
                <w14:ligatures w14:val="none"/>
              </w:rPr>
            </w:pPr>
          </w:p>
        </w:tc>
        <w:tc>
          <w:tcPr>
            <w:tcW w:w="1320" w:type="dxa"/>
            <w:vMerge w:val="continue"/>
            <w:tcBorders>
              <w:left w:val="single" w:color="auto" w:sz="4" w:space="0"/>
              <w:right w:val="single" w:color="auto" w:sz="4" w:space="0"/>
            </w:tcBorders>
            <w:vAlign w:val="center"/>
          </w:tcPr>
          <w:p w14:paraId="22070765">
            <w:pPr>
              <w:kinsoku w:val="0"/>
              <w:autoSpaceDE w:val="0"/>
              <w:autoSpaceDN w:val="0"/>
              <w:spacing w:line="440" w:lineRule="exact"/>
              <w:jc w:val="center"/>
              <w:textAlignment w:val="baseline"/>
              <w:rPr>
                <w:rFonts w:hint="eastAsia" w:ascii="仿宋" w:hAnsi="仿宋" w:eastAsia="仿宋" w:cs="仿宋"/>
                <w:snapToGrid w:val="0"/>
                <w:color w:val="auto"/>
                <w:kern w:val="0"/>
                <w:sz w:val="24"/>
                <w:szCs w:val="21"/>
                <w14:ligatures w14:val="none"/>
              </w:rPr>
            </w:pPr>
          </w:p>
        </w:tc>
        <w:tc>
          <w:tcPr>
            <w:tcW w:w="1518" w:type="dxa"/>
            <w:tcBorders>
              <w:top w:val="single" w:color="auto" w:sz="4" w:space="0"/>
              <w:left w:val="single" w:color="auto" w:sz="4" w:space="0"/>
              <w:bottom w:val="single" w:color="auto" w:sz="4" w:space="0"/>
              <w:right w:val="single" w:color="auto" w:sz="4" w:space="0"/>
            </w:tcBorders>
            <w:vAlign w:val="center"/>
          </w:tcPr>
          <w:p w14:paraId="02B35F39">
            <w:pPr>
              <w:kinsoku w:val="0"/>
              <w:autoSpaceDE w:val="0"/>
              <w:autoSpaceDN w:val="0"/>
              <w:spacing w:line="440" w:lineRule="exact"/>
              <w:jc w:val="center"/>
              <w:textAlignment w:val="baseline"/>
              <w:rPr>
                <w:rFonts w:hint="eastAsia" w:ascii="仿宋" w:hAnsi="仿宋" w:eastAsia="仿宋" w:cs="仿宋"/>
                <w:snapToGrid w:val="0"/>
                <w:color w:val="auto"/>
                <w:kern w:val="0"/>
                <w:sz w:val="24"/>
                <w:szCs w:val="21"/>
                <w14:ligatures w14:val="none"/>
              </w:rPr>
            </w:pPr>
            <w:r>
              <w:rPr>
                <w:rFonts w:hint="eastAsia" w:ascii="仿宋" w:hAnsi="仿宋" w:eastAsia="仿宋" w:cs="仿宋"/>
                <w:snapToGrid w:val="0"/>
                <w:color w:val="auto"/>
                <w:kern w:val="0"/>
                <w:sz w:val="24"/>
                <w:szCs w:val="21"/>
                <w14:ligatures w14:val="none"/>
              </w:rPr>
              <w:t>安全体系（密码应用+等保二级）建设与运维方案  (满分15分)</w:t>
            </w:r>
          </w:p>
        </w:tc>
        <w:tc>
          <w:tcPr>
            <w:tcW w:w="6466" w:type="dxa"/>
            <w:tcBorders>
              <w:top w:val="single" w:color="auto" w:sz="4" w:space="0"/>
              <w:left w:val="single" w:color="auto" w:sz="4" w:space="0"/>
              <w:bottom w:val="single" w:color="auto" w:sz="4" w:space="0"/>
              <w:right w:val="single" w:color="auto" w:sz="4" w:space="0"/>
            </w:tcBorders>
            <w:vAlign w:val="center"/>
          </w:tcPr>
          <w:p w14:paraId="3658C3A8">
            <w:pPr>
              <w:kinsoku w:val="0"/>
              <w:autoSpaceDE w:val="0"/>
              <w:autoSpaceDN w:val="0"/>
              <w:spacing w:line="400" w:lineRule="exact"/>
              <w:textAlignment w:val="baseline"/>
              <w:rPr>
                <w:rFonts w:hint="eastAsia" w:ascii="仿宋" w:hAnsi="仿宋" w:eastAsia="仿宋" w:cs="仿宋"/>
                <w:bCs/>
                <w:snapToGrid w:val="0"/>
                <w:color w:val="auto"/>
                <w:kern w:val="0"/>
                <w:sz w:val="24"/>
                <w:szCs w:val="24"/>
                <w14:ligatures w14:val="none"/>
              </w:rPr>
            </w:pPr>
            <w:r>
              <w:rPr>
                <w:rFonts w:hint="eastAsia" w:ascii="仿宋" w:hAnsi="仿宋" w:eastAsia="仿宋" w:cs="仿宋"/>
                <w:bCs/>
                <w:snapToGrid w:val="0"/>
                <w:color w:val="auto"/>
                <w:kern w:val="0"/>
                <w:sz w:val="24"/>
                <w:szCs w:val="24"/>
                <w14:ligatures w14:val="none"/>
              </w:rPr>
              <w:t>根据供应商结合GB/T 39786等标准制定的商用密码应用建设方案，以及满足网络安全等级保护二级要求的整体安全体系建设与运维方案进行评审。内容包括但不限于：密码应用需求分析与风险控制措施、密码技术应用规划（计算平台、业务应用等）、等保二级安全技术与管理体系建设方案、</w:t>
            </w:r>
            <w:r>
              <w:rPr>
                <w:rFonts w:hint="eastAsia" w:ascii="仿宋" w:hAnsi="仿宋" w:eastAsia="仿宋" w:cs="仿宋"/>
                <w:bCs/>
                <w:snapToGrid w:val="0"/>
                <w:color w:val="auto"/>
                <w:kern w:val="0"/>
                <w:sz w:val="24"/>
                <w:szCs w:val="24"/>
                <w:lang w:val="en-US" w:eastAsia="zh-CN"/>
                <w14:ligatures w14:val="none"/>
              </w:rPr>
              <w:t>2</w:t>
            </w:r>
            <w:r>
              <w:rPr>
                <w:rFonts w:hint="eastAsia" w:ascii="仿宋" w:hAnsi="仿宋" w:eastAsia="仿宋" w:cs="仿宋"/>
                <w:bCs/>
                <w:snapToGrid w:val="0"/>
                <w:color w:val="auto"/>
                <w:kern w:val="0"/>
                <w:sz w:val="24"/>
                <w:szCs w:val="24"/>
                <w14:ligatures w14:val="none"/>
              </w:rPr>
              <w:t>年安全运维与应急处置计划。</w:t>
            </w:r>
          </w:p>
          <w:p w14:paraId="0656D57C">
            <w:pPr>
              <w:kinsoku w:val="0"/>
              <w:autoSpaceDE w:val="0"/>
              <w:autoSpaceDN w:val="0"/>
              <w:spacing w:line="400" w:lineRule="exact"/>
              <w:ind w:firstLine="480" w:firstLineChars="200"/>
              <w:textAlignment w:val="baseline"/>
              <w:rPr>
                <w:rFonts w:hint="eastAsia" w:ascii="仿宋" w:hAnsi="仿宋" w:eastAsia="仿宋" w:cs="仿宋"/>
                <w:bCs/>
                <w:snapToGrid w:val="0"/>
                <w:color w:val="auto"/>
                <w:kern w:val="0"/>
                <w:sz w:val="24"/>
                <w:szCs w:val="24"/>
                <w14:ligatures w14:val="none"/>
              </w:rPr>
            </w:pPr>
            <w:r>
              <w:rPr>
                <w:rFonts w:hint="eastAsia" w:ascii="仿宋" w:hAnsi="仿宋" w:eastAsia="仿宋" w:cs="仿宋"/>
                <w:bCs/>
                <w:snapToGrid w:val="0"/>
                <w:color w:val="auto"/>
                <w:kern w:val="0"/>
                <w:sz w:val="24"/>
                <w:szCs w:val="24"/>
                <w14:ligatures w14:val="none"/>
              </w:rPr>
              <w:t>优 (15分)：安全风险分析全面深入，密码应用与等保建设方案设计科学、符合标准、可落地性强，能有效管控高风险。技术措施与管理体系完整，</w:t>
            </w:r>
            <w:r>
              <w:rPr>
                <w:rFonts w:hint="eastAsia" w:ascii="仿宋" w:hAnsi="仿宋" w:eastAsia="仿宋" w:cs="仿宋"/>
                <w:bCs/>
                <w:snapToGrid w:val="0"/>
                <w:color w:val="auto"/>
                <w:kern w:val="0"/>
                <w:sz w:val="24"/>
                <w:szCs w:val="24"/>
                <w:lang w:val="en-US" w:eastAsia="zh-CN"/>
                <w14:ligatures w14:val="none"/>
              </w:rPr>
              <w:t>2</w:t>
            </w:r>
            <w:r>
              <w:rPr>
                <w:rFonts w:hint="eastAsia" w:ascii="仿宋" w:hAnsi="仿宋" w:eastAsia="仿宋" w:cs="仿宋"/>
                <w:bCs/>
                <w:snapToGrid w:val="0"/>
                <w:color w:val="auto"/>
                <w:kern w:val="0"/>
                <w:sz w:val="24"/>
                <w:szCs w:val="24"/>
                <w14:ligatures w14:val="none"/>
              </w:rPr>
              <w:t>年安全运维与应急响应机制健全、可行，完全满足且优于安全需求。</w:t>
            </w:r>
          </w:p>
          <w:p w14:paraId="4C48AB2C">
            <w:pPr>
              <w:kinsoku w:val="0"/>
              <w:autoSpaceDE w:val="0"/>
              <w:autoSpaceDN w:val="0"/>
              <w:spacing w:line="400" w:lineRule="exact"/>
              <w:ind w:firstLine="480" w:firstLineChars="200"/>
              <w:textAlignment w:val="baseline"/>
              <w:rPr>
                <w:rFonts w:hint="eastAsia" w:ascii="仿宋" w:hAnsi="仿宋" w:eastAsia="仿宋" w:cs="仿宋"/>
                <w:bCs/>
                <w:snapToGrid w:val="0"/>
                <w:color w:val="auto"/>
                <w:kern w:val="0"/>
                <w:sz w:val="24"/>
                <w:szCs w:val="24"/>
                <w14:ligatures w14:val="none"/>
              </w:rPr>
            </w:pPr>
            <w:r>
              <w:rPr>
                <w:rFonts w:hint="eastAsia" w:ascii="仿宋" w:hAnsi="仿宋" w:eastAsia="仿宋" w:cs="仿宋"/>
                <w:bCs/>
                <w:snapToGrid w:val="0"/>
                <w:color w:val="auto"/>
                <w:kern w:val="0"/>
                <w:sz w:val="24"/>
                <w:szCs w:val="24"/>
                <w14:ligatures w14:val="none"/>
              </w:rPr>
              <w:t>良 (10分)：安全风险分析基本到位，密码应用与等保方案设计合理，符合相关要求，有明确的安全运维措施，能完全满足项目安全需求。</w:t>
            </w:r>
          </w:p>
          <w:p w14:paraId="1ADB8882">
            <w:pPr>
              <w:kinsoku w:val="0"/>
              <w:autoSpaceDE w:val="0"/>
              <w:autoSpaceDN w:val="0"/>
              <w:spacing w:line="400" w:lineRule="exact"/>
              <w:ind w:firstLine="480" w:firstLineChars="200"/>
              <w:textAlignment w:val="baseline"/>
              <w:rPr>
                <w:rFonts w:hint="eastAsia" w:ascii="仿宋" w:hAnsi="仿宋" w:eastAsia="仿宋" w:cs="仿宋"/>
                <w:bCs/>
                <w:snapToGrid w:val="0"/>
                <w:color w:val="auto"/>
                <w:kern w:val="0"/>
                <w:sz w:val="24"/>
                <w:szCs w:val="24"/>
                <w14:ligatures w14:val="none"/>
              </w:rPr>
            </w:pPr>
            <w:r>
              <w:rPr>
                <w:rFonts w:hint="eastAsia" w:ascii="仿宋" w:hAnsi="仿宋" w:eastAsia="仿宋" w:cs="仿宋"/>
                <w:bCs/>
                <w:snapToGrid w:val="0"/>
                <w:color w:val="auto"/>
                <w:kern w:val="0"/>
                <w:sz w:val="24"/>
                <w:szCs w:val="24"/>
                <w14:ligatures w14:val="none"/>
              </w:rPr>
              <w:t>中 (5分)：安全分析不全面，方案存在缺陷或部分要求未覆盖，可操作性一般，安全运维计划不够具体，基本满足项目安全需求。</w:t>
            </w:r>
          </w:p>
          <w:p w14:paraId="7310AEAD">
            <w:pPr>
              <w:kinsoku w:val="0"/>
              <w:autoSpaceDE w:val="0"/>
              <w:autoSpaceDN w:val="0"/>
              <w:spacing w:line="400" w:lineRule="exact"/>
              <w:ind w:firstLine="480" w:firstLineChars="200"/>
              <w:textAlignment w:val="baseline"/>
              <w:rPr>
                <w:rFonts w:hint="eastAsia" w:ascii="仿宋" w:hAnsi="仿宋" w:eastAsia="仿宋" w:cs="仿宋"/>
                <w:bCs/>
                <w:snapToGrid w:val="0"/>
                <w:color w:val="auto"/>
                <w:kern w:val="0"/>
                <w:sz w:val="24"/>
                <w:szCs w:val="24"/>
                <w14:ligatures w14:val="none"/>
              </w:rPr>
            </w:pPr>
            <w:r>
              <w:rPr>
                <w:rFonts w:hint="eastAsia" w:ascii="仿宋" w:hAnsi="仿宋" w:eastAsia="仿宋" w:cs="仿宋"/>
                <w:bCs/>
                <w:snapToGrid w:val="0"/>
                <w:color w:val="auto"/>
                <w:kern w:val="0"/>
                <w:sz w:val="24"/>
                <w:szCs w:val="24"/>
                <w14:ligatures w14:val="none"/>
              </w:rPr>
              <w:t>差 (0分)：</w:t>
            </w:r>
            <w:r>
              <w:rPr>
                <w:rFonts w:hint="eastAsia" w:ascii="仿宋" w:hAnsi="仿宋" w:eastAsia="仿宋" w:cs="仿宋"/>
                <w:bCs/>
                <w:snapToGrid w:val="0"/>
                <w:color w:val="auto"/>
                <w:spacing w:val="-2"/>
                <w:kern w:val="0"/>
                <w:sz w:val="24"/>
                <w:szCs w:val="24"/>
                <w14:ligatures w14:val="none"/>
              </w:rPr>
              <w:t>未提供方案或方案无法满足基本的安全合规要求。</w:t>
            </w:r>
          </w:p>
        </w:tc>
      </w:tr>
      <w:tr w14:paraId="1EC0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dxa"/>
            <w:vMerge w:val="continue"/>
            <w:tcBorders>
              <w:left w:val="single" w:color="auto" w:sz="4" w:space="0"/>
              <w:right w:val="single" w:color="auto" w:sz="4" w:space="0"/>
            </w:tcBorders>
            <w:vAlign w:val="center"/>
          </w:tcPr>
          <w:p w14:paraId="396E215D">
            <w:pPr>
              <w:widowControl/>
              <w:kinsoku w:val="0"/>
              <w:autoSpaceDE w:val="0"/>
              <w:autoSpaceDN w:val="0"/>
              <w:adjustRightInd w:val="0"/>
              <w:snapToGrid w:val="0"/>
              <w:jc w:val="center"/>
              <w:textAlignment w:val="baseline"/>
              <w:rPr>
                <w:rFonts w:hint="eastAsia" w:ascii="仿宋" w:hAnsi="仿宋" w:eastAsia="仿宋" w:cs="仿宋"/>
                <w:snapToGrid w:val="0"/>
                <w:color w:val="auto"/>
                <w:kern w:val="0"/>
                <w:szCs w:val="21"/>
                <w14:ligatures w14:val="none"/>
              </w:rPr>
            </w:pPr>
          </w:p>
        </w:tc>
        <w:tc>
          <w:tcPr>
            <w:tcW w:w="1320" w:type="dxa"/>
            <w:vMerge w:val="continue"/>
            <w:tcBorders>
              <w:left w:val="single" w:color="auto" w:sz="4" w:space="0"/>
              <w:right w:val="single" w:color="auto" w:sz="4" w:space="0"/>
            </w:tcBorders>
            <w:vAlign w:val="center"/>
          </w:tcPr>
          <w:p w14:paraId="5102CDBE">
            <w:pPr>
              <w:kinsoku w:val="0"/>
              <w:autoSpaceDE w:val="0"/>
              <w:autoSpaceDN w:val="0"/>
              <w:spacing w:line="440" w:lineRule="exact"/>
              <w:jc w:val="center"/>
              <w:textAlignment w:val="baseline"/>
              <w:rPr>
                <w:rFonts w:hint="eastAsia" w:ascii="仿宋" w:hAnsi="仿宋" w:eastAsia="仿宋" w:cs="仿宋"/>
                <w:snapToGrid w:val="0"/>
                <w:color w:val="auto"/>
                <w:kern w:val="0"/>
                <w:sz w:val="24"/>
                <w:szCs w:val="21"/>
                <w14:ligatures w14:val="none"/>
              </w:rPr>
            </w:pPr>
          </w:p>
        </w:tc>
        <w:tc>
          <w:tcPr>
            <w:tcW w:w="1518" w:type="dxa"/>
            <w:tcBorders>
              <w:top w:val="single" w:color="auto" w:sz="4" w:space="0"/>
              <w:left w:val="single" w:color="auto" w:sz="4" w:space="0"/>
              <w:bottom w:val="single" w:color="auto" w:sz="4" w:space="0"/>
              <w:right w:val="single" w:color="auto" w:sz="4" w:space="0"/>
            </w:tcBorders>
            <w:vAlign w:val="center"/>
          </w:tcPr>
          <w:p w14:paraId="739BCD82">
            <w:pPr>
              <w:kinsoku w:val="0"/>
              <w:autoSpaceDE w:val="0"/>
              <w:autoSpaceDN w:val="0"/>
              <w:spacing w:line="440" w:lineRule="exact"/>
              <w:jc w:val="center"/>
              <w:textAlignment w:val="baseline"/>
              <w:rPr>
                <w:rFonts w:hint="eastAsia" w:ascii="仿宋" w:hAnsi="仿宋" w:eastAsia="仿宋" w:cs="仿宋"/>
                <w:strike/>
                <w:snapToGrid w:val="0"/>
                <w:color w:val="auto"/>
                <w:kern w:val="0"/>
                <w:sz w:val="24"/>
                <w:szCs w:val="21"/>
                <w14:ligatures w14:val="none"/>
              </w:rPr>
            </w:pPr>
            <w:r>
              <w:rPr>
                <w:rFonts w:hint="eastAsia" w:ascii="仿宋" w:hAnsi="仿宋" w:eastAsia="仿宋" w:cs="仿宋"/>
                <w:snapToGrid w:val="0"/>
                <w:color w:val="auto"/>
                <w:kern w:val="0"/>
                <w:sz w:val="24"/>
                <w:szCs w:val="21"/>
                <w14:ligatures w14:val="none"/>
              </w:rPr>
              <w:t>智慧管理系统新增模块技术方案 (满分15分)</w:t>
            </w:r>
          </w:p>
        </w:tc>
        <w:tc>
          <w:tcPr>
            <w:tcW w:w="6466" w:type="dxa"/>
            <w:tcBorders>
              <w:top w:val="single" w:color="auto" w:sz="4" w:space="0"/>
              <w:left w:val="single" w:color="auto" w:sz="4" w:space="0"/>
              <w:bottom w:val="single" w:color="auto" w:sz="4" w:space="0"/>
              <w:right w:val="single" w:color="auto" w:sz="4" w:space="0"/>
            </w:tcBorders>
            <w:vAlign w:val="center"/>
          </w:tcPr>
          <w:p w14:paraId="3B27EC1D">
            <w:pPr>
              <w:kinsoku w:val="0"/>
              <w:autoSpaceDE w:val="0"/>
              <w:autoSpaceDN w:val="0"/>
              <w:spacing w:line="400" w:lineRule="exact"/>
              <w:textAlignment w:val="baseline"/>
              <w:rPr>
                <w:rFonts w:hint="eastAsia" w:ascii="仿宋" w:hAnsi="仿宋" w:eastAsia="仿宋" w:cs="仿宋"/>
                <w:bCs/>
                <w:snapToGrid w:val="0"/>
                <w:color w:val="auto"/>
                <w:kern w:val="0"/>
                <w:sz w:val="24"/>
                <w:szCs w:val="24"/>
                <w14:ligatures w14:val="none"/>
              </w:rPr>
            </w:pPr>
            <w:r>
              <w:rPr>
                <w:rFonts w:hint="eastAsia" w:ascii="仿宋" w:hAnsi="仿宋" w:eastAsia="仿宋" w:cs="仿宋"/>
                <w:bCs/>
                <w:snapToGrid w:val="0"/>
                <w:color w:val="auto"/>
                <w:kern w:val="0"/>
                <w:sz w:val="24"/>
                <w:szCs w:val="24"/>
                <w14:ligatures w14:val="none"/>
              </w:rPr>
              <w:t>根据供应商针对“广西雅长兰科植物国家级自然保护区三维实景模型与场景空间展示系统”提出的技术实施方案进行评审，方案内容包括但不限于：数据清洗与融合方案、监测感知系统模块设计、三维可视化模块实现路径、与现有系统的集成方案、硬件配套合理性及</w:t>
            </w:r>
            <w:r>
              <w:rPr>
                <w:rFonts w:hint="eastAsia" w:ascii="仿宋" w:hAnsi="仿宋" w:eastAsia="仿宋" w:cs="仿宋"/>
                <w:bCs/>
                <w:snapToGrid w:val="0"/>
                <w:color w:val="auto"/>
                <w:kern w:val="0"/>
                <w:sz w:val="24"/>
                <w:szCs w:val="24"/>
                <w:lang w:eastAsia="zh-CN"/>
                <w14:ligatures w14:val="none"/>
              </w:rPr>
              <w:t>2年运维</w:t>
            </w:r>
            <w:r>
              <w:rPr>
                <w:rFonts w:hint="eastAsia" w:ascii="仿宋" w:hAnsi="仿宋" w:eastAsia="仿宋" w:cs="仿宋"/>
                <w:bCs/>
                <w:snapToGrid w:val="0"/>
                <w:color w:val="auto"/>
                <w:kern w:val="0"/>
                <w:sz w:val="24"/>
                <w:szCs w:val="24"/>
                <w14:ligatures w14:val="none"/>
              </w:rPr>
              <w:t>支持计划。</w:t>
            </w:r>
          </w:p>
          <w:p w14:paraId="0599DFFE">
            <w:pPr>
              <w:kinsoku w:val="0"/>
              <w:autoSpaceDE w:val="0"/>
              <w:autoSpaceDN w:val="0"/>
              <w:spacing w:line="400" w:lineRule="exact"/>
              <w:ind w:firstLine="480" w:firstLineChars="200"/>
              <w:textAlignment w:val="baseline"/>
              <w:rPr>
                <w:rFonts w:hint="eastAsia" w:ascii="仿宋" w:hAnsi="仿宋" w:eastAsia="仿宋" w:cs="仿宋"/>
                <w:bCs/>
                <w:snapToGrid w:val="0"/>
                <w:color w:val="auto"/>
                <w:kern w:val="0"/>
                <w:sz w:val="24"/>
                <w:szCs w:val="24"/>
                <w14:ligatures w14:val="none"/>
              </w:rPr>
            </w:pPr>
            <w:r>
              <w:rPr>
                <w:rFonts w:hint="eastAsia" w:ascii="仿宋" w:hAnsi="仿宋" w:eastAsia="仿宋" w:cs="仿宋"/>
                <w:bCs/>
                <w:snapToGrid w:val="0"/>
                <w:color w:val="auto"/>
                <w:kern w:val="0"/>
                <w:sz w:val="24"/>
                <w:szCs w:val="24"/>
                <w14:ligatures w14:val="none"/>
              </w:rPr>
              <w:t>优 (15分)：对保护区业务需求理解深刻，数据治理方案科学完整，监测感知与三维可视化模块设计先进、可行，能充分挖掘数据科研价值。硬件选型合理，与软件高度匹配。系统集成方案清晰，运维支持计划详尽、保障有力，完全满足且优于项目需求。</w:t>
            </w:r>
          </w:p>
          <w:p w14:paraId="7B32C360">
            <w:pPr>
              <w:kinsoku w:val="0"/>
              <w:autoSpaceDE w:val="0"/>
              <w:autoSpaceDN w:val="0"/>
              <w:spacing w:line="400" w:lineRule="exact"/>
              <w:ind w:firstLine="480" w:firstLineChars="200"/>
              <w:textAlignment w:val="baseline"/>
              <w:rPr>
                <w:rFonts w:hint="eastAsia" w:ascii="仿宋" w:hAnsi="仿宋" w:eastAsia="仿宋" w:cs="仿宋"/>
                <w:bCs/>
                <w:snapToGrid w:val="0"/>
                <w:color w:val="auto"/>
                <w:kern w:val="0"/>
                <w:sz w:val="24"/>
                <w:szCs w:val="24"/>
                <w14:ligatures w14:val="none"/>
              </w:rPr>
            </w:pPr>
            <w:r>
              <w:rPr>
                <w:rFonts w:hint="eastAsia" w:ascii="仿宋" w:hAnsi="仿宋" w:eastAsia="仿宋" w:cs="仿宋"/>
                <w:bCs/>
                <w:snapToGrid w:val="0"/>
                <w:color w:val="auto"/>
                <w:kern w:val="0"/>
                <w:sz w:val="24"/>
                <w:szCs w:val="24"/>
                <w14:ligatures w14:val="none"/>
              </w:rPr>
              <w:t>良 (10分)：对需求理解基本准确，各模块设计方案合理，具备可操作性。硬件配套基本满足要求，有系统集成和运维考虑，能完全满足项目需求。</w:t>
            </w:r>
          </w:p>
          <w:p w14:paraId="657E2B3D">
            <w:pPr>
              <w:kinsoku w:val="0"/>
              <w:autoSpaceDE w:val="0"/>
              <w:autoSpaceDN w:val="0"/>
              <w:spacing w:line="400" w:lineRule="exact"/>
              <w:ind w:firstLine="480" w:firstLineChars="200"/>
              <w:textAlignment w:val="baseline"/>
              <w:rPr>
                <w:rFonts w:hint="eastAsia" w:ascii="仿宋" w:hAnsi="仿宋" w:eastAsia="仿宋" w:cs="仿宋"/>
                <w:bCs/>
                <w:snapToGrid w:val="0"/>
                <w:color w:val="auto"/>
                <w:kern w:val="0"/>
                <w:sz w:val="24"/>
                <w:szCs w:val="24"/>
                <w14:ligatures w14:val="none"/>
              </w:rPr>
            </w:pPr>
            <w:r>
              <w:rPr>
                <w:rFonts w:hint="eastAsia" w:ascii="仿宋" w:hAnsi="仿宋" w:eastAsia="仿宋" w:cs="仿宋"/>
                <w:bCs/>
                <w:snapToGrid w:val="0"/>
                <w:color w:val="auto"/>
                <w:kern w:val="0"/>
                <w:sz w:val="24"/>
                <w:szCs w:val="24"/>
                <w14:ligatures w14:val="none"/>
              </w:rPr>
              <w:t>中 (5分)：对需求理解有偏差，技术方案存在不足或部分内容缺失，可行性一般，硬件配套或运维计划不够完善，仅部分满足项目需求。</w:t>
            </w:r>
          </w:p>
          <w:p w14:paraId="344DBC9F">
            <w:pPr>
              <w:kinsoku w:val="0"/>
              <w:autoSpaceDE w:val="0"/>
              <w:autoSpaceDN w:val="0"/>
              <w:spacing w:line="400" w:lineRule="exact"/>
              <w:ind w:firstLine="480" w:firstLineChars="200"/>
              <w:textAlignment w:val="baseline"/>
              <w:rPr>
                <w:rFonts w:hint="eastAsia" w:ascii="仿宋" w:hAnsi="仿宋" w:eastAsia="仿宋" w:cs="仿宋"/>
                <w:bCs/>
                <w:snapToGrid w:val="0"/>
                <w:color w:val="auto"/>
                <w:kern w:val="0"/>
                <w:sz w:val="24"/>
                <w:szCs w:val="24"/>
                <w14:ligatures w14:val="none"/>
              </w:rPr>
            </w:pPr>
            <w:r>
              <w:rPr>
                <w:rFonts w:hint="eastAsia" w:ascii="仿宋" w:hAnsi="仿宋" w:eastAsia="仿宋" w:cs="仿宋"/>
                <w:bCs/>
                <w:snapToGrid w:val="0"/>
                <w:color w:val="auto"/>
                <w:kern w:val="0"/>
                <w:sz w:val="24"/>
                <w:szCs w:val="24"/>
                <w14:ligatures w14:val="none"/>
              </w:rPr>
              <w:t>差 (0分)：未提供方案或方案严重脱离实际需求。</w:t>
            </w:r>
          </w:p>
          <w:p w14:paraId="2549E419">
            <w:pPr>
              <w:kinsoku w:val="0"/>
              <w:autoSpaceDE w:val="0"/>
              <w:autoSpaceDN w:val="0"/>
              <w:spacing w:line="400" w:lineRule="exact"/>
              <w:textAlignment w:val="baseline"/>
              <w:rPr>
                <w:rFonts w:hint="eastAsia" w:ascii="仿宋" w:hAnsi="仿宋" w:eastAsia="仿宋" w:cs="仿宋"/>
                <w:bCs/>
                <w:strike/>
                <w:snapToGrid w:val="0"/>
                <w:color w:val="auto"/>
                <w:kern w:val="0"/>
                <w:sz w:val="24"/>
                <w:szCs w:val="24"/>
                <w14:ligatures w14:val="none"/>
              </w:rPr>
            </w:pPr>
          </w:p>
        </w:tc>
      </w:tr>
      <w:tr w14:paraId="36C71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 w:type="dxa"/>
            <w:vMerge w:val="continue"/>
            <w:tcBorders>
              <w:left w:val="single" w:color="auto" w:sz="4" w:space="0"/>
              <w:right w:val="single" w:color="auto" w:sz="4" w:space="0"/>
            </w:tcBorders>
            <w:vAlign w:val="center"/>
          </w:tcPr>
          <w:p w14:paraId="5525822B">
            <w:pPr>
              <w:widowControl/>
              <w:kinsoku w:val="0"/>
              <w:autoSpaceDE w:val="0"/>
              <w:autoSpaceDN w:val="0"/>
              <w:adjustRightInd w:val="0"/>
              <w:snapToGrid w:val="0"/>
              <w:jc w:val="center"/>
              <w:textAlignment w:val="baseline"/>
              <w:rPr>
                <w:rFonts w:hint="eastAsia" w:ascii="仿宋" w:hAnsi="仿宋" w:eastAsia="仿宋" w:cs="仿宋"/>
                <w:snapToGrid w:val="0"/>
                <w:color w:val="auto"/>
                <w:kern w:val="0"/>
                <w:szCs w:val="21"/>
                <w14:ligatures w14:val="none"/>
              </w:rPr>
            </w:pPr>
          </w:p>
        </w:tc>
        <w:tc>
          <w:tcPr>
            <w:tcW w:w="1320" w:type="dxa"/>
            <w:vMerge w:val="continue"/>
            <w:tcBorders>
              <w:left w:val="single" w:color="auto" w:sz="4" w:space="0"/>
              <w:right w:val="single" w:color="auto" w:sz="4" w:space="0"/>
            </w:tcBorders>
            <w:vAlign w:val="center"/>
          </w:tcPr>
          <w:p w14:paraId="1AFF816B">
            <w:pPr>
              <w:kinsoku w:val="0"/>
              <w:autoSpaceDE w:val="0"/>
              <w:autoSpaceDN w:val="0"/>
              <w:spacing w:line="440" w:lineRule="exact"/>
              <w:jc w:val="center"/>
              <w:textAlignment w:val="baseline"/>
              <w:rPr>
                <w:rFonts w:hint="eastAsia" w:ascii="仿宋" w:hAnsi="仿宋" w:eastAsia="仿宋" w:cs="仿宋"/>
                <w:snapToGrid w:val="0"/>
                <w:color w:val="auto"/>
                <w:kern w:val="0"/>
                <w:sz w:val="24"/>
                <w:szCs w:val="21"/>
                <w14:ligatures w14:val="none"/>
              </w:rPr>
            </w:pPr>
          </w:p>
        </w:tc>
        <w:tc>
          <w:tcPr>
            <w:tcW w:w="1518" w:type="dxa"/>
            <w:tcBorders>
              <w:top w:val="single" w:color="auto" w:sz="4" w:space="0"/>
              <w:left w:val="single" w:color="auto" w:sz="4" w:space="0"/>
              <w:bottom w:val="single" w:color="auto" w:sz="4" w:space="0"/>
              <w:right w:val="single" w:color="auto" w:sz="4" w:space="0"/>
            </w:tcBorders>
          </w:tcPr>
          <w:p w14:paraId="57149886">
            <w:pPr>
              <w:kinsoku w:val="0"/>
              <w:autoSpaceDE w:val="0"/>
              <w:autoSpaceDN w:val="0"/>
              <w:spacing w:line="400" w:lineRule="exact"/>
              <w:jc w:val="center"/>
              <w:textAlignment w:val="baseline"/>
              <w:rPr>
                <w:rFonts w:hint="eastAsia" w:ascii="仿宋" w:hAnsi="仿宋" w:eastAsia="仿宋" w:cs="仿宋"/>
                <w:snapToGrid w:val="0"/>
                <w:color w:val="auto"/>
                <w:kern w:val="0"/>
                <w:sz w:val="24"/>
                <w:szCs w:val="21"/>
                <w14:ligatures w14:val="none"/>
              </w:rPr>
            </w:pPr>
            <w:r>
              <w:rPr>
                <w:rFonts w:hint="eastAsia" w:ascii="仿宋" w:hAnsi="仿宋" w:eastAsia="仿宋" w:cs="仿宋"/>
                <w:snapToGrid w:val="0"/>
                <w:color w:val="auto"/>
                <w:kern w:val="0"/>
                <w:sz w:val="24"/>
                <w:szCs w:val="21"/>
                <w14:ligatures w14:val="none"/>
              </w:rPr>
              <w:t>应急预案保障措施及承诺(10分)</w:t>
            </w:r>
          </w:p>
        </w:tc>
        <w:tc>
          <w:tcPr>
            <w:tcW w:w="6466" w:type="dxa"/>
            <w:tcBorders>
              <w:top w:val="single" w:color="auto" w:sz="4" w:space="0"/>
              <w:left w:val="single" w:color="auto" w:sz="4" w:space="0"/>
              <w:bottom w:val="single" w:color="auto" w:sz="4" w:space="0"/>
              <w:right w:val="single" w:color="auto" w:sz="4" w:space="0"/>
            </w:tcBorders>
          </w:tcPr>
          <w:p w14:paraId="4C2C1E6D">
            <w:pPr>
              <w:kinsoku w:val="0"/>
              <w:autoSpaceDE w:val="0"/>
              <w:autoSpaceDN w:val="0"/>
              <w:spacing w:line="440" w:lineRule="exact"/>
              <w:jc w:val="left"/>
              <w:textAlignment w:val="baseline"/>
              <w:rPr>
                <w:rFonts w:hint="eastAsia" w:ascii="仿宋" w:hAnsi="仿宋" w:eastAsia="仿宋" w:cs="仿宋"/>
                <w:snapToGrid w:val="0"/>
                <w:color w:val="auto"/>
                <w:kern w:val="0"/>
                <w:sz w:val="24"/>
                <w:szCs w:val="21"/>
                <w14:ligatures w14:val="none"/>
              </w:rPr>
            </w:pPr>
            <w:r>
              <w:rPr>
                <w:rFonts w:hint="eastAsia" w:ascii="仿宋" w:hAnsi="仿宋" w:eastAsia="仿宋" w:cs="仿宋"/>
                <w:snapToGrid w:val="0"/>
                <w:color w:val="auto"/>
                <w:kern w:val="0"/>
                <w:sz w:val="24"/>
                <w:szCs w:val="21"/>
                <w14:ligatures w14:val="none"/>
              </w:rPr>
              <w:t>根据供应商提供的应急预案内容，包括但不限于应急事件类型、特征、危害程度、应急组织的组织结构、人员配置、应急器材设备的调用、针对应急事件的反应时间、针对各种事件类型应急措施、安全保障及应急时间后的善后处理等进行评审，确定各供应商得分。</w:t>
            </w:r>
          </w:p>
          <w:p w14:paraId="53981BF4">
            <w:pPr>
              <w:kinsoku w:val="0"/>
              <w:autoSpaceDE w:val="0"/>
              <w:autoSpaceDN w:val="0"/>
              <w:spacing w:line="440" w:lineRule="exact"/>
              <w:ind w:firstLine="480" w:firstLineChars="200"/>
              <w:jc w:val="left"/>
              <w:textAlignment w:val="baseline"/>
              <w:rPr>
                <w:rFonts w:hint="eastAsia" w:ascii="仿宋" w:hAnsi="仿宋" w:eastAsia="仿宋" w:cs="仿宋"/>
                <w:snapToGrid w:val="0"/>
                <w:color w:val="auto"/>
                <w:kern w:val="0"/>
                <w:sz w:val="24"/>
                <w:szCs w:val="21"/>
                <w14:ligatures w14:val="none"/>
              </w:rPr>
            </w:pPr>
            <w:r>
              <w:rPr>
                <w:rFonts w:hint="eastAsia" w:ascii="仿宋" w:hAnsi="仿宋" w:eastAsia="仿宋" w:cs="仿宋"/>
                <w:snapToGrid w:val="0"/>
                <w:color w:val="auto"/>
                <w:kern w:val="0"/>
                <w:sz w:val="24"/>
                <w:szCs w:val="21"/>
                <w14:ligatures w14:val="none"/>
              </w:rPr>
              <w:t>①应急预案包括应急事件类型、特征、危害程度、应急组织的组织结构、人员配置、应急器材设备的调用、针对应急事件的反应时间、针对各种事件类型应急措施、安全保障及应急时间后的善后处理等内容基本全面，方案描述详细，可行性和可操作性较好，基本能保障项目的实施及运行，有应急服务保障措施（承诺应急服务响应时间 60 分钟内人员及设备能按采购人通知要求到达事故现场，并能按采购人指定的时间内完成事故处理），得10分；</w:t>
            </w:r>
          </w:p>
          <w:p w14:paraId="0D75501D">
            <w:pPr>
              <w:kinsoku w:val="0"/>
              <w:autoSpaceDE w:val="0"/>
              <w:autoSpaceDN w:val="0"/>
              <w:spacing w:line="440" w:lineRule="exact"/>
              <w:ind w:firstLine="480" w:firstLineChars="200"/>
              <w:jc w:val="left"/>
              <w:textAlignment w:val="baseline"/>
              <w:rPr>
                <w:rFonts w:hint="eastAsia" w:ascii="仿宋" w:hAnsi="仿宋" w:eastAsia="仿宋" w:cs="仿宋"/>
                <w:snapToGrid w:val="0"/>
                <w:color w:val="auto"/>
                <w:kern w:val="0"/>
                <w:sz w:val="24"/>
                <w:szCs w:val="21"/>
                <w14:ligatures w14:val="none"/>
              </w:rPr>
            </w:pPr>
            <w:r>
              <w:rPr>
                <w:rFonts w:hint="eastAsia" w:ascii="仿宋" w:hAnsi="仿宋" w:eastAsia="仿宋" w:cs="仿宋"/>
                <w:snapToGrid w:val="0"/>
                <w:color w:val="auto"/>
                <w:kern w:val="0"/>
                <w:sz w:val="24"/>
                <w:szCs w:val="21"/>
                <w14:ligatures w14:val="none"/>
              </w:rPr>
              <w:t>②应急预案包括应急事件类型、特征、危害程度、应急组织的组织结构、人员配置、应急器材设备的调用、针对应急事件的反应时间、针对各种事件类型应急措施、安全保障及应急时间后的善后处理等内容基本全面，方案描述不够详细，可行性和可操作性一般，基本能保障项目的实施及运行，有应急服务保障措施，得6分；</w:t>
            </w:r>
          </w:p>
          <w:p w14:paraId="688F0E4C">
            <w:pPr>
              <w:kinsoku w:val="0"/>
              <w:autoSpaceDE w:val="0"/>
              <w:autoSpaceDN w:val="0"/>
              <w:spacing w:line="440" w:lineRule="exact"/>
              <w:ind w:firstLine="480" w:firstLineChars="200"/>
              <w:jc w:val="left"/>
              <w:textAlignment w:val="baseline"/>
              <w:rPr>
                <w:rFonts w:hint="eastAsia" w:ascii="仿宋" w:hAnsi="仿宋" w:eastAsia="仿宋" w:cs="仿宋"/>
                <w:snapToGrid w:val="0"/>
                <w:color w:val="auto"/>
                <w:kern w:val="0"/>
                <w:sz w:val="24"/>
                <w:szCs w:val="21"/>
                <w14:ligatures w14:val="none"/>
              </w:rPr>
            </w:pPr>
            <w:r>
              <w:rPr>
                <w:rFonts w:hint="eastAsia" w:ascii="仿宋" w:hAnsi="仿宋" w:eastAsia="仿宋" w:cs="仿宋"/>
                <w:snapToGrid w:val="0"/>
                <w:color w:val="auto"/>
                <w:kern w:val="0"/>
                <w:sz w:val="24"/>
                <w:szCs w:val="21"/>
                <w14:ligatures w14:val="none"/>
              </w:rPr>
              <w:t>③应急预案包括应急事件类型、特征、危害程度、应急组织的组织结构、人员配置、应急器材设备的调用、针对应急事件的反应时间、针对各种事件类型应急措施、安全保障及应急时间后的善后处理等内容不完整，方案描述不够详细可行性和可操作性不强，能保障项目的实施及运行，应急预案流程陈述不具体、不全面，无针对性，无应急服务保障措施和应急响应承诺，得3分；</w:t>
            </w:r>
          </w:p>
          <w:p w14:paraId="5324686D">
            <w:pPr>
              <w:kinsoku w:val="0"/>
              <w:autoSpaceDE w:val="0"/>
              <w:autoSpaceDN w:val="0"/>
              <w:spacing w:line="400" w:lineRule="exact"/>
              <w:ind w:firstLine="480" w:firstLineChars="200"/>
              <w:textAlignment w:val="baseline"/>
              <w:rPr>
                <w:rFonts w:hint="eastAsia" w:ascii="仿宋" w:hAnsi="仿宋" w:eastAsia="仿宋" w:cs="仿宋"/>
                <w:snapToGrid w:val="0"/>
                <w:color w:val="auto"/>
                <w:kern w:val="0"/>
                <w:sz w:val="24"/>
                <w:szCs w:val="21"/>
                <w14:ligatures w14:val="none"/>
              </w:rPr>
            </w:pPr>
            <w:r>
              <w:rPr>
                <w:rFonts w:hint="eastAsia" w:ascii="仿宋" w:hAnsi="仿宋" w:eastAsia="仿宋" w:cs="仿宋"/>
                <w:snapToGrid w:val="0"/>
                <w:color w:val="auto"/>
                <w:kern w:val="0"/>
                <w:sz w:val="24"/>
                <w:szCs w:val="21"/>
                <w14:ligatures w14:val="none"/>
              </w:rPr>
              <w:t>④没有提供相关内容的不得分。</w:t>
            </w:r>
          </w:p>
        </w:tc>
      </w:tr>
      <w:tr w14:paraId="6B9DC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jc w:val="center"/>
        </w:trPr>
        <w:tc>
          <w:tcPr>
            <w:tcW w:w="535" w:type="dxa"/>
            <w:vMerge w:val="restart"/>
            <w:tcBorders>
              <w:top w:val="single" w:color="auto" w:sz="4" w:space="0"/>
              <w:left w:val="single" w:color="auto" w:sz="4" w:space="0"/>
              <w:right w:val="single" w:color="auto" w:sz="4" w:space="0"/>
            </w:tcBorders>
            <w:vAlign w:val="center"/>
          </w:tcPr>
          <w:p w14:paraId="0DC6CA8E">
            <w:pPr>
              <w:widowControl/>
              <w:kinsoku w:val="0"/>
              <w:autoSpaceDE w:val="0"/>
              <w:autoSpaceDN w:val="0"/>
              <w:adjustRightInd w:val="0"/>
              <w:snapToGrid w:val="0"/>
              <w:jc w:val="center"/>
              <w:textAlignment w:val="baseline"/>
              <w:rPr>
                <w:rFonts w:hint="eastAsia" w:ascii="仿宋" w:hAnsi="仿宋" w:eastAsia="仿宋" w:cs="仿宋"/>
                <w:snapToGrid w:val="0"/>
                <w:color w:val="auto"/>
                <w:kern w:val="0"/>
                <w:szCs w:val="21"/>
                <w:lang w:eastAsia="en-US"/>
                <w14:ligatures w14:val="none"/>
              </w:rPr>
            </w:pPr>
            <w:r>
              <w:rPr>
                <w:rFonts w:hint="eastAsia" w:ascii="仿宋" w:hAnsi="仿宋" w:eastAsia="仿宋" w:cs="仿宋"/>
                <w:snapToGrid w:val="0"/>
                <w:color w:val="auto"/>
                <w:kern w:val="0"/>
                <w:szCs w:val="21"/>
                <w:lang w:eastAsia="en-US"/>
                <w14:ligatures w14:val="none"/>
              </w:rPr>
              <w:t>3</w:t>
            </w:r>
          </w:p>
        </w:tc>
        <w:tc>
          <w:tcPr>
            <w:tcW w:w="1320" w:type="dxa"/>
            <w:vMerge w:val="restart"/>
            <w:tcBorders>
              <w:top w:val="single" w:color="auto" w:sz="4" w:space="0"/>
              <w:left w:val="single" w:color="auto" w:sz="4" w:space="0"/>
              <w:right w:val="single" w:color="auto" w:sz="4" w:space="0"/>
            </w:tcBorders>
            <w:vAlign w:val="center"/>
          </w:tcPr>
          <w:p w14:paraId="1E556DA0">
            <w:pPr>
              <w:kinsoku w:val="0"/>
              <w:autoSpaceDE w:val="0"/>
              <w:autoSpaceDN w:val="0"/>
              <w:spacing w:line="440" w:lineRule="exact"/>
              <w:jc w:val="center"/>
              <w:textAlignment w:val="baseline"/>
              <w:rPr>
                <w:rFonts w:hint="eastAsia" w:ascii="仿宋" w:hAnsi="仿宋" w:eastAsia="仿宋" w:cs="仿宋"/>
                <w:b/>
                <w:snapToGrid w:val="0"/>
                <w:color w:val="auto"/>
                <w:kern w:val="0"/>
                <w:sz w:val="24"/>
                <w:szCs w:val="21"/>
                <w14:ligatures w14:val="none"/>
              </w:rPr>
            </w:pPr>
            <w:r>
              <w:rPr>
                <w:rFonts w:hint="eastAsia" w:ascii="仿宋" w:hAnsi="仿宋" w:eastAsia="仿宋" w:cs="仿宋"/>
                <w:b/>
                <w:snapToGrid w:val="0"/>
                <w:color w:val="auto"/>
                <w:kern w:val="0"/>
                <w:sz w:val="24"/>
                <w:szCs w:val="21"/>
                <w14:ligatures w14:val="none"/>
              </w:rPr>
              <w:t>商务分（满分20分）</w:t>
            </w:r>
          </w:p>
        </w:tc>
        <w:tc>
          <w:tcPr>
            <w:tcW w:w="1518"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4E5B43E7">
            <w:pPr>
              <w:spacing w:line="440" w:lineRule="exact"/>
              <w:jc w:val="center"/>
              <w:rPr>
                <w:rFonts w:hint="eastAsia" w:ascii="仿宋" w:hAnsi="仿宋" w:eastAsia="仿宋" w:cs="仿宋"/>
                <w:bCs/>
                <w:snapToGrid w:val="0"/>
                <w:color w:val="auto"/>
                <w:kern w:val="0"/>
                <w:sz w:val="24"/>
                <w:szCs w:val="24"/>
                <w14:ligatures w14:val="none"/>
              </w:rPr>
            </w:pPr>
            <w:r>
              <w:rPr>
                <w:rFonts w:hint="eastAsia" w:ascii="仿宋" w:hAnsi="仿宋" w:eastAsia="仿宋" w:cs="仿宋"/>
                <w:bCs/>
                <w:snapToGrid w:val="0"/>
                <w:color w:val="auto"/>
                <w:kern w:val="0"/>
                <w:sz w:val="24"/>
                <w:szCs w:val="21"/>
                <w14:ligatures w14:val="none"/>
              </w:rPr>
              <w:t>项目业绩分（满分5分）</w:t>
            </w:r>
          </w:p>
        </w:tc>
        <w:tc>
          <w:tcPr>
            <w:tcW w:w="6466" w:type="dxa"/>
            <w:tcBorders>
              <w:top w:val="single" w:color="auto" w:sz="4" w:space="0"/>
              <w:left w:val="single" w:color="auto" w:sz="4" w:space="0"/>
              <w:bottom w:val="single" w:color="auto" w:sz="4" w:space="0"/>
              <w:right w:val="single" w:color="auto" w:sz="4" w:space="0"/>
            </w:tcBorders>
          </w:tcPr>
          <w:p w14:paraId="1E48D846">
            <w:pPr>
              <w:spacing w:line="440" w:lineRule="exact"/>
              <w:rPr>
                <w:rFonts w:hint="eastAsia" w:ascii="仿宋" w:hAnsi="仿宋" w:eastAsia="仿宋" w:cs="仿宋"/>
                <w:bCs/>
                <w:snapToGrid w:val="0"/>
                <w:color w:val="auto"/>
                <w:kern w:val="0"/>
                <w:sz w:val="24"/>
                <w:szCs w:val="24"/>
                <w14:ligatures w14:val="none"/>
              </w:rPr>
            </w:pPr>
            <w:r>
              <w:rPr>
                <w:rFonts w:hint="eastAsia" w:ascii="仿宋" w:hAnsi="仿宋" w:eastAsia="仿宋" w:cs="仿宋"/>
                <w:snapToGrid w:val="0"/>
                <w:color w:val="auto"/>
                <w:kern w:val="0"/>
                <w:sz w:val="24"/>
                <w:szCs w:val="21"/>
                <w:lang w:val="en-US" w:eastAsia="zh-CN"/>
                <w14:ligatures w14:val="none"/>
              </w:rPr>
              <w:t>2022</w:t>
            </w:r>
            <w:r>
              <w:rPr>
                <w:rFonts w:hint="eastAsia" w:ascii="仿宋" w:hAnsi="仿宋" w:eastAsia="仿宋" w:cs="仿宋"/>
                <w:snapToGrid w:val="0"/>
                <w:color w:val="auto"/>
                <w:kern w:val="0"/>
                <w:sz w:val="24"/>
                <w:szCs w:val="21"/>
                <w14:ligatures w14:val="none"/>
              </w:rPr>
              <w:t>年1月1日以来，供应商具有类似项目业绩的，每项得1分，满分5分。【以合同（协议书）或者中标（成交）通知书扫描件为准，类似项目业绩指信息化类运维项目（含硬件运维或软件运维其中之一即可）】</w:t>
            </w:r>
          </w:p>
        </w:tc>
      </w:tr>
      <w:tr w14:paraId="694A4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535" w:type="dxa"/>
            <w:vMerge w:val="continue"/>
            <w:tcBorders>
              <w:left w:val="single" w:color="auto" w:sz="4" w:space="0"/>
              <w:right w:val="single" w:color="auto" w:sz="4" w:space="0"/>
            </w:tcBorders>
            <w:vAlign w:val="center"/>
          </w:tcPr>
          <w:p w14:paraId="1F50A550">
            <w:pPr>
              <w:widowControl/>
              <w:kinsoku w:val="0"/>
              <w:autoSpaceDE w:val="0"/>
              <w:autoSpaceDN w:val="0"/>
              <w:adjustRightInd w:val="0"/>
              <w:snapToGrid w:val="0"/>
              <w:jc w:val="center"/>
              <w:textAlignment w:val="baseline"/>
              <w:rPr>
                <w:rFonts w:hint="eastAsia" w:ascii="仿宋" w:hAnsi="仿宋" w:eastAsia="仿宋" w:cs="仿宋"/>
                <w:snapToGrid w:val="0"/>
                <w:color w:val="auto"/>
                <w:kern w:val="0"/>
                <w:szCs w:val="21"/>
                <w14:ligatures w14:val="none"/>
              </w:rPr>
            </w:pPr>
          </w:p>
        </w:tc>
        <w:tc>
          <w:tcPr>
            <w:tcW w:w="1320" w:type="dxa"/>
            <w:vMerge w:val="continue"/>
            <w:tcBorders>
              <w:left w:val="single" w:color="auto" w:sz="4" w:space="0"/>
              <w:right w:val="single" w:color="auto" w:sz="4" w:space="0"/>
            </w:tcBorders>
            <w:vAlign w:val="center"/>
          </w:tcPr>
          <w:p w14:paraId="73E29F23">
            <w:pPr>
              <w:kinsoku w:val="0"/>
              <w:autoSpaceDE w:val="0"/>
              <w:autoSpaceDN w:val="0"/>
              <w:spacing w:line="440" w:lineRule="exact"/>
              <w:jc w:val="center"/>
              <w:textAlignment w:val="baseline"/>
              <w:rPr>
                <w:rFonts w:hint="eastAsia" w:ascii="仿宋" w:hAnsi="仿宋" w:eastAsia="仿宋" w:cs="仿宋"/>
                <w:b/>
                <w:snapToGrid w:val="0"/>
                <w:color w:val="auto"/>
                <w:kern w:val="0"/>
                <w:sz w:val="24"/>
                <w:szCs w:val="21"/>
                <w14:ligatures w14:val="none"/>
              </w:rPr>
            </w:pPr>
          </w:p>
        </w:tc>
        <w:tc>
          <w:tcPr>
            <w:tcW w:w="1518" w:type="dxa"/>
            <w:tcBorders>
              <w:top w:val="single" w:color="auto" w:sz="4" w:space="0"/>
              <w:left w:val="single" w:color="auto" w:sz="4" w:space="0"/>
              <w:right w:val="single" w:color="auto" w:sz="4" w:space="0"/>
            </w:tcBorders>
            <w:tcMar>
              <w:top w:w="0" w:type="dxa"/>
              <w:left w:w="57" w:type="dxa"/>
              <w:bottom w:w="0" w:type="dxa"/>
              <w:right w:w="57" w:type="dxa"/>
            </w:tcMar>
          </w:tcPr>
          <w:p w14:paraId="580000F1">
            <w:pPr>
              <w:widowControl/>
              <w:spacing w:line="440" w:lineRule="exact"/>
              <w:jc w:val="center"/>
              <w:rPr>
                <w:rFonts w:ascii="仿宋" w:hAnsi="仿宋" w:eastAsia="仿宋" w:cs="仿宋"/>
                <w:bCs/>
                <w:strike/>
                <w:color w:val="auto"/>
                <w:kern w:val="0"/>
                <w:sz w:val="24"/>
                <w:szCs w:val="24"/>
                <w14:ligatures w14:val="none"/>
              </w:rPr>
            </w:pPr>
            <w:r>
              <w:rPr>
                <w:rFonts w:ascii="仿宋" w:hAnsi="仿宋" w:eastAsia="仿宋" w:cs="仿宋"/>
                <w:bCs/>
                <w:color w:val="auto"/>
                <w:kern w:val="0"/>
                <w:sz w:val="24"/>
                <w:szCs w:val="20"/>
                <w14:ligatures w14:val="none"/>
              </w:rPr>
              <w:t>资质及人员配置（15分）</w:t>
            </w:r>
          </w:p>
        </w:tc>
        <w:tc>
          <w:tcPr>
            <w:tcW w:w="6466" w:type="dxa"/>
            <w:tcBorders>
              <w:top w:val="single" w:color="auto" w:sz="4" w:space="0"/>
              <w:left w:val="single" w:color="auto" w:sz="4" w:space="0"/>
              <w:bottom w:val="single" w:color="auto" w:sz="4" w:space="0"/>
              <w:right w:val="single" w:color="auto" w:sz="4" w:space="0"/>
            </w:tcBorders>
          </w:tcPr>
          <w:p w14:paraId="133107E1">
            <w:pPr>
              <w:spacing w:line="440" w:lineRule="exact"/>
              <w:jc w:val="left"/>
              <w:rPr>
                <w:rFonts w:hint="eastAsia" w:ascii="仿宋" w:hAnsi="仿宋" w:eastAsia="仿宋" w:cs="仿宋"/>
                <w:bCs/>
                <w:snapToGrid w:val="0"/>
                <w:color w:val="auto"/>
                <w:kern w:val="0"/>
                <w:sz w:val="24"/>
                <w:szCs w:val="21"/>
                <w14:ligatures w14:val="none"/>
              </w:rPr>
            </w:pPr>
            <w:r>
              <w:rPr>
                <w:rFonts w:hint="eastAsia" w:ascii="仿宋" w:hAnsi="仿宋" w:eastAsia="仿宋" w:cs="仿宋"/>
                <w:bCs/>
                <w:snapToGrid w:val="0"/>
                <w:color w:val="auto"/>
                <w:kern w:val="0"/>
                <w:sz w:val="24"/>
                <w:szCs w:val="21"/>
                <w14:ligatures w14:val="none"/>
              </w:rPr>
              <w:t>根据供应商的资质和为本项目投入的项目人员配置情况进行评分：</w:t>
            </w:r>
          </w:p>
          <w:p w14:paraId="5B07EC8C">
            <w:pPr>
              <w:spacing w:line="440" w:lineRule="exact"/>
              <w:rPr>
                <w:rFonts w:ascii="仿宋" w:hAnsi="仿宋" w:eastAsia="仿宋" w:cs="仿宋"/>
                <w:bCs/>
                <w:snapToGrid w:val="0"/>
                <w:color w:val="auto"/>
                <w:kern w:val="0"/>
                <w:sz w:val="24"/>
                <w:szCs w:val="21"/>
                <w14:ligatures w14:val="none"/>
              </w:rPr>
            </w:pPr>
            <w:r>
              <w:rPr>
                <w:rFonts w:hint="eastAsia" w:ascii="仿宋" w:hAnsi="仿宋" w:eastAsia="仿宋" w:cs="仿宋"/>
                <w:bCs/>
                <w:snapToGrid w:val="0"/>
                <w:color w:val="auto"/>
                <w:kern w:val="0"/>
                <w:sz w:val="24"/>
                <w:szCs w:val="21"/>
                <w14:ligatures w14:val="none"/>
              </w:rPr>
              <w:t>（1</w:t>
            </w:r>
            <w:r>
              <w:rPr>
                <w:rFonts w:ascii="仿宋" w:hAnsi="仿宋" w:eastAsia="仿宋" w:cs="仿宋"/>
                <w:bCs/>
                <w:snapToGrid w:val="0"/>
                <w:color w:val="auto"/>
                <w:kern w:val="0"/>
                <w:sz w:val="24"/>
                <w:szCs w:val="21"/>
                <w14:ligatures w14:val="none"/>
              </w:rPr>
              <w:t>）</w:t>
            </w:r>
            <w:r>
              <w:rPr>
                <w:rFonts w:hint="eastAsia" w:ascii="仿宋" w:hAnsi="仿宋" w:eastAsia="仿宋" w:cs="仿宋"/>
                <w:bCs/>
                <w:snapToGrid w:val="0"/>
                <w:color w:val="auto"/>
                <w:kern w:val="0"/>
                <w:sz w:val="24"/>
                <w:szCs w:val="21"/>
                <w14:ligatures w14:val="none"/>
              </w:rPr>
              <w:t>资质要求：供应商每提供以下一项证书且证书在有效期内的，得1分。</w:t>
            </w:r>
          </w:p>
          <w:p w14:paraId="5A0A9E56">
            <w:pPr>
              <w:spacing w:line="440" w:lineRule="exact"/>
              <w:rPr>
                <w:rFonts w:ascii="仿宋" w:hAnsi="仿宋" w:eastAsia="仿宋" w:cs="仿宋"/>
                <w:bCs/>
                <w:snapToGrid w:val="0"/>
                <w:color w:val="auto"/>
                <w:kern w:val="0"/>
                <w:sz w:val="24"/>
                <w:szCs w:val="21"/>
                <w14:ligatures w14:val="none"/>
              </w:rPr>
            </w:pPr>
            <w:r>
              <w:rPr>
                <w:rFonts w:ascii="仿宋" w:hAnsi="仿宋" w:eastAsia="仿宋" w:cs="仿宋"/>
                <w:bCs/>
                <w:snapToGrid w:val="0"/>
                <w:color w:val="auto"/>
                <w:kern w:val="0"/>
                <w:sz w:val="24"/>
                <w:szCs w:val="21"/>
                <w14:ligatures w14:val="none"/>
              </w:rPr>
              <w:t>①CMMI5</w:t>
            </w:r>
            <w:r>
              <w:rPr>
                <w:rFonts w:hint="eastAsia" w:ascii="仿宋" w:hAnsi="仿宋" w:eastAsia="仿宋" w:cs="仿宋"/>
                <w:bCs/>
                <w:snapToGrid w:val="0"/>
                <w:color w:val="auto"/>
                <w:kern w:val="0"/>
                <w:sz w:val="24"/>
                <w:szCs w:val="21"/>
                <w14:ligatures w14:val="none"/>
              </w:rPr>
              <w:t>级及以上证书；</w:t>
            </w:r>
          </w:p>
          <w:p w14:paraId="64691D29">
            <w:pPr>
              <w:spacing w:line="440" w:lineRule="exact"/>
              <w:rPr>
                <w:rFonts w:ascii="仿宋" w:hAnsi="仿宋" w:eastAsia="仿宋" w:cs="仿宋"/>
                <w:bCs/>
                <w:snapToGrid w:val="0"/>
                <w:color w:val="auto"/>
                <w:kern w:val="0"/>
                <w:sz w:val="24"/>
                <w:szCs w:val="21"/>
                <w14:ligatures w14:val="none"/>
              </w:rPr>
            </w:pPr>
            <w:r>
              <w:rPr>
                <w:rFonts w:ascii="仿宋" w:hAnsi="仿宋" w:eastAsia="仿宋" w:cs="仿宋"/>
                <w:bCs/>
                <w:snapToGrid w:val="0"/>
                <w:color w:val="auto"/>
                <w:kern w:val="0"/>
                <w:sz w:val="24"/>
                <w:szCs w:val="21"/>
                <w14:ligatures w14:val="none"/>
              </w:rPr>
              <w:t>②</w:t>
            </w:r>
            <w:r>
              <w:rPr>
                <w:rFonts w:hint="eastAsia" w:ascii="仿宋" w:hAnsi="仿宋" w:eastAsia="仿宋" w:cs="仿宋"/>
                <w:bCs/>
                <w:snapToGrid w:val="0"/>
                <w:color w:val="auto"/>
                <w:kern w:val="0"/>
                <w:sz w:val="24"/>
                <w:szCs w:val="21"/>
                <w14:ligatures w14:val="none"/>
              </w:rPr>
              <w:t>信息安全服务资质认证证书（软件安全开发或运维服务）</w:t>
            </w:r>
          </w:p>
          <w:p w14:paraId="2F909885">
            <w:pPr>
              <w:spacing w:line="440" w:lineRule="exact"/>
              <w:rPr>
                <w:rFonts w:ascii="仿宋" w:hAnsi="仿宋" w:eastAsia="仿宋" w:cs="仿宋"/>
                <w:bCs/>
                <w:snapToGrid w:val="0"/>
                <w:color w:val="auto"/>
                <w:kern w:val="0"/>
                <w:sz w:val="24"/>
                <w:szCs w:val="21"/>
                <w14:ligatures w14:val="none"/>
              </w:rPr>
            </w:pPr>
            <w:r>
              <w:rPr>
                <w:rFonts w:ascii="仿宋" w:hAnsi="仿宋" w:eastAsia="仿宋" w:cs="仿宋"/>
                <w:bCs/>
                <w:snapToGrid w:val="0"/>
                <w:color w:val="auto"/>
                <w:kern w:val="0"/>
                <w:sz w:val="24"/>
                <w:szCs w:val="21"/>
                <w14:ligatures w14:val="none"/>
              </w:rPr>
              <w:t>③ISO/IEC 20000</w:t>
            </w:r>
            <w:r>
              <w:rPr>
                <w:rFonts w:hint="eastAsia" w:ascii="仿宋" w:hAnsi="仿宋" w:eastAsia="仿宋" w:cs="仿宋"/>
                <w:bCs/>
                <w:snapToGrid w:val="0"/>
                <w:color w:val="auto"/>
                <w:kern w:val="0"/>
                <w:sz w:val="24"/>
                <w:szCs w:val="21"/>
                <w14:ligatures w14:val="none"/>
              </w:rPr>
              <w:t>信息技术服务管理体系认证证书（软件开发或运维服务）</w:t>
            </w:r>
          </w:p>
          <w:p w14:paraId="5937EC00">
            <w:pPr>
              <w:spacing w:line="440" w:lineRule="exact"/>
              <w:rPr>
                <w:rFonts w:ascii="仿宋" w:hAnsi="仿宋" w:eastAsia="仿宋" w:cs="仿宋"/>
                <w:bCs/>
                <w:snapToGrid w:val="0"/>
                <w:color w:val="auto"/>
                <w:kern w:val="0"/>
                <w:sz w:val="24"/>
                <w:szCs w:val="21"/>
                <w14:ligatures w14:val="none"/>
              </w:rPr>
            </w:pPr>
            <w:r>
              <w:rPr>
                <w:rFonts w:ascii="仿宋" w:hAnsi="仿宋" w:eastAsia="仿宋" w:cs="仿宋"/>
                <w:bCs/>
                <w:snapToGrid w:val="0"/>
                <w:color w:val="auto"/>
                <w:kern w:val="0"/>
                <w:sz w:val="24"/>
                <w:szCs w:val="21"/>
                <w14:ligatures w14:val="none"/>
              </w:rPr>
              <w:t>④ISO/IEC 27001</w:t>
            </w:r>
            <w:r>
              <w:rPr>
                <w:rFonts w:hint="eastAsia" w:ascii="仿宋" w:hAnsi="仿宋" w:eastAsia="仿宋" w:cs="仿宋"/>
                <w:bCs/>
                <w:snapToGrid w:val="0"/>
                <w:color w:val="auto"/>
                <w:kern w:val="0"/>
                <w:sz w:val="24"/>
                <w:szCs w:val="21"/>
                <w14:ligatures w14:val="none"/>
              </w:rPr>
              <w:t>信息安全管理体系认证证书（软件研发或运维服务）</w:t>
            </w:r>
          </w:p>
          <w:p w14:paraId="516592FE">
            <w:pPr>
              <w:spacing w:line="440" w:lineRule="exact"/>
              <w:rPr>
                <w:rFonts w:ascii="仿宋" w:hAnsi="仿宋" w:eastAsia="仿宋" w:cs="仿宋"/>
                <w:bCs/>
                <w:snapToGrid w:val="0"/>
                <w:color w:val="auto"/>
                <w:kern w:val="0"/>
                <w:sz w:val="24"/>
                <w:szCs w:val="21"/>
                <w14:ligatures w14:val="none"/>
              </w:rPr>
            </w:pPr>
            <w:r>
              <w:rPr>
                <w:rFonts w:ascii="仿宋" w:hAnsi="仿宋" w:eastAsia="仿宋" w:cs="仿宋"/>
                <w:bCs/>
                <w:snapToGrid w:val="0"/>
                <w:color w:val="auto"/>
                <w:kern w:val="0"/>
                <w:sz w:val="24"/>
                <w:szCs w:val="21"/>
                <w14:ligatures w14:val="none"/>
              </w:rPr>
              <w:t>⑤ISO/IEC 27701</w:t>
            </w:r>
            <w:r>
              <w:rPr>
                <w:rFonts w:hint="eastAsia" w:ascii="仿宋" w:hAnsi="仿宋" w:eastAsia="仿宋" w:cs="仿宋"/>
                <w:bCs/>
                <w:snapToGrid w:val="0"/>
                <w:color w:val="auto"/>
                <w:kern w:val="0"/>
                <w:sz w:val="24"/>
                <w:szCs w:val="21"/>
                <w14:ligatures w14:val="none"/>
              </w:rPr>
              <w:t>隐私信息安全管理体系认证证书（软件研发或运维服务）</w:t>
            </w:r>
          </w:p>
          <w:p w14:paraId="40C4EFB1">
            <w:pPr>
              <w:spacing w:line="440" w:lineRule="exact"/>
              <w:rPr>
                <w:rFonts w:ascii="仿宋" w:hAnsi="仿宋" w:eastAsia="仿宋" w:cs="仿宋"/>
                <w:bCs/>
                <w:snapToGrid w:val="0"/>
                <w:color w:val="auto"/>
                <w:kern w:val="0"/>
                <w:sz w:val="24"/>
                <w:szCs w:val="21"/>
                <w14:ligatures w14:val="none"/>
              </w:rPr>
            </w:pPr>
          </w:p>
          <w:p w14:paraId="5E2C35D6">
            <w:pPr>
              <w:spacing w:line="440" w:lineRule="exact"/>
              <w:rPr>
                <w:rFonts w:ascii="仿宋" w:hAnsi="仿宋" w:eastAsia="仿宋" w:cs="仿宋"/>
                <w:bCs/>
                <w:snapToGrid w:val="0"/>
                <w:color w:val="auto"/>
                <w:kern w:val="0"/>
                <w:sz w:val="24"/>
                <w:szCs w:val="21"/>
                <w14:ligatures w14:val="none"/>
              </w:rPr>
            </w:pPr>
            <w:r>
              <w:rPr>
                <w:rFonts w:hint="eastAsia" w:ascii="仿宋" w:hAnsi="仿宋" w:eastAsia="仿宋" w:cs="仿宋"/>
                <w:bCs/>
                <w:snapToGrid w:val="0"/>
                <w:color w:val="auto"/>
                <w:kern w:val="0"/>
                <w:sz w:val="24"/>
                <w:szCs w:val="21"/>
                <w14:ligatures w14:val="none"/>
              </w:rPr>
              <w:t>（2</w:t>
            </w:r>
            <w:r>
              <w:rPr>
                <w:rFonts w:ascii="仿宋" w:hAnsi="仿宋" w:eastAsia="仿宋" w:cs="仿宋"/>
                <w:bCs/>
                <w:snapToGrid w:val="0"/>
                <w:color w:val="auto"/>
                <w:kern w:val="0"/>
                <w:sz w:val="24"/>
                <w:szCs w:val="21"/>
                <w14:ligatures w14:val="none"/>
              </w:rPr>
              <w:t>）</w:t>
            </w:r>
            <w:r>
              <w:rPr>
                <w:rFonts w:hint="eastAsia" w:ascii="仿宋" w:hAnsi="仿宋" w:eastAsia="仿宋" w:cs="仿宋"/>
                <w:bCs/>
                <w:snapToGrid w:val="0"/>
                <w:color w:val="auto"/>
                <w:kern w:val="0"/>
                <w:sz w:val="24"/>
                <w:szCs w:val="21"/>
                <w14:ligatures w14:val="none"/>
              </w:rPr>
              <w:t>人员要求：</w:t>
            </w:r>
          </w:p>
          <w:p w14:paraId="611A3918">
            <w:pPr>
              <w:spacing w:line="440" w:lineRule="exact"/>
              <w:rPr>
                <w:rFonts w:ascii="仿宋" w:hAnsi="仿宋" w:eastAsia="仿宋" w:cs="仿宋"/>
                <w:bCs/>
                <w:snapToGrid w:val="0"/>
                <w:color w:val="auto"/>
                <w:kern w:val="0"/>
                <w:sz w:val="24"/>
                <w:szCs w:val="21"/>
                <w14:ligatures w14:val="none"/>
              </w:rPr>
            </w:pPr>
            <w:r>
              <w:rPr>
                <w:rFonts w:hint="eastAsia" w:ascii="仿宋" w:hAnsi="仿宋" w:eastAsia="仿宋" w:cs="仿宋"/>
                <w:bCs/>
                <w:snapToGrid w:val="0"/>
                <w:color w:val="auto"/>
                <w:kern w:val="0"/>
                <w:sz w:val="24"/>
                <w:szCs w:val="21"/>
                <w14:ligatures w14:val="none"/>
              </w:rPr>
              <w:t>①项目经理：</w:t>
            </w:r>
          </w:p>
          <w:p w14:paraId="460D2C34">
            <w:pPr>
              <w:spacing w:line="440" w:lineRule="exact"/>
              <w:rPr>
                <w:rFonts w:ascii="仿宋" w:hAnsi="仿宋" w:eastAsia="仿宋" w:cs="仿宋"/>
                <w:bCs/>
                <w:snapToGrid w:val="0"/>
                <w:color w:val="auto"/>
                <w:kern w:val="0"/>
                <w:sz w:val="24"/>
                <w:szCs w:val="21"/>
                <w14:ligatures w14:val="none"/>
              </w:rPr>
            </w:pPr>
            <w:r>
              <w:rPr>
                <w:rFonts w:hint="eastAsia" w:ascii="仿宋" w:hAnsi="仿宋" w:eastAsia="仿宋" w:cs="仿宋"/>
                <w:bCs/>
                <w:snapToGrid w:val="0"/>
                <w:color w:val="auto"/>
                <w:kern w:val="0"/>
                <w:sz w:val="24"/>
                <w:szCs w:val="21"/>
                <w14:ligatures w14:val="none"/>
              </w:rPr>
              <w:t>项目经理具备本科及以上学历得2分，项目服务经理工作经验≥</w:t>
            </w:r>
            <w:r>
              <w:rPr>
                <w:rFonts w:ascii="仿宋" w:hAnsi="仿宋" w:eastAsia="仿宋" w:cs="仿宋"/>
                <w:bCs/>
                <w:snapToGrid w:val="0"/>
                <w:color w:val="auto"/>
                <w:kern w:val="0"/>
                <w:sz w:val="24"/>
                <w:szCs w:val="21"/>
                <w14:ligatures w14:val="none"/>
              </w:rPr>
              <w:t>8</w:t>
            </w:r>
            <w:r>
              <w:rPr>
                <w:rFonts w:hint="eastAsia" w:ascii="仿宋" w:hAnsi="仿宋" w:eastAsia="仿宋" w:cs="仿宋"/>
                <w:bCs/>
                <w:snapToGrid w:val="0"/>
                <w:color w:val="auto"/>
                <w:kern w:val="0"/>
                <w:sz w:val="24"/>
                <w:szCs w:val="21"/>
                <w14:ligatures w14:val="none"/>
              </w:rPr>
              <w:t>年得2分（工作经验以学历证书签发日期为准）</w:t>
            </w:r>
          </w:p>
          <w:p w14:paraId="0265A29B">
            <w:pPr>
              <w:spacing w:line="440" w:lineRule="exact"/>
              <w:rPr>
                <w:rFonts w:ascii="仿宋" w:hAnsi="仿宋" w:eastAsia="仿宋" w:cs="仿宋"/>
                <w:bCs/>
                <w:snapToGrid w:val="0"/>
                <w:color w:val="auto"/>
                <w:kern w:val="0"/>
                <w:sz w:val="24"/>
                <w:szCs w:val="21"/>
                <w14:ligatures w14:val="none"/>
              </w:rPr>
            </w:pPr>
            <w:r>
              <w:rPr>
                <w:rFonts w:hint="eastAsia" w:ascii="仿宋" w:hAnsi="仿宋" w:eastAsia="仿宋" w:cs="仿宋"/>
                <w:bCs/>
                <w:snapToGrid w:val="0"/>
                <w:color w:val="auto"/>
                <w:kern w:val="0"/>
                <w:sz w:val="24"/>
                <w:szCs w:val="21"/>
                <w14:ligatures w14:val="none"/>
              </w:rPr>
              <w:t>项目经理具备组织及协调能力，提供</w:t>
            </w:r>
            <w:r>
              <w:rPr>
                <w:rFonts w:ascii="仿宋" w:hAnsi="仿宋" w:eastAsia="仿宋" w:cs="仿宋"/>
                <w:bCs/>
                <w:snapToGrid w:val="0"/>
                <w:color w:val="auto"/>
                <w:kern w:val="0"/>
                <w:sz w:val="24"/>
                <w:szCs w:val="21"/>
                <w14:ligatures w14:val="none"/>
              </w:rPr>
              <w:t>PMP</w:t>
            </w:r>
            <w:r>
              <w:rPr>
                <w:rFonts w:hint="eastAsia" w:ascii="仿宋" w:hAnsi="仿宋" w:eastAsia="仿宋" w:cs="仿宋"/>
                <w:bCs/>
                <w:snapToGrid w:val="0"/>
                <w:color w:val="auto"/>
                <w:kern w:val="0"/>
                <w:sz w:val="24"/>
                <w:szCs w:val="21"/>
                <w14:ligatures w14:val="none"/>
              </w:rPr>
              <w:t>证书的1分。</w:t>
            </w:r>
          </w:p>
          <w:p w14:paraId="101BD460">
            <w:pPr>
              <w:spacing w:line="440" w:lineRule="exact"/>
              <w:rPr>
                <w:rFonts w:ascii="仿宋" w:hAnsi="仿宋" w:eastAsia="仿宋" w:cs="仿宋"/>
                <w:bCs/>
                <w:snapToGrid w:val="0"/>
                <w:color w:val="auto"/>
                <w:kern w:val="0"/>
                <w:sz w:val="24"/>
                <w:szCs w:val="21"/>
                <w14:ligatures w14:val="none"/>
              </w:rPr>
            </w:pPr>
            <w:r>
              <w:rPr>
                <w:rFonts w:hint="eastAsia" w:ascii="仿宋" w:hAnsi="仿宋" w:eastAsia="仿宋" w:cs="仿宋"/>
                <w:bCs/>
                <w:snapToGrid w:val="0"/>
                <w:color w:val="auto"/>
                <w:kern w:val="0"/>
                <w:sz w:val="24"/>
                <w:szCs w:val="21"/>
                <w14:ligatures w14:val="none"/>
              </w:rPr>
              <w:t>②项目团队：</w:t>
            </w:r>
          </w:p>
          <w:p w14:paraId="16AF25F8">
            <w:pPr>
              <w:spacing w:line="440" w:lineRule="exact"/>
              <w:rPr>
                <w:rFonts w:ascii="仿宋" w:hAnsi="仿宋" w:eastAsia="仿宋" w:cs="仿宋"/>
                <w:bCs/>
                <w:snapToGrid w:val="0"/>
                <w:color w:val="auto"/>
                <w:kern w:val="0"/>
                <w:sz w:val="24"/>
                <w:szCs w:val="21"/>
                <w14:ligatures w14:val="none"/>
              </w:rPr>
            </w:pPr>
            <w:r>
              <w:rPr>
                <w:rFonts w:hint="eastAsia" w:ascii="仿宋" w:hAnsi="仿宋" w:eastAsia="仿宋" w:cs="仿宋"/>
                <w:bCs/>
                <w:snapToGrid w:val="0"/>
                <w:color w:val="auto"/>
                <w:kern w:val="0"/>
                <w:sz w:val="24"/>
                <w:szCs w:val="21"/>
                <w14:ligatures w14:val="none"/>
              </w:rPr>
              <w:t>开发团队成员每提供一个计算机技术与软件专业技术资格高级证书或高级工程师职称证书得</w:t>
            </w:r>
            <w:r>
              <w:rPr>
                <w:rFonts w:ascii="仿宋" w:hAnsi="仿宋" w:eastAsia="仿宋" w:cs="仿宋"/>
                <w:bCs/>
                <w:snapToGrid w:val="0"/>
                <w:color w:val="auto"/>
                <w:kern w:val="0"/>
                <w:sz w:val="24"/>
                <w:szCs w:val="21"/>
                <w14:ligatures w14:val="none"/>
              </w:rPr>
              <w:t>1</w:t>
            </w:r>
            <w:r>
              <w:rPr>
                <w:rFonts w:hint="eastAsia" w:ascii="仿宋" w:hAnsi="仿宋" w:eastAsia="仿宋" w:cs="仿宋"/>
                <w:bCs/>
                <w:snapToGrid w:val="0"/>
                <w:color w:val="auto"/>
                <w:kern w:val="0"/>
                <w:sz w:val="24"/>
                <w:szCs w:val="21"/>
                <w14:ligatures w14:val="none"/>
              </w:rPr>
              <w:t>分，满分3分；</w:t>
            </w:r>
          </w:p>
          <w:p w14:paraId="58506353">
            <w:pPr>
              <w:spacing w:line="440" w:lineRule="exact"/>
              <w:jc w:val="left"/>
              <w:rPr>
                <w:rFonts w:ascii="仿宋" w:hAnsi="仿宋" w:eastAsia="仿宋" w:cs="仿宋"/>
                <w:bCs/>
                <w:snapToGrid w:val="0"/>
                <w:color w:val="auto"/>
                <w:kern w:val="0"/>
                <w:sz w:val="24"/>
                <w:szCs w:val="21"/>
                <w14:ligatures w14:val="none"/>
              </w:rPr>
            </w:pPr>
            <w:r>
              <w:rPr>
                <w:rFonts w:hint="eastAsia" w:ascii="仿宋" w:hAnsi="仿宋" w:eastAsia="仿宋" w:cs="仿宋"/>
                <w:bCs/>
                <w:snapToGrid w:val="0"/>
                <w:color w:val="auto"/>
                <w:kern w:val="0"/>
                <w:sz w:val="24"/>
                <w:szCs w:val="21"/>
                <w14:ligatures w14:val="none"/>
              </w:rPr>
              <w:t>运维团队成员，每提供一个注册信息安全专业人员（</w:t>
            </w:r>
            <w:r>
              <w:rPr>
                <w:rFonts w:ascii="仿宋" w:hAnsi="仿宋" w:eastAsia="仿宋" w:cs="仿宋"/>
                <w:bCs/>
                <w:snapToGrid w:val="0"/>
                <w:color w:val="auto"/>
                <w:kern w:val="0"/>
                <w:sz w:val="24"/>
                <w:szCs w:val="21"/>
                <w14:ligatures w14:val="none"/>
              </w:rPr>
              <w:t>CISP</w:t>
            </w:r>
            <w:r>
              <w:rPr>
                <w:rFonts w:hint="eastAsia" w:ascii="仿宋" w:hAnsi="仿宋" w:eastAsia="仿宋" w:cs="仿宋"/>
                <w:bCs/>
                <w:snapToGrid w:val="0"/>
                <w:color w:val="auto"/>
                <w:kern w:val="0"/>
                <w:sz w:val="24"/>
                <w:szCs w:val="21"/>
                <w14:ligatures w14:val="none"/>
              </w:rPr>
              <w:t>）证书，得</w:t>
            </w:r>
            <w:r>
              <w:rPr>
                <w:rFonts w:ascii="仿宋" w:hAnsi="仿宋" w:eastAsia="仿宋" w:cs="仿宋"/>
                <w:bCs/>
                <w:snapToGrid w:val="0"/>
                <w:color w:val="auto"/>
                <w:kern w:val="0"/>
                <w:sz w:val="24"/>
                <w:szCs w:val="21"/>
                <w14:ligatures w14:val="none"/>
              </w:rPr>
              <w:t>1</w:t>
            </w:r>
            <w:r>
              <w:rPr>
                <w:rFonts w:hint="eastAsia" w:ascii="仿宋" w:hAnsi="仿宋" w:eastAsia="仿宋" w:cs="仿宋"/>
                <w:bCs/>
                <w:snapToGrid w:val="0"/>
                <w:color w:val="auto"/>
                <w:kern w:val="0"/>
                <w:sz w:val="24"/>
                <w:szCs w:val="21"/>
                <w14:ligatures w14:val="none"/>
              </w:rPr>
              <w:t>分，满分2分。</w:t>
            </w:r>
          </w:p>
          <w:p w14:paraId="1EFF44E4">
            <w:pPr>
              <w:spacing w:line="440" w:lineRule="exact"/>
              <w:jc w:val="left"/>
              <w:rPr>
                <w:rFonts w:hint="eastAsia" w:ascii="仿宋" w:hAnsi="仿宋" w:eastAsia="仿宋" w:cs="仿宋"/>
                <w:bCs/>
                <w:snapToGrid w:val="0"/>
                <w:color w:val="auto"/>
                <w:kern w:val="0"/>
                <w:sz w:val="24"/>
                <w:szCs w:val="21"/>
                <w14:ligatures w14:val="none"/>
              </w:rPr>
            </w:pPr>
            <w:r>
              <w:rPr>
                <w:rFonts w:hint="eastAsia" w:ascii="仿宋" w:hAnsi="仿宋" w:eastAsia="仿宋" w:cs="仿宋"/>
                <w:bCs/>
                <w:snapToGrid w:val="0"/>
                <w:color w:val="auto"/>
                <w:kern w:val="0"/>
                <w:sz w:val="24"/>
                <w:szCs w:val="21"/>
                <w14:ligatures w14:val="none"/>
              </w:rPr>
              <w:t>注：</w:t>
            </w:r>
          </w:p>
          <w:p w14:paraId="42029B38">
            <w:pPr>
              <w:spacing w:line="440" w:lineRule="exact"/>
              <w:jc w:val="left"/>
              <w:rPr>
                <w:rFonts w:hint="eastAsia" w:ascii="仿宋" w:hAnsi="仿宋" w:eastAsia="仿宋" w:cs="仿宋"/>
                <w:bCs/>
                <w:snapToGrid w:val="0"/>
                <w:color w:val="auto"/>
                <w:kern w:val="0"/>
                <w:sz w:val="24"/>
                <w:szCs w:val="21"/>
                <w14:ligatures w14:val="none"/>
              </w:rPr>
            </w:pPr>
            <w:r>
              <w:rPr>
                <w:rFonts w:hint="eastAsia" w:ascii="仿宋" w:hAnsi="仿宋" w:eastAsia="仿宋" w:cs="仿宋"/>
                <w:bCs/>
                <w:snapToGrid w:val="0"/>
                <w:color w:val="auto"/>
                <w:kern w:val="0"/>
                <w:sz w:val="24"/>
                <w:szCs w:val="21"/>
                <w14:ligatures w14:val="none"/>
              </w:rPr>
              <w:t>（1）需提供相关证件复印件、身份证复印件及供应商近半年中任意一个月（含开标当月）为其缴纳社会保险费用证明材料的复印件并加盖供应商公章，否则不得分。（如果供应商成立时间或该人员入职不足1个月，则提供人员入职证明。代缴个税税单或参加社会保险的《投保单》或《社会保险参保人员证明》等证明均可。</w:t>
            </w:r>
          </w:p>
          <w:p w14:paraId="79099C9D">
            <w:pPr>
              <w:spacing w:line="440" w:lineRule="exact"/>
              <w:jc w:val="left"/>
              <w:rPr>
                <w:rFonts w:hint="eastAsia" w:ascii="仿宋" w:hAnsi="仿宋" w:eastAsia="仿宋" w:cs="仿宋"/>
                <w:bCs/>
                <w:snapToGrid w:val="0"/>
                <w:color w:val="auto"/>
                <w:kern w:val="0"/>
                <w:sz w:val="24"/>
                <w:szCs w:val="21"/>
                <w14:ligatures w14:val="none"/>
              </w:rPr>
            </w:pPr>
            <w:r>
              <w:rPr>
                <w:rFonts w:hint="eastAsia" w:ascii="仿宋" w:hAnsi="仿宋" w:eastAsia="仿宋" w:cs="仿宋"/>
                <w:bCs/>
                <w:snapToGrid w:val="0"/>
                <w:color w:val="auto"/>
                <w:kern w:val="0"/>
                <w:sz w:val="24"/>
                <w:szCs w:val="21"/>
                <w14:ligatures w14:val="none"/>
              </w:rPr>
              <w:t>（2）工作经验以学历证书签发日期为准，如提供多个学历按最高学历计算。</w:t>
            </w:r>
          </w:p>
          <w:p w14:paraId="00CA3B1C">
            <w:pPr>
              <w:widowControl/>
              <w:spacing w:line="440" w:lineRule="exact"/>
              <w:jc w:val="left"/>
              <w:rPr>
                <w:rFonts w:ascii="仿宋" w:hAnsi="仿宋" w:eastAsia="仿宋" w:cs="仿宋"/>
                <w:bCs/>
                <w:strike/>
                <w:color w:val="auto"/>
                <w:kern w:val="0"/>
                <w:sz w:val="24"/>
                <w:szCs w:val="24"/>
                <w14:ligatures w14:val="none"/>
              </w:rPr>
            </w:pPr>
            <w:r>
              <w:rPr>
                <w:rFonts w:ascii="仿宋" w:hAnsi="仿宋" w:eastAsia="仿宋" w:cs="仿宋"/>
                <w:bCs/>
                <w:color w:val="auto"/>
                <w:kern w:val="0"/>
                <w:sz w:val="24"/>
                <w:szCs w:val="20"/>
                <w14:ligatures w14:val="none"/>
              </w:rPr>
              <w:t>（3）以上证明材料模糊不清无法辨认的，评委有权不予认可该材料。</w:t>
            </w:r>
          </w:p>
        </w:tc>
      </w:tr>
      <w:tr w14:paraId="43BBD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39" w:type="dxa"/>
            <w:gridSpan w:val="4"/>
            <w:tcBorders>
              <w:top w:val="single" w:color="auto" w:sz="4" w:space="0"/>
              <w:left w:val="single" w:color="auto" w:sz="4" w:space="0"/>
              <w:bottom w:val="single" w:color="auto" w:sz="4" w:space="0"/>
              <w:right w:val="single" w:color="auto" w:sz="4" w:space="0"/>
            </w:tcBorders>
            <w:vAlign w:val="center"/>
          </w:tcPr>
          <w:p w14:paraId="62CF3F4A">
            <w:pPr>
              <w:kinsoku w:val="0"/>
              <w:autoSpaceDE w:val="0"/>
              <w:autoSpaceDN w:val="0"/>
              <w:spacing w:line="440" w:lineRule="exact"/>
              <w:ind w:firstLine="482" w:firstLineChars="200"/>
              <w:textAlignment w:val="baseline"/>
              <w:rPr>
                <w:rFonts w:hint="eastAsia" w:ascii="宋体" w:hAnsi="宋体" w:eastAsia="宋体" w:cs="仿宋"/>
                <w:bCs/>
                <w:snapToGrid w:val="0"/>
                <w:color w:val="auto"/>
                <w:kern w:val="0"/>
                <w:sz w:val="24"/>
                <w:szCs w:val="21"/>
                <w14:ligatures w14:val="none"/>
              </w:rPr>
            </w:pPr>
            <w:r>
              <w:rPr>
                <w:rFonts w:hint="eastAsia" w:ascii="宋体" w:hAnsi="宋体" w:eastAsia="宋体" w:cs="仿宋"/>
                <w:b/>
                <w:bCs/>
                <w:snapToGrid w:val="0"/>
                <w:color w:val="auto"/>
                <w:kern w:val="0"/>
                <w:sz w:val="24"/>
                <w:szCs w:val="21"/>
                <w14:ligatures w14:val="none"/>
              </w:rPr>
              <w:t>总得分=1+2+3。</w:t>
            </w:r>
          </w:p>
        </w:tc>
      </w:tr>
    </w:tbl>
    <w:p w14:paraId="1A48E02A">
      <w:pPr>
        <w:bidi w:val="0"/>
        <w:rPr>
          <w:rFonts w:hint="eastAsia" w:asciiTheme="minorEastAsia" w:hAnsiTheme="minorEastAsia" w:eastAsiaTheme="minorEastAsia" w:cstheme="minorEastAsia"/>
          <w:color w:val="auto"/>
          <w:spacing w:val="13"/>
          <w:sz w:val="30"/>
          <w:szCs w:val="30"/>
        </w:rPr>
      </w:pPr>
    </w:p>
    <w:p w14:paraId="2C68A469">
      <w:pPr>
        <w:bidi w:val="0"/>
        <w:rPr>
          <w:rFonts w:hint="eastAsia" w:asciiTheme="minorEastAsia" w:hAnsiTheme="minorEastAsia" w:eastAsiaTheme="minorEastAsia" w:cstheme="minorEastAsia"/>
          <w:color w:val="auto"/>
          <w:spacing w:val="13"/>
          <w:sz w:val="30"/>
          <w:szCs w:val="30"/>
        </w:rPr>
      </w:pPr>
    </w:p>
    <w:p w14:paraId="1E98262F">
      <w:pPr>
        <w:pStyle w:val="3"/>
        <w:numPr>
          <w:ilvl w:val="1"/>
          <w:numId w:val="0"/>
        </w:numPr>
        <w:bidi w:val="0"/>
        <w:ind w:leftChars="0"/>
        <w:jc w:val="center"/>
        <w:rPr>
          <w:rFonts w:hint="eastAsia"/>
          <w:color w:val="auto"/>
        </w:rPr>
      </w:pPr>
      <w:r>
        <w:rPr>
          <w:rFonts w:hint="eastAsia"/>
          <w:color w:val="auto"/>
        </w:rPr>
        <w:t>第四节</w:t>
      </w:r>
      <w:r>
        <w:rPr>
          <w:rFonts w:hint="eastAsia"/>
          <w:color w:val="auto"/>
          <w:lang w:val="en-US" w:eastAsia="zh-CN"/>
        </w:rPr>
        <w:t xml:space="preserve"> </w:t>
      </w:r>
      <w:r>
        <w:rPr>
          <w:rFonts w:hint="eastAsia"/>
          <w:color w:val="auto"/>
        </w:rPr>
        <w:t>中标候选人推荐原则</w:t>
      </w:r>
    </w:p>
    <w:p w14:paraId="1EEEB439">
      <w:pPr>
        <w:pStyle w:val="10"/>
        <w:spacing w:line="441" w:lineRule="auto"/>
        <w:rPr>
          <w:rFonts w:hint="eastAsia" w:asciiTheme="minorEastAsia" w:hAnsiTheme="minorEastAsia" w:eastAsiaTheme="minorEastAsia" w:cstheme="minorEastAsia"/>
          <w:color w:val="auto"/>
        </w:rPr>
      </w:pPr>
    </w:p>
    <w:p w14:paraId="553CD60F">
      <w:pPr>
        <w:spacing w:before="85" w:line="222" w:lineRule="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b/>
          <w:bCs/>
          <w:color w:val="auto"/>
          <w:spacing w:val="-4"/>
          <w:sz w:val="21"/>
          <w:szCs w:val="21"/>
        </w:rPr>
        <w:t>综合评分法</w:t>
      </w:r>
      <w:r>
        <w:rPr>
          <w:rFonts w:hint="eastAsia" w:asciiTheme="minorEastAsia" w:hAnsiTheme="minorEastAsia" w:eastAsiaTheme="minorEastAsia" w:cstheme="minorEastAsia"/>
          <w:b/>
          <w:bCs/>
          <w:color w:val="auto"/>
          <w:spacing w:val="-4"/>
          <w:sz w:val="21"/>
          <w:szCs w:val="21"/>
          <w:lang w:eastAsia="zh-CN"/>
        </w:rPr>
        <w:t>：</w:t>
      </w:r>
    </w:p>
    <w:p w14:paraId="4EE2E2FA">
      <w:pPr>
        <w:spacing w:before="170" w:line="351" w:lineRule="auto"/>
        <w:ind w:left="4" w:firstLine="429"/>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评标委员会将根据评审后总得分由高到低排列次序并推荐中标候选人。总得分相同的，以投标</w:t>
      </w:r>
      <w:r>
        <w:rPr>
          <w:rFonts w:hint="eastAsia" w:asciiTheme="minorEastAsia" w:hAnsiTheme="minorEastAsia" w:eastAsiaTheme="minorEastAsia" w:cstheme="minorEastAsia"/>
          <w:color w:val="auto"/>
          <w:spacing w:val="8"/>
          <w:sz w:val="21"/>
          <w:szCs w:val="21"/>
        </w:rPr>
        <w:t xml:space="preserve">  </w:t>
      </w:r>
      <w:r>
        <w:rPr>
          <w:rFonts w:hint="eastAsia" w:asciiTheme="minorEastAsia" w:hAnsiTheme="minorEastAsia" w:eastAsiaTheme="minorEastAsia" w:cstheme="minorEastAsia"/>
          <w:color w:val="auto"/>
          <w:spacing w:val="-4"/>
          <w:sz w:val="21"/>
          <w:szCs w:val="21"/>
        </w:rPr>
        <w:t>报价由低到高顺序排列，得分相同且投标报价相同的并列。投标文件满足招标文件全部实质性要求，</w:t>
      </w:r>
      <w:r>
        <w:rPr>
          <w:rFonts w:hint="eastAsia" w:asciiTheme="minorEastAsia" w:hAnsiTheme="minorEastAsia" w:eastAsiaTheme="minorEastAsia" w:cstheme="minorEastAsia"/>
          <w:color w:val="auto"/>
          <w:spacing w:val="9"/>
          <w:sz w:val="21"/>
          <w:szCs w:val="21"/>
        </w:rPr>
        <w:t xml:space="preserve"> </w:t>
      </w:r>
      <w:r>
        <w:rPr>
          <w:rFonts w:hint="eastAsia" w:asciiTheme="minorEastAsia" w:hAnsiTheme="minorEastAsia" w:eastAsiaTheme="minorEastAsia" w:cstheme="minorEastAsia"/>
          <w:color w:val="auto"/>
          <w:sz w:val="21"/>
          <w:szCs w:val="21"/>
        </w:rPr>
        <w:t>且按照评审因素的量化指标评审得分最高的投标人为排名第一的中标候选人。</w:t>
      </w:r>
    </w:p>
    <w:p w14:paraId="4000D5B9">
      <w:pPr>
        <w:spacing w:line="432" w:lineRule="auto"/>
        <w:rPr>
          <w:rFonts w:hint="eastAsia" w:asciiTheme="minorEastAsia" w:hAnsiTheme="minorEastAsia" w:eastAsiaTheme="minorEastAsia" w:cstheme="minorEastAsia"/>
          <w:color w:val="auto"/>
          <w:sz w:val="21"/>
          <w:szCs w:val="21"/>
        </w:rPr>
        <w:sectPr>
          <w:footerReference r:id="rId30" w:type="default"/>
          <w:pgSz w:w="11900" w:h="16830"/>
          <w:pgMar w:top="1135" w:right="1385" w:bottom="989" w:left="1435" w:header="0" w:footer="845" w:gutter="0"/>
          <w:cols w:space="720" w:num="1"/>
        </w:sectPr>
      </w:pPr>
    </w:p>
    <w:p w14:paraId="1DD11261">
      <w:pPr>
        <w:pStyle w:val="3"/>
        <w:numPr>
          <w:ilvl w:val="1"/>
          <w:numId w:val="0"/>
        </w:numPr>
        <w:bidi w:val="0"/>
        <w:ind w:leftChars="0"/>
        <w:jc w:val="center"/>
        <w:rPr>
          <w:rFonts w:hint="eastAsia"/>
          <w:color w:val="auto"/>
        </w:rPr>
      </w:pPr>
      <w:r>
        <w:rPr>
          <w:rFonts w:hint="eastAsia"/>
          <w:color w:val="auto"/>
        </w:rPr>
        <w:t>第五节</w:t>
      </w:r>
      <w:r>
        <w:rPr>
          <w:rFonts w:hint="eastAsia"/>
          <w:color w:val="auto"/>
          <w:lang w:val="en-US" w:eastAsia="zh-CN"/>
        </w:rPr>
        <w:t xml:space="preserve"> </w:t>
      </w:r>
      <w:r>
        <w:rPr>
          <w:rFonts w:hint="eastAsia"/>
          <w:color w:val="auto"/>
        </w:rPr>
        <w:t>评标报告</w:t>
      </w:r>
    </w:p>
    <w:p w14:paraId="62A5AFFD">
      <w:pPr>
        <w:spacing w:before="191" w:line="222" w:lineRule="auto"/>
        <w:ind w:left="60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3"/>
          <w:sz w:val="21"/>
          <w:szCs w:val="21"/>
        </w:rPr>
        <w:t>(一)评标报告与推荐中标候选人</w:t>
      </w:r>
    </w:p>
    <w:p w14:paraId="2DF9FA43">
      <w:pPr>
        <w:spacing w:before="171" w:line="368" w:lineRule="auto"/>
        <w:ind w:right="84" w:firstLine="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8"/>
          <w:sz w:val="21"/>
          <w:szCs w:val="21"/>
        </w:rPr>
        <w:t>评标委员会根据原始评标记录和评标结果编写评标报告，并通过电子交易平台向采购人、采购</w:t>
      </w:r>
      <w:r>
        <w:rPr>
          <w:rFonts w:hint="eastAsia" w:asciiTheme="minorEastAsia" w:hAnsiTheme="minorEastAsia" w:eastAsiaTheme="minorEastAsia" w:cstheme="minorEastAsia"/>
          <w:color w:val="auto"/>
          <w:spacing w:val="16"/>
          <w:sz w:val="21"/>
          <w:szCs w:val="21"/>
        </w:rPr>
        <w:t xml:space="preserve"> </w:t>
      </w:r>
      <w:r>
        <w:rPr>
          <w:rFonts w:hint="eastAsia" w:asciiTheme="minorEastAsia" w:hAnsiTheme="minorEastAsia" w:eastAsiaTheme="minorEastAsia" w:cstheme="minorEastAsia"/>
          <w:color w:val="auto"/>
          <w:spacing w:val="10"/>
          <w:sz w:val="21"/>
          <w:szCs w:val="21"/>
        </w:rPr>
        <w:t>代理机构提交。</w:t>
      </w:r>
    </w:p>
    <w:p w14:paraId="17E65E0C">
      <w:pPr>
        <w:spacing w:before="1" w:line="220" w:lineRule="auto"/>
        <w:ind w:left="60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1"/>
          <w:sz w:val="21"/>
          <w:szCs w:val="21"/>
        </w:rPr>
        <w:t>(二)评标争议事顶处理</w:t>
      </w:r>
    </w:p>
    <w:p w14:paraId="12FABDFB">
      <w:pPr>
        <w:spacing w:before="195" w:line="366" w:lineRule="auto"/>
        <w:ind w:firstLine="41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0"/>
          <w:sz w:val="21"/>
          <w:szCs w:val="21"/>
        </w:rPr>
        <w:t>评标委员会成员对需要共同认定的事项存在争议的，应当按照少数服从多数的原则作出结论。</w:t>
      </w:r>
      <w:r>
        <w:rPr>
          <w:rFonts w:hint="eastAsia" w:asciiTheme="minorEastAsia" w:hAnsiTheme="minorEastAsia" w:eastAsiaTheme="minorEastAsia" w:cstheme="minorEastAsia"/>
          <w:color w:val="auto"/>
          <w:spacing w:val="9"/>
          <w:sz w:val="21"/>
          <w:szCs w:val="21"/>
        </w:rPr>
        <w:t xml:space="preserve"> </w:t>
      </w:r>
      <w:r>
        <w:rPr>
          <w:rFonts w:hint="eastAsia" w:asciiTheme="minorEastAsia" w:hAnsiTheme="minorEastAsia" w:eastAsiaTheme="minorEastAsia" w:cstheme="minorEastAsia"/>
          <w:color w:val="auto"/>
          <w:spacing w:val="10"/>
          <w:sz w:val="21"/>
          <w:szCs w:val="21"/>
        </w:rPr>
        <w:t>持不同意见的评标委员会成员应当在评标报告上签署不同意见及理由，否则视为同意评标报</w:t>
      </w:r>
      <w:r>
        <w:rPr>
          <w:rFonts w:hint="eastAsia" w:asciiTheme="minorEastAsia" w:hAnsiTheme="minorEastAsia" w:eastAsiaTheme="minorEastAsia" w:cstheme="minorEastAsia"/>
          <w:color w:val="auto"/>
          <w:spacing w:val="9"/>
          <w:sz w:val="21"/>
          <w:szCs w:val="21"/>
        </w:rPr>
        <w:t>告。</w:t>
      </w:r>
    </w:p>
    <w:p w14:paraId="4C8F8574">
      <w:pPr>
        <w:spacing w:line="366" w:lineRule="auto"/>
        <w:rPr>
          <w:rFonts w:hint="eastAsia" w:asciiTheme="minorEastAsia" w:hAnsiTheme="minorEastAsia" w:eastAsiaTheme="minorEastAsia" w:cstheme="minorEastAsia"/>
          <w:color w:val="auto"/>
          <w:sz w:val="20"/>
          <w:szCs w:val="20"/>
        </w:rPr>
        <w:sectPr>
          <w:footerReference r:id="rId31" w:type="default"/>
          <w:pgSz w:w="11900" w:h="16830"/>
          <w:pgMar w:top="1139" w:right="1400" w:bottom="991" w:left="1460" w:header="0" w:footer="847" w:gutter="0"/>
          <w:cols w:space="720" w:num="1"/>
        </w:sectPr>
      </w:pPr>
    </w:p>
    <w:p w14:paraId="29F78218">
      <w:pPr>
        <w:pStyle w:val="2"/>
        <w:bidi w:val="0"/>
        <w:jc w:val="center"/>
        <w:rPr>
          <w:color w:val="auto"/>
        </w:rPr>
      </w:pPr>
      <w:bookmarkStart w:id="12" w:name="_Toc16309"/>
      <w:r>
        <w:rPr>
          <w:rFonts w:hint="eastAsia"/>
          <w:color w:val="auto"/>
        </w:rPr>
        <w:t>第五章  合同条款及格式</w:t>
      </w:r>
      <w:bookmarkEnd w:id="12"/>
    </w:p>
    <w:p w14:paraId="625F785D">
      <w:pPr>
        <w:spacing w:after="0" w:line="500" w:lineRule="exact"/>
        <w:ind w:right="800"/>
        <w:jc w:val="both"/>
        <w:rPr>
          <w:rFonts w:hint="eastAsia" w:ascii="仿宋" w:hAnsi="仿宋" w:eastAsia="仿宋" w:cs="仿宋"/>
          <w:bCs/>
          <w:color w:val="auto"/>
          <w:sz w:val="36"/>
          <w:szCs w:val="36"/>
          <w:highlight w:val="none"/>
        </w:rPr>
      </w:pPr>
      <w:bookmarkStart w:id="13" w:name="OLE_LINK35"/>
    </w:p>
    <w:p w14:paraId="2F7370CC">
      <w:pPr>
        <w:spacing w:after="0" w:line="500" w:lineRule="exact"/>
        <w:ind w:right="800"/>
        <w:jc w:val="both"/>
        <w:rPr>
          <w:rFonts w:hint="eastAsia" w:ascii="仿宋" w:hAnsi="仿宋" w:eastAsia="仿宋" w:cs="仿宋"/>
          <w:bCs/>
          <w:color w:val="auto"/>
          <w:sz w:val="36"/>
          <w:szCs w:val="36"/>
          <w:highlight w:val="none"/>
        </w:rPr>
      </w:pPr>
    </w:p>
    <w:p w14:paraId="2077D19F">
      <w:pPr>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                                                 </w:t>
      </w:r>
    </w:p>
    <w:p w14:paraId="7E64715B">
      <w:pPr>
        <w:spacing w:line="360" w:lineRule="auto"/>
        <w:jc w:val="center"/>
        <w:rPr>
          <w:rFonts w:hint="eastAsia" w:ascii="仿宋_GB2312" w:hAnsi="仿宋_GB2312" w:eastAsia="仿宋_GB2312" w:cs="仿宋_GB2312"/>
          <w:b/>
          <w:bCs/>
          <w:color w:val="auto"/>
          <w:sz w:val="36"/>
          <w:szCs w:val="36"/>
          <w:highlight w:val="none"/>
        </w:rPr>
      </w:pPr>
      <w:r>
        <w:rPr>
          <w:rFonts w:hint="eastAsia" w:ascii="仿宋_GB2312" w:hAnsi="仿宋_GB2312" w:eastAsia="仿宋_GB2312" w:cs="仿宋_GB2312"/>
          <w:b/>
          <w:bCs/>
          <w:color w:val="auto"/>
          <w:sz w:val="36"/>
          <w:szCs w:val="36"/>
          <w:highlight w:val="none"/>
          <w:u w:val="single"/>
          <w:lang w:val="en-US" w:eastAsia="zh-CN"/>
        </w:rPr>
        <w:t xml:space="preserve">             </w:t>
      </w:r>
      <w:r>
        <w:rPr>
          <w:rFonts w:hint="eastAsia" w:ascii="仿宋_GB2312" w:hAnsi="仿宋_GB2312" w:eastAsia="仿宋_GB2312" w:cs="仿宋_GB2312"/>
          <w:b/>
          <w:bCs/>
          <w:color w:val="auto"/>
          <w:sz w:val="36"/>
          <w:szCs w:val="36"/>
          <w:highlight w:val="none"/>
          <w:u w:val="none"/>
        </w:rPr>
        <w:t>项目</w:t>
      </w:r>
      <w:r>
        <w:rPr>
          <w:rFonts w:hint="eastAsia" w:ascii="仿宋_GB2312" w:hAnsi="仿宋_GB2312" w:eastAsia="仿宋_GB2312" w:cs="仿宋_GB2312"/>
          <w:b/>
          <w:bCs/>
          <w:color w:val="auto"/>
          <w:sz w:val="36"/>
          <w:szCs w:val="36"/>
          <w:highlight w:val="none"/>
        </w:rPr>
        <w:t>合同</w:t>
      </w:r>
    </w:p>
    <w:p w14:paraId="107367CC">
      <w:pPr>
        <w:spacing w:line="360" w:lineRule="auto"/>
        <w:ind w:firstLine="3507" w:firstLineChars="794"/>
        <w:rPr>
          <w:rFonts w:hint="eastAsia" w:ascii="仿宋_GB2312" w:hAnsi="仿宋_GB2312" w:eastAsia="仿宋_GB2312" w:cs="仿宋_GB2312"/>
          <w:b/>
          <w:bCs/>
          <w:color w:val="auto"/>
          <w:sz w:val="44"/>
          <w:highlight w:val="none"/>
        </w:rPr>
      </w:pPr>
    </w:p>
    <w:p w14:paraId="7C9424BC">
      <w:pPr>
        <w:widowControl/>
        <w:ind w:firstLine="1446" w:firstLineChars="400"/>
        <w:jc w:val="left"/>
        <w:rPr>
          <w:rFonts w:hint="eastAsia" w:ascii="仿宋_GB2312" w:hAnsi="仿宋_GB2312" w:eastAsia="仿宋_GB2312" w:cs="仿宋_GB2312"/>
          <w:b/>
          <w:color w:val="auto"/>
          <w:sz w:val="36"/>
          <w:szCs w:val="36"/>
          <w:highlight w:val="none"/>
          <w:lang w:val="en-US" w:eastAsia="zh-CN"/>
        </w:rPr>
      </w:pPr>
      <w:r>
        <w:rPr>
          <w:rFonts w:hint="eastAsia" w:ascii="仿宋_GB2312" w:hAnsi="仿宋_GB2312" w:eastAsia="仿宋_GB2312" w:cs="仿宋_GB2312"/>
          <w:b/>
          <w:color w:val="auto"/>
          <w:sz w:val="36"/>
          <w:szCs w:val="36"/>
          <w:highlight w:val="none"/>
        </w:rPr>
        <w:t>项目编号：</w:t>
      </w:r>
      <w:r>
        <w:rPr>
          <w:rFonts w:hint="eastAsia" w:ascii="仿宋_GB2312" w:hAnsi="仿宋_GB2312" w:eastAsia="仿宋_GB2312" w:cs="仿宋_GB2312"/>
          <w:b/>
          <w:color w:val="auto"/>
          <w:sz w:val="36"/>
          <w:szCs w:val="36"/>
          <w:highlight w:val="none"/>
          <w:lang w:val="en-US" w:eastAsia="zh-CN"/>
        </w:rPr>
        <w:t xml:space="preserve"> </w:t>
      </w:r>
    </w:p>
    <w:p w14:paraId="7B4CBD09">
      <w:pPr>
        <w:widowControl/>
        <w:ind w:firstLine="1446" w:firstLineChars="400"/>
        <w:jc w:val="left"/>
        <w:rPr>
          <w:rFonts w:hint="eastAsia" w:ascii="仿宋_GB2312" w:hAnsi="仿宋_GB2312" w:eastAsia="仿宋_GB2312" w:cs="仿宋_GB2312"/>
          <w:b/>
          <w:color w:val="auto"/>
          <w:sz w:val="36"/>
          <w:szCs w:val="36"/>
          <w:highlight w:val="none"/>
          <w:lang w:eastAsia="zh-CN"/>
        </w:rPr>
      </w:pPr>
      <w:r>
        <w:rPr>
          <w:rFonts w:hint="eastAsia" w:ascii="仿宋_GB2312" w:hAnsi="仿宋_GB2312" w:eastAsia="仿宋_GB2312" w:cs="仿宋_GB2312"/>
          <w:b/>
          <w:color w:val="auto"/>
          <w:sz w:val="36"/>
          <w:szCs w:val="36"/>
          <w:highlight w:val="none"/>
        </w:rPr>
        <w:t>采购计划文号：</w:t>
      </w:r>
      <w:r>
        <w:rPr>
          <w:rFonts w:hint="eastAsia" w:ascii="仿宋_GB2312" w:hAnsi="仿宋_GB2312" w:eastAsia="仿宋_GB2312" w:cs="仿宋_GB2312"/>
          <w:b/>
          <w:color w:val="auto"/>
          <w:sz w:val="36"/>
          <w:szCs w:val="36"/>
          <w:highlight w:val="none"/>
          <w:lang w:val="en-US" w:eastAsia="zh-CN"/>
        </w:rPr>
        <w:t xml:space="preserve"> </w:t>
      </w:r>
    </w:p>
    <w:p w14:paraId="6B074775">
      <w:pPr>
        <w:ind w:firstLine="1995" w:firstLineChars="552"/>
        <w:rPr>
          <w:rFonts w:hint="eastAsia" w:ascii="仿宋_GB2312" w:hAnsi="仿宋_GB2312" w:eastAsia="仿宋_GB2312" w:cs="仿宋_GB2312"/>
          <w:b/>
          <w:color w:val="auto"/>
          <w:sz w:val="36"/>
          <w:szCs w:val="36"/>
          <w:highlight w:val="none"/>
        </w:rPr>
      </w:pPr>
      <w:r>
        <w:rPr>
          <w:rFonts w:hint="eastAsia" w:ascii="仿宋_GB2312" w:hAnsi="仿宋_GB2312" w:eastAsia="仿宋_GB2312" w:cs="仿宋_GB2312"/>
          <w:b/>
          <w:color w:val="auto"/>
          <w:sz w:val="36"/>
          <w:szCs w:val="36"/>
          <w:highlight w:val="none"/>
        </w:rPr>
        <w:t xml:space="preserve">               </w:t>
      </w:r>
    </w:p>
    <w:p w14:paraId="5832B538">
      <w:pPr>
        <w:pStyle w:val="12"/>
        <w:rPr>
          <w:rFonts w:hint="eastAsia" w:ascii="仿宋_GB2312" w:hAnsi="仿宋_GB2312" w:eastAsia="仿宋_GB2312" w:cs="仿宋_GB2312"/>
          <w:color w:val="auto"/>
          <w:highlight w:val="none"/>
        </w:rPr>
      </w:pPr>
    </w:p>
    <w:p w14:paraId="50AD1147">
      <w:pPr>
        <w:pStyle w:val="12"/>
        <w:rPr>
          <w:rFonts w:hint="eastAsia" w:ascii="仿宋_GB2312" w:hAnsi="仿宋_GB2312" w:eastAsia="仿宋_GB2312" w:cs="仿宋_GB2312"/>
          <w:color w:val="auto"/>
          <w:highlight w:val="none"/>
        </w:rPr>
      </w:pPr>
    </w:p>
    <w:p w14:paraId="1F42EEF9">
      <w:pPr>
        <w:widowControl/>
        <w:ind w:firstLine="1285" w:firstLineChars="400"/>
        <w:jc w:val="left"/>
        <w:rPr>
          <w:rFonts w:hint="default" w:ascii="仿宋_GB2312" w:hAnsi="仿宋_GB2312" w:eastAsia="仿宋_GB2312" w:cs="仿宋_GB2312"/>
          <w:b/>
          <w:color w:val="auto"/>
          <w:sz w:val="32"/>
          <w:szCs w:val="36"/>
          <w:highlight w:val="none"/>
          <w:u w:val="single"/>
          <w:lang w:val="en-US" w:eastAsia="zh-CN"/>
        </w:rPr>
      </w:pPr>
      <w:r>
        <w:rPr>
          <w:rFonts w:hint="eastAsia" w:ascii="仿宋_GB2312" w:hAnsi="仿宋_GB2312" w:eastAsia="仿宋_GB2312" w:cs="仿宋_GB2312"/>
          <w:b/>
          <w:color w:val="auto"/>
          <w:sz w:val="32"/>
          <w:szCs w:val="36"/>
          <w:highlight w:val="none"/>
          <w:lang w:eastAsia="zh-CN"/>
        </w:rPr>
        <w:t>甲方</w:t>
      </w:r>
      <w:r>
        <w:rPr>
          <w:rFonts w:hint="eastAsia" w:ascii="仿宋_GB2312" w:hAnsi="仿宋_GB2312" w:eastAsia="仿宋_GB2312" w:cs="仿宋_GB2312"/>
          <w:b/>
          <w:color w:val="auto"/>
          <w:sz w:val="32"/>
          <w:szCs w:val="36"/>
          <w:highlight w:val="none"/>
        </w:rPr>
        <w:t>：</w:t>
      </w:r>
      <w:r>
        <w:rPr>
          <w:rFonts w:hint="eastAsia" w:ascii="仿宋_GB2312" w:hAnsi="仿宋_GB2312" w:eastAsia="仿宋_GB2312" w:cs="仿宋_GB2312"/>
          <w:b/>
          <w:color w:val="auto"/>
          <w:sz w:val="32"/>
          <w:szCs w:val="36"/>
          <w:highlight w:val="none"/>
          <w:u w:val="single"/>
          <w:lang w:val="en-US" w:eastAsia="zh-CN"/>
        </w:rPr>
        <w:t xml:space="preserve">                         </w:t>
      </w:r>
    </w:p>
    <w:p w14:paraId="7923E8FC">
      <w:pPr>
        <w:pStyle w:val="12"/>
        <w:rPr>
          <w:rFonts w:hint="eastAsia" w:ascii="仿宋_GB2312" w:hAnsi="仿宋_GB2312" w:eastAsia="仿宋_GB2312" w:cs="仿宋_GB2312"/>
          <w:color w:val="auto"/>
          <w:highlight w:val="none"/>
        </w:rPr>
      </w:pPr>
    </w:p>
    <w:p w14:paraId="7B68D4DE">
      <w:pPr>
        <w:tabs>
          <w:tab w:val="left" w:pos="7380"/>
        </w:tabs>
        <w:spacing w:line="360" w:lineRule="auto"/>
        <w:ind w:firstLine="1285" w:firstLineChars="400"/>
        <w:rPr>
          <w:rFonts w:hint="default" w:ascii="仿宋_GB2312" w:hAnsi="仿宋_GB2312" w:eastAsia="仿宋_GB2312" w:cs="仿宋_GB2312"/>
          <w:b/>
          <w:bCs/>
          <w:color w:val="auto"/>
          <w:sz w:val="40"/>
          <w:highlight w:val="none"/>
          <w:lang w:val="en-US"/>
        </w:rPr>
      </w:pPr>
      <w:r>
        <w:rPr>
          <w:rFonts w:hint="eastAsia" w:ascii="仿宋_GB2312" w:hAnsi="仿宋_GB2312" w:eastAsia="仿宋_GB2312" w:cs="仿宋_GB2312"/>
          <w:b/>
          <w:color w:val="auto"/>
          <w:sz w:val="32"/>
          <w:szCs w:val="36"/>
          <w:highlight w:val="none"/>
          <w:lang w:eastAsia="zh-CN"/>
        </w:rPr>
        <w:t>乙方</w:t>
      </w:r>
      <w:r>
        <w:rPr>
          <w:rFonts w:hint="eastAsia" w:ascii="仿宋_GB2312" w:hAnsi="仿宋_GB2312" w:eastAsia="仿宋_GB2312" w:cs="仿宋_GB2312"/>
          <w:b/>
          <w:color w:val="auto"/>
          <w:sz w:val="32"/>
          <w:szCs w:val="36"/>
          <w:highlight w:val="none"/>
        </w:rPr>
        <w:t>：</w:t>
      </w:r>
      <w:r>
        <w:rPr>
          <w:rFonts w:hint="eastAsia" w:ascii="仿宋_GB2312" w:hAnsi="仿宋_GB2312" w:eastAsia="仿宋_GB2312" w:cs="仿宋_GB2312"/>
          <w:b/>
          <w:color w:val="auto"/>
          <w:sz w:val="32"/>
          <w:szCs w:val="36"/>
          <w:highlight w:val="none"/>
          <w:u w:val="single"/>
          <w:lang w:val="en-US" w:eastAsia="zh-CN"/>
        </w:rPr>
        <w:t xml:space="preserve">                         </w:t>
      </w:r>
      <w:r>
        <w:rPr>
          <w:rFonts w:hint="eastAsia" w:ascii="仿宋_GB2312" w:hAnsi="仿宋_GB2312" w:eastAsia="仿宋_GB2312" w:cs="仿宋_GB2312"/>
          <w:b/>
          <w:color w:val="auto"/>
          <w:sz w:val="32"/>
          <w:szCs w:val="36"/>
          <w:highlight w:val="none"/>
          <w:lang w:val="en-US" w:eastAsia="zh-CN"/>
        </w:rPr>
        <w:t xml:space="preserve">             </w:t>
      </w:r>
    </w:p>
    <w:p w14:paraId="4CA76E0E">
      <w:pPr>
        <w:tabs>
          <w:tab w:val="left" w:pos="7380"/>
        </w:tabs>
        <w:spacing w:line="360" w:lineRule="auto"/>
        <w:rPr>
          <w:rFonts w:hint="eastAsia" w:ascii="仿宋_GB2312" w:hAnsi="仿宋_GB2312" w:eastAsia="仿宋_GB2312" w:cs="仿宋_GB2312"/>
          <w:b/>
          <w:bCs/>
          <w:color w:val="auto"/>
          <w:sz w:val="44"/>
          <w:highlight w:val="none"/>
        </w:rPr>
      </w:pPr>
    </w:p>
    <w:p w14:paraId="0DAD2F30">
      <w:pPr>
        <w:pStyle w:val="12"/>
        <w:rPr>
          <w:rFonts w:hint="eastAsia" w:ascii="仿宋_GB2312" w:hAnsi="仿宋_GB2312" w:eastAsia="仿宋_GB2312" w:cs="仿宋_GB2312"/>
          <w:color w:val="auto"/>
          <w:highlight w:val="none"/>
        </w:rPr>
      </w:pPr>
    </w:p>
    <w:p w14:paraId="48C0046F">
      <w:pPr>
        <w:pStyle w:val="12"/>
        <w:jc w:val="center"/>
        <w:rPr>
          <w:rFonts w:hint="eastAsia" w:ascii="仿宋_GB2312" w:hAnsi="仿宋_GB2312" w:eastAsia="仿宋_GB2312" w:cs="仿宋_GB2312"/>
          <w:b/>
          <w:color w:val="auto"/>
          <w:kern w:val="2"/>
          <w:sz w:val="32"/>
          <w:szCs w:val="36"/>
          <w:highlight w:val="none"/>
        </w:rPr>
      </w:pPr>
    </w:p>
    <w:p w14:paraId="5A0A32B8">
      <w:pPr>
        <w:pStyle w:val="12"/>
        <w:jc w:val="center"/>
        <w:rPr>
          <w:rFonts w:hint="eastAsia" w:ascii="仿宋_GB2312" w:hAnsi="仿宋_GB2312" w:eastAsia="仿宋_GB2312" w:cs="仿宋_GB2312"/>
          <w:b/>
          <w:color w:val="auto"/>
          <w:kern w:val="2"/>
          <w:sz w:val="32"/>
          <w:szCs w:val="36"/>
          <w:highlight w:val="none"/>
        </w:rPr>
      </w:pPr>
      <w:r>
        <w:rPr>
          <w:rFonts w:hint="eastAsia" w:ascii="仿宋_GB2312" w:hAnsi="仿宋_GB2312" w:eastAsia="仿宋_GB2312" w:cs="仿宋_GB2312"/>
          <w:b/>
          <w:color w:val="auto"/>
          <w:kern w:val="2"/>
          <w:sz w:val="32"/>
          <w:szCs w:val="36"/>
          <w:highlight w:val="none"/>
        </w:rPr>
        <w:t>202</w:t>
      </w:r>
      <w:r>
        <w:rPr>
          <w:rFonts w:hint="eastAsia" w:ascii="仿宋_GB2312" w:hAnsi="仿宋_GB2312" w:eastAsia="仿宋_GB2312" w:cs="仿宋_GB2312"/>
          <w:b/>
          <w:color w:val="auto"/>
          <w:kern w:val="2"/>
          <w:sz w:val="32"/>
          <w:szCs w:val="36"/>
          <w:highlight w:val="none"/>
          <w:lang w:val="en-US" w:eastAsia="zh-CN"/>
        </w:rPr>
        <w:t>6</w:t>
      </w:r>
      <w:r>
        <w:rPr>
          <w:rFonts w:hint="eastAsia" w:ascii="仿宋_GB2312" w:hAnsi="仿宋_GB2312" w:eastAsia="仿宋_GB2312" w:cs="仿宋_GB2312"/>
          <w:b/>
          <w:color w:val="auto"/>
          <w:kern w:val="2"/>
          <w:sz w:val="32"/>
          <w:szCs w:val="36"/>
          <w:highlight w:val="none"/>
        </w:rPr>
        <w:t>年</w:t>
      </w:r>
      <w:r>
        <w:rPr>
          <w:rFonts w:hint="eastAsia" w:ascii="仿宋_GB2312" w:hAnsi="仿宋_GB2312" w:eastAsia="仿宋_GB2312" w:cs="仿宋_GB2312"/>
          <w:b/>
          <w:color w:val="auto"/>
          <w:kern w:val="2"/>
          <w:sz w:val="32"/>
          <w:szCs w:val="36"/>
          <w:highlight w:val="none"/>
          <w:lang w:val="en-US" w:eastAsia="zh-CN"/>
        </w:rPr>
        <w:t xml:space="preserve">  </w:t>
      </w:r>
      <w:r>
        <w:rPr>
          <w:rFonts w:hint="eastAsia" w:ascii="仿宋_GB2312" w:hAnsi="仿宋_GB2312" w:eastAsia="仿宋_GB2312" w:cs="仿宋_GB2312"/>
          <w:b/>
          <w:color w:val="auto"/>
          <w:kern w:val="2"/>
          <w:sz w:val="32"/>
          <w:szCs w:val="36"/>
          <w:highlight w:val="none"/>
        </w:rPr>
        <w:t>月</w:t>
      </w:r>
    </w:p>
    <w:p w14:paraId="0453C005">
      <w:pPr>
        <w:tabs>
          <w:tab w:val="left" w:pos="7380"/>
        </w:tabs>
        <w:spacing w:line="360" w:lineRule="auto"/>
        <w:jc w:val="center"/>
        <w:rPr>
          <w:rFonts w:hint="eastAsia" w:ascii="仿宋_GB2312" w:hAnsi="仿宋_GB2312" w:eastAsia="仿宋_GB2312" w:cs="仿宋_GB2312"/>
          <w:b/>
          <w:bCs/>
          <w:color w:val="auto"/>
          <w:sz w:val="44"/>
          <w:highlight w:val="none"/>
        </w:rPr>
      </w:pPr>
      <w:r>
        <w:rPr>
          <w:rFonts w:hint="eastAsia" w:ascii="仿宋_GB2312" w:hAnsi="仿宋_GB2312" w:eastAsia="仿宋_GB2312" w:cs="仿宋_GB2312"/>
          <w:b/>
          <w:bCs/>
          <w:color w:val="auto"/>
          <w:sz w:val="44"/>
          <w:highlight w:val="none"/>
        </w:rPr>
        <w:br w:type="page"/>
      </w:r>
      <w:r>
        <w:rPr>
          <w:rFonts w:hint="eastAsia" w:ascii="仿宋_GB2312" w:hAnsi="仿宋_GB2312" w:eastAsia="仿宋_GB2312" w:cs="仿宋_GB2312"/>
          <w:b/>
          <w:color w:val="auto"/>
          <w:sz w:val="36"/>
          <w:szCs w:val="36"/>
          <w:highlight w:val="none"/>
        </w:rPr>
        <w:t>目  录</w:t>
      </w:r>
    </w:p>
    <w:p w14:paraId="26E8735D">
      <w:pPr>
        <w:tabs>
          <w:tab w:val="left" w:pos="1170"/>
        </w:tabs>
        <w:spacing w:line="360" w:lineRule="auto"/>
        <w:ind w:left="359" w:leftChars="171" w:firstLine="198" w:firstLineChars="71"/>
        <w:rPr>
          <w:rFonts w:hint="eastAsia" w:ascii="仿宋_GB2312" w:hAnsi="仿宋_GB2312" w:eastAsia="仿宋_GB2312" w:cs="仿宋_GB2312"/>
          <w:color w:val="auto"/>
          <w:sz w:val="28"/>
          <w:highlight w:val="none"/>
        </w:rPr>
      </w:pPr>
      <w:r>
        <w:rPr>
          <w:rFonts w:hint="eastAsia" w:ascii="仿宋_GB2312" w:hAnsi="仿宋_GB2312" w:eastAsia="仿宋_GB2312" w:cs="仿宋_GB2312"/>
          <w:color w:val="auto"/>
          <w:sz w:val="28"/>
          <w:highlight w:val="none"/>
        </w:rPr>
        <w:tab/>
      </w:r>
    </w:p>
    <w:p w14:paraId="540EB2C4">
      <w:pPr>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一、政府采购合同书</w:t>
      </w:r>
    </w:p>
    <w:p w14:paraId="4EF29DE4">
      <w:pPr>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二、合同附件</w:t>
      </w:r>
    </w:p>
    <w:p w14:paraId="6CFA74BC">
      <w:pPr>
        <w:pStyle w:val="11"/>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中标</w:t>
      </w:r>
      <w:r>
        <w:rPr>
          <w:rFonts w:hint="eastAsia" w:ascii="仿宋_GB2312" w:hAnsi="仿宋_GB2312" w:eastAsia="仿宋_GB2312" w:cs="仿宋_GB2312"/>
          <w:color w:val="auto"/>
          <w:sz w:val="28"/>
          <w:szCs w:val="28"/>
          <w:highlight w:val="none"/>
        </w:rPr>
        <w:t>通知书</w:t>
      </w:r>
    </w:p>
    <w:p w14:paraId="6CD4E704">
      <w:pPr>
        <w:pStyle w:val="11"/>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val="en-US" w:eastAsia="zh-CN"/>
        </w:rPr>
        <w:t>采购</w:t>
      </w:r>
      <w:r>
        <w:rPr>
          <w:rFonts w:hint="eastAsia" w:ascii="仿宋_GB2312" w:hAnsi="仿宋_GB2312" w:eastAsia="仿宋_GB2312" w:cs="仿宋_GB2312"/>
          <w:color w:val="auto"/>
          <w:sz w:val="28"/>
          <w:szCs w:val="28"/>
          <w:highlight w:val="none"/>
        </w:rPr>
        <w:t>需求表</w:t>
      </w:r>
    </w:p>
    <w:p w14:paraId="764C83E6">
      <w:pPr>
        <w:spacing w:line="240" w:lineRule="auto"/>
        <w:ind w:firstLine="560" w:firstLineChars="200"/>
        <w:rPr>
          <w:rFonts w:hint="default" w:ascii="仿宋_GB2312" w:hAnsi="仿宋_GB2312" w:eastAsia="仿宋_GB2312" w:cs="仿宋_GB2312"/>
          <w:color w:val="auto"/>
          <w:sz w:val="28"/>
          <w:szCs w:val="28"/>
          <w:highlight w:val="none"/>
          <w:lang w:val="en-US"/>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投标函</w:t>
      </w:r>
    </w:p>
    <w:p w14:paraId="2D106592">
      <w:pPr>
        <w:pStyle w:val="11"/>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val="en-US" w:eastAsia="zh-CN"/>
        </w:rPr>
        <w:t>开标一览</w:t>
      </w:r>
      <w:r>
        <w:rPr>
          <w:rFonts w:hint="eastAsia" w:ascii="仿宋_GB2312" w:hAnsi="仿宋_GB2312" w:eastAsia="仿宋_GB2312" w:cs="仿宋_GB2312"/>
          <w:color w:val="auto"/>
          <w:sz w:val="28"/>
          <w:szCs w:val="28"/>
          <w:highlight w:val="none"/>
        </w:rPr>
        <w:t>表</w:t>
      </w:r>
    </w:p>
    <w:p w14:paraId="0F92C58B">
      <w:pPr>
        <w:pStyle w:val="11"/>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val="en-US" w:eastAsia="zh-CN"/>
        </w:rPr>
        <w:t>项目要求及技术服务要求条款偏离</w:t>
      </w:r>
      <w:r>
        <w:rPr>
          <w:rFonts w:hint="eastAsia" w:ascii="仿宋_GB2312" w:hAnsi="仿宋_GB2312" w:eastAsia="仿宋_GB2312" w:cs="仿宋_GB2312"/>
          <w:color w:val="auto"/>
          <w:sz w:val="28"/>
          <w:szCs w:val="28"/>
          <w:highlight w:val="none"/>
        </w:rPr>
        <w:t>表</w:t>
      </w:r>
    </w:p>
    <w:p w14:paraId="331FDBF6">
      <w:pPr>
        <w:pStyle w:val="11"/>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6、商务条款偏离表</w:t>
      </w:r>
    </w:p>
    <w:p w14:paraId="4C7C0DB8">
      <w:pPr>
        <w:pStyle w:val="11"/>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7、开标一览表</w:t>
      </w:r>
      <w:r>
        <w:rPr>
          <w:rFonts w:hint="eastAsia" w:ascii="仿宋_GB2312" w:hAnsi="仿宋_GB2312" w:eastAsia="仿宋_GB2312" w:cs="仿宋_GB2312"/>
          <w:color w:val="auto"/>
          <w:sz w:val="28"/>
          <w:szCs w:val="28"/>
          <w:highlight w:val="none"/>
          <w:lang w:val="en-US" w:eastAsia="zh-CN"/>
        </w:rPr>
        <w:t>附件</w:t>
      </w:r>
    </w:p>
    <w:p w14:paraId="6BDAD4AE">
      <w:pPr>
        <w:rPr>
          <w:rFonts w:hint="eastAsia" w:ascii="仿宋_GB2312" w:hAnsi="仿宋_GB2312" w:eastAsia="仿宋_GB2312" w:cs="仿宋_GB2312"/>
          <w:b/>
          <w:color w:val="auto"/>
          <w:sz w:val="30"/>
          <w:szCs w:val="30"/>
          <w:highlight w:val="none"/>
        </w:rPr>
      </w:pPr>
    </w:p>
    <w:p w14:paraId="239927AF">
      <w:pPr>
        <w:spacing w:line="360" w:lineRule="auto"/>
        <w:jc w:val="center"/>
        <w:rPr>
          <w:rFonts w:hint="eastAsia" w:ascii="仿宋_GB2312" w:hAnsi="仿宋_GB2312" w:eastAsia="仿宋_GB2312" w:cs="仿宋_GB2312"/>
          <w:b/>
          <w:bCs/>
          <w:color w:val="auto"/>
          <w:sz w:val="28"/>
          <w:highlight w:val="none"/>
        </w:rPr>
      </w:pPr>
    </w:p>
    <w:p w14:paraId="09DA13EE">
      <w:pPr>
        <w:spacing w:line="360" w:lineRule="auto"/>
        <w:jc w:val="center"/>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bCs/>
          <w:color w:val="auto"/>
          <w:sz w:val="28"/>
          <w:highlight w:val="none"/>
        </w:rPr>
        <w:br w:type="page"/>
      </w:r>
      <w:r>
        <w:rPr>
          <w:rFonts w:hint="eastAsia" w:ascii="仿宋_GB2312" w:hAnsi="仿宋_GB2312" w:eastAsia="仿宋_GB2312" w:cs="仿宋_GB2312"/>
          <w:b/>
          <w:color w:val="auto"/>
          <w:sz w:val="30"/>
          <w:szCs w:val="30"/>
          <w:highlight w:val="none"/>
        </w:rPr>
        <w:t>政府采购合同书</w:t>
      </w:r>
    </w:p>
    <w:p w14:paraId="5E710767">
      <w:pPr>
        <w:pStyle w:val="11"/>
        <w:spacing w:line="360" w:lineRule="auto"/>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rPr>
        <w:t>项目名称：</w:t>
      </w:r>
      <w:r>
        <w:rPr>
          <w:rFonts w:hint="eastAsia" w:ascii="仿宋_GB2312" w:hAnsi="仿宋_GB2312" w:eastAsia="仿宋_GB2312" w:cs="仿宋_GB2312"/>
          <w:color w:val="auto"/>
          <w:sz w:val="24"/>
          <w:szCs w:val="24"/>
          <w:highlight w:val="none"/>
          <w:u w:val="single"/>
          <w:lang w:val="en-US" w:eastAsia="zh-CN"/>
        </w:rPr>
        <w:t xml:space="preserve">               </w:t>
      </w:r>
    </w:p>
    <w:p w14:paraId="43182AF7">
      <w:pPr>
        <w:pStyle w:val="12"/>
        <w:spacing w:line="360" w:lineRule="auto"/>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rPr>
        <w:t>项目编号：</w:t>
      </w:r>
      <w:r>
        <w:rPr>
          <w:rFonts w:hint="eastAsia" w:ascii="仿宋_GB2312" w:hAnsi="仿宋_GB2312" w:eastAsia="仿宋_GB2312" w:cs="仿宋_GB2312"/>
          <w:color w:val="auto"/>
          <w:sz w:val="24"/>
          <w:szCs w:val="24"/>
          <w:highlight w:val="none"/>
          <w:u w:val="single"/>
          <w:lang w:val="en-US" w:eastAsia="zh-CN"/>
        </w:rPr>
        <w:t xml:space="preserve">               </w:t>
      </w:r>
    </w:p>
    <w:p w14:paraId="3A7ED99F">
      <w:pPr>
        <w:spacing w:line="450" w:lineRule="exact"/>
        <w:rPr>
          <w:rFonts w:hint="default" w:ascii="仿宋_GB2312" w:hAnsi="仿宋_GB2312" w:eastAsia="仿宋_GB2312" w:cs="仿宋_GB2312"/>
          <w:color w:val="auto"/>
          <w:sz w:val="24"/>
          <w:highlight w:val="none"/>
          <w:u w:val="single"/>
          <w:lang w:val="en-US" w:eastAsia="zh-CN"/>
        </w:rPr>
      </w:pPr>
      <w:r>
        <w:rPr>
          <w:rFonts w:hint="eastAsia" w:ascii="仿宋_GB2312" w:hAnsi="仿宋_GB2312" w:eastAsia="仿宋_GB2312" w:cs="仿宋_GB2312"/>
          <w:color w:val="auto"/>
          <w:sz w:val="24"/>
          <w:highlight w:val="none"/>
        </w:rPr>
        <w:t>分标号（有分标时填写）：</w:t>
      </w:r>
      <w:r>
        <w:rPr>
          <w:rFonts w:hint="eastAsia" w:ascii="仿宋_GB2312" w:hAnsi="仿宋_GB2312" w:eastAsia="仿宋_GB2312" w:cs="仿宋_GB2312"/>
          <w:color w:val="auto"/>
          <w:sz w:val="24"/>
          <w:highlight w:val="none"/>
          <w:u w:val="single"/>
          <w:lang w:val="en-US" w:eastAsia="zh-CN"/>
        </w:rPr>
        <w:t xml:space="preserve">  </w:t>
      </w:r>
    </w:p>
    <w:p w14:paraId="4DABEE57">
      <w:pPr>
        <w:pStyle w:val="11"/>
        <w:spacing w:line="360" w:lineRule="auto"/>
        <w:rPr>
          <w:rFonts w:hint="eastAsia" w:ascii="仿宋_GB2312" w:hAnsi="仿宋_GB2312" w:eastAsia="仿宋_GB2312" w:cs="仿宋_GB2312"/>
          <w:color w:val="auto"/>
          <w:sz w:val="24"/>
          <w:szCs w:val="24"/>
          <w:highlight w:val="none"/>
        </w:rPr>
      </w:pPr>
    </w:p>
    <w:p w14:paraId="640EDCFA">
      <w:pPr>
        <w:pStyle w:val="11"/>
        <w:spacing w:line="360" w:lineRule="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rPr>
        <w:t>甲方（买方）：</w:t>
      </w:r>
      <w:r>
        <w:rPr>
          <w:rFonts w:hint="eastAsia" w:ascii="仿宋_GB2312" w:hAnsi="仿宋_GB2312" w:eastAsia="仿宋_GB2312" w:cs="仿宋_GB2312"/>
          <w:color w:val="auto"/>
          <w:sz w:val="24"/>
          <w:szCs w:val="24"/>
          <w:highlight w:val="none"/>
          <w:u w:val="single"/>
          <w:lang w:val="en-US" w:eastAsia="zh-CN"/>
        </w:rPr>
        <w:t xml:space="preserve">                  </w:t>
      </w:r>
    </w:p>
    <w:p w14:paraId="09AC6706">
      <w:pPr>
        <w:pStyle w:val="11"/>
        <w:spacing w:line="360" w:lineRule="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乙方（卖方）：</w:t>
      </w:r>
      <w:r>
        <w:rPr>
          <w:rFonts w:hint="eastAsia" w:ascii="仿宋_GB2312" w:hAnsi="仿宋_GB2312" w:eastAsia="仿宋_GB2312" w:cs="仿宋_GB2312"/>
          <w:color w:val="auto"/>
          <w:sz w:val="24"/>
          <w:szCs w:val="24"/>
          <w:highlight w:val="none"/>
          <w:u w:val="single"/>
          <w:lang w:val="en-US" w:eastAsia="zh-CN"/>
        </w:rPr>
        <w:t xml:space="preserve">                  </w:t>
      </w:r>
    </w:p>
    <w:p w14:paraId="48DE3E78">
      <w:pPr>
        <w:pStyle w:val="11"/>
        <w:spacing w:line="360" w:lineRule="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 xml:space="preserve">    </w:t>
      </w:r>
    </w:p>
    <w:p w14:paraId="37AA8DDB">
      <w:pPr>
        <w:pStyle w:val="11"/>
        <w:spacing w:line="360" w:lineRule="auto"/>
        <w:ind w:firstLine="480"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color w:val="auto"/>
          <w:sz w:val="24"/>
          <w:szCs w:val="24"/>
          <w:highlight w:val="none"/>
        </w:rPr>
        <w:t>根据</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项目的采购结果，甲方接受乙方对本项目的</w:t>
      </w:r>
      <w:r>
        <w:rPr>
          <w:rFonts w:hint="eastAsia" w:ascii="仿宋_GB2312" w:hAnsi="仿宋_GB2312" w:eastAsia="仿宋_GB2312" w:cs="仿宋_GB2312"/>
          <w:color w:val="auto"/>
          <w:sz w:val="24"/>
          <w:szCs w:val="24"/>
          <w:highlight w:val="none"/>
          <w:lang w:eastAsia="zh-CN"/>
        </w:rPr>
        <w:t>响应</w:t>
      </w:r>
      <w:r>
        <w:rPr>
          <w:rFonts w:hint="eastAsia" w:ascii="仿宋_GB2312" w:hAnsi="仿宋_GB2312" w:eastAsia="仿宋_GB2312" w:cs="仿宋_GB2312"/>
          <w:color w:val="auto"/>
          <w:sz w:val="24"/>
          <w:szCs w:val="24"/>
          <w:highlight w:val="none"/>
        </w:rPr>
        <w:t>，甲、乙双方同意签署本合同（以下简称合同）。</w:t>
      </w:r>
    </w:p>
    <w:p w14:paraId="67F5F6D6">
      <w:pPr>
        <w:pStyle w:val="11"/>
        <w:spacing w:line="360" w:lineRule="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1.  采购内容</w:t>
      </w:r>
    </w:p>
    <w:p w14:paraId="2FE2DD79">
      <w:pPr>
        <w:pStyle w:val="11"/>
        <w:tabs>
          <w:tab w:val="left" w:pos="5220"/>
        </w:tabs>
        <w:spacing w:line="360" w:lineRule="auto"/>
        <w:ind w:firstLine="480" w:firstLineChars="200"/>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rPr>
        <w:t>1.1 服务名称：</w:t>
      </w:r>
      <w:r>
        <w:rPr>
          <w:rFonts w:hint="eastAsia" w:ascii="仿宋_GB2312" w:hAnsi="仿宋_GB2312" w:eastAsia="仿宋_GB2312" w:cs="仿宋_GB2312"/>
          <w:color w:val="auto"/>
          <w:sz w:val="24"/>
          <w:szCs w:val="24"/>
          <w:highlight w:val="none"/>
          <w:u w:val="single"/>
          <w:lang w:val="en-US" w:eastAsia="zh-CN"/>
        </w:rPr>
        <w:t xml:space="preserve">              </w:t>
      </w:r>
    </w:p>
    <w:p w14:paraId="097890A4">
      <w:pPr>
        <w:pStyle w:val="11"/>
        <w:tabs>
          <w:tab w:val="left" w:pos="5220"/>
        </w:tabs>
        <w:spacing w:line="360" w:lineRule="auto"/>
        <w:ind w:firstLine="480" w:firstLineChars="200"/>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rPr>
        <w:t>1.2 数量：</w:t>
      </w:r>
      <w:r>
        <w:rPr>
          <w:rFonts w:hint="eastAsia" w:ascii="仿宋_GB2312" w:hAnsi="仿宋_GB2312" w:eastAsia="仿宋_GB2312" w:cs="仿宋_GB2312"/>
          <w:color w:val="auto"/>
          <w:sz w:val="24"/>
          <w:szCs w:val="24"/>
          <w:highlight w:val="none"/>
          <w:u w:val="single"/>
          <w:lang w:val="en-US" w:eastAsia="zh-CN"/>
        </w:rPr>
        <w:t xml:space="preserve">               </w:t>
      </w:r>
    </w:p>
    <w:p w14:paraId="3F3644E7">
      <w:pPr>
        <w:pStyle w:val="11"/>
        <w:tabs>
          <w:tab w:val="left" w:pos="5220"/>
        </w:tabs>
        <w:spacing w:line="360" w:lineRule="auto"/>
        <w:ind w:firstLine="480" w:firstLineChars="200"/>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rPr>
        <w:t>1.2 服务内容：</w:t>
      </w:r>
      <w:r>
        <w:rPr>
          <w:rFonts w:hint="eastAsia" w:ascii="仿宋_GB2312" w:hAnsi="仿宋_GB2312" w:eastAsia="仿宋_GB2312" w:cs="仿宋_GB2312"/>
          <w:color w:val="auto"/>
          <w:sz w:val="24"/>
          <w:szCs w:val="24"/>
          <w:highlight w:val="none"/>
          <w:u w:val="single"/>
          <w:lang w:val="en-US" w:eastAsia="zh-CN"/>
        </w:rPr>
        <w:t xml:space="preserve">             </w:t>
      </w:r>
    </w:p>
    <w:p w14:paraId="3C8906F9">
      <w:pPr>
        <w:pStyle w:val="11"/>
        <w:tabs>
          <w:tab w:val="left" w:pos="5145"/>
        </w:tabs>
        <w:spacing w:line="360" w:lineRule="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2.  合同金额</w:t>
      </w:r>
    </w:p>
    <w:p w14:paraId="2587609B">
      <w:pPr>
        <w:pStyle w:val="11"/>
        <w:spacing w:line="360" w:lineRule="auto"/>
        <w:ind w:firstLine="470" w:firstLineChars="196"/>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2.1 本合同金额为（大写）人民币</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元整（￥</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元）。（详见投标报价表）</w:t>
      </w:r>
    </w:p>
    <w:p w14:paraId="67EDE4CC">
      <w:pPr>
        <w:pStyle w:val="11"/>
        <w:tabs>
          <w:tab w:val="left" w:pos="5940"/>
        </w:tabs>
        <w:spacing w:line="360" w:lineRule="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3.  提交服务成果时间和地点</w:t>
      </w:r>
    </w:p>
    <w:p w14:paraId="74558D81">
      <w:pPr>
        <w:pStyle w:val="11"/>
        <w:tabs>
          <w:tab w:val="left" w:pos="5250"/>
          <w:tab w:val="left" w:pos="5940"/>
        </w:tabs>
        <w:snapToGrid w:val="0"/>
        <w:spacing w:line="360" w:lineRule="auto"/>
        <w:ind w:firstLine="470" w:firstLineChars="196"/>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 交付使用时间：</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 xml:space="preserve">。        </w:t>
      </w:r>
    </w:p>
    <w:p w14:paraId="2D9CDC4E">
      <w:pPr>
        <w:pStyle w:val="11"/>
        <w:tabs>
          <w:tab w:val="left" w:pos="5250"/>
          <w:tab w:val="left" w:pos="5940"/>
        </w:tabs>
        <w:snapToGrid w:val="0"/>
        <w:spacing w:line="360" w:lineRule="auto"/>
        <w:ind w:firstLine="470" w:firstLineChars="196"/>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3.2 服务期限：</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 xml:space="preserve">。 </w:t>
      </w:r>
      <w:r>
        <w:rPr>
          <w:rFonts w:hint="eastAsia" w:ascii="仿宋_GB2312" w:hAnsi="仿宋_GB2312" w:eastAsia="仿宋_GB2312" w:cs="仿宋_GB2312"/>
          <w:color w:val="auto"/>
          <w:sz w:val="24"/>
          <w:szCs w:val="24"/>
          <w:highlight w:val="none"/>
        </w:rPr>
        <w:t xml:space="preserve">                 </w:t>
      </w:r>
    </w:p>
    <w:p w14:paraId="221DAB87">
      <w:pPr>
        <w:pStyle w:val="11"/>
        <w:tabs>
          <w:tab w:val="left" w:pos="5250"/>
          <w:tab w:val="left" w:pos="5940"/>
        </w:tabs>
        <w:snapToGrid w:val="0"/>
        <w:spacing w:line="360" w:lineRule="auto"/>
        <w:ind w:firstLine="470" w:firstLineChars="196"/>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3.3 提交服务成果地点： </w:t>
      </w:r>
      <w:r>
        <w:rPr>
          <w:rFonts w:hint="eastAsia" w:ascii="仿宋_GB2312" w:hAnsi="仿宋_GB2312" w:eastAsia="仿宋_GB2312" w:cs="仿宋_GB2312"/>
          <w:color w:val="auto"/>
          <w:sz w:val="24"/>
          <w:szCs w:val="24"/>
          <w:highlight w:val="none"/>
          <w:u w:val="single"/>
        </w:rPr>
        <w:t>广西雅长兰科植物国家级自然保护区管理中心指定地点。</w:t>
      </w:r>
      <w:r>
        <w:rPr>
          <w:rFonts w:hint="eastAsia" w:ascii="仿宋_GB2312" w:hAnsi="仿宋_GB2312" w:eastAsia="仿宋_GB2312" w:cs="仿宋_GB2312"/>
          <w:color w:val="auto"/>
          <w:sz w:val="24"/>
          <w:szCs w:val="24"/>
          <w:highlight w:val="none"/>
        </w:rPr>
        <w:t xml:space="preserve">                       </w:t>
      </w:r>
    </w:p>
    <w:p w14:paraId="77C895A1">
      <w:pPr>
        <w:pStyle w:val="11"/>
        <w:tabs>
          <w:tab w:val="left" w:pos="5250"/>
          <w:tab w:val="left" w:pos="5940"/>
        </w:tabs>
        <w:snapToGrid w:val="0"/>
        <w:spacing w:line="360" w:lineRule="auto"/>
        <w:ind w:firstLine="470" w:firstLineChars="196"/>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3.4 乙方必须按</w:t>
      </w:r>
      <w:r>
        <w:rPr>
          <w:rFonts w:hint="eastAsia" w:ascii="仿宋_GB2312" w:hAnsi="仿宋_GB2312" w:eastAsia="仿宋_GB2312" w:cs="仿宋_GB2312"/>
          <w:color w:val="auto"/>
          <w:sz w:val="24"/>
          <w:szCs w:val="24"/>
          <w:highlight w:val="none"/>
          <w:lang w:eastAsia="zh-CN"/>
        </w:rPr>
        <w:t>投标文件</w:t>
      </w:r>
      <w:r>
        <w:rPr>
          <w:rFonts w:hint="eastAsia" w:ascii="仿宋_GB2312" w:hAnsi="仿宋_GB2312" w:eastAsia="仿宋_GB2312" w:cs="仿宋_GB2312"/>
          <w:color w:val="auto"/>
          <w:sz w:val="24"/>
          <w:szCs w:val="24"/>
          <w:highlight w:val="none"/>
        </w:rPr>
        <w:t>承诺的服务响应条款向甲方提供服务。</w:t>
      </w:r>
      <w:r>
        <w:rPr>
          <w:rFonts w:hint="eastAsia" w:ascii="仿宋_GB2312" w:hAnsi="仿宋_GB2312" w:eastAsia="仿宋_GB2312" w:cs="仿宋_GB2312"/>
          <w:color w:val="auto"/>
          <w:sz w:val="24"/>
          <w:szCs w:val="24"/>
          <w:highlight w:val="none"/>
          <w:lang w:val="en-US" w:eastAsia="zh-CN"/>
        </w:rPr>
        <w:t>若因不可抗拒因素或特殊原因导致需要延长施工期的，需书面向甲方提出申请，甲方同意后方可延期交付，否则视为违约，按照本合同第10.3条处置。</w:t>
      </w:r>
    </w:p>
    <w:p w14:paraId="1B7455C9">
      <w:pPr>
        <w:pStyle w:val="11"/>
        <w:spacing w:line="360" w:lineRule="auto"/>
        <w:ind w:left="410" w:hanging="410" w:hangingChars="17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4.  履约保证金</w:t>
      </w:r>
    </w:p>
    <w:p w14:paraId="772C99AF">
      <w:pPr>
        <w:pStyle w:val="11"/>
        <w:snapToGrid w:val="0"/>
        <w:spacing w:line="360" w:lineRule="auto"/>
        <w:ind w:left="315" w:leftChars="15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本项目收取履约保证金</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具体详见采购文件“供应商须知前附表”</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乙方</w:t>
      </w:r>
    </w:p>
    <w:p w14:paraId="2CBBDDF4">
      <w:pPr>
        <w:pStyle w:val="11"/>
        <w:snapToGrid w:val="0"/>
        <w:spacing w:line="360" w:lineRule="auto"/>
        <w:ind w:left="0" w:left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完成项目实施并通过甲方验收，且约定服务期满后，甲方退还履约保证金。</w:t>
      </w:r>
    </w:p>
    <w:p w14:paraId="6C7CAA1A">
      <w:pPr>
        <w:pStyle w:val="11"/>
        <w:numPr>
          <w:ilvl w:val="0"/>
          <w:numId w:val="4"/>
        </w:numPr>
        <w:spacing w:line="360" w:lineRule="auto"/>
        <w:ind w:left="412" w:hanging="412" w:hangingChars="171"/>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 xml:space="preserve"> 产权</w:t>
      </w:r>
    </w:p>
    <w:p w14:paraId="2031E2B8">
      <w:pPr>
        <w:pStyle w:val="11"/>
        <w:snapToGrid/>
        <w:spacing w:line="360" w:lineRule="auto"/>
        <w:ind w:left="412" w:hanging="412" w:hangingChars="171"/>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乙方应保证所提供的服务或其任何一部分均不会侵犯任何第三方的专利权、商标权或著作权</w:t>
      </w:r>
      <w:r>
        <w:rPr>
          <w:rFonts w:hint="eastAsia" w:ascii="仿宋_GB2312" w:hAnsi="仿宋_GB2312" w:eastAsia="仿宋_GB2312" w:cs="仿宋_GB2312"/>
          <w:bCs/>
          <w:color w:val="auto"/>
          <w:sz w:val="24"/>
          <w:szCs w:val="24"/>
          <w:highlight w:val="none"/>
        </w:rPr>
        <w:t>。</w:t>
      </w:r>
    </w:p>
    <w:p w14:paraId="72B4AC68">
      <w:pPr>
        <w:pStyle w:val="11"/>
        <w:spacing w:line="360" w:lineRule="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bCs/>
          <w:color w:val="auto"/>
          <w:sz w:val="24"/>
          <w:szCs w:val="24"/>
          <w:highlight w:val="none"/>
        </w:rPr>
        <w:t>6.  技术资料</w:t>
      </w:r>
    </w:p>
    <w:p w14:paraId="6951CC7C">
      <w:pPr>
        <w:pStyle w:val="11"/>
        <w:tabs>
          <w:tab w:val="left" w:pos="0"/>
        </w:tabs>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6.1 甲方应向乙方提供提交服务成果所必需的有关数据、资料等。</w:t>
      </w:r>
    </w:p>
    <w:p w14:paraId="6F92F103">
      <w:pPr>
        <w:pStyle w:val="11"/>
        <w:tabs>
          <w:tab w:val="left" w:pos="0"/>
        </w:tabs>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0166CB1D">
      <w:pPr>
        <w:pStyle w:val="11"/>
        <w:spacing w:line="360" w:lineRule="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7.  验收</w:t>
      </w:r>
    </w:p>
    <w:p w14:paraId="4BEFA12B">
      <w:pPr>
        <w:pStyle w:val="11"/>
        <w:tabs>
          <w:tab w:val="left" w:pos="0"/>
        </w:tabs>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7.1 乙方应对提交的服务成果作出全面检查和整理，并列出清单，作为甲方验收和使用的技术条件依据，清单应随提交的服务成果交给甲方。</w:t>
      </w:r>
    </w:p>
    <w:p w14:paraId="3EB09225">
      <w:pPr>
        <w:pStyle w:val="11"/>
        <w:tabs>
          <w:tab w:val="left" w:pos="0"/>
        </w:tabs>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7.2 乙方在指定地点提交服务成果后，甲方应在五个工作日内依据招标文件、乙方的投标文件等组织验收，验收完毕后作出书面验收报告。验收时乙方必须在现场。</w:t>
      </w:r>
    </w:p>
    <w:p w14:paraId="3C2DF61E">
      <w:pPr>
        <w:pStyle w:val="11"/>
        <w:tabs>
          <w:tab w:val="left" w:pos="0"/>
        </w:tabs>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7.3 对复杂的服务，甲方可请国家认可的专业机构参与验收，并由其出具验收报告，相关费用由甲方承担。</w:t>
      </w:r>
    </w:p>
    <w:p w14:paraId="05F9B445">
      <w:pPr>
        <w:pStyle w:val="11"/>
        <w:spacing w:line="360" w:lineRule="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8.  合同款支付</w:t>
      </w:r>
    </w:p>
    <w:p w14:paraId="0D3C9092">
      <w:pPr>
        <w:pStyle w:val="12"/>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bCs/>
          <w:color w:val="auto"/>
          <w:sz w:val="24"/>
          <w:highlight w:val="none"/>
        </w:rPr>
        <w:t>8.1 付款方</w:t>
      </w:r>
      <w:r>
        <w:rPr>
          <w:rFonts w:hint="eastAsia" w:ascii="仿宋_GB2312" w:hAnsi="仿宋_GB2312" w:eastAsia="仿宋_GB2312" w:cs="仿宋_GB2312"/>
          <w:color w:val="auto"/>
          <w:sz w:val="24"/>
          <w:highlight w:val="none"/>
        </w:rPr>
        <w:t>式：</w:t>
      </w:r>
    </w:p>
    <w:p w14:paraId="3D126F81">
      <w:pPr>
        <w:shd w:val="clear" w:color="auto" w:fill="auto"/>
        <w:tabs>
          <w:tab w:val="left" w:pos="2101"/>
        </w:tabs>
        <w:snapToGrid w:val="0"/>
        <w:spacing w:line="360" w:lineRule="auto"/>
        <w:ind w:firstLine="480" w:firstLineChars="200"/>
        <w:rPr>
          <w:rFonts w:hint="eastAsia" w:ascii="仿宋_GB2312" w:hAnsi="仿宋_GB2312" w:eastAsia="仿宋_GB2312" w:cs="仿宋_GB2312"/>
          <w:color w:val="auto"/>
          <w:sz w:val="24"/>
          <w:szCs w:val="21"/>
          <w:highlight w:val="none"/>
          <w:lang w:eastAsia="zh-CN"/>
        </w:rPr>
      </w:pPr>
      <w:r>
        <w:rPr>
          <w:rFonts w:hint="eastAsia" w:ascii="仿宋_GB2312" w:hAnsi="仿宋_GB2312" w:eastAsia="仿宋_GB2312" w:cs="仿宋_GB2312"/>
          <w:color w:val="auto"/>
          <w:sz w:val="24"/>
          <w:szCs w:val="21"/>
          <w:highlight w:val="none"/>
          <w:lang w:eastAsia="zh-CN"/>
        </w:rPr>
        <w:t>（1）第一次支付：合同签订后</w:t>
      </w:r>
      <w:r>
        <w:rPr>
          <w:rFonts w:hint="eastAsia" w:ascii="仿宋_GB2312" w:hAnsi="仿宋_GB2312" w:eastAsia="仿宋_GB2312" w:cs="仿宋_GB2312"/>
          <w:color w:val="auto"/>
          <w:sz w:val="24"/>
          <w:szCs w:val="21"/>
          <w:highlight w:val="none"/>
          <w:lang w:val="en-US" w:eastAsia="zh-CN"/>
        </w:rPr>
        <w:t>5</w:t>
      </w:r>
      <w:r>
        <w:rPr>
          <w:rFonts w:hint="eastAsia" w:ascii="仿宋_GB2312" w:hAnsi="仿宋_GB2312" w:eastAsia="仿宋_GB2312" w:cs="仿宋_GB2312"/>
          <w:color w:val="auto"/>
          <w:sz w:val="24"/>
          <w:szCs w:val="21"/>
          <w:highlight w:val="none"/>
          <w:lang w:eastAsia="zh-CN"/>
        </w:rPr>
        <w:t>日内，采购人支付中标供应商合同款</w:t>
      </w:r>
      <w:r>
        <w:rPr>
          <w:rFonts w:hint="eastAsia" w:ascii="仿宋_GB2312" w:hAnsi="仿宋_GB2312" w:eastAsia="仿宋_GB2312" w:cs="仿宋_GB2312"/>
          <w:color w:val="auto"/>
          <w:sz w:val="24"/>
          <w:szCs w:val="21"/>
          <w:highlight w:val="none"/>
          <w:lang w:val="en-US" w:eastAsia="zh-CN"/>
        </w:rPr>
        <w:t>30</w:t>
      </w:r>
      <w:r>
        <w:rPr>
          <w:rFonts w:hint="eastAsia" w:ascii="仿宋_GB2312" w:hAnsi="仿宋_GB2312" w:eastAsia="仿宋_GB2312" w:cs="仿宋_GB2312"/>
          <w:color w:val="auto"/>
          <w:sz w:val="24"/>
          <w:szCs w:val="21"/>
          <w:highlight w:val="none"/>
          <w:lang w:eastAsia="zh-CN"/>
        </w:rPr>
        <w:t>%费用。</w:t>
      </w:r>
    </w:p>
    <w:p w14:paraId="6D3EB613">
      <w:pPr>
        <w:shd w:val="clear" w:color="auto" w:fill="auto"/>
        <w:tabs>
          <w:tab w:val="left" w:pos="2101"/>
        </w:tabs>
        <w:snapToGrid w:val="0"/>
        <w:spacing w:line="360" w:lineRule="auto"/>
        <w:ind w:firstLine="480" w:firstLineChars="200"/>
        <w:rPr>
          <w:rFonts w:hint="eastAsia" w:ascii="仿宋_GB2312" w:hAnsi="仿宋_GB2312" w:eastAsia="仿宋_GB2312" w:cs="仿宋_GB2312"/>
          <w:color w:val="auto"/>
          <w:sz w:val="24"/>
          <w:szCs w:val="21"/>
          <w:highlight w:val="none"/>
          <w:lang w:eastAsia="zh-CN"/>
        </w:rPr>
      </w:pPr>
      <w:r>
        <w:rPr>
          <w:rFonts w:hint="eastAsia" w:ascii="仿宋_GB2312" w:hAnsi="仿宋_GB2312" w:eastAsia="仿宋_GB2312" w:cs="仿宋_GB2312"/>
          <w:color w:val="auto"/>
          <w:sz w:val="24"/>
          <w:szCs w:val="21"/>
          <w:highlight w:val="none"/>
          <w:lang w:eastAsia="zh-CN"/>
        </w:rPr>
        <w:t>（2）第二次支付：</w:t>
      </w:r>
      <w:r>
        <w:rPr>
          <w:rFonts w:hint="eastAsia" w:ascii="仿宋_GB2312" w:hAnsi="仿宋_GB2312" w:eastAsia="仿宋_GB2312" w:cs="仿宋_GB2312"/>
          <w:color w:val="auto"/>
          <w:sz w:val="24"/>
          <w:szCs w:val="21"/>
          <w:highlight w:val="none"/>
          <w:lang w:val="en-US" w:eastAsia="zh-CN"/>
        </w:rPr>
        <w:t>完成项目施工70%工程总量后，</w:t>
      </w:r>
      <w:r>
        <w:rPr>
          <w:rFonts w:hint="eastAsia" w:ascii="仿宋_GB2312" w:hAnsi="仿宋_GB2312" w:eastAsia="仿宋_GB2312" w:cs="仿宋_GB2312"/>
          <w:color w:val="auto"/>
          <w:sz w:val="24"/>
          <w:szCs w:val="21"/>
          <w:highlight w:val="none"/>
          <w:lang w:eastAsia="zh-CN"/>
        </w:rPr>
        <w:t>采购人支付中标供应商合同款</w:t>
      </w:r>
      <w:r>
        <w:rPr>
          <w:rFonts w:hint="eastAsia" w:ascii="仿宋_GB2312" w:hAnsi="仿宋_GB2312" w:eastAsia="仿宋_GB2312" w:cs="仿宋_GB2312"/>
          <w:color w:val="auto"/>
          <w:sz w:val="24"/>
          <w:szCs w:val="21"/>
          <w:highlight w:val="none"/>
          <w:lang w:val="en-US" w:eastAsia="zh-CN"/>
        </w:rPr>
        <w:t>50</w:t>
      </w:r>
      <w:r>
        <w:rPr>
          <w:rFonts w:hint="eastAsia" w:ascii="仿宋_GB2312" w:hAnsi="仿宋_GB2312" w:eastAsia="仿宋_GB2312" w:cs="仿宋_GB2312"/>
          <w:color w:val="auto"/>
          <w:sz w:val="24"/>
          <w:szCs w:val="21"/>
          <w:highlight w:val="none"/>
          <w:lang w:eastAsia="zh-CN"/>
        </w:rPr>
        <w:t>%费用。</w:t>
      </w:r>
    </w:p>
    <w:p w14:paraId="04365D0A">
      <w:pPr>
        <w:shd w:val="clear" w:color="auto" w:fill="auto"/>
        <w:tabs>
          <w:tab w:val="left" w:pos="2101"/>
        </w:tabs>
        <w:snapToGrid w:val="0"/>
        <w:spacing w:line="360" w:lineRule="auto"/>
        <w:ind w:firstLine="480" w:firstLineChars="200"/>
        <w:rPr>
          <w:rFonts w:hint="eastAsia" w:ascii="仿宋_GB2312" w:hAnsi="仿宋_GB2312" w:eastAsia="仿宋_GB2312" w:cs="仿宋_GB2312"/>
          <w:color w:val="auto"/>
          <w:sz w:val="24"/>
          <w:szCs w:val="21"/>
          <w:highlight w:val="none"/>
        </w:rPr>
      </w:pPr>
      <w:r>
        <w:rPr>
          <w:rFonts w:hint="eastAsia" w:ascii="仿宋_GB2312" w:hAnsi="仿宋_GB2312" w:eastAsia="仿宋_GB2312" w:cs="仿宋_GB2312"/>
          <w:color w:val="auto"/>
          <w:sz w:val="24"/>
          <w:szCs w:val="21"/>
          <w:highlight w:val="none"/>
          <w:lang w:eastAsia="zh-CN"/>
        </w:rPr>
        <w:t>（3）第三次支付：</w:t>
      </w:r>
      <w:r>
        <w:rPr>
          <w:rFonts w:hint="eastAsia" w:ascii="仿宋_GB2312" w:hAnsi="仿宋_GB2312" w:eastAsia="仿宋_GB2312" w:cs="仿宋_GB2312"/>
          <w:color w:val="auto"/>
          <w:sz w:val="24"/>
          <w:szCs w:val="21"/>
          <w:highlight w:val="none"/>
          <w:lang w:val="en-US" w:eastAsia="zh-CN"/>
        </w:rPr>
        <w:t>完成项目施工100%工程总量后</w:t>
      </w:r>
      <w:r>
        <w:rPr>
          <w:rFonts w:hint="eastAsia" w:ascii="仿宋_GB2312" w:hAnsi="仿宋_GB2312" w:eastAsia="仿宋_GB2312" w:cs="仿宋_GB2312"/>
          <w:color w:val="auto"/>
          <w:sz w:val="24"/>
          <w:szCs w:val="21"/>
          <w:highlight w:val="none"/>
          <w:lang w:eastAsia="zh-CN"/>
        </w:rPr>
        <w:t>，经采购人审核通过后</w:t>
      </w:r>
      <w:r>
        <w:rPr>
          <w:rFonts w:hint="eastAsia" w:ascii="仿宋_GB2312" w:hAnsi="仿宋_GB2312" w:eastAsia="仿宋_GB2312" w:cs="仿宋_GB2312"/>
          <w:color w:val="auto"/>
          <w:sz w:val="24"/>
          <w:szCs w:val="21"/>
          <w:highlight w:val="none"/>
          <w:lang w:val="en-US" w:eastAsia="zh-CN"/>
        </w:rPr>
        <w:t>30日内组织验收。验收通过双方签署验收文件后，采购人于15日内支付中标供应商合同款剩余20%费用（即合同款尾款）</w:t>
      </w:r>
      <w:r>
        <w:rPr>
          <w:rFonts w:hint="eastAsia" w:ascii="仿宋_GB2312" w:hAnsi="仿宋_GB2312" w:eastAsia="仿宋_GB2312" w:cs="仿宋_GB2312"/>
          <w:color w:val="auto"/>
          <w:sz w:val="24"/>
          <w:szCs w:val="21"/>
          <w:highlight w:val="none"/>
          <w:lang w:eastAsia="zh-CN"/>
        </w:rPr>
        <w:t>。</w:t>
      </w:r>
    </w:p>
    <w:p w14:paraId="33155134">
      <w:pPr>
        <w:tabs>
          <w:tab w:val="left" w:pos="2101"/>
        </w:tabs>
        <w:snapToGrid w:val="0"/>
        <w:spacing w:line="360" w:lineRule="auto"/>
        <w:ind w:firstLine="480" w:firstLineChars="200"/>
        <w:rPr>
          <w:rFonts w:hint="eastAsia" w:ascii="仿宋_GB2312" w:hAnsi="仿宋_GB2312" w:eastAsia="仿宋_GB2312" w:cs="仿宋_GB2312"/>
          <w:bCs/>
          <w:color w:val="auto"/>
          <w:sz w:val="24"/>
          <w:highlight w:val="none"/>
          <w:u w:val="single"/>
        </w:rPr>
      </w:pPr>
      <w:r>
        <w:rPr>
          <w:rFonts w:hint="eastAsia" w:ascii="仿宋_GB2312" w:hAnsi="仿宋_GB2312" w:eastAsia="仿宋_GB2312" w:cs="仿宋_GB2312"/>
          <w:color w:val="auto"/>
          <w:sz w:val="24"/>
          <w:highlight w:val="none"/>
        </w:rPr>
        <w:t>8.2 支付合同款时，由</w:t>
      </w:r>
      <w:r>
        <w:rPr>
          <w:rFonts w:hint="eastAsia" w:ascii="仿宋_GB2312" w:hAnsi="仿宋_GB2312" w:eastAsia="仿宋_GB2312" w:cs="仿宋_GB2312"/>
          <w:color w:val="auto"/>
          <w:sz w:val="24"/>
          <w:highlight w:val="none"/>
          <w:lang w:val="en-US" w:eastAsia="zh-CN"/>
        </w:rPr>
        <w:t>乙方</w:t>
      </w:r>
      <w:r>
        <w:rPr>
          <w:rFonts w:hint="eastAsia" w:ascii="仿宋_GB2312" w:hAnsi="仿宋_GB2312" w:eastAsia="仿宋_GB2312" w:cs="仿宋_GB2312"/>
          <w:color w:val="auto"/>
          <w:sz w:val="24"/>
          <w:highlight w:val="none"/>
        </w:rPr>
        <w:t>按照合同约定提交完整且合格的支付申请材料；</w:t>
      </w:r>
      <w:r>
        <w:rPr>
          <w:rFonts w:hint="eastAsia" w:ascii="仿宋_GB2312" w:hAnsi="仿宋_GB2312" w:eastAsia="仿宋_GB2312" w:cs="仿宋_GB2312"/>
          <w:color w:val="auto"/>
          <w:sz w:val="24"/>
          <w:highlight w:val="none"/>
          <w:lang w:val="en-US" w:eastAsia="zh-CN"/>
        </w:rPr>
        <w:t>甲方</w:t>
      </w:r>
      <w:r>
        <w:rPr>
          <w:rFonts w:hint="eastAsia" w:ascii="仿宋_GB2312" w:hAnsi="仿宋_GB2312" w:eastAsia="仿宋_GB2312" w:cs="仿宋_GB2312"/>
          <w:color w:val="auto"/>
          <w:sz w:val="24"/>
          <w:highlight w:val="none"/>
        </w:rPr>
        <w:t>按支付程序将款项直接支付给供应商。</w:t>
      </w:r>
    </w:p>
    <w:p w14:paraId="52CC1C87">
      <w:pPr>
        <w:pStyle w:val="11"/>
        <w:tabs>
          <w:tab w:val="left" w:pos="5145"/>
          <w:tab w:val="left" w:pos="5355"/>
          <w:tab w:val="left" w:pos="6195"/>
        </w:tabs>
        <w:snapToGrid w:val="0"/>
        <w:spacing w:line="360" w:lineRule="auto"/>
        <w:ind w:firstLine="480" w:firstLineChars="200"/>
        <w:rPr>
          <w:rFonts w:hint="eastAsia" w:ascii="仿宋_GB2312" w:hAnsi="仿宋_GB2312" w:eastAsia="仿宋_GB2312" w:cs="仿宋_GB2312"/>
          <w:bCs/>
          <w:color w:val="auto"/>
          <w:sz w:val="24"/>
          <w:szCs w:val="24"/>
          <w:highlight w:val="none"/>
          <w:u w:val="single"/>
        </w:rPr>
      </w:pPr>
      <w:r>
        <w:rPr>
          <w:rFonts w:hint="eastAsia" w:ascii="仿宋_GB2312" w:hAnsi="仿宋_GB2312" w:eastAsia="仿宋_GB2312" w:cs="仿宋_GB2312"/>
          <w:color w:val="auto"/>
          <w:sz w:val="24"/>
          <w:szCs w:val="24"/>
          <w:highlight w:val="none"/>
        </w:rPr>
        <w:t>8.3 政府采购监督管理部门在处理投诉事项期间，可以视具体情况书面通知采购人暂停采购活动</w:t>
      </w:r>
      <w:r>
        <w:rPr>
          <w:rFonts w:hint="eastAsia" w:ascii="仿宋_GB2312" w:hAnsi="仿宋_GB2312" w:eastAsia="仿宋_GB2312" w:cs="仿宋_GB2312"/>
          <w:bCs/>
          <w:color w:val="auto"/>
          <w:sz w:val="24"/>
          <w:szCs w:val="24"/>
          <w:highlight w:val="none"/>
        </w:rPr>
        <w:t>，并延期支付合同款。</w:t>
      </w:r>
    </w:p>
    <w:p w14:paraId="23633BB5">
      <w:pPr>
        <w:pStyle w:val="11"/>
        <w:spacing w:line="360" w:lineRule="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9.  售后服务要求</w:t>
      </w:r>
    </w:p>
    <w:p w14:paraId="6487F531">
      <w:pPr>
        <w:pStyle w:val="11"/>
        <w:spacing w:line="360" w:lineRule="auto"/>
        <w:ind w:firstLine="480" w:firstLineChars="200"/>
        <w:rPr>
          <w:rFonts w:hint="eastAsia" w:ascii="仿宋_GB2312" w:hAnsi="仿宋_GB2312" w:eastAsia="仿宋_GB2312" w:cs="仿宋_GB2312"/>
          <w:bCs/>
          <w:color w:val="auto"/>
          <w:sz w:val="24"/>
          <w:highlight w:val="none"/>
          <w:shd w:val="clear" w:color="auto" w:fill="FFFFFF"/>
        </w:rPr>
      </w:pPr>
      <w:r>
        <w:rPr>
          <w:rFonts w:hint="eastAsia" w:ascii="仿宋_GB2312" w:hAnsi="仿宋_GB2312" w:eastAsia="仿宋_GB2312" w:cs="仿宋_GB2312"/>
          <w:color w:val="auto"/>
          <w:sz w:val="24"/>
          <w:szCs w:val="24"/>
          <w:highlight w:val="none"/>
        </w:rPr>
        <w:t>9.1 乙方提供服务的售后服务期限为：</w:t>
      </w:r>
      <w:r>
        <w:rPr>
          <w:rFonts w:hint="eastAsia" w:ascii="仿宋_GB2312" w:hAnsi="仿宋_GB2312" w:eastAsia="仿宋_GB2312" w:cs="仿宋_GB2312"/>
          <w:color w:val="auto"/>
          <w:sz w:val="24"/>
          <w:szCs w:val="24"/>
          <w:highlight w:val="none"/>
          <w:u w:val="single"/>
        </w:rPr>
        <w:t>按</w:t>
      </w:r>
      <w:r>
        <w:rPr>
          <w:rFonts w:hint="eastAsia" w:ascii="仿宋_GB2312" w:hAnsi="仿宋_GB2312" w:eastAsia="仿宋_GB2312" w:cs="仿宋_GB2312"/>
          <w:color w:val="auto"/>
          <w:sz w:val="24"/>
          <w:szCs w:val="24"/>
          <w:highlight w:val="none"/>
          <w:u w:val="single"/>
          <w:lang w:eastAsia="zh-CN"/>
        </w:rPr>
        <w:t>投标文件</w:t>
      </w:r>
      <w:r>
        <w:rPr>
          <w:rFonts w:hint="eastAsia" w:ascii="仿宋_GB2312" w:hAnsi="仿宋_GB2312" w:eastAsia="仿宋_GB2312" w:cs="仿宋_GB2312"/>
          <w:color w:val="auto"/>
          <w:sz w:val="24"/>
          <w:szCs w:val="24"/>
          <w:highlight w:val="none"/>
          <w:u w:val="single"/>
        </w:rPr>
        <w:t>商务条款偏离表内容执行。</w:t>
      </w:r>
    </w:p>
    <w:p w14:paraId="1CCD5664">
      <w:pPr>
        <w:pStyle w:val="11"/>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9.2 在本合同第9.1项约定的质量保证期内，乙方应对服务出现的问题负责处理解决并承担一切费用。</w:t>
      </w:r>
    </w:p>
    <w:p w14:paraId="03D96EAC">
      <w:pPr>
        <w:pStyle w:val="11"/>
        <w:tabs>
          <w:tab w:val="left" w:pos="5250"/>
        </w:tabs>
        <w:spacing w:line="360" w:lineRule="auto"/>
        <w:ind w:firstLine="480" w:firstLineChars="200"/>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9.3 其他售后服务要求：</w:t>
      </w:r>
      <w:r>
        <w:rPr>
          <w:rFonts w:hint="eastAsia" w:ascii="仿宋_GB2312" w:hAnsi="仿宋_GB2312" w:eastAsia="仿宋_GB2312" w:cs="仿宋_GB2312"/>
          <w:color w:val="auto"/>
          <w:sz w:val="24"/>
          <w:szCs w:val="24"/>
          <w:highlight w:val="none"/>
          <w:u w:val="single"/>
        </w:rPr>
        <w:t>按</w:t>
      </w:r>
      <w:r>
        <w:rPr>
          <w:rFonts w:hint="eastAsia" w:ascii="仿宋_GB2312" w:hAnsi="仿宋_GB2312" w:eastAsia="仿宋_GB2312" w:cs="仿宋_GB2312"/>
          <w:color w:val="auto"/>
          <w:sz w:val="24"/>
          <w:szCs w:val="24"/>
          <w:highlight w:val="none"/>
          <w:u w:val="single"/>
          <w:lang w:eastAsia="zh-CN"/>
        </w:rPr>
        <w:t>投标文件</w:t>
      </w:r>
      <w:r>
        <w:rPr>
          <w:rFonts w:hint="eastAsia" w:ascii="仿宋_GB2312" w:hAnsi="仿宋_GB2312" w:eastAsia="仿宋_GB2312" w:cs="仿宋_GB2312"/>
          <w:color w:val="auto"/>
          <w:sz w:val="24"/>
          <w:szCs w:val="24"/>
          <w:highlight w:val="none"/>
          <w:u w:val="single"/>
        </w:rPr>
        <w:t>商务条款偏离表内容执行。</w:t>
      </w:r>
    </w:p>
    <w:p w14:paraId="496875B9">
      <w:pPr>
        <w:pStyle w:val="11"/>
        <w:spacing w:line="360" w:lineRule="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10.  违约责任</w:t>
      </w:r>
    </w:p>
    <w:p w14:paraId="788760E2">
      <w:pPr>
        <w:pStyle w:val="11"/>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10.1 甲方无正当理由拒收服务的，甲方向乙方偿付拒收服务费总值的百分之五违约金。</w:t>
      </w:r>
    </w:p>
    <w:p w14:paraId="20AD50BA">
      <w:pPr>
        <w:pStyle w:val="11"/>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10.2 甲方无故逾期验收或办理合同款支付手续的，甲方应按逾期付款总额每日万分之五向乙方支付违约金。</w:t>
      </w:r>
    </w:p>
    <w:p w14:paraId="66F1C79A">
      <w:pPr>
        <w:pStyle w:val="11"/>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10.3 乙方逾期交付服务的，乙方应按逾期提供服务总额每日万分之五向甲方支付违约金，由甲方从待付服务费中扣除。逾期超过约定日期十个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14:paraId="57886D23">
      <w:pPr>
        <w:pStyle w:val="11"/>
        <w:spacing w:line="360" w:lineRule="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11.  不可抗力事件处理</w:t>
      </w:r>
    </w:p>
    <w:p w14:paraId="4D3EDEC6">
      <w:pPr>
        <w:pStyle w:val="11"/>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11.1 在合同有效期内，任何一方因不可抗力事件导致不能履行合同，则合同履行期可延长，其延长期与不可抗力影响期相同。</w:t>
      </w:r>
    </w:p>
    <w:p w14:paraId="0EA69BE1">
      <w:pPr>
        <w:pStyle w:val="11"/>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11.2 不可抗力事件发生后，应立即通知对方，并寄送有关权威机构出具的证明。</w:t>
      </w:r>
    </w:p>
    <w:p w14:paraId="5D45CA87">
      <w:pPr>
        <w:pStyle w:val="11"/>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11.3 不可抗力事件延续120天以上，双方应通过友好协商，确定是否继续履行合同。</w:t>
      </w:r>
    </w:p>
    <w:p w14:paraId="6C48DE07">
      <w:pPr>
        <w:pStyle w:val="11"/>
        <w:spacing w:line="360" w:lineRule="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12.  诉讼</w:t>
      </w:r>
    </w:p>
    <w:p w14:paraId="42A8D252">
      <w:pPr>
        <w:pStyle w:val="11"/>
        <w:tabs>
          <w:tab w:val="left" w:pos="0"/>
        </w:tabs>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12.1 双方在执行合同中所发生的一切争议，应通过协商解决。如协商不成，可向合同签订地法院起诉，合同签订地在此约定为百色市。</w:t>
      </w:r>
    </w:p>
    <w:p w14:paraId="109BF72B">
      <w:pPr>
        <w:pStyle w:val="11"/>
        <w:spacing w:line="360" w:lineRule="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13.  合同生效及其它</w:t>
      </w:r>
    </w:p>
    <w:p w14:paraId="71DF611A">
      <w:pPr>
        <w:pStyle w:val="11"/>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13.1 合同经双方</w:t>
      </w:r>
      <w:r>
        <w:rPr>
          <w:rFonts w:hint="eastAsia" w:ascii="仿宋_GB2312" w:hAnsi="仿宋_GB2312" w:eastAsia="仿宋_GB2312" w:cs="仿宋_GB2312"/>
          <w:color w:val="auto"/>
          <w:sz w:val="24"/>
          <w:szCs w:val="24"/>
          <w:highlight w:val="none"/>
          <w:lang w:eastAsia="zh-CN"/>
        </w:rPr>
        <w:t>法定代表人（负责人）</w:t>
      </w:r>
      <w:r>
        <w:rPr>
          <w:rFonts w:hint="eastAsia" w:ascii="仿宋_GB2312" w:hAnsi="仿宋_GB2312" w:eastAsia="仿宋_GB2312" w:cs="仿宋_GB2312"/>
          <w:color w:val="auto"/>
          <w:sz w:val="24"/>
          <w:szCs w:val="24"/>
          <w:highlight w:val="none"/>
        </w:rPr>
        <w:t>（或负责人）或授权委托代理人签字并加盖单位公章后生效。</w:t>
      </w:r>
    </w:p>
    <w:p w14:paraId="16C30E3C">
      <w:pPr>
        <w:pStyle w:val="11"/>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13.2 合同执行中涉及采购资金和采购内容修改或补充的，须经财政部门审批，并签书面补充协议报政府采购监督管理部门备案，方可作为主合同不可分割的一部分。</w:t>
      </w:r>
    </w:p>
    <w:p w14:paraId="7C4D13BB">
      <w:pPr>
        <w:pStyle w:val="11"/>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13.3 下述合同附件为本合同不可分割的部分并与本合同具有同等效力：</w:t>
      </w:r>
    </w:p>
    <w:p w14:paraId="5D0D1762">
      <w:pPr>
        <w:pStyle w:val="11"/>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中标</w:t>
      </w:r>
      <w:r>
        <w:rPr>
          <w:rFonts w:hint="eastAsia" w:ascii="仿宋_GB2312" w:hAnsi="仿宋_GB2312" w:eastAsia="仿宋_GB2312" w:cs="仿宋_GB2312"/>
          <w:color w:val="auto"/>
          <w:sz w:val="24"/>
          <w:szCs w:val="24"/>
          <w:highlight w:val="none"/>
        </w:rPr>
        <w:t>通知书；</w:t>
      </w:r>
    </w:p>
    <w:p w14:paraId="68DCC0B5">
      <w:pPr>
        <w:pStyle w:val="11"/>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招标</w:t>
      </w:r>
      <w:r>
        <w:rPr>
          <w:rFonts w:hint="eastAsia" w:ascii="仿宋_GB2312" w:hAnsi="仿宋_GB2312" w:eastAsia="仿宋_GB2312" w:cs="仿宋_GB2312"/>
          <w:color w:val="auto"/>
          <w:sz w:val="24"/>
          <w:szCs w:val="24"/>
          <w:highlight w:val="none"/>
        </w:rPr>
        <w:t>文件</w:t>
      </w:r>
      <w:r>
        <w:rPr>
          <w:rFonts w:hint="eastAsia" w:ascii="仿宋_GB2312" w:hAnsi="仿宋_GB2312" w:eastAsia="仿宋_GB2312" w:cs="仿宋_GB2312"/>
          <w:color w:val="auto"/>
          <w:sz w:val="24"/>
          <w:szCs w:val="24"/>
          <w:highlight w:val="none"/>
          <w:lang w:val="en-US" w:eastAsia="zh-CN"/>
        </w:rPr>
        <w:t>采购需求表</w:t>
      </w:r>
      <w:r>
        <w:rPr>
          <w:rFonts w:hint="eastAsia" w:ascii="仿宋_GB2312" w:hAnsi="仿宋_GB2312" w:eastAsia="仿宋_GB2312" w:cs="仿宋_GB2312"/>
          <w:color w:val="auto"/>
          <w:sz w:val="24"/>
          <w:szCs w:val="24"/>
          <w:highlight w:val="none"/>
        </w:rPr>
        <w:t>；</w:t>
      </w:r>
    </w:p>
    <w:p w14:paraId="4E2BA336">
      <w:pPr>
        <w:pStyle w:val="11"/>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招标</w:t>
      </w:r>
      <w:r>
        <w:rPr>
          <w:rFonts w:hint="eastAsia" w:ascii="仿宋_GB2312" w:hAnsi="仿宋_GB2312" w:eastAsia="仿宋_GB2312" w:cs="仿宋_GB2312"/>
          <w:color w:val="auto"/>
          <w:sz w:val="24"/>
          <w:szCs w:val="24"/>
          <w:highlight w:val="none"/>
        </w:rPr>
        <w:t>文件的澄清和修改；</w:t>
      </w:r>
    </w:p>
    <w:p w14:paraId="09A7113A">
      <w:pPr>
        <w:pStyle w:val="11"/>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（4）投标函、</w:t>
      </w:r>
      <w:r>
        <w:rPr>
          <w:rFonts w:hint="eastAsia" w:ascii="仿宋_GB2312" w:hAnsi="仿宋_GB2312" w:eastAsia="仿宋_GB2312" w:cs="仿宋_GB2312"/>
          <w:color w:val="auto"/>
          <w:sz w:val="24"/>
          <w:szCs w:val="24"/>
          <w:highlight w:val="none"/>
          <w:lang w:val="en-US" w:eastAsia="zh-CN"/>
        </w:rPr>
        <w:t>开标一览</w:t>
      </w:r>
      <w:r>
        <w:rPr>
          <w:rFonts w:hint="eastAsia" w:ascii="仿宋_GB2312" w:hAnsi="仿宋_GB2312" w:eastAsia="仿宋_GB2312" w:cs="仿宋_GB2312"/>
          <w:color w:val="auto"/>
          <w:sz w:val="24"/>
          <w:szCs w:val="24"/>
          <w:highlight w:val="none"/>
        </w:rPr>
        <w:t>表；</w:t>
      </w:r>
    </w:p>
    <w:p w14:paraId="24C1AD16">
      <w:pPr>
        <w:pStyle w:val="11"/>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项目要求及技术服务要求条款偏离</w:t>
      </w:r>
      <w:r>
        <w:rPr>
          <w:rFonts w:hint="eastAsia" w:ascii="仿宋_GB2312" w:hAnsi="仿宋_GB2312" w:eastAsia="仿宋_GB2312" w:cs="仿宋_GB2312"/>
          <w:color w:val="auto"/>
          <w:sz w:val="24"/>
          <w:szCs w:val="24"/>
          <w:highlight w:val="none"/>
        </w:rPr>
        <w:t>表、商务条款偏离表、售后服务承诺书；</w:t>
      </w:r>
    </w:p>
    <w:p w14:paraId="0156DC77">
      <w:pPr>
        <w:pStyle w:val="11"/>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eastAsia="zh-CN"/>
        </w:rPr>
        <w:t>中标供应商</w:t>
      </w:r>
      <w:r>
        <w:rPr>
          <w:rFonts w:hint="eastAsia" w:ascii="仿宋_GB2312" w:hAnsi="仿宋_GB2312" w:eastAsia="仿宋_GB2312" w:cs="仿宋_GB2312"/>
          <w:color w:val="auto"/>
          <w:sz w:val="24"/>
          <w:szCs w:val="24"/>
          <w:highlight w:val="none"/>
        </w:rPr>
        <w:t>澄清函。</w:t>
      </w:r>
    </w:p>
    <w:p w14:paraId="67439727">
      <w:pPr>
        <w:pStyle w:val="11"/>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13.4 本合同未尽事宜，遵照《中华人民共和国合同法》有关条文执行。</w:t>
      </w:r>
    </w:p>
    <w:p w14:paraId="0E0D994E">
      <w:pPr>
        <w:pStyle w:val="11"/>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13.5</w:t>
      </w:r>
      <w:r>
        <w:rPr>
          <w:rFonts w:hint="eastAsia" w:ascii="仿宋_GB2312" w:hAnsi="仿宋_GB2312" w:eastAsia="仿宋_GB2312" w:cs="仿宋_GB2312"/>
          <w:color w:val="auto"/>
          <w:sz w:val="24"/>
          <w:highlight w:val="none"/>
        </w:rPr>
        <w:t>本合同正本一式</w:t>
      </w:r>
      <w:r>
        <w:rPr>
          <w:rFonts w:hint="eastAsia" w:ascii="仿宋_GB2312" w:hAnsi="仿宋_GB2312" w:eastAsia="仿宋_GB2312" w:cs="仿宋_GB2312"/>
          <w:b/>
          <w:color w:val="auto"/>
          <w:sz w:val="24"/>
          <w:highlight w:val="none"/>
        </w:rPr>
        <w:t>贰份</w:t>
      </w:r>
      <w:r>
        <w:rPr>
          <w:rFonts w:hint="eastAsia" w:ascii="仿宋_GB2312" w:hAnsi="仿宋_GB2312" w:eastAsia="仿宋_GB2312" w:cs="仿宋_GB2312"/>
          <w:color w:val="auto"/>
          <w:sz w:val="24"/>
          <w:highlight w:val="none"/>
        </w:rPr>
        <w:t>，具有同等法律效力，甲乙双方各执</w:t>
      </w:r>
      <w:r>
        <w:rPr>
          <w:rFonts w:hint="eastAsia" w:ascii="仿宋_GB2312" w:hAnsi="仿宋_GB2312" w:eastAsia="仿宋_GB2312" w:cs="仿宋_GB2312"/>
          <w:b/>
          <w:color w:val="auto"/>
          <w:sz w:val="24"/>
          <w:highlight w:val="none"/>
        </w:rPr>
        <w:t>壹份</w:t>
      </w:r>
      <w:r>
        <w:rPr>
          <w:rFonts w:hint="eastAsia" w:ascii="仿宋_GB2312" w:hAnsi="仿宋_GB2312" w:eastAsia="仿宋_GB2312" w:cs="仿宋_GB2312"/>
          <w:color w:val="auto"/>
          <w:sz w:val="24"/>
          <w:highlight w:val="none"/>
        </w:rPr>
        <w:t>；副本</w:t>
      </w:r>
      <w:r>
        <w:rPr>
          <w:rFonts w:hint="eastAsia" w:ascii="仿宋_GB2312" w:hAnsi="仿宋_GB2312" w:eastAsia="仿宋_GB2312" w:cs="仿宋_GB2312"/>
          <w:b/>
          <w:color w:val="auto"/>
          <w:sz w:val="24"/>
          <w:highlight w:val="none"/>
        </w:rPr>
        <w:t>伍份</w:t>
      </w:r>
      <w:r>
        <w:rPr>
          <w:rFonts w:hint="eastAsia" w:ascii="仿宋_GB2312" w:hAnsi="仿宋_GB2312" w:eastAsia="仿宋_GB2312" w:cs="仿宋_GB2312"/>
          <w:color w:val="auto"/>
          <w:sz w:val="24"/>
          <w:highlight w:val="none"/>
        </w:rPr>
        <w:t>，甲方</w:t>
      </w:r>
      <w:r>
        <w:rPr>
          <w:rFonts w:hint="eastAsia" w:ascii="仿宋_GB2312" w:hAnsi="仿宋_GB2312" w:eastAsia="仿宋_GB2312" w:cs="仿宋_GB2312"/>
          <w:b/>
          <w:color w:val="auto"/>
          <w:sz w:val="24"/>
          <w:highlight w:val="none"/>
        </w:rPr>
        <w:t>贰份，</w:t>
      </w:r>
      <w:r>
        <w:rPr>
          <w:rFonts w:hint="eastAsia" w:ascii="仿宋_GB2312" w:hAnsi="仿宋_GB2312" w:eastAsia="仿宋_GB2312" w:cs="仿宋_GB2312"/>
          <w:color w:val="auto"/>
          <w:sz w:val="24"/>
          <w:highlight w:val="none"/>
        </w:rPr>
        <w:t>乙方</w:t>
      </w:r>
      <w:r>
        <w:rPr>
          <w:rFonts w:hint="eastAsia" w:ascii="仿宋_GB2312" w:hAnsi="仿宋_GB2312" w:eastAsia="仿宋_GB2312" w:cs="仿宋_GB2312"/>
          <w:b/>
          <w:color w:val="auto"/>
          <w:sz w:val="24"/>
          <w:highlight w:val="none"/>
          <w:lang w:eastAsia="zh-CN"/>
        </w:rPr>
        <w:t>贰</w:t>
      </w:r>
      <w:r>
        <w:rPr>
          <w:rFonts w:hint="eastAsia" w:ascii="仿宋_GB2312" w:hAnsi="仿宋_GB2312" w:eastAsia="仿宋_GB2312" w:cs="仿宋_GB2312"/>
          <w:b/>
          <w:color w:val="auto"/>
          <w:sz w:val="24"/>
          <w:highlight w:val="none"/>
        </w:rPr>
        <w:t>份</w:t>
      </w:r>
      <w:r>
        <w:rPr>
          <w:rFonts w:hint="eastAsia" w:ascii="仿宋_GB2312" w:hAnsi="仿宋_GB2312" w:eastAsia="仿宋_GB2312" w:cs="仿宋_GB2312"/>
          <w:color w:val="auto"/>
          <w:sz w:val="24"/>
          <w:highlight w:val="none"/>
        </w:rPr>
        <w:t>，采购代理</w:t>
      </w:r>
      <w:r>
        <w:rPr>
          <w:rFonts w:hint="eastAsia" w:ascii="仿宋_GB2312" w:hAnsi="仿宋_GB2312" w:eastAsia="仿宋_GB2312" w:cs="仿宋_GB2312"/>
          <w:b/>
          <w:color w:val="auto"/>
          <w:sz w:val="24"/>
          <w:highlight w:val="none"/>
          <w:lang w:eastAsia="zh-CN"/>
        </w:rPr>
        <w:t>壹</w:t>
      </w:r>
      <w:r>
        <w:rPr>
          <w:rFonts w:hint="eastAsia" w:ascii="仿宋_GB2312" w:hAnsi="仿宋_GB2312" w:eastAsia="仿宋_GB2312" w:cs="仿宋_GB2312"/>
          <w:b/>
          <w:color w:val="auto"/>
          <w:sz w:val="24"/>
          <w:highlight w:val="none"/>
        </w:rPr>
        <w:t>份</w:t>
      </w:r>
      <w:r>
        <w:rPr>
          <w:rFonts w:hint="eastAsia" w:ascii="仿宋_GB2312" w:hAnsi="仿宋_GB2312" w:eastAsia="仿宋_GB2312" w:cs="仿宋_GB2312"/>
          <w:color w:val="auto"/>
          <w:sz w:val="24"/>
          <w:highlight w:val="none"/>
        </w:rPr>
        <w:t>。自合同签订之日起</w:t>
      </w:r>
      <w:r>
        <w:rPr>
          <w:rFonts w:hint="eastAsia" w:ascii="仿宋_GB2312" w:hAnsi="仿宋_GB2312" w:eastAsia="仿宋_GB2312" w:cs="仿宋_GB2312"/>
          <w:b/>
          <w:color w:val="auto"/>
          <w:sz w:val="24"/>
          <w:highlight w:val="none"/>
        </w:rPr>
        <w:t>2个工作日内</w:t>
      </w:r>
      <w:r>
        <w:rPr>
          <w:rFonts w:hint="eastAsia" w:ascii="仿宋_GB2312" w:hAnsi="仿宋_GB2312" w:eastAsia="仿宋_GB2312" w:cs="仿宋_GB2312"/>
          <w:color w:val="auto"/>
          <w:sz w:val="24"/>
          <w:highlight w:val="none"/>
        </w:rPr>
        <w:t>由中标人将合同送至采购代理机构处。采购代理机构将政府采购合同在省级以上人民政府财政部门指定的媒体上公告。</w:t>
      </w:r>
    </w:p>
    <w:tbl>
      <w:tblPr>
        <w:tblStyle w:val="17"/>
        <w:tblpPr w:leftFromText="180" w:rightFromText="180" w:vertAnchor="text" w:horzAnchor="page" w:tblpX="986" w:tblpY="555"/>
        <w:tblOverlap w:val="never"/>
        <w:tblW w:w="97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6"/>
        <w:gridCol w:w="4931"/>
      </w:tblGrid>
      <w:tr w14:paraId="551CA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4786" w:type="dxa"/>
            <w:noWrap w:val="0"/>
            <w:vAlign w:val="top"/>
          </w:tcPr>
          <w:p w14:paraId="76794BFF">
            <w:pPr>
              <w:pStyle w:val="7"/>
              <w:ind w:left="0"/>
              <w:rPr>
                <w:rFonts w:hint="default" w:ascii="仿宋_GB2312" w:hAnsi="仿宋_GB2312" w:eastAsia="仿宋_GB2312" w:cs="仿宋_GB2312"/>
                <w:color w:val="auto"/>
                <w:sz w:val="24"/>
                <w:highlight w:val="none"/>
                <w:u w:val="single"/>
                <w:lang w:val="en-US" w:eastAsia="zh-CN"/>
              </w:rPr>
            </w:pPr>
            <w:r>
              <w:rPr>
                <w:rFonts w:hint="eastAsia" w:ascii="仿宋_GB2312" w:hAnsi="仿宋_GB2312" w:eastAsia="仿宋_GB2312" w:cs="仿宋_GB2312"/>
                <w:color w:val="auto"/>
                <w:sz w:val="24"/>
                <w:highlight w:val="none"/>
              </w:rPr>
              <w:t>甲方：</w:t>
            </w:r>
            <w:r>
              <w:rPr>
                <w:rFonts w:hint="eastAsia" w:ascii="仿宋_GB2312" w:hAnsi="仿宋_GB2312" w:eastAsia="仿宋_GB2312" w:cs="仿宋_GB2312"/>
                <w:color w:val="auto"/>
                <w:sz w:val="24"/>
                <w:highlight w:val="none"/>
                <w:u w:val="single"/>
                <w:lang w:val="en-US" w:eastAsia="zh-CN"/>
              </w:rPr>
              <w:t xml:space="preserve">           </w:t>
            </w:r>
          </w:p>
          <w:p w14:paraId="69AD0AEF">
            <w:pPr>
              <w:pStyle w:val="11"/>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地址：</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 xml:space="preserve">    </w:t>
            </w:r>
          </w:p>
          <w:p w14:paraId="27BB0332">
            <w:pPr>
              <w:pStyle w:val="11"/>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法定代表人（负责人）</w:t>
            </w:r>
            <w:r>
              <w:rPr>
                <w:rFonts w:hint="eastAsia" w:ascii="仿宋_GB2312" w:hAnsi="仿宋_GB2312" w:eastAsia="仿宋_GB2312" w:cs="仿宋_GB2312"/>
                <w:color w:val="auto"/>
                <w:sz w:val="24"/>
                <w:szCs w:val="24"/>
                <w:highlight w:val="none"/>
              </w:rPr>
              <w:t>（或负责人）：</w:t>
            </w:r>
            <w:r>
              <w:rPr>
                <w:rFonts w:hint="eastAsia" w:ascii="仿宋_GB2312" w:hAnsi="仿宋_GB2312" w:eastAsia="仿宋_GB2312" w:cs="仿宋_GB2312"/>
                <w:color w:val="auto"/>
                <w:sz w:val="24"/>
                <w:szCs w:val="24"/>
                <w:highlight w:val="none"/>
                <w:u w:val="single"/>
              </w:rPr>
              <w:t xml:space="preserve">           </w:t>
            </w:r>
          </w:p>
          <w:p w14:paraId="0661781E">
            <w:pPr>
              <w:pStyle w:val="11"/>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委托代理人：</w:t>
            </w:r>
            <w:r>
              <w:rPr>
                <w:rFonts w:hint="eastAsia" w:ascii="仿宋_GB2312" w:hAnsi="仿宋_GB2312" w:eastAsia="仿宋_GB2312" w:cs="仿宋_GB2312"/>
                <w:color w:val="auto"/>
                <w:sz w:val="24"/>
                <w:szCs w:val="24"/>
                <w:highlight w:val="none"/>
                <w:u w:val="single"/>
              </w:rPr>
              <w:t xml:space="preserve">                       </w:t>
            </w:r>
          </w:p>
          <w:p w14:paraId="3826F15F">
            <w:pPr>
              <w:pStyle w:val="11"/>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电话：</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          </w:t>
            </w:r>
          </w:p>
          <w:p w14:paraId="11CC9C93">
            <w:pPr>
              <w:pStyle w:val="11"/>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邮政编码：</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06B1B0B7">
            <w:pPr>
              <w:pStyle w:val="11"/>
              <w:spacing w:line="360" w:lineRule="auto"/>
              <w:rPr>
                <w:rFonts w:hint="default" w:ascii="仿宋_GB2312" w:hAnsi="仿宋_GB2312" w:eastAsia="仿宋_GB2312" w:cs="仿宋_GB2312"/>
                <w:color w:val="auto"/>
                <w:highlight w:val="none"/>
                <w:u w:val="single"/>
                <w:lang w:val="en-US" w:eastAsia="zh-CN"/>
              </w:rPr>
            </w:pPr>
            <w:r>
              <w:rPr>
                <w:rFonts w:hint="eastAsia" w:ascii="仿宋_GB2312" w:hAnsi="仿宋_GB2312" w:eastAsia="仿宋_GB2312" w:cs="仿宋_GB2312"/>
                <w:color w:val="auto"/>
                <w:sz w:val="24"/>
                <w:szCs w:val="24"/>
                <w:highlight w:val="none"/>
              </w:rPr>
              <w:t>统一社会信用代码：</w:t>
            </w:r>
            <w:r>
              <w:rPr>
                <w:rFonts w:hint="eastAsia" w:ascii="仿宋_GB2312" w:hAnsi="仿宋_GB2312" w:eastAsia="仿宋_GB2312" w:cs="仿宋_GB2312"/>
                <w:color w:val="auto"/>
                <w:sz w:val="24"/>
                <w:szCs w:val="24"/>
                <w:highlight w:val="none"/>
                <w:u w:val="single"/>
                <w:lang w:val="en-US" w:eastAsia="zh-CN"/>
              </w:rPr>
              <w:t xml:space="preserve">            </w:t>
            </w:r>
          </w:p>
          <w:p w14:paraId="62DE2CB4">
            <w:pPr>
              <w:pStyle w:val="12"/>
              <w:rPr>
                <w:rFonts w:hint="eastAsia" w:ascii="仿宋_GB2312" w:hAnsi="仿宋_GB2312" w:eastAsia="仿宋_GB2312" w:cs="仿宋_GB2312"/>
                <w:color w:val="auto"/>
                <w:highlight w:val="none"/>
              </w:rPr>
            </w:pPr>
          </w:p>
        </w:tc>
        <w:tc>
          <w:tcPr>
            <w:tcW w:w="4931" w:type="dxa"/>
            <w:noWrap w:val="0"/>
            <w:vAlign w:val="top"/>
          </w:tcPr>
          <w:p w14:paraId="109D04D7">
            <w:pPr>
              <w:pStyle w:val="7"/>
              <w:ind w:left="0"/>
              <w:rPr>
                <w:rFonts w:hint="default" w:ascii="仿宋_GB2312" w:hAnsi="仿宋_GB2312" w:eastAsia="仿宋_GB2312" w:cs="仿宋_GB2312"/>
                <w:color w:val="auto"/>
                <w:sz w:val="24"/>
                <w:highlight w:val="none"/>
                <w:u w:val="single"/>
                <w:lang w:val="en-US" w:eastAsia="zh-CN"/>
              </w:rPr>
            </w:pPr>
            <w:r>
              <w:rPr>
                <w:rFonts w:hint="eastAsia" w:ascii="仿宋_GB2312" w:hAnsi="仿宋_GB2312" w:eastAsia="仿宋_GB2312" w:cs="仿宋_GB2312"/>
                <w:color w:val="auto"/>
                <w:sz w:val="24"/>
                <w:highlight w:val="none"/>
              </w:rPr>
              <w:t>乙方：</w:t>
            </w:r>
            <w:r>
              <w:rPr>
                <w:rFonts w:hint="eastAsia" w:ascii="仿宋_GB2312" w:hAnsi="仿宋_GB2312" w:eastAsia="仿宋_GB2312" w:cs="仿宋_GB2312"/>
                <w:color w:val="auto"/>
                <w:sz w:val="24"/>
                <w:highlight w:val="none"/>
                <w:u w:val="single"/>
                <w:lang w:val="en-US" w:eastAsia="zh-CN"/>
              </w:rPr>
              <w:t xml:space="preserve">            </w:t>
            </w:r>
          </w:p>
          <w:p w14:paraId="72E36E20">
            <w:pPr>
              <w:pStyle w:val="11"/>
              <w:spacing w:line="360" w:lineRule="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地址：</w:t>
            </w:r>
            <w:r>
              <w:rPr>
                <w:rFonts w:hint="eastAsia" w:ascii="仿宋_GB2312" w:hAnsi="仿宋_GB2312" w:eastAsia="仿宋_GB2312" w:cs="仿宋_GB2312"/>
                <w:color w:val="auto"/>
                <w:sz w:val="24"/>
                <w:szCs w:val="24"/>
                <w:highlight w:val="none"/>
                <w:u w:val="single"/>
                <w:lang w:val="en-US" w:eastAsia="zh-CN"/>
              </w:rPr>
              <w:t xml:space="preserve">            </w:t>
            </w:r>
          </w:p>
          <w:p w14:paraId="507785DA">
            <w:pPr>
              <w:pStyle w:val="11"/>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法定代表人（负责人）</w:t>
            </w:r>
            <w:r>
              <w:rPr>
                <w:rFonts w:hint="eastAsia" w:ascii="仿宋_GB2312" w:hAnsi="仿宋_GB2312" w:eastAsia="仿宋_GB2312" w:cs="仿宋_GB2312"/>
                <w:color w:val="auto"/>
                <w:sz w:val="24"/>
                <w:szCs w:val="24"/>
                <w:highlight w:val="none"/>
              </w:rPr>
              <w:t>（或负责人）：</w:t>
            </w:r>
            <w:r>
              <w:rPr>
                <w:rFonts w:hint="eastAsia" w:ascii="仿宋_GB2312" w:hAnsi="仿宋_GB2312" w:eastAsia="仿宋_GB2312" w:cs="仿宋_GB2312"/>
                <w:color w:val="auto"/>
                <w:sz w:val="24"/>
                <w:szCs w:val="24"/>
                <w:highlight w:val="none"/>
                <w:u w:val="single"/>
              </w:rPr>
              <w:t xml:space="preserve">        </w:t>
            </w:r>
          </w:p>
          <w:p w14:paraId="79A36C5C">
            <w:pPr>
              <w:pStyle w:val="11"/>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委托代理人：</w:t>
            </w:r>
            <w:r>
              <w:rPr>
                <w:rFonts w:hint="eastAsia" w:ascii="仿宋_GB2312" w:hAnsi="仿宋_GB2312" w:eastAsia="仿宋_GB2312" w:cs="仿宋_GB2312"/>
                <w:color w:val="auto"/>
                <w:sz w:val="24"/>
                <w:szCs w:val="24"/>
                <w:highlight w:val="none"/>
                <w:u w:val="single"/>
              </w:rPr>
              <w:t xml:space="preserve">                    </w:t>
            </w:r>
          </w:p>
          <w:p w14:paraId="307E34C5">
            <w:pPr>
              <w:pStyle w:val="11"/>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电话：</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   </w:t>
            </w:r>
          </w:p>
          <w:p w14:paraId="75290D6E">
            <w:pPr>
              <w:pStyle w:val="11"/>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邮政编码：</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19EDB58F">
            <w:pPr>
              <w:pStyle w:val="11"/>
              <w:wordWrap w:val="0"/>
              <w:spacing w:line="360" w:lineRule="auto"/>
              <w:jc w:val="left"/>
              <w:rPr>
                <w:rFonts w:hint="default" w:ascii="仿宋_GB2312" w:hAnsi="仿宋_GB2312" w:eastAsia="仿宋_GB2312" w:cs="仿宋_GB2312"/>
                <w:color w:val="auto"/>
                <w:highlight w:val="none"/>
                <w:u w:val="single"/>
                <w:lang w:val="en-US" w:eastAsia="zh-CN"/>
              </w:rPr>
            </w:pPr>
            <w:r>
              <w:rPr>
                <w:rFonts w:hint="eastAsia" w:ascii="仿宋_GB2312" w:hAnsi="仿宋_GB2312" w:eastAsia="仿宋_GB2312" w:cs="仿宋_GB2312"/>
                <w:color w:val="auto"/>
                <w:sz w:val="24"/>
                <w:szCs w:val="24"/>
                <w:highlight w:val="none"/>
              </w:rPr>
              <w:t>统一社会信用代码：</w:t>
            </w:r>
            <w:r>
              <w:rPr>
                <w:rFonts w:hint="eastAsia" w:ascii="仿宋_GB2312" w:hAnsi="仿宋_GB2312" w:eastAsia="仿宋_GB2312" w:cs="仿宋_GB2312"/>
                <w:color w:val="auto"/>
                <w:sz w:val="24"/>
                <w:szCs w:val="24"/>
                <w:highlight w:val="none"/>
                <w:u w:val="single"/>
                <w:lang w:val="en-US" w:eastAsia="zh-CN"/>
              </w:rPr>
              <w:t xml:space="preserve">        </w:t>
            </w:r>
          </w:p>
          <w:p w14:paraId="7B309ABF">
            <w:pPr>
              <w:pStyle w:val="11"/>
              <w:spacing w:line="360" w:lineRule="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rPr>
              <w:t>开户银行：</w:t>
            </w:r>
            <w:r>
              <w:rPr>
                <w:rFonts w:hint="eastAsia" w:ascii="仿宋_GB2312" w:hAnsi="仿宋_GB2312" w:eastAsia="仿宋_GB2312" w:cs="仿宋_GB2312"/>
                <w:color w:val="auto"/>
                <w:sz w:val="24"/>
                <w:szCs w:val="24"/>
                <w:highlight w:val="none"/>
                <w:u w:val="single"/>
                <w:lang w:val="en-US" w:eastAsia="zh-CN"/>
              </w:rPr>
              <w:t xml:space="preserve">          </w:t>
            </w:r>
          </w:p>
          <w:p w14:paraId="3856B982">
            <w:pPr>
              <w:pStyle w:val="11"/>
              <w:spacing w:line="360" w:lineRule="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开户名称：</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2B2C7588">
            <w:pPr>
              <w:pStyle w:val="11"/>
              <w:spacing w:line="360" w:lineRule="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4"/>
                <w:szCs w:val="24"/>
                <w:highlight w:val="none"/>
              </w:rPr>
              <w:t>银行账号：</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tc>
      </w:tr>
    </w:tbl>
    <w:p w14:paraId="737AF334">
      <w:pPr>
        <w:pStyle w:val="11"/>
        <w:spacing w:line="360" w:lineRule="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合同签订地点：广西百色市</w:t>
      </w:r>
      <w:r>
        <w:rPr>
          <w:rFonts w:hint="eastAsia" w:ascii="仿宋_GB2312" w:hAnsi="仿宋_GB2312" w:eastAsia="仿宋_GB2312" w:cs="仿宋_GB2312"/>
          <w:color w:val="auto"/>
          <w:sz w:val="24"/>
          <w:szCs w:val="24"/>
          <w:highlight w:val="none"/>
          <w:lang w:val="en-US" w:eastAsia="zh-CN"/>
        </w:rPr>
        <w:t>乐业县</w:t>
      </w:r>
    </w:p>
    <w:p w14:paraId="05652022">
      <w:pPr>
        <w:pStyle w:val="11"/>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合同签订日期：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日</w:t>
      </w:r>
    </w:p>
    <w:p w14:paraId="4CF77768">
      <w:pPr>
        <w:snapToGrid w:val="0"/>
        <w:spacing w:line="360" w:lineRule="auto"/>
        <w:rPr>
          <w:rFonts w:hint="eastAsia" w:ascii="仿宋" w:hAnsi="仿宋" w:eastAsia="仿宋" w:cs="仿宋"/>
          <w:b/>
          <w:color w:val="auto"/>
          <w:szCs w:val="21"/>
          <w:highlight w:val="none"/>
        </w:rPr>
      </w:pPr>
    </w:p>
    <w:bookmarkEnd w:id="13"/>
    <w:p w14:paraId="3725F2A4">
      <w:pPr>
        <w:spacing w:line="360" w:lineRule="auto"/>
        <w:rPr>
          <w:rFonts w:hint="eastAsia" w:ascii="仿宋" w:hAnsi="仿宋" w:eastAsia="仿宋" w:cs="仿宋"/>
          <w:color w:val="auto"/>
          <w:sz w:val="24"/>
          <w:szCs w:val="24"/>
          <w:highlight w:val="none"/>
        </w:rPr>
      </w:pPr>
    </w:p>
    <w:p w14:paraId="4AD8C549">
      <w:pPr>
        <w:pStyle w:val="2"/>
        <w:spacing w:before="120" w:after="120" w:line="600" w:lineRule="exact"/>
        <w:jc w:val="both"/>
        <w:rPr>
          <w:rFonts w:hint="eastAsia" w:ascii="仿宋" w:hAnsi="仿宋" w:eastAsia="仿宋" w:cs="仿宋"/>
          <w:color w:val="auto"/>
          <w:kern w:val="0"/>
          <w:sz w:val="24"/>
          <w:szCs w:val="24"/>
          <w:highlight w:val="none"/>
        </w:rPr>
      </w:pPr>
    </w:p>
    <w:p w14:paraId="05F6FFA7">
      <w:pPr>
        <w:rPr>
          <w:rFonts w:hint="eastAsia" w:ascii="仿宋" w:hAnsi="仿宋" w:eastAsia="仿宋" w:cs="仿宋"/>
          <w:color w:val="auto"/>
          <w:highlight w:val="none"/>
        </w:rPr>
      </w:pPr>
    </w:p>
    <w:p w14:paraId="5D37DAB8">
      <w:pPr>
        <w:shd w:val="clear" w:color="auto" w:fill="auto"/>
        <w:spacing w:line="580" w:lineRule="exact"/>
        <w:jc w:val="both"/>
        <w:rPr>
          <w:rFonts w:hint="eastAsia" w:ascii="仿宋" w:hAnsi="仿宋" w:eastAsia="仿宋" w:cs="仿宋"/>
          <w:color w:val="auto"/>
          <w:sz w:val="24"/>
          <w:szCs w:val="24"/>
          <w:highlight w:val="none"/>
          <w:lang w:eastAsia="zh-CN"/>
        </w:rPr>
      </w:pPr>
    </w:p>
    <w:p w14:paraId="2050615C">
      <w:pPr>
        <w:shd w:val="clear" w:color="auto" w:fill="auto"/>
        <w:spacing w:line="580" w:lineRule="exact"/>
        <w:jc w:val="both"/>
        <w:rPr>
          <w:rFonts w:hint="eastAsia" w:ascii="仿宋" w:hAnsi="仿宋" w:eastAsia="仿宋" w:cs="仿宋"/>
          <w:color w:val="auto"/>
          <w:sz w:val="24"/>
          <w:szCs w:val="24"/>
          <w:highlight w:val="none"/>
          <w:lang w:eastAsia="zh-CN"/>
        </w:rPr>
      </w:pPr>
    </w:p>
    <w:p w14:paraId="141CFB7E">
      <w:pPr>
        <w:shd w:val="clear" w:color="auto" w:fill="auto"/>
        <w:spacing w:line="58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附件</w:t>
      </w:r>
      <w:r>
        <w:rPr>
          <w:rFonts w:hint="eastAsia" w:ascii="仿宋" w:hAnsi="仿宋" w:eastAsia="仿宋" w:cs="仿宋"/>
          <w:color w:val="auto"/>
          <w:sz w:val="24"/>
          <w:szCs w:val="24"/>
          <w:highlight w:val="none"/>
          <w:lang w:val="en-US" w:eastAsia="zh-CN"/>
        </w:rPr>
        <w:t>1：</w:t>
      </w:r>
    </w:p>
    <w:p w14:paraId="5B688E8F">
      <w:pPr>
        <w:shd w:val="clear" w:color="auto" w:fill="auto"/>
        <w:spacing w:line="580" w:lineRule="exact"/>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广西壮族自治区政府采购项目合同验收书（格式）</w:t>
      </w:r>
    </w:p>
    <w:p w14:paraId="09A144A2">
      <w:pPr>
        <w:shd w:val="clear" w:color="auto" w:fill="auto"/>
        <w:spacing w:line="440" w:lineRule="exact"/>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根据政府采购项目（</w:t>
      </w:r>
      <w:r>
        <w:rPr>
          <w:rFonts w:hint="eastAsia" w:ascii="仿宋" w:hAnsi="仿宋" w:eastAsia="仿宋" w:cs="仿宋"/>
          <w:color w:val="auto"/>
          <w:sz w:val="24"/>
          <w:highlight w:val="none"/>
          <w:u w:val="single"/>
        </w:rPr>
        <w:t>采购合同编号：</w:t>
      </w:r>
      <w:r>
        <w:rPr>
          <w:rFonts w:hint="eastAsia" w:ascii="仿宋" w:hAnsi="仿宋" w:eastAsia="仿宋" w:cs="仿宋"/>
          <w:color w:val="auto"/>
          <w:sz w:val="24"/>
          <w:highlight w:val="none"/>
          <w:u w:val="single"/>
        </w:rPr>
        <w:softHyphen/>
      </w:r>
      <w:r>
        <w:rPr>
          <w:rFonts w:hint="eastAsia" w:ascii="仿宋" w:hAnsi="仿宋" w:eastAsia="仿宋" w:cs="仿宋"/>
          <w:color w:val="auto"/>
          <w:sz w:val="24"/>
          <w:highlight w:val="none"/>
        </w:rPr>
        <w:t>）的约定，我单位对（</w:t>
      </w:r>
      <w:r>
        <w:rPr>
          <w:rFonts w:hint="eastAsia" w:ascii="仿宋" w:hAnsi="仿宋" w:eastAsia="仿宋" w:cs="仿宋"/>
          <w:color w:val="auto"/>
          <w:sz w:val="24"/>
          <w:highlight w:val="none"/>
          <w:u w:val="single"/>
        </w:rPr>
        <w:t xml:space="preserve"> 项目名称 </w:t>
      </w:r>
      <w:r>
        <w:rPr>
          <w:rFonts w:hint="eastAsia" w:ascii="仿宋" w:hAnsi="仿宋" w:eastAsia="仿宋" w:cs="仿宋"/>
          <w:color w:val="auto"/>
          <w:sz w:val="24"/>
          <w:highlight w:val="none"/>
        </w:rPr>
        <w:t>） 政府采购项目</w:t>
      </w:r>
      <w:r>
        <w:rPr>
          <w:rFonts w:hint="eastAsia" w:ascii="仿宋" w:hAnsi="仿宋" w:eastAsia="仿宋" w:cs="仿宋"/>
          <w:color w:val="auto"/>
          <w:sz w:val="24"/>
          <w:highlight w:val="none"/>
          <w:lang w:eastAsia="zh-CN"/>
        </w:rPr>
        <w:t>中标供应商</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公司名称 </w:t>
      </w:r>
      <w:r>
        <w:rPr>
          <w:rFonts w:hint="eastAsia" w:ascii="仿宋" w:hAnsi="仿宋" w:eastAsia="仿宋" w:cs="仿宋"/>
          <w:color w:val="auto"/>
          <w:sz w:val="24"/>
          <w:highlight w:val="none"/>
        </w:rPr>
        <w:t>） 提供的货物（或工程、服务）进行了验收，验收情况如下：</w:t>
      </w:r>
    </w:p>
    <w:tbl>
      <w:tblPr>
        <w:tblStyle w:val="17"/>
        <w:tblW w:w="9177" w:type="dxa"/>
        <w:jc w:val="center"/>
        <w:tblLayout w:type="fixed"/>
        <w:tblCellMar>
          <w:top w:w="0" w:type="dxa"/>
          <w:left w:w="0" w:type="dxa"/>
          <w:bottom w:w="0" w:type="dxa"/>
          <w:right w:w="0" w:type="dxa"/>
        </w:tblCellMar>
      </w:tblPr>
      <w:tblGrid>
        <w:gridCol w:w="1159"/>
        <w:gridCol w:w="2093"/>
        <w:gridCol w:w="798"/>
        <w:gridCol w:w="102"/>
        <w:gridCol w:w="2002"/>
        <w:gridCol w:w="178"/>
        <w:gridCol w:w="685"/>
        <w:gridCol w:w="2160"/>
      </w:tblGrid>
      <w:tr w14:paraId="376BB29F">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0"/>
            <w:vAlign w:val="center"/>
          </w:tcPr>
          <w:p w14:paraId="208C2700">
            <w:pPr>
              <w:spacing w:before="100" w:beforeAutospacing="1" w:after="100" w:afterAutospacing="1" w:line="320" w:lineRule="atLeast"/>
              <w:ind w:firstLine="5"/>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验收方式：</w:t>
            </w:r>
          </w:p>
        </w:tc>
        <w:tc>
          <w:tcPr>
            <w:tcW w:w="5925" w:type="dxa"/>
            <w:gridSpan w:val="6"/>
            <w:tcBorders>
              <w:top w:val="single" w:color="auto" w:sz="8" w:space="0"/>
              <w:left w:val="nil"/>
              <w:bottom w:val="single" w:color="auto" w:sz="8" w:space="0"/>
              <w:right w:val="single" w:color="auto" w:sz="8" w:space="0"/>
            </w:tcBorders>
            <w:noWrap w:val="0"/>
            <w:vAlign w:val="center"/>
          </w:tcPr>
          <w:p w14:paraId="57CE752C">
            <w:pPr>
              <w:spacing w:before="100" w:beforeAutospacing="1" w:after="100" w:afterAutospacing="1" w:line="320" w:lineRule="atLeast"/>
              <w:ind w:firstLine="48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□自行验收 □委托验收</w:t>
            </w:r>
          </w:p>
        </w:tc>
      </w:tr>
      <w:tr w14:paraId="3B3F9BE8">
        <w:tblPrEx>
          <w:tblCellMar>
            <w:top w:w="0" w:type="dxa"/>
            <w:left w:w="0" w:type="dxa"/>
            <w:bottom w:w="0" w:type="dxa"/>
            <w:right w:w="0" w:type="dxa"/>
          </w:tblCellMar>
        </w:tblPrEx>
        <w:trPr>
          <w:trHeight w:val="622" w:hRule="atLeast"/>
          <w:jc w:val="center"/>
        </w:trPr>
        <w:tc>
          <w:tcPr>
            <w:tcW w:w="1159" w:type="dxa"/>
            <w:tcBorders>
              <w:top w:val="nil"/>
              <w:left w:val="single" w:color="auto" w:sz="8" w:space="0"/>
              <w:bottom w:val="single" w:color="auto" w:sz="8" w:space="0"/>
              <w:right w:val="single" w:color="auto" w:sz="8" w:space="0"/>
            </w:tcBorders>
            <w:noWrap w:val="0"/>
            <w:vAlign w:val="center"/>
          </w:tcPr>
          <w:p w14:paraId="71952F9E">
            <w:pPr>
              <w:spacing w:before="100" w:beforeAutospacing="1" w:after="100" w:afterAutospacing="1" w:line="320" w:lineRule="atLeast"/>
              <w:ind w:firstLine="2"/>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093" w:type="dxa"/>
            <w:tcBorders>
              <w:top w:val="nil"/>
              <w:left w:val="nil"/>
              <w:bottom w:val="single" w:color="auto" w:sz="8" w:space="0"/>
              <w:right w:val="single" w:color="auto" w:sz="8" w:space="0"/>
            </w:tcBorders>
            <w:noWrap w:val="0"/>
            <w:vAlign w:val="center"/>
          </w:tcPr>
          <w:p w14:paraId="10D6D1C2">
            <w:pPr>
              <w:spacing w:before="100" w:beforeAutospacing="1" w:after="100" w:afterAutospacing="1" w:line="320" w:lineRule="atLeast"/>
              <w:ind w:firstLine="2"/>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 称</w:t>
            </w:r>
          </w:p>
        </w:tc>
        <w:tc>
          <w:tcPr>
            <w:tcW w:w="2902" w:type="dxa"/>
            <w:gridSpan w:val="3"/>
            <w:tcBorders>
              <w:top w:val="nil"/>
              <w:left w:val="nil"/>
              <w:bottom w:val="single" w:color="auto" w:sz="8" w:space="0"/>
              <w:right w:val="single" w:color="auto" w:sz="8" w:space="0"/>
            </w:tcBorders>
            <w:noWrap w:val="0"/>
            <w:vAlign w:val="center"/>
          </w:tcPr>
          <w:p w14:paraId="21AA8A78">
            <w:pPr>
              <w:spacing w:before="100" w:beforeAutospacing="1" w:after="100" w:afterAutospacing="1" w:line="320" w:lineRule="atLeast"/>
              <w:ind w:firstLine="2"/>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货物型号规格、标准及配置等（或服务内容、标准）</w:t>
            </w:r>
          </w:p>
        </w:tc>
        <w:tc>
          <w:tcPr>
            <w:tcW w:w="863" w:type="dxa"/>
            <w:gridSpan w:val="2"/>
            <w:tcBorders>
              <w:top w:val="nil"/>
              <w:left w:val="nil"/>
              <w:bottom w:val="single" w:color="auto" w:sz="8" w:space="0"/>
              <w:right w:val="single" w:color="auto" w:sz="8" w:space="0"/>
            </w:tcBorders>
            <w:noWrap w:val="0"/>
            <w:vAlign w:val="center"/>
          </w:tcPr>
          <w:p w14:paraId="3B86F3C6">
            <w:pPr>
              <w:spacing w:before="100" w:beforeAutospacing="1" w:after="100" w:afterAutospacing="1" w:line="3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数量</w:t>
            </w:r>
          </w:p>
        </w:tc>
        <w:tc>
          <w:tcPr>
            <w:tcW w:w="2160" w:type="dxa"/>
            <w:tcBorders>
              <w:top w:val="nil"/>
              <w:left w:val="nil"/>
              <w:bottom w:val="single" w:color="auto" w:sz="8" w:space="0"/>
              <w:right w:val="single" w:color="auto" w:sz="8" w:space="0"/>
            </w:tcBorders>
            <w:noWrap w:val="0"/>
            <w:vAlign w:val="center"/>
          </w:tcPr>
          <w:p w14:paraId="2B1AA12B">
            <w:pPr>
              <w:spacing w:before="100" w:beforeAutospacing="1" w:after="100" w:afterAutospacing="1" w:line="320" w:lineRule="atLeast"/>
              <w:ind w:firstLine="2"/>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金 额</w:t>
            </w:r>
          </w:p>
        </w:tc>
      </w:tr>
      <w:tr w14:paraId="2B76E9D6">
        <w:tblPrEx>
          <w:tblCellMar>
            <w:top w:w="0" w:type="dxa"/>
            <w:left w:w="0" w:type="dxa"/>
            <w:bottom w:w="0" w:type="dxa"/>
            <w:right w:w="0" w:type="dxa"/>
          </w:tblCellMar>
        </w:tblPrEx>
        <w:trPr>
          <w:trHeight w:val="487" w:hRule="atLeast"/>
          <w:jc w:val="center"/>
        </w:trPr>
        <w:tc>
          <w:tcPr>
            <w:tcW w:w="1159" w:type="dxa"/>
            <w:tcBorders>
              <w:top w:val="nil"/>
              <w:left w:val="single" w:color="auto" w:sz="8" w:space="0"/>
              <w:bottom w:val="single" w:color="auto" w:sz="8" w:space="0"/>
              <w:right w:val="single" w:color="auto" w:sz="8" w:space="0"/>
            </w:tcBorders>
            <w:noWrap w:val="0"/>
            <w:vAlign w:val="center"/>
          </w:tcPr>
          <w:p w14:paraId="4DCC1841">
            <w:pPr>
              <w:spacing w:before="100" w:beforeAutospacing="1" w:after="100" w:afterAutospacing="1" w:line="240" w:lineRule="atLeast"/>
              <w:jc w:val="center"/>
              <w:rPr>
                <w:rFonts w:hint="eastAsia" w:ascii="仿宋" w:hAnsi="仿宋" w:eastAsia="仿宋" w:cs="仿宋"/>
                <w:color w:val="auto"/>
                <w:szCs w:val="21"/>
                <w:highlight w:val="none"/>
              </w:rPr>
            </w:pPr>
          </w:p>
        </w:tc>
        <w:tc>
          <w:tcPr>
            <w:tcW w:w="2093" w:type="dxa"/>
            <w:tcBorders>
              <w:top w:val="nil"/>
              <w:left w:val="nil"/>
              <w:bottom w:val="single" w:color="auto" w:sz="8" w:space="0"/>
              <w:right w:val="single" w:color="auto" w:sz="8" w:space="0"/>
            </w:tcBorders>
            <w:noWrap w:val="0"/>
            <w:vAlign w:val="center"/>
          </w:tcPr>
          <w:p w14:paraId="6F602C40">
            <w:pPr>
              <w:spacing w:before="100" w:beforeAutospacing="1" w:after="100" w:afterAutospacing="1" w:line="240" w:lineRule="atLeast"/>
              <w:jc w:val="center"/>
              <w:rPr>
                <w:rFonts w:hint="eastAsia" w:ascii="仿宋" w:hAnsi="仿宋" w:eastAsia="仿宋" w:cs="仿宋"/>
                <w:color w:val="auto"/>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3C504709">
            <w:pPr>
              <w:spacing w:before="100" w:beforeAutospacing="1" w:after="100" w:afterAutospacing="1" w:line="240" w:lineRule="atLeast"/>
              <w:jc w:val="center"/>
              <w:rPr>
                <w:rFonts w:hint="eastAsia" w:ascii="仿宋" w:hAnsi="仿宋" w:eastAsia="仿宋" w:cs="仿宋"/>
                <w:color w:val="auto"/>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28EC1FB7">
            <w:pPr>
              <w:spacing w:before="100" w:beforeAutospacing="1" w:after="100" w:afterAutospacing="1" w:line="240" w:lineRule="atLeast"/>
              <w:jc w:val="center"/>
              <w:rPr>
                <w:rFonts w:hint="eastAsia" w:ascii="仿宋" w:hAnsi="仿宋" w:eastAsia="仿宋" w:cs="仿宋"/>
                <w:color w:val="auto"/>
                <w:szCs w:val="21"/>
                <w:highlight w:val="none"/>
              </w:rPr>
            </w:pPr>
          </w:p>
        </w:tc>
        <w:tc>
          <w:tcPr>
            <w:tcW w:w="2160" w:type="dxa"/>
            <w:tcBorders>
              <w:top w:val="nil"/>
              <w:left w:val="nil"/>
              <w:bottom w:val="single" w:color="auto" w:sz="8" w:space="0"/>
              <w:right w:val="single" w:color="auto" w:sz="8" w:space="0"/>
            </w:tcBorders>
            <w:noWrap w:val="0"/>
            <w:vAlign w:val="center"/>
          </w:tcPr>
          <w:p w14:paraId="4E443832">
            <w:pPr>
              <w:spacing w:before="100" w:beforeAutospacing="1" w:after="100" w:afterAutospacing="1" w:line="240" w:lineRule="atLeast"/>
              <w:jc w:val="center"/>
              <w:rPr>
                <w:rFonts w:hint="eastAsia" w:ascii="仿宋" w:hAnsi="仿宋" w:eastAsia="仿宋" w:cs="仿宋"/>
                <w:color w:val="auto"/>
                <w:szCs w:val="21"/>
                <w:highlight w:val="none"/>
              </w:rPr>
            </w:pPr>
          </w:p>
        </w:tc>
      </w:tr>
      <w:tr w14:paraId="1CE0AFF0">
        <w:tblPrEx>
          <w:tblCellMar>
            <w:top w:w="0" w:type="dxa"/>
            <w:left w:w="0" w:type="dxa"/>
            <w:bottom w:w="0" w:type="dxa"/>
            <w:right w:w="0" w:type="dxa"/>
          </w:tblCellMar>
        </w:tblPrEx>
        <w:trPr>
          <w:trHeight w:val="487" w:hRule="atLeast"/>
          <w:jc w:val="center"/>
        </w:trPr>
        <w:tc>
          <w:tcPr>
            <w:tcW w:w="1159" w:type="dxa"/>
            <w:tcBorders>
              <w:top w:val="nil"/>
              <w:left w:val="single" w:color="auto" w:sz="8" w:space="0"/>
              <w:bottom w:val="single" w:color="auto" w:sz="8" w:space="0"/>
              <w:right w:val="single" w:color="auto" w:sz="8" w:space="0"/>
            </w:tcBorders>
            <w:noWrap w:val="0"/>
            <w:vAlign w:val="center"/>
          </w:tcPr>
          <w:p w14:paraId="0A24F7A6">
            <w:pPr>
              <w:spacing w:before="100" w:beforeAutospacing="1" w:after="100" w:afterAutospacing="1" w:line="240" w:lineRule="atLeast"/>
              <w:jc w:val="center"/>
              <w:rPr>
                <w:rFonts w:hint="eastAsia" w:ascii="仿宋" w:hAnsi="仿宋" w:eastAsia="仿宋" w:cs="仿宋"/>
                <w:color w:val="auto"/>
                <w:szCs w:val="21"/>
                <w:highlight w:val="none"/>
              </w:rPr>
            </w:pPr>
          </w:p>
        </w:tc>
        <w:tc>
          <w:tcPr>
            <w:tcW w:w="2093" w:type="dxa"/>
            <w:tcBorders>
              <w:top w:val="nil"/>
              <w:left w:val="nil"/>
              <w:bottom w:val="single" w:color="auto" w:sz="8" w:space="0"/>
              <w:right w:val="single" w:color="auto" w:sz="8" w:space="0"/>
            </w:tcBorders>
            <w:noWrap w:val="0"/>
            <w:vAlign w:val="center"/>
          </w:tcPr>
          <w:p w14:paraId="341FBA2C">
            <w:pPr>
              <w:spacing w:before="100" w:beforeAutospacing="1" w:after="100" w:afterAutospacing="1" w:line="240" w:lineRule="atLeast"/>
              <w:jc w:val="center"/>
              <w:rPr>
                <w:rFonts w:hint="eastAsia" w:ascii="仿宋" w:hAnsi="仿宋" w:eastAsia="仿宋" w:cs="仿宋"/>
                <w:color w:val="auto"/>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3F810A09">
            <w:pPr>
              <w:spacing w:before="100" w:beforeAutospacing="1" w:after="100" w:afterAutospacing="1" w:line="240" w:lineRule="atLeast"/>
              <w:jc w:val="center"/>
              <w:rPr>
                <w:rFonts w:hint="eastAsia" w:ascii="仿宋" w:hAnsi="仿宋" w:eastAsia="仿宋" w:cs="仿宋"/>
                <w:color w:val="auto"/>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2D21F7F7">
            <w:pPr>
              <w:spacing w:before="100" w:beforeAutospacing="1" w:after="100" w:afterAutospacing="1" w:line="240" w:lineRule="atLeast"/>
              <w:jc w:val="center"/>
              <w:rPr>
                <w:rFonts w:hint="eastAsia" w:ascii="仿宋" w:hAnsi="仿宋" w:eastAsia="仿宋" w:cs="仿宋"/>
                <w:color w:val="auto"/>
                <w:szCs w:val="21"/>
                <w:highlight w:val="none"/>
              </w:rPr>
            </w:pPr>
          </w:p>
        </w:tc>
        <w:tc>
          <w:tcPr>
            <w:tcW w:w="2160" w:type="dxa"/>
            <w:tcBorders>
              <w:top w:val="nil"/>
              <w:left w:val="nil"/>
              <w:bottom w:val="single" w:color="auto" w:sz="8" w:space="0"/>
              <w:right w:val="single" w:color="auto" w:sz="8" w:space="0"/>
            </w:tcBorders>
            <w:noWrap w:val="0"/>
            <w:vAlign w:val="center"/>
          </w:tcPr>
          <w:p w14:paraId="2A02348C">
            <w:pPr>
              <w:spacing w:before="100" w:beforeAutospacing="1" w:after="100" w:afterAutospacing="1" w:line="240" w:lineRule="atLeast"/>
              <w:jc w:val="center"/>
              <w:rPr>
                <w:rFonts w:hint="eastAsia" w:ascii="仿宋" w:hAnsi="仿宋" w:eastAsia="仿宋" w:cs="仿宋"/>
                <w:color w:val="auto"/>
                <w:szCs w:val="21"/>
                <w:highlight w:val="none"/>
              </w:rPr>
            </w:pPr>
          </w:p>
        </w:tc>
      </w:tr>
      <w:tr w14:paraId="13017F36">
        <w:tblPrEx>
          <w:tblCellMar>
            <w:top w:w="0" w:type="dxa"/>
            <w:left w:w="0" w:type="dxa"/>
            <w:bottom w:w="0" w:type="dxa"/>
            <w:right w:w="0" w:type="dxa"/>
          </w:tblCellMar>
        </w:tblPrEx>
        <w:trPr>
          <w:trHeight w:val="487" w:hRule="atLeast"/>
          <w:jc w:val="center"/>
        </w:trPr>
        <w:tc>
          <w:tcPr>
            <w:tcW w:w="1159" w:type="dxa"/>
            <w:tcBorders>
              <w:top w:val="nil"/>
              <w:left w:val="single" w:color="auto" w:sz="8" w:space="0"/>
              <w:bottom w:val="single" w:color="auto" w:sz="8" w:space="0"/>
              <w:right w:val="single" w:color="auto" w:sz="8" w:space="0"/>
            </w:tcBorders>
            <w:noWrap w:val="0"/>
            <w:vAlign w:val="center"/>
          </w:tcPr>
          <w:p w14:paraId="29203F71">
            <w:pPr>
              <w:spacing w:before="100" w:beforeAutospacing="1" w:after="100" w:afterAutospacing="1" w:line="240" w:lineRule="atLeast"/>
              <w:jc w:val="center"/>
              <w:rPr>
                <w:rFonts w:hint="eastAsia" w:ascii="仿宋" w:hAnsi="仿宋" w:eastAsia="仿宋" w:cs="仿宋"/>
                <w:color w:val="auto"/>
                <w:szCs w:val="21"/>
                <w:highlight w:val="none"/>
              </w:rPr>
            </w:pPr>
          </w:p>
        </w:tc>
        <w:tc>
          <w:tcPr>
            <w:tcW w:w="2093" w:type="dxa"/>
            <w:tcBorders>
              <w:top w:val="nil"/>
              <w:left w:val="nil"/>
              <w:bottom w:val="single" w:color="auto" w:sz="8" w:space="0"/>
              <w:right w:val="single" w:color="auto" w:sz="8" w:space="0"/>
            </w:tcBorders>
            <w:noWrap w:val="0"/>
            <w:vAlign w:val="center"/>
          </w:tcPr>
          <w:p w14:paraId="7B7C846E">
            <w:pPr>
              <w:spacing w:before="100" w:beforeAutospacing="1" w:after="100" w:afterAutospacing="1" w:line="240" w:lineRule="atLeast"/>
              <w:jc w:val="center"/>
              <w:rPr>
                <w:rFonts w:hint="eastAsia" w:ascii="仿宋" w:hAnsi="仿宋" w:eastAsia="仿宋" w:cs="仿宋"/>
                <w:color w:val="auto"/>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6A7DC347">
            <w:pPr>
              <w:spacing w:before="100" w:beforeAutospacing="1" w:after="100" w:afterAutospacing="1" w:line="240" w:lineRule="atLeast"/>
              <w:jc w:val="center"/>
              <w:rPr>
                <w:rFonts w:hint="eastAsia" w:ascii="仿宋" w:hAnsi="仿宋" w:eastAsia="仿宋" w:cs="仿宋"/>
                <w:color w:val="auto"/>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7E99F430">
            <w:pPr>
              <w:spacing w:before="100" w:beforeAutospacing="1" w:after="100" w:afterAutospacing="1" w:line="240" w:lineRule="atLeast"/>
              <w:jc w:val="center"/>
              <w:rPr>
                <w:rFonts w:hint="eastAsia" w:ascii="仿宋" w:hAnsi="仿宋" w:eastAsia="仿宋" w:cs="仿宋"/>
                <w:color w:val="auto"/>
                <w:szCs w:val="21"/>
                <w:highlight w:val="none"/>
              </w:rPr>
            </w:pPr>
          </w:p>
        </w:tc>
        <w:tc>
          <w:tcPr>
            <w:tcW w:w="2160" w:type="dxa"/>
            <w:tcBorders>
              <w:top w:val="nil"/>
              <w:left w:val="nil"/>
              <w:bottom w:val="single" w:color="auto" w:sz="8" w:space="0"/>
              <w:right w:val="single" w:color="auto" w:sz="8" w:space="0"/>
            </w:tcBorders>
            <w:noWrap w:val="0"/>
            <w:vAlign w:val="center"/>
          </w:tcPr>
          <w:p w14:paraId="2E3E1DC2">
            <w:pPr>
              <w:spacing w:before="100" w:beforeAutospacing="1" w:after="100" w:afterAutospacing="1" w:line="240" w:lineRule="atLeast"/>
              <w:jc w:val="center"/>
              <w:rPr>
                <w:rFonts w:hint="eastAsia" w:ascii="仿宋" w:hAnsi="仿宋" w:eastAsia="仿宋" w:cs="仿宋"/>
                <w:color w:val="auto"/>
                <w:szCs w:val="21"/>
                <w:highlight w:val="none"/>
              </w:rPr>
            </w:pPr>
          </w:p>
        </w:tc>
      </w:tr>
      <w:tr w14:paraId="26A71B44">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0"/>
            <w:vAlign w:val="center"/>
          </w:tcPr>
          <w:p w14:paraId="6758A7B8">
            <w:pPr>
              <w:spacing w:before="100" w:beforeAutospacing="1" w:after="100" w:afterAutospacing="1" w:line="320" w:lineRule="atLeast"/>
              <w:ind w:firstLine="5"/>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030F5426">
            <w:pPr>
              <w:spacing w:before="100" w:beforeAutospacing="1" w:after="100" w:afterAutospacing="1" w:line="240" w:lineRule="atLeast"/>
              <w:jc w:val="center"/>
              <w:rPr>
                <w:rFonts w:hint="eastAsia" w:ascii="仿宋" w:hAnsi="仿宋" w:eastAsia="仿宋" w:cs="仿宋"/>
                <w:color w:val="auto"/>
                <w:szCs w:val="21"/>
                <w:highlight w:val="none"/>
              </w:rPr>
            </w:pPr>
          </w:p>
        </w:tc>
        <w:tc>
          <w:tcPr>
            <w:tcW w:w="2160" w:type="dxa"/>
            <w:tcBorders>
              <w:top w:val="nil"/>
              <w:left w:val="nil"/>
              <w:bottom w:val="single" w:color="auto" w:sz="8" w:space="0"/>
              <w:right w:val="single" w:color="auto" w:sz="8" w:space="0"/>
            </w:tcBorders>
            <w:noWrap w:val="0"/>
            <w:vAlign w:val="center"/>
          </w:tcPr>
          <w:p w14:paraId="70617A16">
            <w:pPr>
              <w:spacing w:before="100" w:beforeAutospacing="1" w:after="100" w:afterAutospacing="1" w:line="240" w:lineRule="atLeast"/>
              <w:jc w:val="center"/>
              <w:rPr>
                <w:rFonts w:hint="eastAsia" w:ascii="仿宋" w:hAnsi="仿宋" w:eastAsia="仿宋" w:cs="仿宋"/>
                <w:color w:val="auto"/>
                <w:szCs w:val="21"/>
                <w:highlight w:val="none"/>
              </w:rPr>
            </w:pPr>
          </w:p>
        </w:tc>
      </w:tr>
      <w:tr w14:paraId="18D3EF50">
        <w:tblPrEx>
          <w:tblCellMar>
            <w:top w:w="0" w:type="dxa"/>
            <w:left w:w="0" w:type="dxa"/>
            <w:bottom w:w="0" w:type="dxa"/>
            <w:right w:w="0" w:type="dxa"/>
          </w:tblCellMar>
        </w:tblPrEx>
        <w:trPr>
          <w:trHeight w:val="641" w:hRule="atLeast"/>
          <w:jc w:val="center"/>
        </w:trPr>
        <w:tc>
          <w:tcPr>
            <w:tcW w:w="9177" w:type="dxa"/>
            <w:gridSpan w:val="8"/>
            <w:tcBorders>
              <w:top w:val="nil"/>
              <w:left w:val="single" w:color="auto" w:sz="8" w:space="0"/>
              <w:bottom w:val="single" w:color="auto" w:sz="8" w:space="0"/>
              <w:right w:val="single" w:color="auto" w:sz="8" w:space="0"/>
            </w:tcBorders>
            <w:noWrap w:val="0"/>
            <w:vAlign w:val="center"/>
          </w:tcPr>
          <w:p w14:paraId="26D40BCC">
            <w:pPr>
              <w:spacing w:before="100" w:beforeAutospacing="1" w:after="100" w:afterAutospacing="1" w:line="320" w:lineRule="atLeast"/>
              <w:ind w:firstLine="2"/>
              <w:rPr>
                <w:rFonts w:hint="eastAsia" w:ascii="仿宋" w:hAnsi="仿宋" w:eastAsia="仿宋" w:cs="仿宋"/>
                <w:color w:val="auto"/>
                <w:szCs w:val="21"/>
                <w:highlight w:val="none"/>
              </w:rPr>
            </w:pPr>
            <w:r>
              <w:rPr>
                <w:rFonts w:hint="eastAsia" w:ascii="仿宋" w:hAnsi="仿宋" w:eastAsia="仿宋" w:cs="仿宋"/>
                <w:color w:val="auto"/>
                <w:szCs w:val="21"/>
                <w:highlight w:val="none"/>
              </w:rPr>
              <w:t>合计大写金额： 仟 佰 拾 万 仟 佰 拾 元</w:t>
            </w:r>
          </w:p>
        </w:tc>
      </w:tr>
      <w:tr w14:paraId="5E7E2F9F">
        <w:tblPrEx>
          <w:tblCellMar>
            <w:top w:w="0" w:type="dxa"/>
            <w:left w:w="0" w:type="dxa"/>
            <w:bottom w:w="0" w:type="dxa"/>
            <w:right w:w="0" w:type="dxa"/>
          </w:tblCellMar>
        </w:tblPrEx>
        <w:trPr>
          <w:trHeight w:val="641" w:hRule="atLeast"/>
          <w:jc w:val="center"/>
        </w:trPr>
        <w:tc>
          <w:tcPr>
            <w:tcW w:w="1159" w:type="dxa"/>
            <w:tcBorders>
              <w:top w:val="nil"/>
              <w:left w:val="single" w:color="auto" w:sz="8" w:space="0"/>
              <w:bottom w:val="single" w:color="auto" w:sz="8" w:space="0"/>
              <w:right w:val="single" w:color="auto" w:sz="8" w:space="0"/>
            </w:tcBorders>
            <w:noWrap w:val="0"/>
            <w:vAlign w:val="center"/>
          </w:tcPr>
          <w:p w14:paraId="5348F999">
            <w:pPr>
              <w:spacing w:before="100" w:beforeAutospacing="1" w:after="100" w:afterAutospacing="1" w:line="320" w:lineRule="atLeast"/>
              <w:ind w:firstLine="2"/>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实际供货日期</w:t>
            </w:r>
          </w:p>
        </w:tc>
        <w:tc>
          <w:tcPr>
            <w:tcW w:w="2891" w:type="dxa"/>
            <w:gridSpan w:val="2"/>
            <w:tcBorders>
              <w:top w:val="nil"/>
              <w:left w:val="nil"/>
              <w:bottom w:val="single" w:color="auto" w:sz="8" w:space="0"/>
              <w:right w:val="single" w:color="auto" w:sz="8" w:space="0"/>
            </w:tcBorders>
            <w:noWrap w:val="0"/>
            <w:vAlign w:val="center"/>
          </w:tcPr>
          <w:p w14:paraId="28388FA4">
            <w:pPr>
              <w:spacing w:before="100" w:beforeAutospacing="1" w:after="100" w:afterAutospacing="1" w:line="240" w:lineRule="atLeast"/>
              <w:jc w:val="center"/>
              <w:rPr>
                <w:rFonts w:hint="eastAsia" w:ascii="仿宋" w:hAnsi="仿宋" w:eastAsia="仿宋" w:cs="仿宋"/>
                <w:color w:val="auto"/>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1D22BDE5">
            <w:pPr>
              <w:spacing w:before="100" w:beforeAutospacing="1" w:after="100" w:afterAutospacing="1" w:line="320" w:lineRule="atLeast"/>
              <w:ind w:firstLine="46"/>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合同交货验收日期</w:t>
            </w:r>
          </w:p>
        </w:tc>
        <w:tc>
          <w:tcPr>
            <w:tcW w:w="2845" w:type="dxa"/>
            <w:gridSpan w:val="2"/>
            <w:tcBorders>
              <w:top w:val="nil"/>
              <w:left w:val="nil"/>
              <w:bottom w:val="single" w:color="auto" w:sz="8" w:space="0"/>
              <w:right w:val="single" w:color="auto" w:sz="8" w:space="0"/>
            </w:tcBorders>
            <w:noWrap w:val="0"/>
            <w:vAlign w:val="center"/>
          </w:tcPr>
          <w:p w14:paraId="1AD15EF0">
            <w:pPr>
              <w:spacing w:before="100" w:beforeAutospacing="1" w:after="100" w:afterAutospacing="1" w:line="240" w:lineRule="atLeast"/>
              <w:jc w:val="center"/>
              <w:rPr>
                <w:rFonts w:hint="eastAsia" w:ascii="仿宋" w:hAnsi="仿宋" w:eastAsia="仿宋" w:cs="仿宋"/>
                <w:color w:val="auto"/>
                <w:szCs w:val="21"/>
                <w:highlight w:val="none"/>
              </w:rPr>
            </w:pPr>
          </w:p>
        </w:tc>
      </w:tr>
      <w:tr w14:paraId="03454065">
        <w:tblPrEx>
          <w:tblCellMar>
            <w:top w:w="0" w:type="dxa"/>
            <w:left w:w="0" w:type="dxa"/>
            <w:bottom w:w="0" w:type="dxa"/>
            <w:right w:w="0" w:type="dxa"/>
          </w:tblCellMar>
        </w:tblPrEx>
        <w:trPr>
          <w:trHeight w:val="394" w:hRule="atLeast"/>
          <w:jc w:val="center"/>
        </w:trPr>
        <w:tc>
          <w:tcPr>
            <w:tcW w:w="1159" w:type="dxa"/>
            <w:tcBorders>
              <w:top w:val="nil"/>
              <w:left w:val="single" w:color="auto" w:sz="8" w:space="0"/>
              <w:bottom w:val="single" w:color="auto" w:sz="8" w:space="0"/>
              <w:right w:val="single" w:color="auto" w:sz="8" w:space="0"/>
            </w:tcBorders>
            <w:noWrap w:val="0"/>
            <w:vAlign w:val="center"/>
          </w:tcPr>
          <w:p w14:paraId="6DBEA503">
            <w:pPr>
              <w:spacing w:before="100" w:beforeAutospacing="1" w:after="100" w:afterAutospacing="1" w:line="240" w:lineRule="atLeast"/>
              <w:jc w:val="center"/>
              <w:rPr>
                <w:rFonts w:hint="eastAsia" w:ascii="仿宋" w:hAnsi="仿宋" w:eastAsia="仿宋" w:cs="仿宋"/>
                <w:color w:val="auto"/>
                <w:szCs w:val="21"/>
                <w:highlight w:val="none"/>
              </w:rPr>
            </w:pPr>
          </w:p>
        </w:tc>
        <w:tc>
          <w:tcPr>
            <w:tcW w:w="2891" w:type="dxa"/>
            <w:gridSpan w:val="2"/>
            <w:tcBorders>
              <w:top w:val="nil"/>
              <w:left w:val="nil"/>
              <w:bottom w:val="single" w:color="auto" w:sz="8" w:space="0"/>
              <w:right w:val="single" w:color="auto" w:sz="8" w:space="0"/>
            </w:tcBorders>
            <w:noWrap w:val="0"/>
            <w:vAlign w:val="center"/>
          </w:tcPr>
          <w:p w14:paraId="3DC49670">
            <w:pPr>
              <w:spacing w:before="100" w:beforeAutospacing="1" w:after="100" w:afterAutospacing="1" w:line="240" w:lineRule="atLeast"/>
              <w:jc w:val="center"/>
              <w:rPr>
                <w:rFonts w:hint="eastAsia" w:ascii="仿宋" w:hAnsi="仿宋" w:eastAsia="仿宋" w:cs="仿宋"/>
                <w:color w:val="auto"/>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2B74E77A">
            <w:pPr>
              <w:spacing w:before="100" w:beforeAutospacing="1" w:after="100" w:afterAutospacing="1" w:line="240" w:lineRule="atLeast"/>
              <w:jc w:val="center"/>
              <w:rPr>
                <w:rFonts w:hint="eastAsia" w:ascii="仿宋" w:hAnsi="仿宋" w:eastAsia="仿宋" w:cs="仿宋"/>
                <w:color w:val="auto"/>
                <w:szCs w:val="21"/>
                <w:highlight w:val="none"/>
              </w:rPr>
            </w:pPr>
          </w:p>
        </w:tc>
        <w:tc>
          <w:tcPr>
            <w:tcW w:w="2845" w:type="dxa"/>
            <w:gridSpan w:val="2"/>
            <w:tcBorders>
              <w:top w:val="nil"/>
              <w:left w:val="nil"/>
              <w:bottom w:val="single" w:color="auto" w:sz="8" w:space="0"/>
              <w:right w:val="single" w:color="auto" w:sz="8" w:space="0"/>
            </w:tcBorders>
            <w:noWrap w:val="0"/>
            <w:vAlign w:val="center"/>
          </w:tcPr>
          <w:p w14:paraId="6D316621">
            <w:pPr>
              <w:spacing w:before="100" w:beforeAutospacing="1" w:after="100" w:afterAutospacing="1" w:line="240" w:lineRule="atLeast"/>
              <w:jc w:val="center"/>
              <w:rPr>
                <w:rFonts w:hint="eastAsia" w:ascii="仿宋" w:hAnsi="仿宋" w:eastAsia="仿宋" w:cs="仿宋"/>
                <w:color w:val="auto"/>
                <w:szCs w:val="21"/>
                <w:highlight w:val="none"/>
              </w:rPr>
            </w:pPr>
          </w:p>
        </w:tc>
      </w:tr>
      <w:tr w14:paraId="59EF7528">
        <w:tblPrEx>
          <w:tblCellMar>
            <w:top w:w="0" w:type="dxa"/>
            <w:left w:w="0" w:type="dxa"/>
            <w:bottom w:w="0" w:type="dxa"/>
            <w:right w:w="0" w:type="dxa"/>
          </w:tblCellMar>
        </w:tblPrEx>
        <w:trPr>
          <w:trHeight w:val="693" w:hRule="atLeast"/>
          <w:jc w:val="center"/>
        </w:trPr>
        <w:tc>
          <w:tcPr>
            <w:tcW w:w="115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775B34C">
            <w:pPr>
              <w:spacing w:before="100" w:beforeAutospacing="1" w:after="100" w:afterAutospacing="1" w:line="320" w:lineRule="atLeast"/>
              <w:rPr>
                <w:rFonts w:hint="eastAsia" w:ascii="仿宋" w:hAnsi="仿宋" w:eastAsia="仿宋" w:cs="仿宋"/>
                <w:color w:val="auto"/>
                <w:szCs w:val="21"/>
                <w:highlight w:val="none"/>
              </w:rPr>
            </w:pPr>
            <w:r>
              <w:rPr>
                <w:rFonts w:hint="eastAsia" w:ascii="仿宋" w:hAnsi="仿宋" w:eastAsia="仿宋" w:cs="仿宋"/>
                <w:color w:val="auto"/>
                <w:szCs w:val="21"/>
                <w:highlight w:val="none"/>
              </w:rPr>
              <w:t>验收具体内容</w:t>
            </w:r>
          </w:p>
        </w:tc>
        <w:tc>
          <w:tcPr>
            <w:tcW w:w="8018"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21613CB">
            <w:pPr>
              <w:spacing w:before="100" w:beforeAutospacing="1" w:after="100" w:afterAutospacing="1" w:line="320" w:lineRule="atLeast"/>
              <w:rPr>
                <w:rFonts w:hint="eastAsia" w:ascii="仿宋" w:hAnsi="仿宋" w:eastAsia="仿宋" w:cs="仿宋"/>
                <w:color w:val="auto"/>
                <w:szCs w:val="21"/>
                <w:highlight w:val="none"/>
              </w:rPr>
            </w:pPr>
            <w:r>
              <w:rPr>
                <w:rFonts w:hint="eastAsia" w:ascii="仿宋" w:hAnsi="仿宋" w:eastAsia="仿宋" w:cs="仿宋"/>
                <w:color w:val="auto"/>
                <w:szCs w:val="21"/>
                <w:highlight w:val="none"/>
              </w:rPr>
              <w:t>（应按采购合同、采购文件、</w:t>
            </w:r>
            <w:r>
              <w:rPr>
                <w:rFonts w:hint="eastAsia" w:ascii="仿宋" w:hAnsi="仿宋" w:eastAsia="仿宋" w:cs="仿宋"/>
                <w:color w:val="auto"/>
                <w:szCs w:val="21"/>
                <w:highlight w:val="none"/>
                <w:lang w:eastAsia="zh-CN"/>
              </w:rPr>
              <w:t>投标文件</w:t>
            </w:r>
            <w:r>
              <w:rPr>
                <w:rFonts w:hint="eastAsia" w:ascii="仿宋" w:hAnsi="仿宋" w:eastAsia="仿宋" w:cs="仿宋"/>
                <w:color w:val="auto"/>
                <w:szCs w:val="21"/>
                <w:highlight w:val="none"/>
              </w:rPr>
              <w:t>及验收方案等进行验收；并核对中标或者</w:t>
            </w:r>
            <w:r>
              <w:rPr>
                <w:rFonts w:hint="eastAsia" w:ascii="仿宋" w:hAnsi="仿宋" w:eastAsia="仿宋" w:cs="仿宋"/>
                <w:color w:val="auto"/>
                <w:szCs w:val="21"/>
                <w:highlight w:val="none"/>
                <w:lang w:eastAsia="zh-CN"/>
              </w:rPr>
              <w:t>中标供应商</w:t>
            </w:r>
            <w:r>
              <w:rPr>
                <w:rFonts w:hint="eastAsia" w:ascii="仿宋" w:hAnsi="仿宋" w:eastAsia="仿宋" w:cs="仿宋"/>
                <w:color w:val="auto"/>
                <w:szCs w:val="21"/>
                <w:highlight w:val="none"/>
              </w:rPr>
              <w:t>在安装调试等方面是否违反合同约定或服务规范要求、提供的质量保证证明材料是否齐全、应有的配件及附件是否达到合同约定等。可附件)</w:t>
            </w:r>
          </w:p>
        </w:tc>
      </w:tr>
      <w:tr w14:paraId="12E1B92A">
        <w:tblPrEx>
          <w:tblCellMar>
            <w:top w:w="0" w:type="dxa"/>
            <w:left w:w="0" w:type="dxa"/>
            <w:bottom w:w="0" w:type="dxa"/>
            <w:right w:w="0" w:type="dxa"/>
          </w:tblCellMar>
        </w:tblPrEx>
        <w:trPr>
          <w:trHeight w:val="850" w:hRule="atLeast"/>
          <w:jc w:val="center"/>
        </w:trPr>
        <w:tc>
          <w:tcPr>
            <w:tcW w:w="1159"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3D57A68">
            <w:pPr>
              <w:spacing w:before="100" w:beforeAutospacing="1" w:after="100" w:afterAutospacing="1" w:line="320" w:lineRule="atLeast"/>
              <w:rPr>
                <w:rFonts w:hint="eastAsia" w:ascii="仿宋" w:hAnsi="仿宋" w:eastAsia="仿宋" w:cs="仿宋"/>
                <w:color w:val="auto"/>
                <w:szCs w:val="21"/>
                <w:highlight w:val="none"/>
              </w:rPr>
            </w:pPr>
            <w:r>
              <w:rPr>
                <w:rFonts w:hint="eastAsia" w:ascii="仿宋" w:hAnsi="仿宋" w:eastAsia="仿宋" w:cs="仿宋"/>
                <w:color w:val="auto"/>
                <w:szCs w:val="21"/>
                <w:highlight w:val="none"/>
              </w:rPr>
              <w:t>验收小组意见</w:t>
            </w:r>
          </w:p>
        </w:tc>
        <w:tc>
          <w:tcPr>
            <w:tcW w:w="8018" w:type="dxa"/>
            <w:gridSpan w:val="7"/>
            <w:tcBorders>
              <w:top w:val="nil"/>
              <w:left w:val="nil"/>
              <w:bottom w:val="single" w:color="auto" w:sz="8" w:space="0"/>
              <w:right w:val="single" w:color="auto" w:sz="8" w:space="0"/>
            </w:tcBorders>
            <w:noWrap w:val="0"/>
            <w:vAlign w:val="center"/>
          </w:tcPr>
          <w:p w14:paraId="349544C7">
            <w:pPr>
              <w:spacing w:before="100" w:beforeAutospacing="1" w:after="100" w:afterAutospacing="1" w:line="320" w:lineRule="atLeast"/>
              <w:rPr>
                <w:rFonts w:hint="eastAsia" w:ascii="仿宋" w:hAnsi="仿宋" w:eastAsia="仿宋" w:cs="仿宋"/>
                <w:color w:val="auto"/>
                <w:szCs w:val="21"/>
                <w:highlight w:val="none"/>
              </w:rPr>
            </w:pPr>
            <w:r>
              <w:rPr>
                <w:rFonts w:hint="eastAsia" w:ascii="仿宋" w:hAnsi="仿宋" w:eastAsia="仿宋" w:cs="仿宋"/>
                <w:color w:val="auto"/>
                <w:szCs w:val="21"/>
                <w:highlight w:val="none"/>
              </w:rPr>
              <w:t>验收结论性意见：</w:t>
            </w:r>
          </w:p>
        </w:tc>
      </w:tr>
      <w:tr w14:paraId="60010124">
        <w:tblPrEx>
          <w:tblCellMar>
            <w:top w:w="0" w:type="dxa"/>
            <w:left w:w="0" w:type="dxa"/>
            <w:bottom w:w="0" w:type="dxa"/>
            <w:right w:w="0" w:type="dxa"/>
          </w:tblCellMar>
        </w:tblPrEx>
        <w:trPr>
          <w:trHeight w:val="607" w:hRule="atLeast"/>
          <w:jc w:val="center"/>
        </w:trPr>
        <w:tc>
          <w:tcPr>
            <w:tcW w:w="1159" w:type="dxa"/>
            <w:vMerge w:val="continue"/>
            <w:tcBorders>
              <w:top w:val="nil"/>
              <w:left w:val="single" w:color="auto" w:sz="8" w:space="0"/>
              <w:bottom w:val="single" w:color="auto" w:sz="8" w:space="0"/>
              <w:right w:val="single" w:color="auto" w:sz="8" w:space="0"/>
            </w:tcBorders>
            <w:noWrap w:val="0"/>
            <w:vAlign w:val="center"/>
          </w:tcPr>
          <w:p w14:paraId="7A1E9C62">
            <w:pPr>
              <w:rPr>
                <w:rFonts w:hint="eastAsia" w:ascii="仿宋" w:hAnsi="仿宋" w:eastAsia="仿宋" w:cs="仿宋"/>
                <w:color w:val="auto"/>
                <w:szCs w:val="21"/>
                <w:highlight w:val="none"/>
              </w:rPr>
            </w:pPr>
          </w:p>
        </w:tc>
        <w:tc>
          <w:tcPr>
            <w:tcW w:w="8018" w:type="dxa"/>
            <w:gridSpan w:val="7"/>
            <w:tcBorders>
              <w:top w:val="nil"/>
              <w:left w:val="nil"/>
              <w:bottom w:val="single" w:color="auto" w:sz="8" w:space="0"/>
              <w:right w:val="single" w:color="auto" w:sz="8" w:space="0"/>
            </w:tcBorders>
            <w:noWrap w:val="0"/>
            <w:vAlign w:val="center"/>
          </w:tcPr>
          <w:p w14:paraId="14560564">
            <w:pPr>
              <w:spacing w:before="100" w:beforeAutospacing="1" w:after="100" w:afterAutospacing="1" w:line="320" w:lineRule="atLeast"/>
              <w:ind w:firstLine="96"/>
              <w:rPr>
                <w:rFonts w:hint="eastAsia" w:ascii="仿宋" w:hAnsi="仿宋" w:eastAsia="仿宋" w:cs="仿宋"/>
                <w:color w:val="auto"/>
                <w:szCs w:val="21"/>
                <w:highlight w:val="none"/>
              </w:rPr>
            </w:pPr>
            <w:r>
              <w:rPr>
                <w:rFonts w:hint="eastAsia" w:ascii="仿宋" w:hAnsi="仿宋" w:eastAsia="仿宋" w:cs="仿宋"/>
                <w:color w:val="auto"/>
                <w:szCs w:val="21"/>
                <w:highlight w:val="none"/>
              </w:rPr>
              <w:t>有异议的意见和说明理由：</w:t>
            </w:r>
          </w:p>
          <w:p w14:paraId="273FB9AC">
            <w:pPr>
              <w:spacing w:before="100" w:beforeAutospacing="1" w:after="100" w:afterAutospacing="1" w:line="320" w:lineRule="atLeast"/>
              <w:rPr>
                <w:rFonts w:hint="eastAsia" w:ascii="仿宋" w:hAnsi="仿宋" w:eastAsia="仿宋" w:cs="仿宋"/>
                <w:color w:val="auto"/>
                <w:szCs w:val="21"/>
                <w:highlight w:val="none"/>
              </w:rPr>
            </w:pPr>
            <w:r>
              <w:rPr>
                <w:rFonts w:hint="eastAsia" w:ascii="仿宋" w:hAnsi="仿宋" w:eastAsia="仿宋" w:cs="仿宋"/>
                <w:color w:val="auto"/>
                <w:szCs w:val="21"/>
                <w:highlight w:val="none"/>
              </w:rPr>
              <w:t>签字：</w:t>
            </w:r>
          </w:p>
        </w:tc>
      </w:tr>
      <w:tr w14:paraId="70A85DFE">
        <w:tblPrEx>
          <w:tblCellMar>
            <w:top w:w="0" w:type="dxa"/>
            <w:left w:w="0" w:type="dxa"/>
            <w:bottom w:w="0" w:type="dxa"/>
            <w:right w:w="0" w:type="dxa"/>
          </w:tblCellMar>
        </w:tblPrEx>
        <w:trPr>
          <w:trHeight w:val="507" w:hRule="atLeast"/>
          <w:jc w:val="center"/>
        </w:trPr>
        <w:tc>
          <w:tcPr>
            <w:tcW w:w="9177"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1E79374">
            <w:pPr>
              <w:spacing w:before="100" w:beforeAutospacing="1" w:after="100" w:afterAutospacing="1" w:line="320" w:lineRule="atLeast"/>
              <w:rPr>
                <w:rFonts w:hint="eastAsia" w:ascii="仿宋" w:hAnsi="仿宋" w:eastAsia="仿宋" w:cs="仿宋"/>
                <w:color w:val="auto"/>
                <w:szCs w:val="21"/>
                <w:highlight w:val="none"/>
              </w:rPr>
            </w:pPr>
            <w:r>
              <w:rPr>
                <w:rFonts w:hint="eastAsia" w:ascii="仿宋" w:hAnsi="仿宋" w:eastAsia="仿宋" w:cs="仿宋"/>
                <w:color w:val="auto"/>
                <w:szCs w:val="21"/>
                <w:highlight w:val="none"/>
              </w:rPr>
              <w:t>验收小组成员签字：</w:t>
            </w:r>
          </w:p>
        </w:tc>
      </w:tr>
      <w:tr w14:paraId="6435A302">
        <w:tblPrEx>
          <w:tblCellMar>
            <w:top w:w="0" w:type="dxa"/>
            <w:left w:w="0" w:type="dxa"/>
            <w:bottom w:w="0" w:type="dxa"/>
            <w:right w:w="0" w:type="dxa"/>
          </w:tblCellMar>
        </w:tblPrEx>
        <w:trPr>
          <w:trHeight w:val="736" w:hRule="atLeast"/>
          <w:jc w:val="center"/>
        </w:trPr>
        <w:tc>
          <w:tcPr>
            <w:tcW w:w="9177"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6DDC24A">
            <w:pPr>
              <w:spacing w:before="100" w:beforeAutospacing="1" w:after="100" w:afterAutospacing="1" w:line="320" w:lineRule="atLeast"/>
              <w:rPr>
                <w:rFonts w:hint="eastAsia" w:ascii="仿宋" w:hAnsi="仿宋" w:eastAsia="仿宋" w:cs="仿宋"/>
                <w:color w:val="auto"/>
                <w:szCs w:val="21"/>
                <w:highlight w:val="none"/>
              </w:rPr>
            </w:pPr>
            <w:r>
              <w:rPr>
                <w:rFonts w:hint="eastAsia" w:ascii="仿宋" w:hAnsi="仿宋" w:eastAsia="仿宋" w:cs="仿宋"/>
                <w:color w:val="auto"/>
                <w:szCs w:val="21"/>
                <w:highlight w:val="none"/>
              </w:rPr>
              <w:t>监督人员或其他相关人员签字：</w:t>
            </w:r>
          </w:p>
          <w:p w14:paraId="4CB9B058">
            <w:pPr>
              <w:spacing w:before="100" w:beforeAutospacing="1" w:after="100" w:afterAutospacing="1" w:line="320" w:lineRule="atLeast"/>
              <w:ind w:firstLine="74"/>
              <w:rPr>
                <w:rFonts w:hint="eastAsia" w:ascii="仿宋" w:hAnsi="仿宋" w:eastAsia="仿宋" w:cs="仿宋"/>
                <w:color w:val="auto"/>
                <w:szCs w:val="21"/>
                <w:highlight w:val="none"/>
              </w:rPr>
            </w:pPr>
            <w:r>
              <w:rPr>
                <w:rFonts w:hint="eastAsia" w:ascii="仿宋" w:hAnsi="仿宋" w:eastAsia="仿宋" w:cs="仿宋"/>
                <w:color w:val="auto"/>
                <w:szCs w:val="21"/>
                <w:highlight w:val="none"/>
              </w:rPr>
              <w:t>或受邀机构的意见（盖章）：</w:t>
            </w:r>
          </w:p>
        </w:tc>
      </w:tr>
      <w:tr w14:paraId="67A7CD0F">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775E6517">
            <w:pPr>
              <w:spacing w:before="100" w:beforeAutospacing="1" w:after="100" w:afterAutospacing="1" w:line="320" w:lineRule="atLeast"/>
              <w:ind w:firstLine="74"/>
              <w:rPr>
                <w:rFonts w:hint="eastAsia" w:ascii="仿宋" w:hAnsi="仿宋" w:eastAsia="仿宋" w:cs="仿宋"/>
                <w:color w:val="auto"/>
                <w:szCs w:val="21"/>
                <w:highlight w:val="none"/>
              </w:rPr>
            </w:pPr>
            <w:r>
              <w:rPr>
                <w:rFonts w:hint="eastAsia" w:ascii="仿宋" w:hAnsi="仿宋" w:eastAsia="仿宋" w:cs="仿宋"/>
                <w:color w:val="auto"/>
                <w:szCs w:val="21"/>
                <w:highlight w:val="none"/>
              </w:rPr>
              <w:t>中标或者</w:t>
            </w:r>
            <w:r>
              <w:rPr>
                <w:rFonts w:hint="eastAsia" w:ascii="仿宋" w:hAnsi="仿宋" w:eastAsia="仿宋" w:cs="仿宋"/>
                <w:color w:val="auto"/>
                <w:szCs w:val="21"/>
                <w:highlight w:val="none"/>
                <w:lang w:eastAsia="zh-CN"/>
              </w:rPr>
              <w:t>中标供应商</w:t>
            </w:r>
            <w:r>
              <w:rPr>
                <w:rFonts w:hint="eastAsia" w:ascii="仿宋" w:hAnsi="仿宋" w:eastAsia="仿宋" w:cs="仿宋"/>
                <w:color w:val="auto"/>
                <w:szCs w:val="21"/>
                <w:highlight w:val="none"/>
              </w:rPr>
              <w:t>负责人签字或盖章：</w:t>
            </w:r>
          </w:p>
          <w:p w14:paraId="07315E9F">
            <w:pPr>
              <w:spacing w:before="100" w:beforeAutospacing="1" w:after="100" w:afterAutospacing="1" w:line="320" w:lineRule="atLeast"/>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联系电话： 年 月 日</w:t>
            </w:r>
          </w:p>
        </w:tc>
        <w:tc>
          <w:tcPr>
            <w:tcW w:w="5025" w:type="dxa"/>
            <w:gridSpan w:val="4"/>
            <w:tcBorders>
              <w:top w:val="nil"/>
              <w:left w:val="nil"/>
              <w:bottom w:val="single" w:color="auto" w:sz="8" w:space="0"/>
              <w:right w:val="single" w:color="auto" w:sz="8" w:space="0"/>
            </w:tcBorders>
            <w:noWrap w:val="0"/>
            <w:vAlign w:val="center"/>
          </w:tcPr>
          <w:p w14:paraId="1459469D">
            <w:pPr>
              <w:spacing w:before="100" w:beforeAutospacing="1" w:after="100" w:afterAutospacing="1" w:line="320" w:lineRule="atLeas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采购人或受托机构的意见（盖章）：</w:t>
            </w:r>
          </w:p>
          <w:p w14:paraId="1EF7A99D">
            <w:pPr>
              <w:spacing w:before="100" w:beforeAutospacing="1" w:after="100" w:afterAutospacing="1" w:line="320" w:lineRule="atLeas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联系电话： 年 月 日</w:t>
            </w:r>
          </w:p>
        </w:tc>
      </w:tr>
    </w:tbl>
    <w:p w14:paraId="6CE07AC6">
      <w:pPr>
        <w:pStyle w:val="10"/>
        <w:spacing w:line="243" w:lineRule="auto"/>
        <w:rPr>
          <w:rFonts w:hint="eastAsia" w:asciiTheme="minorEastAsia" w:hAnsiTheme="minorEastAsia" w:eastAsiaTheme="minorEastAsia" w:cstheme="minorEastAsia"/>
          <w:color w:val="auto"/>
        </w:rPr>
      </w:pPr>
    </w:p>
    <w:p w14:paraId="2C25558B">
      <w:pPr>
        <w:pStyle w:val="10"/>
        <w:spacing w:line="243" w:lineRule="auto"/>
        <w:rPr>
          <w:rFonts w:hint="eastAsia" w:asciiTheme="minorEastAsia" w:hAnsiTheme="minorEastAsia" w:eastAsiaTheme="minorEastAsia" w:cstheme="minorEastAsia"/>
          <w:color w:val="auto"/>
        </w:rPr>
      </w:pPr>
    </w:p>
    <w:p w14:paraId="07C0D8AE">
      <w:pPr>
        <w:pStyle w:val="10"/>
        <w:spacing w:line="244" w:lineRule="auto"/>
        <w:rPr>
          <w:rFonts w:hint="eastAsia" w:asciiTheme="minorEastAsia" w:hAnsiTheme="minorEastAsia" w:eastAsiaTheme="minorEastAsia" w:cstheme="minorEastAsia"/>
          <w:color w:val="auto"/>
        </w:rPr>
      </w:pPr>
    </w:p>
    <w:p w14:paraId="4B38DE81">
      <w:pPr>
        <w:pStyle w:val="10"/>
        <w:spacing w:line="244" w:lineRule="auto"/>
        <w:rPr>
          <w:rFonts w:hint="eastAsia" w:asciiTheme="minorEastAsia" w:hAnsiTheme="minorEastAsia" w:eastAsiaTheme="minorEastAsia" w:cstheme="minorEastAsia"/>
          <w:color w:val="auto"/>
        </w:rPr>
      </w:pPr>
    </w:p>
    <w:p w14:paraId="37583ED2">
      <w:pPr>
        <w:pStyle w:val="10"/>
        <w:spacing w:line="244" w:lineRule="auto"/>
        <w:rPr>
          <w:rFonts w:hint="eastAsia" w:asciiTheme="minorEastAsia" w:hAnsiTheme="minorEastAsia" w:eastAsiaTheme="minorEastAsia" w:cstheme="minorEastAsia"/>
          <w:color w:val="auto"/>
        </w:rPr>
      </w:pPr>
    </w:p>
    <w:p w14:paraId="27D8EC19">
      <w:pPr>
        <w:spacing w:line="219" w:lineRule="auto"/>
        <w:rPr>
          <w:rFonts w:hint="eastAsia" w:asciiTheme="minorEastAsia" w:hAnsiTheme="minorEastAsia" w:eastAsiaTheme="minorEastAsia" w:cstheme="minorEastAsia"/>
          <w:color w:val="auto"/>
          <w:sz w:val="44"/>
          <w:szCs w:val="44"/>
        </w:rPr>
        <w:sectPr>
          <w:footerReference r:id="rId32" w:type="default"/>
          <w:pgSz w:w="11900" w:h="16830"/>
          <w:pgMar w:top="1430" w:right="1785" w:bottom="989" w:left="1785" w:header="0" w:footer="845" w:gutter="0"/>
          <w:cols w:space="720" w:num="1"/>
        </w:sectPr>
      </w:pPr>
    </w:p>
    <w:p w14:paraId="4F3234A5">
      <w:pPr>
        <w:pStyle w:val="10"/>
        <w:spacing w:line="295" w:lineRule="auto"/>
        <w:rPr>
          <w:rFonts w:hint="eastAsia" w:asciiTheme="minorEastAsia" w:hAnsiTheme="minorEastAsia" w:eastAsiaTheme="minorEastAsia" w:cstheme="minorEastAsia"/>
          <w:color w:val="auto"/>
        </w:rPr>
      </w:pPr>
    </w:p>
    <w:p w14:paraId="23AF5C68">
      <w:pPr>
        <w:pStyle w:val="10"/>
        <w:spacing w:line="247" w:lineRule="auto"/>
        <w:rPr>
          <w:rFonts w:hint="eastAsia" w:asciiTheme="minorEastAsia" w:hAnsiTheme="minorEastAsia" w:eastAsiaTheme="minorEastAsia" w:cstheme="minorEastAsia"/>
          <w:color w:val="auto"/>
        </w:rPr>
      </w:pPr>
    </w:p>
    <w:p w14:paraId="2916BE47">
      <w:pPr>
        <w:pStyle w:val="10"/>
        <w:spacing w:line="247" w:lineRule="auto"/>
        <w:rPr>
          <w:rFonts w:hint="eastAsia" w:asciiTheme="minorEastAsia" w:hAnsiTheme="minorEastAsia" w:eastAsiaTheme="minorEastAsia" w:cstheme="minorEastAsia"/>
          <w:color w:val="auto"/>
        </w:rPr>
      </w:pPr>
    </w:p>
    <w:p w14:paraId="390BD6FF">
      <w:pPr>
        <w:pStyle w:val="10"/>
        <w:spacing w:line="247" w:lineRule="auto"/>
        <w:rPr>
          <w:rFonts w:hint="eastAsia" w:asciiTheme="minorEastAsia" w:hAnsiTheme="minorEastAsia" w:eastAsiaTheme="minorEastAsia" w:cstheme="minorEastAsia"/>
          <w:color w:val="auto"/>
        </w:rPr>
      </w:pPr>
    </w:p>
    <w:p w14:paraId="3ABF4CC9">
      <w:pPr>
        <w:pStyle w:val="10"/>
        <w:spacing w:line="247" w:lineRule="auto"/>
        <w:rPr>
          <w:rFonts w:hint="eastAsia" w:asciiTheme="minorEastAsia" w:hAnsiTheme="minorEastAsia" w:eastAsiaTheme="minorEastAsia" w:cstheme="minorEastAsia"/>
          <w:color w:val="auto"/>
        </w:rPr>
      </w:pPr>
    </w:p>
    <w:p w14:paraId="5C246183">
      <w:pPr>
        <w:pStyle w:val="10"/>
        <w:spacing w:line="247" w:lineRule="auto"/>
        <w:rPr>
          <w:rFonts w:hint="eastAsia" w:asciiTheme="minorEastAsia" w:hAnsiTheme="minorEastAsia" w:eastAsiaTheme="minorEastAsia" w:cstheme="minorEastAsia"/>
          <w:color w:val="auto"/>
        </w:rPr>
      </w:pPr>
    </w:p>
    <w:p w14:paraId="595A2A00">
      <w:pPr>
        <w:pStyle w:val="10"/>
        <w:spacing w:line="247" w:lineRule="auto"/>
        <w:rPr>
          <w:rFonts w:hint="eastAsia" w:asciiTheme="minorEastAsia" w:hAnsiTheme="minorEastAsia" w:eastAsiaTheme="minorEastAsia" w:cstheme="minorEastAsia"/>
          <w:color w:val="auto"/>
        </w:rPr>
      </w:pPr>
    </w:p>
    <w:p w14:paraId="78DDCD6C">
      <w:pPr>
        <w:pStyle w:val="10"/>
        <w:spacing w:line="247" w:lineRule="auto"/>
        <w:rPr>
          <w:rFonts w:hint="eastAsia" w:asciiTheme="minorEastAsia" w:hAnsiTheme="minorEastAsia" w:eastAsiaTheme="minorEastAsia" w:cstheme="minorEastAsia"/>
          <w:color w:val="auto"/>
        </w:rPr>
      </w:pPr>
    </w:p>
    <w:p w14:paraId="4218AF49">
      <w:pPr>
        <w:pStyle w:val="10"/>
        <w:spacing w:line="247" w:lineRule="auto"/>
        <w:rPr>
          <w:rFonts w:hint="eastAsia" w:asciiTheme="minorEastAsia" w:hAnsiTheme="minorEastAsia" w:eastAsiaTheme="minorEastAsia" w:cstheme="minorEastAsia"/>
          <w:color w:val="auto"/>
        </w:rPr>
      </w:pPr>
    </w:p>
    <w:p w14:paraId="24EEFB11">
      <w:pPr>
        <w:pStyle w:val="10"/>
        <w:spacing w:line="247" w:lineRule="auto"/>
        <w:rPr>
          <w:rFonts w:hint="eastAsia" w:asciiTheme="minorEastAsia" w:hAnsiTheme="minorEastAsia" w:eastAsiaTheme="minorEastAsia" w:cstheme="minorEastAsia"/>
          <w:color w:val="auto"/>
        </w:rPr>
      </w:pPr>
    </w:p>
    <w:p w14:paraId="7141DAB4">
      <w:pPr>
        <w:pStyle w:val="10"/>
        <w:spacing w:line="248" w:lineRule="auto"/>
        <w:rPr>
          <w:rFonts w:hint="eastAsia" w:asciiTheme="minorEastAsia" w:hAnsiTheme="minorEastAsia" w:eastAsiaTheme="minorEastAsia" w:cstheme="minorEastAsia"/>
          <w:color w:val="auto"/>
        </w:rPr>
      </w:pPr>
    </w:p>
    <w:p w14:paraId="0EB3ECA9">
      <w:pPr>
        <w:pStyle w:val="10"/>
        <w:spacing w:line="248" w:lineRule="auto"/>
        <w:rPr>
          <w:rFonts w:hint="eastAsia" w:asciiTheme="minorEastAsia" w:hAnsiTheme="minorEastAsia" w:eastAsiaTheme="minorEastAsia" w:cstheme="minorEastAsia"/>
          <w:color w:val="auto"/>
        </w:rPr>
      </w:pPr>
    </w:p>
    <w:p w14:paraId="25ADBE77">
      <w:pPr>
        <w:pStyle w:val="10"/>
        <w:spacing w:line="248" w:lineRule="auto"/>
        <w:rPr>
          <w:rFonts w:hint="eastAsia" w:asciiTheme="minorEastAsia" w:hAnsiTheme="minorEastAsia" w:eastAsiaTheme="minorEastAsia" w:cstheme="minorEastAsia"/>
          <w:color w:val="auto"/>
        </w:rPr>
      </w:pPr>
    </w:p>
    <w:p w14:paraId="657F7435">
      <w:pPr>
        <w:pStyle w:val="2"/>
        <w:bidi w:val="0"/>
        <w:spacing w:line="240" w:lineRule="auto"/>
        <w:rPr>
          <w:rFonts w:hint="eastAsia"/>
          <w:color w:val="auto"/>
        </w:rPr>
      </w:pPr>
      <w:bookmarkStart w:id="14" w:name="_Toc22953"/>
      <w:r>
        <w:rPr>
          <w:rFonts w:hint="eastAsia"/>
          <w:color w:val="auto"/>
        </w:rPr>
        <w:t>第六章 投标文件格式</w:t>
      </w:r>
      <w:bookmarkEnd w:id="14"/>
    </w:p>
    <w:p w14:paraId="2F93C1DB">
      <w:pPr>
        <w:spacing w:line="219" w:lineRule="auto"/>
        <w:rPr>
          <w:rFonts w:hint="eastAsia" w:asciiTheme="minorEastAsia" w:hAnsiTheme="minorEastAsia" w:eastAsiaTheme="minorEastAsia" w:cstheme="minorEastAsia"/>
          <w:color w:val="auto"/>
          <w:sz w:val="44"/>
          <w:szCs w:val="44"/>
        </w:rPr>
        <w:sectPr>
          <w:footerReference r:id="rId33" w:type="default"/>
          <w:pgSz w:w="11900" w:h="16830"/>
          <w:pgMar w:top="1430" w:right="1785" w:bottom="989" w:left="1785" w:header="0" w:footer="845" w:gutter="0"/>
          <w:cols w:space="720" w:num="1"/>
        </w:sectPr>
      </w:pPr>
    </w:p>
    <w:p w14:paraId="7B1CFC0A">
      <w:pPr>
        <w:pStyle w:val="3"/>
        <w:numPr>
          <w:ilvl w:val="1"/>
          <w:numId w:val="0"/>
        </w:numPr>
        <w:bidi w:val="0"/>
        <w:ind w:leftChars="0"/>
        <w:jc w:val="center"/>
        <w:rPr>
          <w:rFonts w:hint="eastAsia"/>
          <w:color w:val="auto"/>
        </w:rPr>
      </w:pPr>
      <w:r>
        <w:rPr>
          <w:rFonts w:hint="eastAsia"/>
          <w:color w:val="auto"/>
        </w:rPr>
        <w:t>第一节</w:t>
      </w:r>
      <w:r>
        <w:rPr>
          <w:rFonts w:hint="eastAsia"/>
          <w:color w:val="auto"/>
          <w:lang w:val="en-US" w:eastAsia="zh-CN"/>
        </w:rPr>
        <w:t xml:space="preserve"> </w:t>
      </w:r>
      <w:r>
        <w:rPr>
          <w:rFonts w:hint="eastAsia"/>
          <w:color w:val="auto"/>
        </w:rPr>
        <w:t>资格证明文件格式</w:t>
      </w:r>
    </w:p>
    <w:p w14:paraId="4AF567DE">
      <w:pPr>
        <w:pStyle w:val="10"/>
        <w:spacing w:line="258" w:lineRule="auto"/>
        <w:rPr>
          <w:rFonts w:hint="eastAsia" w:asciiTheme="minorEastAsia" w:hAnsiTheme="minorEastAsia" w:eastAsiaTheme="minorEastAsia" w:cstheme="minorEastAsia"/>
          <w:color w:val="auto"/>
        </w:rPr>
      </w:pPr>
    </w:p>
    <w:p w14:paraId="59ADE093">
      <w:pPr>
        <w:pStyle w:val="10"/>
        <w:spacing w:line="258" w:lineRule="auto"/>
        <w:rPr>
          <w:rFonts w:hint="eastAsia" w:asciiTheme="minorEastAsia" w:hAnsiTheme="minorEastAsia" w:eastAsiaTheme="minorEastAsia" w:cstheme="minorEastAsia"/>
          <w:color w:val="auto"/>
        </w:rPr>
      </w:pPr>
    </w:p>
    <w:p w14:paraId="3FB31243">
      <w:pPr>
        <w:spacing w:before="94" w:line="219" w:lineRule="auto"/>
        <w:rPr>
          <w:rFonts w:hint="eastAsia" w:asciiTheme="minorEastAsia" w:hAnsiTheme="minorEastAsia" w:eastAsiaTheme="minorEastAsia" w:cstheme="minorEastAsia"/>
          <w:color w:val="auto"/>
          <w:sz w:val="29"/>
          <w:szCs w:val="29"/>
        </w:rPr>
      </w:pPr>
      <w:r>
        <w:rPr>
          <w:rFonts w:hint="eastAsia" w:asciiTheme="minorEastAsia" w:hAnsiTheme="minorEastAsia" w:eastAsiaTheme="minorEastAsia" w:cstheme="minorEastAsia"/>
          <w:b/>
          <w:bCs/>
          <w:color w:val="auto"/>
          <w:spacing w:val="1"/>
          <w:sz w:val="29"/>
          <w:szCs w:val="29"/>
        </w:rPr>
        <w:t>1.资格证明文件封面的格式(参照此格式自拟):</w:t>
      </w:r>
    </w:p>
    <w:p w14:paraId="1AEA4B07">
      <w:pPr>
        <w:pStyle w:val="10"/>
        <w:spacing w:line="304" w:lineRule="auto"/>
        <w:rPr>
          <w:rFonts w:hint="eastAsia" w:asciiTheme="minorEastAsia" w:hAnsiTheme="minorEastAsia" w:eastAsiaTheme="minorEastAsia" w:cstheme="minorEastAsia"/>
          <w:color w:val="auto"/>
        </w:rPr>
      </w:pPr>
    </w:p>
    <w:p w14:paraId="247C2342">
      <w:pPr>
        <w:spacing w:before="68" w:line="222" w:lineRule="auto"/>
        <w:ind w:left="6828"/>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2"/>
          <w:sz w:val="21"/>
          <w:szCs w:val="21"/>
        </w:rPr>
        <w:t>电子投标文件</w:t>
      </w:r>
    </w:p>
    <w:p w14:paraId="51C74E8C">
      <w:pPr>
        <w:pStyle w:val="10"/>
        <w:spacing w:line="257" w:lineRule="auto"/>
        <w:rPr>
          <w:rFonts w:hint="eastAsia" w:asciiTheme="minorEastAsia" w:hAnsiTheme="minorEastAsia" w:eastAsiaTheme="minorEastAsia" w:cstheme="minorEastAsia"/>
          <w:color w:val="auto"/>
        </w:rPr>
      </w:pPr>
    </w:p>
    <w:p w14:paraId="4462DE1D">
      <w:pPr>
        <w:pStyle w:val="10"/>
        <w:spacing w:line="257" w:lineRule="auto"/>
        <w:rPr>
          <w:rFonts w:hint="eastAsia" w:asciiTheme="minorEastAsia" w:hAnsiTheme="minorEastAsia" w:eastAsiaTheme="minorEastAsia" w:cstheme="minorEastAsia"/>
          <w:color w:val="auto"/>
        </w:rPr>
      </w:pPr>
    </w:p>
    <w:p w14:paraId="2BF67900">
      <w:pPr>
        <w:spacing w:before="104" w:line="219" w:lineRule="auto"/>
        <w:ind w:left="387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bCs/>
          <w:color w:val="auto"/>
          <w:spacing w:val="-5"/>
          <w:sz w:val="32"/>
          <w:szCs w:val="32"/>
        </w:rPr>
        <w:t>资格证明文件</w:t>
      </w:r>
    </w:p>
    <w:p w14:paraId="3A4E2106">
      <w:pPr>
        <w:pStyle w:val="10"/>
        <w:spacing w:line="256" w:lineRule="auto"/>
        <w:rPr>
          <w:rFonts w:hint="eastAsia" w:asciiTheme="minorEastAsia" w:hAnsiTheme="minorEastAsia" w:eastAsiaTheme="minorEastAsia" w:cstheme="minorEastAsia"/>
          <w:color w:val="auto"/>
        </w:rPr>
      </w:pPr>
    </w:p>
    <w:p w14:paraId="4B059E31">
      <w:pPr>
        <w:pStyle w:val="10"/>
        <w:spacing w:line="256" w:lineRule="auto"/>
        <w:rPr>
          <w:rFonts w:hint="eastAsia" w:asciiTheme="minorEastAsia" w:hAnsiTheme="minorEastAsia" w:eastAsiaTheme="minorEastAsia" w:cstheme="minorEastAsia"/>
          <w:color w:val="auto"/>
        </w:rPr>
      </w:pPr>
    </w:p>
    <w:p w14:paraId="6D75BBFA">
      <w:pPr>
        <w:pStyle w:val="10"/>
        <w:spacing w:line="256" w:lineRule="auto"/>
        <w:rPr>
          <w:rFonts w:hint="eastAsia" w:asciiTheme="minorEastAsia" w:hAnsiTheme="minorEastAsia" w:eastAsiaTheme="minorEastAsia" w:cstheme="minorEastAsia"/>
          <w:color w:val="auto"/>
        </w:rPr>
      </w:pPr>
    </w:p>
    <w:p w14:paraId="61B3C9BA">
      <w:pPr>
        <w:pStyle w:val="10"/>
        <w:spacing w:line="257" w:lineRule="auto"/>
        <w:rPr>
          <w:rFonts w:hint="eastAsia" w:asciiTheme="minorEastAsia" w:hAnsiTheme="minorEastAsia" w:eastAsiaTheme="minorEastAsia" w:cstheme="minorEastAsia"/>
          <w:color w:val="auto"/>
        </w:rPr>
      </w:pPr>
    </w:p>
    <w:p w14:paraId="37E857B4">
      <w:pPr>
        <w:pStyle w:val="10"/>
        <w:spacing w:line="257" w:lineRule="auto"/>
        <w:rPr>
          <w:rFonts w:hint="eastAsia" w:asciiTheme="minorEastAsia" w:hAnsiTheme="minorEastAsia" w:eastAsiaTheme="minorEastAsia" w:cstheme="minorEastAsia"/>
          <w:color w:val="auto"/>
        </w:rPr>
      </w:pPr>
    </w:p>
    <w:p w14:paraId="616171F5">
      <w:pPr>
        <w:pStyle w:val="10"/>
        <w:spacing w:line="257" w:lineRule="auto"/>
        <w:rPr>
          <w:rFonts w:hint="eastAsia" w:asciiTheme="minorEastAsia" w:hAnsiTheme="minorEastAsia" w:eastAsiaTheme="minorEastAsia" w:cstheme="minorEastAsia"/>
          <w:color w:val="auto"/>
        </w:rPr>
      </w:pPr>
    </w:p>
    <w:p w14:paraId="5A9A3C69">
      <w:pPr>
        <w:pStyle w:val="10"/>
        <w:spacing w:line="257" w:lineRule="auto"/>
        <w:rPr>
          <w:rFonts w:hint="eastAsia" w:asciiTheme="minorEastAsia" w:hAnsiTheme="minorEastAsia" w:eastAsiaTheme="minorEastAsia" w:cstheme="minorEastAsia"/>
          <w:color w:val="auto"/>
        </w:rPr>
      </w:pPr>
    </w:p>
    <w:p w14:paraId="107F9FA2">
      <w:pPr>
        <w:pStyle w:val="10"/>
        <w:spacing w:line="257" w:lineRule="auto"/>
        <w:rPr>
          <w:rFonts w:hint="eastAsia" w:asciiTheme="minorEastAsia" w:hAnsiTheme="minorEastAsia" w:eastAsiaTheme="minorEastAsia" w:cstheme="minorEastAsia"/>
          <w:color w:val="auto"/>
        </w:rPr>
      </w:pPr>
    </w:p>
    <w:p w14:paraId="21277899">
      <w:pPr>
        <w:pStyle w:val="10"/>
        <w:spacing w:line="257" w:lineRule="auto"/>
        <w:rPr>
          <w:rFonts w:hint="eastAsia" w:asciiTheme="minorEastAsia" w:hAnsiTheme="minorEastAsia" w:eastAsiaTheme="minorEastAsia" w:cstheme="minorEastAsia"/>
          <w:color w:val="auto"/>
        </w:rPr>
      </w:pPr>
    </w:p>
    <w:p w14:paraId="001DD218">
      <w:pPr>
        <w:pStyle w:val="10"/>
        <w:spacing w:line="257" w:lineRule="auto"/>
        <w:rPr>
          <w:rFonts w:hint="eastAsia" w:asciiTheme="minorEastAsia" w:hAnsiTheme="minorEastAsia" w:eastAsiaTheme="minorEastAsia" w:cstheme="minorEastAsia"/>
          <w:color w:val="auto"/>
        </w:rPr>
      </w:pPr>
    </w:p>
    <w:p w14:paraId="156E7B0B">
      <w:pPr>
        <w:pStyle w:val="10"/>
        <w:spacing w:line="257" w:lineRule="auto"/>
        <w:rPr>
          <w:rFonts w:hint="eastAsia" w:asciiTheme="minorEastAsia" w:hAnsiTheme="minorEastAsia" w:eastAsiaTheme="minorEastAsia" w:cstheme="minorEastAsia"/>
          <w:color w:val="auto"/>
        </w:rPr>
      </w:pPr>
    </w:p>
    <w:p w14:paraId="4AC73698">
      <w:pPr>
        <w:pStyle w:val="10"/>
        <w:spacing w:line="257" w:lineRule="auto"/>
        <w:rPr>
          <w:rFonts w:hint="eastAsia" w:asciiTheme="minorEastAsia" w:hAnsiTheme="minorEastAsia" w:eastAsiaTheme="minorEastAsia" w:cstheme="minorEastAsia"/>
          <w:color w:val="auto"/>
        </w:rPr>
      </w:pPr>
    </w:p>
    <w:p w14:paraId="51CF1D52">
      <w:pPr>
        <w:spacing w:before="69" w:line="222" w:lineRule="auto"/>
        <w:ind w:left="525"/>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0"/>
          <w:sz w:val="21"/>
          <w:szCs w:val="21"/>
        </w:rPr>
        <w:t>项目名称：</w:t>
      </w:r>
    </w:p>
    <w:p w14:paraId="0668E6C8">
      <w:pPr>
        <w:pStyle w:val="10"/>
        <w:spacing w:line="257" w:lineRule="auto"/>
        <w:rPr>
          <w:rFonts w:hint="eastAsia" w:asciiTheme="minorEastAsia" w:hAnsiTheme="minorEastAsia" w:eastAsiaTheme="minorEastAsia" w:cstheme="minorEastAsia"/>
          <w:color w:val="auto"/>
        </w:rPr>
      </w:pPr>
    </w:p>
    <w:p w14:paraId="60BBD756">
      <w:pPr>
        <w:pStyle w:val="10"/>
        <w:spacing w:line="258" w:lineRule="auto"/>
        <w:rPr>
          <w:rFonts w:hint="eastAsia" w:asciiTheme="minorEastAsia" w:hAnsiTheme="minorEastAsia" w:eastAsiaTheme="minorEastAsia" w:cstheme="minorEastAsia"/>
          <w:color w:val="auto"/>
        </w:rPr>
      </w:pPr>
    </w:p>
    <w:p w14:paraId="115B089C">
      <w:pPr>
        <w:spacing w:before="69" w:line="221" w:lineRule="auto"/>
        <w:ind w:left="525"/>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0"/>
          <w:sz w:val="21"/>
          <w:szCs w:val="21"/>
        </w:rPr>
        <w:t>项目编号：</w:t>
      </w:r>
    </w:p>
    <w:p w14:paraId="4185D8C9">
      <w:pPr>
        <w:pStyle w:val="10"/>
        <w:spacing w:line="247" w:lineRule="auto"/>
        <w:rPr>
          <w:rFonts w:hint="eastAsia" w:asciiTheme="minorEastAsia" w:hAnsiTheme="minorEastAsia" w:eastAsiaTheme="minorEastAsia" w:cstheme="minorEastAsia"/>
          <w:color w:val="auto"/>
        </w:rPr>
      </w:pPr>
    </w:p>
    <w:p w14:paraId="6A73AA46">
      <w:pPr>
        <w:pStyle w:val="10"/>
        <w:spacing w:line="247" w:lineRule="auto"/>
        <w:rPr>
          <w:rFonts w:hint="eastAsia" w:asciiTheme="minorEastAsia" w:hAnsiTheme="minorEastAsia" w:eastAsiaTheme="minorEastAsia" w:cstheme="minorEastAsia"/>
          <w:color w:val="auto"/>
        </w:rPr>
      </w:pPr>
    </w:p>
    <w:p w14:paraId="763D978A">
      <w:pPr>
        <w:spacing w:before="82" w:line="213" w:lineRule="auto"/>
        <w:ind w:left="525"/>
        <w:rPr>
          <w:rFonts w:hint="eastAsia" w:asciiTheme="minorEastAsia" w:hAnsiTheme="minorEastAsia" w:eastAsiaTheme="minorEastAsia" w:cstheme="minorEastAsia"/>
          <w:color w:val="auto"/>
          <w:sz w:val="25"/>
          <w:szCs w:val="25"/>
        </w:rPr>
      </w:pPr>
      <w:r>
        <w:rPr>
          <w:rFonts w:hint="eastAsia" w:asciiTheme="minorEastAsia" w:hAnsiTheme="minorEastAsia" w:eastAsiaTheme="minorEastAsia" w:cstheme="minorEastAsia"/>
          <w:color w:val="auto"/>
          <w:spacing w:val="-1"/>
          <w:sz w:val="25"/>
          <w:szCs w:val="25"/>
        </w:rPr>
        <w:t>所投分标(如有则填写，无分标时填写“无”或者留空):</w:t>
      </w:r>
    </w:p>
    <w:p w14:paraId="13A9F52C">
      <w:pPr>
        <w:pStyle w:val="10"/>
        <w:spacing w:line="420" w:lineRule="auto"/>
        <w:rPr>
          <w:rFonts w:hint="eastAsia" w:asciiTheme="minorEastAsia" w:hAnsiTheme="minorEastAsia" w:eastAsiaTheme="minorEastAsia" w:cstheme="minorEastAsia"/>
          <w:color w:val="auto"/>
        </w:rPr>
      </w:pPr>
    </w:p>
    <w:p w14:paraId="34011B62">
      <w:pPr>
        <w:spacing w:before="69" w:line="222" w:lineRule="auto"/>
        <w:ind w:left="525"/>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2"/>
          <w:sz w:val="21"/>
          <w:szCs w:val="21"/>
        </w:rPr>
        <w:t>投标人名称：</w:t>
      </w:r>
    </w:p>
    <w:p w14:paraId="00D83515">
      <w:pPr>
        <w:pStyle w:val="10"/>
        <w:spacing w:line="277" w:lineRule="auto"/>
        <w:rPr>
          <w:rFonts w:hint="eastAsia" w:asciiTheme="minorEastAsia" w:hAnsiTheme="minorEastAsia" w:eastAsiaTheme="minorEastAsia" w:cstheme="minorEastAsia"/>
          <w:color w:val="auto"/>
        </w:rPr>
      </w:pPr>
    </w:p>
    <w:p w14:paraId="35A24E9D">
      <w:pPr>
        <w:pStyle w:val="10"/>
        <w:spacing w:line="278" w:lineRule="auto"/>
        <w:rPr>
          <w:rFonts w:hint="eastAsia" w:asciiTheme="minorEastAsia" w:hAnsiTheme="minorEastAsia" w:eastAsiaTheme="minorEastAsia" w:cstheme="minorEastAsia"/>
          <w:color w:val="auto"/>
        </w:rPr>
      </w:pPr>
    </w:p>
    <w:p w14:paraId="4671D6E9">
      <w:pPr>
        <w:pStyle w:val="10"/>
        <w:spacing w:line="278" w:lineRule="auto"/>
        <w:rPr>
          <w:rFonts w:hint="eastAsia" w:asciiTheme="minorEastAsia" w:hAnsiTheme="minorEastAsia" w:eastAsiaTheme="minorEastAsia" w:cstheme="minorEastAsia"/>
          <w:color w:val="auto"/>
        </w:rPr>
      </w:pPr>
    </w:p>
    <w:p w14:paraId="50263EE2">
      <w:pPr>
        <w:pStyle w:val="10"/>
        <w:spacing w:line="278" w:lineRule="auto"/>
        <w:rPr>
          <w:rFonts w:hint="eastAsia" w:asciiTheme="minorEastAsia" w:hAnsiTheme="minorEastAsia" w:eastAsiaTheme="minorEastAsia" w:cstheme="minorEastAsia"/>
          <w:color w:val="auto"/>
        </w:rPr>
      </w:pPr>
    </w:p>
    <w:p w14:paraId="26B7E705">
      <w:pPr>
        <w:pStyle w:val="10"/>
        <w:spacing w:line="278" w:lineRule="auto"/>
        <w:rPr>
          <w:rFonts w:hint="eastAsia" w:asciiTheme="minorEastAsia" w:hAnsiTheme="minorEastAsia" w:eastAsiaTheme="minorEastAsia" w:cstheme="minorEastAsia"/>
          <w:color w:val="auto"/>
        </w:rPr>
      </w:pPr>
    </w:p>
    <w:p w14:paraId="42367E83">
      <w:pPr>
        <w:pStyle w:val="10"/>
        <w:spacing w:line="278" w:lineRule="auto"/>
        <w:rPr>
          <w:rFonts w:hint="eastAsia" w:asciiTheme="minorEastAsia" w:hAnsiTheme="minorEastAsia" w:eastAsiaTheme="minorEastAsia" w:cstheme="minorEastAsia"/>
          <w:color w:val="auto"/>
        </w:rPr>
      </w:pPr>
    </w:p>
    <w:p w14:paraId="48113309">
      <w:pPr>
        <w:spacing w:before="69" w:line="223" w:lineRule="auto"/>
        <w:ind w:left="4528"/>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10"/>
          <w:sz w:val="21"/>
          <w:szCs w:val="21"/>
        </w:rPr>
        <w:t>年</w:t>
      </w:r>
      <w:r>
        <w:rPr>
          <w:rFonts w:hint="eastAsia" w:asciiTheme="minorEastAsia" w:hAnsiTheme="minorEastAsia" w:eastAsiaTheme="minorEastAsia" w:cstheme="minorEastAsia"/>
          <w:color w:val="auto"/>
          <w:spacing w:val="29"/>
          <w:sz w:val="21"/>
          <w:szCs w:val="21"/>
        </w:rPr>
        <w:t xml:space="preserve">  </w:t>
      </w:r>
      <w:r>
        <w:rPr>
          <w:rFonts w:hint="eastAsia" w:asciiTheme="minorEastAsia" w:hAnsiTheme="minorEastAsia" w:eastAsiaTheme="minorEastAsia" w:cstheme="minorEastAsia"/>
          <w:b/>
          <w:bCs/>
          <w:color w:val="auto"/>
          <w:spacing w:val="-10"/>
          <w:sz w:val="21"/>
          <w:szCs w:val="21"/>
        </w:rPr>
        <w:t>月</w:t>
      </w:r>
      <w:r>
        <w:rPr>
          <w:rFonts w:hint="eastAsia" w:asciiTheme="minorEastAsia" w:hAnsiTheme="minorEastAsia" w:eastAsiaTheme="minorEastAsia" w:cstheme="minorEastAsia"/>
          <w:color w:val="auto"/>
          <w:spacing w:val="47"/>
          <w:sz w:val="21"/>
          <w:szCs w:val="21"/>
        </w:rPr>
        <w:t xml:space="preserve">  </w:t>
      </w:r>
      <w:r>
        <w:rPr>
          <w:rFonts w:hint="eastAsia" w:asciiTheme="minorEastAsia" w:hAnsiTheme="minorEastAsia" w:eastAsiaTheme="minorEastAsia" w:cstheme="minorEastAsia"/>
          <w:b/>
          <w:bCs/>
          <w:color w:val="auto"/>
          <w:spacing w:val="-10"/>
          <w:sz w:val="21"/>
          <w:szCs w:val="21"/>
        </w:rPr>
        <w:t>日</w:t>
      </w:r>
    </w:p>
    <w:p w14:paraId="5FDB0E6F">
      <w:pPr>
        <w:spacing w:line="223" w:lineRule="auto"/>
        <w:rPr>
          <w:rFonts w:hint="eastAsia" w:asciiTheme="minorEastAsia" w:hAnsiTheme="minorEastAsia" w:eastAsiaTheme="minorEastAsia" w:cstheme="minorEastAsia"/>
          <w:color w:val="auto"/>
          <w:sz w:val="21"/>
          <w:szCs w:val="21"/>
        </w:rPr>
        <w:sectPr>
          <w:footerReference r:id="rId34" w:type="default"/>
          <w:pgSz w:w="11900" w:h="16830"/>
          <w:pgMar w:top="1430" w:right="1785" w:bottom="991" w:left="1134" w:header="0" w:footer="847" w:gutter="0"/>
          <w:cols w:space="720" w:num="1"/>
        </w:sectPr>
      </w:pPr>
    </w:p>
    <w:p w14:paraId="1054DA3A">
      <w:pPr>
        <w:spacing w:before="87" w:line="219" w:lineRule="auto"/>
        <w:ind w:left="1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3"/>
          <w:sz w:val="28"/>
          <w:szCs w:val="28"/>
        </w:rPr>
        <w:t>2.资格证明文件目录</w:t>
      </w:r>
    </w:p>
    <w:p w14:paraId="4CD43A10">
      <w:pPr>
        <w:spacing w:before="35" w:line="219"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5"/>
          <w:sz w:val="24"/>
          <w:szCs w:val="24"/>
        </w:rPr>
        <w:t>根据招标文件规定及投标人提供的材料自行编写目录</w:t>
      </w:r>
      <w:r>
        <w:rPr>
          <w:rFonts w:hint="eastAsia" w:asciiTheme="minorEastAsia" w:hAnsiTheme="minorEastAsia" w:eastAsiaTheme="minorEastAsia" w:cstheme="minorEastAsia"/>
          <w:b/>
          <w:bCs/>
          <w:color w:val="auto"/>
          <w:spacing w:val="4"/>
          <w:sz w:val="24"/>
          <w:szCs w:val="24"/>
        </w:rPr>
        <w:t>(部分格式后附)。</w:t>
      </w:r>
    </w:p>
    <w:p w14:paraId="7C5F8A36">
      <w:pPr>
        <w:spacing w:line="219" w:lineRule="auto"/>
        <w:rPr>
          <w:rFonts w:hint="eastAsia" w:asciiTheme="minorEastAsia" w:hAnsiTheme="minorEastAsia" w:eastAsiaTheme="minorEastAsia" w:cstheme="minorEastAsia"/>
          <w:color w:val="auto"/>
          <w:sz w:val="24"/>
          <w:szCs w:val="24"/>
        </w:rPr>
        <w:sectPr>
          <w:footerReference r:id="rId35" w:type="default"/>
          <w:pgSz w:w="11900" w:h="16830"/>
          <w:pgMar w:top="1430" w:right="1785" w:bottom="989" w:left="1133" w:header="0" w:footer="845" w:gutter="0"/>
          <w:cols w:space="720" w:num="1"/>
        </w:sectPr>
      </w:pPr>
    </w:p>
    <w:p w14:paraId="78B05D63">
      <w:pPr>
        <w:spacing w:before="235" w:line="219" w:lineRule="auto"/>
        <w:ind w:left="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13"/>
          <w:sz w:val="21"/>
          <w:szCs w:val="21"/>
        </w:rPr>
        <w:t>3.</w:t>
      </w:r>
      <w:r>
        <w:rPr>
          <w:rFonts w:hint="eastAsia" w:asciiTheme="minorEastAsia" w:hAnsiTheme="minorEastAsia" w:eastAsiaTheme="minorEastAsia" w:cstheme="minorEastAsia"/>
          <w:color w:val="auto"/>
          <w:spacing w:val="-13"/>
          <w:sz w:val="21"/>
          <w:szCs w:val="21"/>
        </w:rPr>
        <w:t xml:space="preserve"> </w:t>
      </w:r>
      <w:r>
        <w:rPr>
          <w:rFonts w:hint="eastAsia" w:asciiTheme="minorEastAsia" w:hAnsiTheme="minorEastAsia" w:eastAsiaTheme="minorEastAsia" w:cstheme="minorEastAsia"/>
          <w:b/>
          <w:bCs/>
          <w:color w:val="auto"/>
          <w:spacing w:val="-13"/>
          <w:sz w:val="21"/>
          <w:szCs w:val="21"/>
        </w:rPr>
        <w:t>声</w:t>
      </w:r>
      <w:r>
        <w:rPr>
          <w:rFonts w:hint="eastAsia" w:asciiTheme="minorEastAsia" w:hAnsiTheme="minorEastAsia" w:eastAsiaTheme="minorEastAsia" w:cstheme="minorEastAsia"/>
          <w:color w:val="auto"/>
          <w:spacing w:val="-13"/>
          <w:sz w:val="21"/>
          <w:szCs w:val="21"/>
        </w:rPr>
        <w:t xml:space="preserve"> </w:t>
      </w:r>
      <w:r>
        <w:rPr>
          <w:rFonts w:hint="eastAsia" w:asciiTheme="minorEastAsia" w:hAnsiTheme="minorEastAsia" w:eastAsiaTheme="minorEastAsia" w:cstheme="minorEastAsia"/>
          <w:b/>
          <w:bCs/>
          <w:color w:val="auto"/>
          <w:spacing w:val="-13"/>
          <w:sz w:val="21"/>
          <w:szCs w:val="21"/>
        </w:rPr>
        <w:t>明</w:t>
      </w:r>
      <w:r>
        <w:rPr>
          <w:rFonts w:hint="eastAsia" w:asciiTheme="minorEastAsia" w:hAnsiTheme="minorEastAsia" w:eastAsiaTheme="minorEastAsia" w:cstheme="minorEastAsia"/>
          <w:color w:val="auto"/>
          <w:spacing w:val="-13"/>
          <w:sz w:val="21"/>
          <w:szCs w:val="21"/>
        </w:rPr>
        <w:t xml:space="preserve"> </w:t>
      </w:r>
      <w:r>
        <w:rPr>
          <w:rFonts w:hint="eastAsia" w:asciiTheme="minorEastAsia" w:hAnsiTheme="minorEastAsia" w:eastAsiaTheme="minorEastAsia" w:cstheme="minorEastAsia"/>
          <w:b/>
          <w:bCs/>
          <w:color w:val="auto"/>
          <w:spacing w:val="-13"/>
          <w:sz w:val="21"/>
          <w:szCs w:val="21"/>
        </w:rPr>
        <w:t>函</w:t>
      </w:r>
      <w:r>
        <w:rPr>
          <w:rFonts w:hint="eastAsia" w:asciiTheme="minorEastAsia" w:hAnsiTheme="minorEastAsia" w:eastAsiaTheme="minorEastAsia" w:cstheme="minorEastAsia"/>
          <w:color w:val="auto"/>
          <w:spacing w:val="6"/>
          <w:sz w:val="21"/>
          <w:szCs w:val="21"/>
        </w:rPr>
        <w:t xml:space="preserve"> </w:t>
      </w:r>
      <w:r>
        <w:rPr>
          <w:rFonts w:hint="eastAsia" w:asciiTheme="minorEastAsia" w:hAnsiTheme="minorEastAsia" w:eastAsiaTheme="minorEastAsia" w:cstheme="minorEastAsia"/>
          <w:b/>
          <w:bCs/>
          <w:color w:val="auto"/>
          <w:spacing w:val="-13"/>
          <w:sz w:val="21"/>
          <w:szCs w:val="21"/>
        </w:rPr>
        <w:t>的</w:t>
      </w:r>
      <w:r>
        <w:rPr>
          <w:rFonts w:hint="eastAsia" w:asciiTheme="minorEastAsia" w:hAnsiTheme="minorEastAsia" w:eastAsiaTheme="minorEastAsia" w:cstheme="minorEastAsia"/>
          <w:color w:val="auto"/>
          <w:spacing w:val="-13"/>
          <w:sz w:val="21"/>
          <w:szCs w:val="21"/>
        </w:rPr>
        <w:t xml:space="preserve"> </w:t>
      </w:r>
      <w:r>
        <w:rPr>
          <w:rFonts w:hint="eastAsia" w:asciiTheme="minorEastAsia" w:hAnsiTheme="minorEastAsia" w:eastAsiaTheme="minorEastAsia" w:cstheme="minorEastAsia"/>
          <w:b/>
          <w:bCs/>
          <w:color w:val="auto"/>
          <w:spacing w:val="-13"/>
          <w:sz w:val="21"/>
          <w:szCs w:val="21"/>
        </w:rPr>
        <w:t>格</w:t>
      </w:r>
      <w:r>
        <w:rPr>
          <w:rFonts w:hint="eastAsia" w:asciiTheme="minorEastAsia" w:hAnsiTheme="minorEastAsia" w:eastAsiaTheme="minorEastAsia" w:cstheme="minorEastAsia"/>
          <w:color w:val="auto"/>
          <w:spacing w:val="-13"/>
          <w:sz w:val="21"/>
          <w:szCs w:val="21"/>
        </w:rPr>
        <w:t xml:space="preserve"> </w:t>
      </w:r>
      <w:r>
        <w:rPr>
          <w:rFonts w:hint="eastAsia" w:asciiTheme="minorEastAsia" w:hAnsiTheme="minorEastAsia" w:eastAsiaTheme="minorEastAsia" w:cstheme="minorEastAsia"/>
          <w:b/>
          <w:bCs/>
          <w:color w:val="auto"/>
          <w:spacing w:val="-13"/>
          <w:sz w:val="21"/>
          <w:szCs w:val="21"/>
        </w:rPr>
        <w:t>式</w:t>
      </w:r>
      <w:r>
        <w:rPr>
          <w:rFonts w:hint="eastAsia" w:asciiTheme="minorEastAsia" w:hAnsiTheme="minorEastAsia" w:eastAsiaTheme="minorEastAsia" w:cstheme="minorEastAsia"/>
          <w:color w:val="auto"/>
          <w:spacing w:val="-23"/>
          <w:sz w:val="21"/>
          <w:szCs w:val="21"/>
        </w:rPr>
        <w:t xml:space="preserve"> </w:t>
      </w:r>
      <w:r>
        <w:rPr>
          <w:rFonts w:hint="eastAsia" w:asciiTheme="minorEastAsia" w:hAnsiTheme="minorEastAsia" w:eastAsiaTheme="minorEastAsia" w:cstheme="minorEastAsia"/>
          <w:b/>
          <w:bCs/>
          <w:color w:val="auto"/>
          <w:spacing w:val="-13"/>
          <w:sz w:val="21"/>
          <w:szCs w:val="21"/>
        </w:rPr>
        <w:t>：</w:t>
      </w:r>
    </w:p>
    <w:p w14:paraId="7056FEAF">
      <w:pPr>
        <w:spacing w:before="93" w:line="219" w:lineRule="auto"/>
        <w:ind w:left="4364"/>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bCs/>
          <w:color w:val="auto"/>
          <w:spacing w:val="1"/>
          <w:sz w:val="32"/>
          <w:szCs w:val="32"/>
        </w:rPr>
        <w:t>声明函</w:t>
      </w:r>
    </w:p>
    <w:p w14:paraId="5281D3CA">
      <w:pPr>
        <w:spacing w:before="148" w:line="222" w:lineRule="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pacing w:val="-4"/>
          <w:sz w:val="21"/>
          <w:szCs w:val="21"/>
        </w:rPr>
        <w:t>致</w:t>
      </w:r>
      <w:r>
        <w:rPr>
          <w:rFonts w:hint="eastAsia" w:asciiTheme="minorEastAsia" w:hAnsiTheme="minorEastAsia" w:eastAsiaTheme="minorEastAsia" w:cstheme="minorEastAsia"/>
          <w:color w:val="auto"/>
          <w:spacing w:val="-39"/>
          <w:sz w:val="21"/>
          <w:szCs w:val="21"/>
        </w:rPr>
        <w:t xml:space="preserve"> </w:t>
      </w:r>
      <w:r>
        <w:rPr>
          <w:rFonts w:hint="eastAsia" w:asciiTheme="minorEastAsia" w:hAnsiTheme="minorEastAsia" w:eastAsiaTheme="minorEastAsia" w:cstheme="minorEastAsia"/>
          <w:color w:val="auto"/>
          <w:spacing w:val="-4"/>
          <w:sz w:val="21"/>
          <w:szCs w:val="21"/>
        </w:rPr>
        <w:t>：</w:t>
      </w:r>
      <w:r>
        <w:rPr>
          <w:rFonts w:hint="eastAsia" w:asciiTheme="minorEastAsia" w:hAnsiTheme="minorEastAsia" w:eastAsiaTheme="minorEastAsia" w:cstheme="minorEastAsia"/>
          <w:color w:val="auto"/>
          <w:spacing w:val="-4"/>
          <w:sz w:val="21"/>
          <w:szCs w:val="21"/>
          <w:u w:val="single" w:color="auto"/>
          <w:lang w:eastAsia="zh-CN"/>
        </w:rPr>
        <w:t>广西合士嘉项目咨询有限公司</w:t>
      </w:r>
    </w:p>
    <w:p w14:paraId="030614BB">
      <w:pPr>
        <w:spacing w:before="108" w:line="213" w:lineRule="auto"/>
        <w:ind w:left="58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u w:val="single" w:color="auto"/>
        </w:rPr>
        <w:t>(投标人名称)</w:t>
      </w:r>
      <w:r>
        <w:rPr>
          <w:rFonts w:hint="eastAsia" w:asciiTheme="minorEastAsia" w:hAnsiTheme="minorEastAsia" w:eastAsiaTheme="minorEastAsia" w:cstheme="minorEastAsia"/>
          <w:color w:val="auto"/>
          <w:spacing w:val="2"/>
          <w:sz w:val="21"/>
          <w:szCs w:val="21"/>
        </w:rPr>
        <w:t>系中华人民共和国合法供应商，经营地址</w:t>
      </w:r>
      <w:r>
        <w:rPr>
          <w:rFonts w:hint="eastAsia" w:asciiTheme="minorEastAsia" w:hAnsiTheme="minorEastAsia" w:eastAsiaTheme="minorEastAsia" w:cstheme="minorEastAsia"/>
          <w:color w:val="auto"/>
          <w:spacing w:val="-77"/>
          <w:sz w:val="21"/>
          <w:szCs w:val="21"/>
        </w:rPr>
        <w:t xml:space="preserve"> </w:t>
      </w:r>
      <w:r>
        <w:rPr>
          <w:rFonts w:hint="eastAsia" w:asciiTheme="minorEastAsia" w:hAnsiTheme="minorEastAsia" w:eastAsiaTheme="minorEastAsia" w:cstheme="minorEastAsia"/>
          <w:color w:val="auto"/>
          <w:sz w:val="21"/>
          <w:szCs w:val="21"/>
          <w:u w:val="single" w:color="auto"/>
        </w:rPr>
        <w:t xml:space="preserve">                               </w:t>
      </w:r>
    </w:p>
    <w:p w14:paraId="1CD06AE0">
      <w:pPr>
        <w:spacing w:before="47" w:line="349" w:lineRule="auto"/>
        <w:ind w:firstLine="4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我方愿意参加贵方组织的</w:t>
      </w:r>
      <w:r>
        <w:rPr>
          <w:rFonts w:hint="eastAsia" w:asciiTheme="minorEastAsia" w:hAnsiTheme="minorEastAsia" w:eastAsiaTheme="minorEastAsia" w:cstheme="minorEastAsia"/>
          <w:color w:val="auto"/>
          <w:spacing w:val="6"/>
          <w:sz w:val="21"/>
          <w:szCs w:val="21"/>
          <w:u w:val="single" w:color="auto"/>
        </w:rPr>
        <w:t>(项目名称)</w:t>
      </w:r>
      <w:r>
        <w:rPr>
          <w:rFonts w:hint="eastAsia" w:asciiTheme="minorEastAsia" w:hAnsiTheme="minorEastAsia" w:eastAsiaTheme="minorEastAsia" w:cstheme="minorEastAsia"/>
          <w:color w:val="auto"/>
          <w:spacing w:val="6"/>
          <w:sz w:val="21"/>
          <w:szCs w:val="21"/>
        </w:rPr>
        <w:t xml:space="preserve">  (项目编号</w:t>
      </w:r>
      <w:r>
        <w:rPr>
          <w:rFonts w:hint="eastAsia" w:asciiTheme="minorEastAsia" w:hAnsiTheme="minorEastAsia" w:eastAsiaTheme="minorEastAsia" w:cstheme="minorEastAsia"/>
          <w:color w:val="auto"/>
          <w:spacing w:val="5"/>
          <w:sz w:val="21"/>
          <w:szCs w:val="21"/>
        </w:rPr>
        <w:t>：            )项目的投标，为便于贵方公正、</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1"/>
          <w:sz w:val="21"/>
          <w:szCs w:val="21"/>
        </w:rPr>
        <w:t>择优地确定中标人，我方就本次投标有关事项郑重声明如下：</w:t>
      </w:r>
    </w:p>
    <w:p w14:paraId="7AA8B7BF">
      <w:pPr>
        <w:spacing w:before="15" w:line="221" w:lineRule="auto"/>
        <w:ind w:left="4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1、我方向贵方提交的所有投标文件、资料都是准确的和真实的。</w:t>
      </w:r>
    </w:p>
    <w:p w14:paraId="20B1A2AA">
      <w:pPr>
        <w:spacing w:before="20" w:line="317" w:lineRule="auto"/>
        <w:ind w:right="19" w:firstLine="4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2、我方不是采购人的附属机构；不是为本次采购项目提供整体设计、规范编制或者项目</w:t>
      </w:r>
      <w:r>
        <w:rPr>
          <w:rFonts w:hint="eastAsia" w:asciiTheme="minorEastAsia" w:hAnsiTheme="minorEastAsia" w:eastAsiaTheme="minorEastAsia" w:cstheme="minorEastAsia"/>
          <w:color w:val="auto"/>
          <w:spacing w:val="-2"/>
          <w:sz w:val="21"/>
          <w:szCs w:val="21"/>
        </w:rPr>
        <w:t>管理、监理、</w:t>
      </w:r>
      <w:r>
        <w:rPr>
          <w:rFonts w:hint="eastAsia" w:asciiTheme="minorEastAsia" w:hAnsiTheme="minorEastAsia" w:eastAsiaTheme="minorEastAsia" w:cstheme="minorEastAsia"/>
          <w:color w:val="auto"/>
          <w:sz w:val="21"/>
          <w:szCs w:val="21"/>
        </w:rPr>
        <w:t xml:space="preserve"> 检测等服务的供应商；在获知本项目采购信息后，与采购人聘请的为此项目提供咨询服务</w:t>
      </w:r>
      <w:r>
        <w:rPr>
          <w:rFonts w:hint="eastAsia" w:asciiTheme="minorEastAsia" w:hAnsiTheme="minorEastAsia" w:eastAsiaTheme="minorEastAsia" w:cstheme="minorEastAsia"/>
          <w:color w:val="auto"/>
          <w:spacing w:val="-1"/>
          <w:sz w:val="21"/>
          <w:szCs w:val="21"/>
        </w:rPr>
        <w:t>的公司及其附属</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1"/>
          <w:sz w:val="21"/>
          <w:szCs w:val="21"/>
        </w:rPr>
        <w:t>机构没有任何联系。</w:t>
      </w:r>
    </w:p>
    <w:p w14:paraId="165C2C24">
      <w:pPr>
        <w:spacing w:before="218" w:line="213" w:lineRule="auto"/>
        <w:ind w:left="4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3、在此，我方宣布同意如下：</w:t>
      </w:r>
    </w:p>
    <w:p w14:paraId="55D33CEE">
      <w:pPr>
        <w:spacing w:before="118" w:line="213" w:lineRule="auto"/>
        <w:ind w:left="51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(1)将按招标文件的约定履行合同责任和义务；</w:t>
      </w:r>
    </w:p>
    <w:p w14:paraId="63032607">
      <w:pPr>
        <w:spacing w:before="128" w:line="213" w:lineRule="auto"/>
        <w:ind w:left="51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1"/>
          <w:sz w:val="21"/>
          <w:szCs w:val="21"/>
        </w:rPr>
        <w:t>(2)已详细审查招标文件的全部内容，包括澄清或者更正公告(如有);</w:t>
      </w:r>
    </w:p>
    <w:p w14:paraId="2553409C">
      <w:pPr>
        <w:spacing w:before="126" w:line="221" w:lineRule="auto"/>
        <w:ind w:left="51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(3)同意提供按照贵方可能要求的与投标有关的一切数据</w:t>
      </w:r>
      <w:r>
        <w:rPr>
          <w:rFonts w:hint="eastAsia" w:asciiTheme="minorEastAsia" w:hAnsiTheme="minorEastAsia" w:eastAsiaTheme="minorEastAsia" w:cstheme="minorEastAsia"/>
          <w:color w:val="auto"/>
          <w:spacing w:val="3"/>
          <w:sz w:val="21"/>
          <w:szCs w:val="21"/>
        </w:rPr>
        <w:t>或者资料。</w:t>
      </w:r>
    </w:p>
    <w:p w14:paraId="0A1982B3">
      <w:pPr>
        <w:spacing w:before="229" w:line="310" w:lineRule="auto"/>
        <w:ind w:right="70" w:firstLine="4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4、我方在此声明，我方在参加本项目的政府采购活动前三年</w:t>
      </w:r>
      <w:r>
        <w:rPr>
          <w:rFonts w:hint="eastAsia" w:asciiTheme="minorEastAsia" w:hAnsiTheme="minorEastAsia" w:eastAsiaTheme="minorEastAsia" w:cstheme="minorEastAsia"/>
          <w:color w:val="auto"/>
          <w:spacing w:val="-1"/>
          <w:sz w:val="21"/>
          <w:szCs w:val="21"/>
        </w:rPr>
        <w:t>内，在经营活动中没有重大违法记录(重</w:t>
      </w:r>
      <w:r>
        <w:rPr>
          <w:rFonts w:hint="eastAsia" w:asciiTheme="minorEastAsia" w:hAnsiTheme="minorEastAsia" w:eastAsiaTheme="minorEastAsia" w:cstheme="minorEastAsia"/>
          <w:color w:val="auto"/>
          <w:sz w:val="21"/>
          <w:szCs w:val="21"/>
        </w:rPr>
        <w:t xml:space="preserve"> 大违法记录是指供应商因违法经营受到刑事处罚或者责令停产停业、吊销许可证或者</w:t>
      </w:r>
      <w:r>
        <w:rPr>
          <w:rFonts w:hint="eastAsia" w:asciiTheme="minorEastAsia" w:hAnsiTheme="minorEastAsia" w:eastAsiaTheme="minorEastAsia" w:cstheme="minorEastAsia"/>
          <w:color w:val="auto"/>
          <w:spacing w:val="-1"/>
          <w:sz w:val="21"/>
          <w:szCs w:val="21"/>
        </w:rPr>
        <w:t>执照、较大数额罚款</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5"/>
          <w:sz w:val="21"/>
          <w:szCs w:val="21"/>
        </w:rPr>
        <w:t>等行政处罚),未被列入失信被执行人、重大税收违法失信主体、政府采购严重违法失信</w:t>
      </w:r>
      <w:r>
        <w:rPr>
          <w:rFonts w:hint="eastAsia" w:asciiTheme="minorEastAsia" w:hAnsiTheme="minorEastAsia" w:eastAsiaTheme="minorEastAsia" w:cstheme="minorEastAsia"/>
          <w:color w:val="auto"/>
          <w:spacing w:val="4"/>
          <w:sz w:val="21"/>
          <w:szCs w:val="21"/>
        </w:rPr>
        <w:t>行为记录名单。</w:t>
      </w:r>
    </w:p>
    <w:p w14:paraId="3EFC5DEF">
      <w:pPr>
        <w:spacing w:before="254" w:line="272" w:lineRule="auto"/>
        <w:ind w:right="43" w:firstLine="42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2"/>
          <w:sz w:val="21"/>
          <w:szCs w:val="21"/>
        </w:rPr>
        <w:t>5、根据《中华人民共和国政府采购法实施条例》第五十条要求对政府采购合同进行公告</w:t>
      </w:r>
      <w:r>
        <w:rPr>
          <w:rFonts w:hint="eastAsia" w:asciiTheme="minorEastAsia" w:hAnsiTheme="minorEastAsia" w:eastAsiaTheme="minorEastAsia" w:cstheme="minorEastAsia"/>
          <w:color w:val="auto"/>
          <w:spacing w:val="1"/>
          <w:sz w:val="21"/>
          <w:szCs w:val="21"/>
        </w:rPr>
        <w:t>，但政府采</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3"/>
          <w:sz w:val="21"/>
          <w:szCs w:val="21"/>
        </w:rPr>
        <w:t>购合同中涉及国家秘密、商业秘密的内容除外。我方就对本次投标文件进行注明如下：(两项内容中必须</w:t>
      </w:r>
      <w:r>
        <w:rPr>
          <w:rFonts w:hint="eastAsia" w:asciiTheme="minorEastAsia" w:hAnsiTheme="minorEastAsia" w:eastAsiaTheme="minorEastAsia" w:cstheme="minorEastAsia"/>
          <w:color w:val="auto"/>
          <w:spacing w:val="7"/>
          <w:sz w:val="21"/>
          <w:szCs w:val="21"/>
        </w:rPr>
        <w:t xml:space="preserve"> </w:t>
      </w:r>
      <w:r>
        <w:rPr>
          <w:rFonts w:hint="eastAsia" w:asciiTheme="minorEastAsia" w:hAnsiTheme="minorEastAsia" w:eastAsiaTheme="minorEastAsia" w:cstheme="minorEastAsia"/>
          <w:i/>
          <w:iCs/>
          <w:color w:val="auto"/>
          <w:spacing w:val="1"/>
          <w:sz w:val="22"/>
          <w:szCs w:val="22"/>
        </w:rPr>
        <w:t>选择一项)</w:t>
      </w:r>
    </w:p>
    <w:p w14:paraId="34144D0C">
      <w:pPr>
        <w:spacing w:before="125" w:line="221" w:lineRule="auto"/>
        <w:ind w:left="4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□我方本次投标文件内容中未涉及商业秘密。</w:t>
      </w:r>
    </w:p>
    <w:p w14:paraId="0C462E87">
      <w:pPr>
        <w:spacing w:before="139" w:line="221" w:lineRule="auto"/>
        <w:ind w:left="429"/>
        <w:rPr>
          <w:rFonts w:hint="eastAsia" w:asciiTheme="minorEastAsia" w:hAnsiTheme="minorEastAsia" w:eastAsiaTheme="minorEastAsia" w:cstheme="minorEastAsia"/>
          <w:color w:val="auto"/>
          <w:sz w:val="8"/>
          <w:szCs w:val="8"/>
        </w:rPr>
      </w:pPr>
      <w:r>
        <w:rPr>
          <w:rFonts w:hint="eastAsia" w:asciiTheme="minorEastAsia" w:hAnsiTheme="minorEastAsia" w:eastAsiaTheme="minorEastAsia" w:cstheme="minorEastAsia"/>
          <w:color w:val="auto"/>
          <w:sz w:val="21"/>
          <w:szCs w:val="21"/>
        </w:rPr>
        <w:t>口我方本次投标文件涉及商业秘密的内容有：</w:t>
      </w:r>
      <w:r>
        <w:rPr>
          <w:rFonts w:hint="eastAsia" w:asciiTheme="minorEastAsia" w:hAnsiTheme="minorEastAsia" w:eastAsiaTheme="minorEastAsia" w:cstheme="minorEastAsia"/>
          <w:color w:val="auto"/>
          <w:sz w:val="21"/>
          <w:szCs w:val="21"/>
          <w:u w:val="single" w:color="auto"/>
        </w:rPr>
        <w:t xml:space="preserve">                         </w:t>
      </w:r>
      <w:r>
        <w:rPr>
          <w:rFonts w:hint="eastAsia" w:asciiTheme="minorEastAsia" w:hAnsiTheme="minorEastAsia" w:eastAsiaTheme="minorEastAsia" w:cstheme="minorEastAsia"/>
          <w:color w:val="auto"/>
          <w:spacing w:val="-72"/>
          <w:sz w:val="21"/>
          <w:szCs w:val="21"/>
        </w:rPr>
        <w:t xml:space="preserve"> </w:t>
      </w:r>
      <w:r>
        <w:rPr>
          <w:rFonts w:hint="eastAsia" w:asciiTheme="minorEastAsia" w:hAnsiTheme="minorEastAsia" w:eastAsiaTheme="minorEastAsia" w:cstheme="minorEastAsia"/>
          <w:color w:val="auto"/>
          <w:position w:val="1"/>
          <w:sz w:val="8"/>
          <w:szCs w:val="8"/>
        </w:rPr>
        <w:t>◎</w:t>
      </w:r>
    </w:p>
    <w:p w14:paraId="4D0C69F2">
      <w:pPr>
        <w:spacing w:before="190" w:line="379" w:lineRule="auto"/>
        <w:ind w:right="162" w:firstLine="4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6、以上事项如有虚假或者隐瞒，我方愿意承担一切后果，并不再寻求任何旨在减轻或者免除法律责</w:t>
      </w:r>
      <w:r>
        <w:rPr>
          <w:rFonts w:hint="eastAsia" w:asciiTheme="minorEastAsia" w:hAnsiTheme="minorEastAsia" w:eastAsiaTheme="minorEastAsia" w:cstheme="minorEastAsia"/>
          <w:color w:val="auto"/>
          <w:spacing w:val="16"/>
          <w:sz w:val="21"/>
          <w:szCs w:val="21"/>
        </w:rPr>
        <w:t xml:space="preserve"> </w:t>
      </w:r>
      <w:r>
        <w:rPr>
          <w:rFonts w:hint="eastAsia" w:asciiTheme="minorEastAsia" w:hAnsiTheme="minorEastAsia" w:eastAsiaTheme="minorEastAsia" w:cstheme="minorEastAsia"/>
          <w:color w:val="auto"/>
          <w:spacing w:val="3"/>
          <w:sz w:val="21"/>
          <w:szCs w:val="21"/>
        </w:rPr>
        <w:t>任的辩解。</w:t>
      </w:r>
    </w:p>
    <w:p w14:paraId="58D23A7B">
      <w:pPr>
        <w:spacing w:before="67" w:line="222" w:lineRule="auto"/>
        <w:ind w:left="4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特此承诺。</w:t>
      </w:r>
    </w:p>
    <w:p w14:paraId="62A3BDB0">
      <w:pPr>
        <w:pStyle w:val="10"/>
        <w:spacing w:line="344" w:lineRule="auto"/>
        <w:rPr>
          <w:rFonts w:hint="eastAsia" w:asciiTheme="minorEastAsia" w:hAnsiTheme="minorEastAsia" w:eastAsiaTheme="minorEastAsia" w:cstheme="minorEastAsia"/>
          <w:color w:val="auto"/>
        </w:rPr>
      </w:pPr>
    </w:p>
    <w:p w14:paraId="387EFC95">
      <w:pPr>
        <w:spacing w:before="68" w:line="213" w:lineRule="auto"/>
        <w:ind w:left="40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2"/>
          <w:sz w:val="21"/>
          <w:szCs w:val="21"/>
        </w:rPr>
        <w:t>注：如为联合体投标，盖章处须加盖联合体各方公章</w:t>
      </w:r>
      <w:r>
        <w:rPr>
          <w:rFonts w:hint="eastAsia" w:asciiTheme="minorEastAsia" w:hAnsiTheme="minorEastAsia" w:eastAsiaTheme="minorEastAsia" w:cstheme="minorEastAsia"/>
          <w:b/>
          <w:bCs/>
          <w:color w:val="auto"/>
          <w:spacing w:val="1"/>
          <w:sz w:val="21"/>
          <w:szCs w:val="21"/>
        </w:rPr>
        <w:t>，否则其投标文件作无效响应处理。</w:t>
      </w:r>
    </w:p>
    <w:p w14:paraId="180DE517">
      <w:pPr>
        <w:pStyle w:val="10"/>
        <w:spacing w:line="272" w:lineRule="auto"/>
        <w:rPr>
          <w:rFonts w:hint="eastAsia" w:asciiTheme="minorEastAsia" w:hAnsiTheme="minorEastAsia" w:eastAsiaTheme="minorEastAsia" w:cstheme="minorEastAsia"/>
          <w:color w:val="auto"/>
        </w:rPr>
      </w:pPr>
    </w:p>
    <w:p w14:paraId="2CDE846F">
      <w:pPr>
        <w:pStyle w:val="10"/>
        <w:spacing w:line="272" w:lineRule="auto"/>
        <w:rPr>
          <w:rFonts w:hint="eastAsia" w:asciiTheme="minorEastAsia" w:hAnsiTheme="minorEastAsia" w:eastAsiaTheme="minorEastAsia" w:cstheme="minorEastAsia"/>
          <w:color w:val="auto"/>
        </w:rPr>
      </w:pPr>
    </w:p>
    <w:p w14:paraId="21DED588">
      <w:pPr>
        <w:pStyle w:val="10"/>
        <w:spacing w:line="272" w:lineRule="auto"/>
        <w:rPr>
          <w:rFonts w:hint="eastAsia" w:asciiTheme="minorEastAsia" w:hAnsiTheme="minorEastAsia" w:eastAsiaTheme="minorEastAsia" w:cstheme="minorEastAsia"/>
          <w:color w:val="auto"/>
        </w:rPr>
      </w:pPr>
    </w:p>
    <w:p w14:paraId="00FD1DFE">
      <w:pPr>
        <w:spacing w:before="70" w:line="222" w:lineRule="auto"/>
        <w:ind w:left="491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8"/>
          <w:sz w:val="21"/>
          <w:szCs w:val="21"/>
        </w:rPr>
        <w:t>投标人名称(盖公章):</w:t>
      </w:r>
      <w:r>
        <w:rPr>
          <w:rFonts w:hint="eastAsia" w:asciiTheme="minorEastAsia" w:hAnsiTheme="minorEastAsia" w:eastAsiaTheme="minorEastAsia" w:cstheme="minorEastAsia"/>
          <w:color w:val="auto"/>
          <w:spacing w:val="-39"/>
          <w:sz w:val="21"/>
          <w:szCs w:val="21"/>
        </w:rPr>
        <w:t xml:space="preserve"> </w:t>
      </w:r>
      <w:r>
        <w:rPr>
          <w:rFonts w:hint="eastAsia" w:asciiTheme="minorEastAsia" w:hAnsiTheme="minorEastAsia" w:eastAsiaTheme="minorEastAsia" w:cstheme="minorEastAsia"/>
          <w:color w:val="auto"/>
          <w:sz w:val="21"/>
          <w:szCs w:val="21"/>
          <w:u w:val="single" w:color="auto"/>
        </w:rPr>
        <w:t xml:space="preserve">                    </w:t>
      </w:r>
    </w:p>
    <w:p w14:paraId="09A28C63">
      <w:pPr>
        <w:spacing w:before="189" w:line="223" w:lineRule="auto"/>
        <w:ind w:left="7420"/>
        <w:rPr>
          <w:rFonts w:hint="eastAsia" w:asciiTheme="minorEastAsia" w:hAnsiTheme="minorEastAsia" w:eastAsiaTheme="minorEastAsia" w:cstheme="minorEastAsia"/>
          <w:color w:val="auto"/>
          <w:sz w:val="21"/>
          <w:szCs w:val="21"/>
        </w:rPr>
        <w:sectPr>
          <w:footerReference r:id="rId36" w:type="default"/>
          <w:pgSz w:w="11900" w:h="16830"/>
          <w:pgMar w:top="1430" w:right="1045" w:bottom="991" w:left="1110" w:header="0" w:footer="847" w:gutter="0"/>
          <w:cols w:space="720" w:num="1"/>
        </w:sectPr>
      </w:pPr>
      <w:r>
        <w:rPr>
          <w:rFonts w:hint="eastAsia" w:asciiTheme="minorEastAsia" w:hAnsiTheme="minorEastAsia" w:eastAsiaTheme="minorEastAsia" w:cstheme="minorEastAsia"/>
          <w:color w:val="auto"/>
          <w:spacing w:val="-8"/>
          <w:sz w:val="21"/>
          <w:szCs w:val="21"/>
        </w:rPr>
        <w:t>年</w:t>
      </w:r>
      <w:r>
        <w:rPr>
          <w:rFonts w:hint="eastAsia" w:asciiTheme="minorEastAsia" w:hAnsiTheme="minorEastAsia" w:eastAsiaTheme="minorEastAsia" w:cstheme="minorEastAsia"/>
          <w:color w:val="auto"/>
          <w:spacing w:val="7"/>
          <w:sz w:val="21"/>
          <w:szCs w:val="21"/>
        </w:rPr>
        <w:t xml:space="preserve">    </w:t>
      </w:r>
      <w:r>
        <w:rPr>
          <w:rFonts w:hint="eastAsia" w:asciiTheme="minorEastAsia" w:hAnsiTheme="minorEastAsia" w:eastAsiaTheme="minorEastAsia" w:cstheme="minorEastAsia"/>
          <w:color w:val="auto"/>
          <w:spacing w:val="-8"/>
          <w:sz w:val="21"/>
          <w:szCs w:val="21"/>
        </w:rPr>
        <w:t>月</w:t>
      </w:r>
      <w:r>
        <w:rPr>
          <w:rFonts w:hint="eastAsia" w:asciiTheme="minorEastAsia" w:hAnsiTheme="minorEastAsia" w:eastAsiaTheme="minorEastAsia" w:cstheme="minorEastAsia"/>
          <w:color w:val="auto"/>
          <w:spacing w:val="1"/>
          <w:sz w:val="21"/>
          <w:szCs w:val="21"/>
        </w:rPr>
        <w:t xml:space="preserve">    </w:t>
      </w:r>
      <w:r>
        <w:rPr>
          <w:rFonts w:hint="eastAsia" w:asciiTheme="minorEastAsia" w:hAnsiTheme="minorEastAsia" w:eastAsiaTheme="minorEastAsia" w:cstheme="minorEastAsia"/>
          <w:color w:val="auto"/>
          <w:spacing w:val="-8"/>
          <w:sz w:val="21"/>
          <w:szCs w:val="21"/>
        </w:rPr>
        <w:t>日</w:t>
      </w:r>
    </w:p>
    <w:p w14:paraId="20E28FCD">
      <w:pPr>
        <w:pStyle w:val="10"/>
        <w:spacing w:line="304" w:lineRule="auto"/>
        <w:rPr>
          <w:rFonts w:hint="eastAsia" w:asciiTheme="minorEastAsia" w:hAnsiTheme="minorEastAsia" w:eastAsiaTheme="minorEastAsia" w:cstheme="minorEastAsia"/>
          <w:color w:val="auto"/>
        </w:rPr>
      </w:pPr>
    </w:p>
    <w:p w14:paraId="53A71C66">
      <w:pPr>
        <w:pStyle w:val="10"/>
        <w:spacing w:line="305" w:lineRule="auto"/>
        <w:rPr>
          <w:rFonts w:hint="eastAsia" w:asciiTheme="minorEastAsia" w:hAnsiTheme="minorEastAsia" w:eastAsiaTheme="minorEastAsia" w:cstheme="minorEastAsia"/>
          <w:color w:val="auto"/>
        </w:rPr>
      </w:pPr>
    </w:p>
    <w:p w14:paraId="02DAEF64">
      <w:pPr>
        <w:pStyle w:val="3"/>
        <w:numPr>
          <w:ilvl w:val="1"/>
          <w:numId w:val="0"/>
        </w:numPr>
        <w:bidi w:val="0"/>
        <w:ind w:leftChars="0"/>
        <w:jc w:val="center"/>
        <w:rPr>
          <w:rFonts w:hint="eastAsia"/>
          <w:color w:val="auto"/>
        </w:rPr>
      </w:pPr>
      <w:r>
        <w:rPr>
          <w:rFonts w:hint="eastAsia"/>
          <w:color w:val="auto"/>
        </w:rPr>
        <w:t>第二节</w:t>
      </w:r>
      <w:r>
        <w:rPr>
          <w:rFonts w:hint="eastAsia"/>
          <w:color w:val="auto"/>
          <w:lang w:val="en-US" w:eastAsia="zh-CN"/>
        </w:rPr>
        <w:t xml:space="preserve"> </w:t>
      </w:r>
      <w:r>
        <w:rPr>
          <w:rFonts w:hint="eastAsia"/>
          <w:color w:val="auto"/>
        </w:rPr>
        <w:t>商务文件格式</w:t>
      </w:r>
    </w:p>
    <w:p w14:paraId="5F68042C">
      <w:pPr>
        <w:pStyle w:val="10"/>
        <w:spacing w:line="243" w:lineRule="auto"/>
        <w:rPr>
          <w:rFonts w:hint="eastAsia" w:asciiTheme="minorEastAsia" w:hAnsiTheme="minorEastAsia" w:eastAsiaTheme="minorEastAsia" w:cstheme="minorEastAsia"/>
          <w:color w:val="auto"/>
        </w:rPr>
      </w:pPr>
    </w:p>
    <w:p w14:paraId="6B5B6B98">
      <w:pPr>
        <w:pStyle w:val="10"/>
        <w:spacing w:line="243" w:lineRule="auto"/>
        <w:rPr>
          <w:rFonts w:hint="eastAsia" w:asciiTheme="minorEastAsia" w:hAnsiTheme="minorEastAsia" w:eastAsiaTheme="minorEastAsia" w:cstheme="minorEastAsia"/>
          <w:color w:val="auto"/>
        </w:rPr>
      </w:pPr>
    </w:p>
    <w:p w14:paraId="4291AD2D">
      <w:pPr>
        <w:spacing w:before="95" w:line="219" w:lineRule="auto"/>
        <w:rPr>
          <w:rFonts w:hint="eastAsia" w:asciiTheme="minorEastAsia" w:hAnsiTheme="minorEastAsia" w:eastAsiaTheme="minorEastAsia" w:cstheme="minorEastAsia"/>
          <w:color w:val="auto"/>
          <w:sz w:val="29"/>
          <w:szCs w:val="29"/>
        </w:rPr>
      </w:pPr>
      <w:r>
        <w:rPr>
          <w:rFonts w:hint="eastAsia" w:asciiTheme="minorEastAsia" w:hAnsiTheme="minorEastAsia" w:eastAsiaTheme="minorEastAsia" w:cstheme="minorEastAsia"/>
          <w:b/>
          <w:bCs/>
          <w:color w:val="auto"/>
          <w:spacing w:val="2"/>
          <w:sz w:val="29"/>
          <w:szCs w:val="29"/>
        </w:rPr>
        <w:t>1.商务文件封面的格式(参照此格式自拟):</w:t>
      </w:r>
    </w:p>
    <w:p w14:paraId="12C29985">
      <w:pPr>
        <w:spacing w:before="114" w:line="222" w:lineRule="auto"/>
        <w:ind w:left="7348"/>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6"/>
          <w:sz w:val="21"/>
          <w:szCs w:val="21"/>
        </w:rPr>
        <w:t>电子投标文件</w:t>
      </w:r>
    </w:p>
    <w:p w14:paraId="14C40E15">
      <w:pPr>
        <w:pStyle w:val="10"/>
        <w:spacing w:line="257" w:lineRule="auto"/>
        <w:rPr>
          <w:rFonts w:hint="eastAsia" w:asciiTheme="minorEastAsia" w:hAnsiTheme="minorEastAsia" w:eastAsiaTheme="minorEastAsia" w:cstheme="minorEastAsia"/>
          <w:color w:val="auto"/>
        </w:rPr>
      </w:pPr>
    </w:p>
    <w:p w14:paraId="413CA01E">
      <w:pPr>
        <w:pStyle w:val="10"/>
        <w:spacing w:line="257" w:lineRule="auto"/>
        <w:rPr>
          <w:rFonts w:hint="eastAsia" w:asciiTheme="minorEastAsia" w:hAnsiTheme="minorEastAsia" w:eastAsiaTheme="minorEastAsia" w:cstheme="minorEastAsia"/>
          <w:color w:val="auto"/>
        </w:rPr>
      </w:pPr>
    </w:p>
    <w:p w14:paraId="4B3846F9">
      <w:pPr>
        <w:spacing w:before="104" w:line="219" w:lineRule="auto"/>
        <w:ind w:left="418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bCs/>
          <w:color w:val="auto"/>
          <w:spacing w:val="-7"/>
          <w:sz w:val="32"/>
          <w:szCs w:val="32"/>
        </w:rPr>
        <w:t>商务文件</w:t>
      </w:r>
    </w:p>
    <w:p w14:paraId="0EC0860A">
      <w:pPr>
        <w:pStyle w:val="10"/>
        <w:spacing w:line="303" w:lineRule="auto"/>
        <w:rPr>
          <w:rFonts w:hint="eastAsia" w:asciiTheme="minorEastAsia" w:hAnsiTheme="minorEastAsia" w:eastAsiaTheme="minorEastAsia" w:cstheme="minorEastAsia"/>
          <w:color w:val="auto"/>
        </w:rPr>
      </w:pPr>
    </w:p>
    <w:p w14:paraId="28516158">
      <w:pPr>
        <w:pStyle w:val="10"/>
        <w:spacing w:line="304" w:lineRule="auto"/>
        <w:rPr>
          <w:rFonts w:hint="eastAsia" w:asciiTheme="minorEastAsia" w:hAnsiTheme="minorEastAsia" w:eastAsiaTheme="minorEastAsia" w:cstheme="minorEastAsia"/>
          <w:color w:val="auto"/>
        </w:rPr>
      </w:pPr>
    </w:p>
    <w:p w14:paraId="679408B8">
      <w:pPr>
        <w:pStyle w:val="10"/>
        <w:spacing w:line="304" w:lineRule="auto"/>
        <w:rPr>
          <w:rFonts w:hint="eastAsia" w:asciiTheme="minorEastAsia" w:hAnsiTheme="minorEastAsia" w:eastAsiaTheme="minorEastAsia" w:cstheme="minorEastAsia"/>
          <w:color w:val="auto"/>
        </w:rPr>
      </w:pPr>
    </w:p>
    <w:p w14:paraId="5E12197D">
      <w:pPr>
        <w:spacing w:before="69" w:line="222" w:lineRule="auto"/>
        <w:ind w:left="518"/>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19"/>
          <w:sz w:val="21"/>
          <w:szCs w:val="21"/>
        </w:rPr>
        <w:t>项目名称：</w:t>
      </w:r>
    </w:p>
    <w:p w14:paraId="41127E0A">
      <w:pPr>
        <w:pStyle w:val="10"/>
        <w:spacing w:line="274" w:lineRule="auto"/>
        <w:rPr>
          <w:rFonts w:hint="eastAsia" w:asciiTheme="minorEastAsia" w:hAnsiTheme="minorEastAsia" w:eastAsiaTheme="minorEastAsia" w:cstheme="minorEastAsia"/>
          <w:color w:val="auto"/>
        </w:rPr>
      </w:pPr>
    </w:p>
    <w:p w14:paraId="33AB571C">
      <w:pPr>
        <w:pStyle w:val="10"/>
        <w:spacing w:line="274" w:lineRule="auto"/>
        <w:rPr>
          <w:rFonts w:hint="eastAsia" w:asciiTheme="minorEastAsia" w:hAnsiTheme="minorEastAsia" w:eastAsiaTheme="minorEastAsia" w:cstheme="minorEastAsia"/>
          <w:color w:val="auto"/>
        </w:rPr>
      </w:pPr>
    </w:p>
    <w:p w14:paraId="4FAA1C2B">
      <w:pPr>
        <w:spacing w:before="68" w:line="221" w:lineRule="auto"/>
        <w:ind w:left="515"/>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2"/>
          <w:sz w:val="21"/>
          <w:szCs w:val="21"/>
        </w:rPr>
        <w:t>项目编号：</w:t>
      </w:r>
    </w:p>
    <w:p w14:paraId="6A51394E">
      <w:pPr>
        <w:pStyle w:val="10"/>
        <w:spacing w:line="475" w:lineRule="auto"/>
        <w:rPr>
          <w:rFonts w:hint="eastAsia" w:asciiTheme="minorEastAsia" w:hAnsiTheme="minorEastAsia" w:eastAsiaTheme="minorEastAsia" w:cstheme="minorEastAsia"/>
          <w:color w:val="auto"/>
        </w:rPr>
      </w:pPr>
    </w:p>
    <w:p w14:paraId="39D93321">
      <w:pPr>
        <w:spacing w:before="81" w:line="213" w:lineRule="auto"/>
        <w:ind w:left="515"/>
        <w:rPr>
          <w:rFonts w:hint="eastAsia" w:asciiTheme="minorEastAsia" w:hAnsiTheme="minorEastAsia" w:eastAsiaTheme="minorEastAsia" w:cstheme="minorEastAsia"/>
          <w:color w:val="auto"/>
          <w:sz w:val="25"/>
          <w:szCs w:val="25"/>
        </w:rPr>
      </w:pPr>
      <w:r>
        <w:rPr>
          <w:rFonts w:hint="eastAsia" w:asciiTheme="minorEastAsia" w:hAnsiTheme="minorEastAsia" w:eastAsiaTheme="minorEastAsia" w:cstheme="minorEastAsia"/>
          <w:color w:val="auto"/>
          <w:sz w:val="25"/>
          <w:szCs w:val="25"/>
        </w:rPr>
        <w:t>所投分标(如有则填写，无分标时填写“无”或者留空):</w:t>
      </w:r>
    </w:p>
    <w:p w14:paraId="2C9A0223">
      <w:pPr>
        <w:pStyle w:val="10"/>
        <w:spacing w:line="420" w:lineRule="auto"/>
        <w:rPr>
          <w:rFonts w:hint="eastAsia" w:asciiTheme="minorEastAsia" w:hAnsiTheme="minorEastAsia" w:eastAsiaTheme="minorEastAsia" w:cstheme="minorEastAsia"/>
          <w:color w:val="auto"/>
        </w:rPr>
      </w:pPr>
    </w:p>
    <w:p w14:paraId="58A31255">
      <w:pPr>
        <w:spacing w:before="69" w:line="222" w:lineRule="auto"/>
        <w:ind w:left="515"/>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2"/>
          <w:sz w:val="21"/>
          <w:szCs w:val="21"/>
        </w:rPr>
        <w:t>投标人名称：</w:t>
      </w:r>
    </w:p>
    <w:p w14:paraId="0028914D">
      <w:pPr>
        <w:pStyle w:val="10"/>
        <w:spacing w:line="247" w:lineRule="auto"/>
        <w:rPr>
          <w:rFonts w:hint="eastAsia" w:asciiTheme="minorEastAsia" w:hAnsiTheme="minorEastAsia" w:eastAsiaTheme="minorEastAsia" w:cstheme="minorEastAsia"/>
          <w:color w:val="auto"/>
        </w:rPr>
      </w:pPr>
    </w:p>
    <w:p w14:paraId="36EDE8DB">
      <w:pPr>
        <w:pStyle w:val="10"/>
        <w:spacing w:line="247" w:lineRule="auto"/>
        <w:rPr>
          <w:rFonts w:hint="eastAsia" w:asciiTheme="minorEastAsia" w:hAnsiTheme="minorEastAsia" w:eastAsiaTheme="minorEastAsia" w:cstheme="minorEastAsia"/>
          <w:color w:val="auto"/>
        </w:rPr>
      </w:pPr>
    </w:p>
    <w:p w14:paraId="48B49276">
      <w:pPr>
        <w:pStyle w:val="10"/>
        <w:spacing w:line="247" w:lineRule="auto"/>
        <w:rPr>
          <w:rFonts w:hint="eastAsia" w:asciiTheme="minorEastAsia" w:hAnsiTheme="minorEastAsia" w:eastAsiaTheme="minorEastAsia" w:cstheme="minorEastAsia"/>
          <w:color w:val="auto"/>
        </w:rPr>
      </w:pPr>
    </w:p>
    <w:p w14:paraId="4F8EE620">
      <w:pPr>
        <w:pStyle w:val="10"/>
        <w:spacing w:line="247" w:lineRule="auto"/>
        <w:rPr>
          <w:rFonts w:hint="eastAsia" w:asciiTheme="minorEastAsia" w:hAnsiTheme="minorEastAsia" w:eastAsiaTheme="minorEastAsia" w:cstheme="minorEastAsia"/>
          <w:color w:val="auto"/>
        </w:rPr>
      </w:pPr>
    </w:p>
    <w:p w14:paraId="373D6B52">
      <w:pPr>
        <w:pStyle w:val="10"/>
        <w:spacing w:line="247" w:lineRule="auto"/>
        <w:rPr>
          <w:rFonts w:hint="eastAsia" w:asciiTheme="minorEastAsia" w:hAnsiTheme="minorEastAsia" w:eastAsiaTheme="minorEastAsia" w:cstheme="minorEastAsia"/>
          <w:color w:val="auto"/>
        </w:rPr>
      </w:pPr>
    </w:p>
    <w:p w14:paraId="20B5C3B3">
      <w:pPr>
        <w:pStyle w:val="10"/>
        <w:spacing w:line="247" w:lineRule="auto"/>
        <w:rPr>
          <w:rFonts w:hint="eastAsia" w:asciiTheme="minorEastAsia" w:hAnsiTheme="minorEastAsia" w:eastAsiaTheme="minorEastAsia" w:cstheme="minorEastAsia"/>
          <w:color w:val="auto"/>
        </w:rPr>
      </w:pPr>
    </w:p>
    <w:p w14:paraId="03D2E43F">
      <w:pPr>
        <w:pStyle w:val="10"/>
        <w:spacing w:line="247" w:lineRule="auto"/>
        <w:rPr>
          <w:rFonts w:hint="eastAsia" w:asciiTheme="minorEastAsia" w:hAnsiTheme="minorEastAsia" w:eastAsiaTheme="minorEastAsia" w:cstheme="minorEastAsia"/>
          <w:color w:val="auto"/>
        </w:rPr>
      </w:pPr>
    </w:p>
    <w:p w14:paraId="3A1B6329">
      <w:pPr>
        <w:pStyle w:val="10"/>
        <w:spacing w:line="248" w:lineRule="auto"/>
        <w:rPr>
          <w:rFonts w:hint="eastAsia" w:asciiTheme="minorEastAsia" w:hAnsiTheme="minorEastAsia" w:eastAsiaTheme="minorEastAsia" w:cstheme="minorEastAsia"/>
          <w:color w:val="auto"/>
        </w:rPr>
      </w:pPr>
    </w:p>
    <w:p w14:paraId="3131E6A8">
      <w:pPr>
        <w:pStyle w:val="10"/>
        <w:spacing w:line="248" w:lineRule="auto"/>
        <w:rPr>
          <w:rFonts w:hint="eastAsia" w:asciiTheme="minorEastAsia" w:hAnsiTheme="minorEastAsia" w:eastAsiaTheme="minorEastAsia" w:cstheme="minorEastAsia"/>
          <w:color w:val="auto"/>
        </w:rPr>
      </w:pPr>
    </w:p>
    <w:p w14:paraId="1AA42020">
      <w:pPr>
        <w:pStyle w:val="10"/>
        <w:spacing w:line="248" w:lineRule="auto"/>
        <w:rPr>
          <w:rFonts w:hint="eastAsia" w:asciiTheme="minorEastAsia" w:hAnsiTheme="minorEastAsia" w:eastAsiaTheme="minorEastAsia" w:cstheme="minorEastAsia"/>
          <w:color w:val="auto"/>
        </w:rPr>
      </w:pPr>
    </w:p>
    <w:p w14:paraId="45E80906">
      <w:pPr>
        <w:pStyle w:val="10"/>
        <w:spacing w:line="248" w:lineRule="auto"/>
        <w:rPr>
          <w:rFonts w:hint="eastAsia" w:asciiTheme="minorEastAsia" w:hAnsiTheme="minorEastAsia" w:eastAsiaTheme="minorEastAsia" w:cstheme="minorEastAsia"/>
          <w:color w:val="auto"/>
        </w:rPr>
      </w:pPr>
    </w:p>
    <w:p w14:paraId="7707D1FE">
      <w:pPr>
        <w:pStyle w:val="10"/>
        <w:spacing w:line="248" w:lineRule="auto"/>
        <w:rPr>
          <w:rFonts w:hint="eastAsia" w:asciiTheme="minorEastAsia" w:hAnsiTheme="minorEastAsia" w:eastAsiaTheme="minorEastAsia" w:cstheme="minorEastAsia"/>
          <w:color w:val="auto"/>
        </w:rPr>
      </w:pPr>
    </w:p>
    <w:p w14:paraId="3A68D147">
      <w:pPr>
        <w:spacing w:before="69" w:line="223" w:lineRule="auto"/>
        <w:ind w:left="4418"/>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10"/>
          <w:sz w:val="21"/>
          <w:szCs w:val="21"/>
        </w:rPr>
        <w:t>年</w:t>
      </w:r>
      <w:r>
        <w:rPr>
          <w:rFonts w:hint="eastAsia" w:asciiTheme="minorEastAsia" w:hAnsiTheme="minorEastAsia" w:eastAsiaTheme="minorEastAsia" w:cstheme="minorEastAsia"/>
          <w:color w:val="auto"/>
          <w:spacing w:val="34"/>
          <w:sz w:val="21"/>
          <w:szCs w:val="21"/>
        </w:rPr>
        <w:t xml:space="preserve">  </w:t>
      </w:r>
      <w:r>
        <w:rPr>
          <w:rFonts w:hint="eastAsia" w:asciiTheme="minorEastAsia" w:hAnsiTheme="minorEastAsia" w:eastAsiaTheme="minorEastAsia" w:cstheme="minorEastAsia"/>
          <w:b/>
          <w:bCs/>
          <w:color w:val="auto"/>
          <w:spacing w:val="-10"/>
          <w:sz w:val="21"/>
          <w:szCs w:val="21"/>
        </w:rPr>
        <w:t>月</w:t>
      </w:r>
      <w:r>
        <w:rPr>
          <w:rFonts w:hint="eastAsia" w:asciiTheme="minorEastAsia" w:hAnsiTheme="minorEastAsia" w:eastAsiaTheme="minorEastAsia" w:cstheme="minorEastAsia"/>
          <w:color w:val="auto"/>
          <w:spacing w:val="47"/>
          <w:sz w:val="21"/>
          <w:szCs w:val="21"/>
        </w:rPr>
        <w:t xml:space="preserve">  </w:t>
      </w:r>
      <w:r>
        <w:rPr>
          <w:rFonts w:hint="eastAsia" w:asciiTheme="minorEastAsia" w:hAnsiTheme="minorEastAsia" w:eastAsiaTheme="minorEastAsia" w:cstheme="minorEastAsia"/>
          <w:b/>
          <w:bCs/>
          <w:color w:val="auto"/>
          <w:spacing w:val="-10"/>
          <w:sz w:val="21"/>
          <w:szCs w:val="21"/>
        </w:rPr>
        <w:t>日</w:t>
      </w:r>
    </w:p>
    <w:p w14:paraId="00C5A863">
      <w:pPr>
        <w:spacing w:line="223" w:lineRule="auto"/>
        <w:rPr>
          <w:rFonts w:hint="eastAsia" w:asciiTheme="minorEastAsia" w:hAnsiTheme="minorEastAsia" w:eastAsiaTheme="minorEastAsia" w:cstheme="minorEastAsia"/>
          <w:color w:val="auto"/>
          <w:sz w:val="21"/>
          <w:szCs w:val="21"/>
        </w:rPr>
        <w:sectPr>
          <w:footerReference r:id="rId37" w:type="default"/>
          <w:pgSz w:w="11900" w:h="16830"/>
          <w:pgMar w:top="1430" w:right="1785" w:bottom="991" w:left="1144" w:header="0" w:footer="847" w:gutter="0"/>
          <w:cols w:space="720" w:num="1"/>
        </w:sectPr>
      </w:pPr>
    </w:p>
    <w:p w14:paraId="024B65C6">
      <w:pPr>
        <w:pStyle w:val="10"/>
        <w:spacing w:line="350" w:lineRule="auto"/>
        <w:rPr>
          <w:rFonts w:hint="eastAsia" w:asciiTheme="minorEastAsia" w:hAnsiTheme="minorEastAsia" w:eastAsiaTheme="minorEastAsia" w:cstheme="minorEastAsia"/>
          <w:color w:val="auto"/>
        </w:rPr>
      </w:pPr>
    </w:p>
    <w:p w14:paraId="18A86403">
      <w:pPr>
        <w:pStyle w:val="10"/>
        <w:spacing w:line="351" w:lineRule="auto"/>
        <w:rPr>
          <w:rFonts w:hint="eastAsia" w:asciiTheme="minorEastAsia" w:hAnsiTheme="minorEastAsia" w:eastAsiaTheme="minorEastAsia" w:cstheme="minorEastAsia"/>
          <w:color w:val="auto"/>
        </w:rPr>
      </w:pPr>
    </w:p>
    <w:p w14:paraId="6C81AF5D">
      <w:pPr>
        <w:spacing w:before="91" w:line="219"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2.商务文件目录</w:t>
      </w:r>
    </w:p>
    <w:p w14:paraId="2CB6542C">
      <w:pPr>
        <w:spacing w:before="217" w:line="221" w:lineRule="auto"/>
        <w:ind w:left="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根据招标文件规定及投标人提供的材料自行编写目录(部分格式后附)。</w:t>
      </w:r>
    </w:p>
    <w:p w14:paraId="146B7B6A">
      <w:pPr>
        <w:spacing w:line="221" w:lineRule="auto"/>
        <w:rPr>
          <w:rFonts w:hint="eastAsia" w:asciiTheme="minorEastAsia" w:hAnsiTheme="minorEastAsia" w:eastAsiaTheme="minorEastAsia" w:cstheme="minorEastAsia"/>
          <w:color w:val="auto"/>
          <w:sz w:val="24"/>
          <w:szCs w:val="24"/>
        </w:rPr>
        <w:sectPr>
          <w:footerReference r:id="rId38" w:type="default"/>
          <w:pgSz w:w="11900" w:h="16830"/>
          <w:pgMar w:top="1430" w:right="1785" w:bottom="991" w:left="1124" w:header="0" w:footer="847" w:gutter="0"/>
          <w:cols w:space="720" w:num="1"/>
        </w:sectPr>
      </w:pPr>
    </w:p>
    <w:p w14:paraId="01026311">
      <w:pPr>
        <w:spacing w:before="52" w:line="222" w:lineRule="auto"/>
        <w:ind w:left="3"/>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b/>
          <w:bCs/>
          <w:color w:val="auto"/>
          <w:spacing w:val="12"/>
          <w:sz w:val="26"/>
          <w:szCs w:val="26"/>
        </w:rPr>
        <w:t>3.无串通投标行为的承诺函的格式：</w:t>
      </w:r>
    </w:p>
    <w:p w14:paraId="3B3BE3A9">
      <w:pPr>
        <w:pStyle w:val="10"/>
        <w:spacing w:line="290" w:lineRule="auto"/>
        <w:rPr>
          <w:rFonts w:hint="eastAsia" w:asciiTheme="minorEastAsia" w:hAnsiTheme="minorEastAsia" w:eastAsiaTheme="minorEastAsia" w:cstheme="minorEastAsia"/>
          <w:color w:val="auto"/>
        </w:rPr>
      </w:pPr>
    </w:p>
    <w:p w14:paraId="5F6C2179">
      <w:pPr>
        <w:pStyle w:val="10"/>
        <w:spacing w:line="291" w:lineRule="auto"/>
        <w:rPr>
          <w:rFonts w:hint="eastAsia" w:asciiTheme="minorEastAsia" w:hAnsiTheme="minorEastAsia" w:eastAsiaTheme="minorEastAsia" w:cstheme="minorEastAsia"/>
          <w:color w:val="auto"/>
        </w:rPr>
      </w:pPr>
    </w:p>
    <w:p w14:paraId="21C51868">
      <w:pPr>
        <w:spacing w:before="104" w:line="219" w:lineRule="auto"/>
        <w:ind w:left="2494"/>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bCs/>
          <w:color w:val="auto"/>
          <w:spacing w:val="-5"/>
          <w:sz w:val="32"/>
          <w:szCs w:val="32"/>
        </w:rPr>
        <w:t>参加本项目无串通投标行为的承诺函</w:t>
      </w:r>
    </w:p>
    <w:p w14:paraId="1B90B087">
      <w:pPr>
        <w:pStyle w:val="10"/>
        <w:spacing w:line="446" w:lineRule="auto"/>
        <w:rPr>
          <w:rFonts w:hint="eastAsia" w:asciiTheme="minorEastAsia" w:hAnsiTheme="minorEastAsia" w:eastAsiaTheme="minorEastAsia" w:cstheme="minorEastAsia"/>
          <w:color w:val="auto"/>
        </w:rPr>
      </w:pPr>
    </w:p>
    <w:p w14:paraId="49A1F6FF">
      <w:pPr>
        <w:spacing w:before="68" w:line="221" w:lineRule="auto"/>
        <w:ind w:left="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5"/>
          <w:sz w:val="21"/>
          <w:szCs w:val="21"/>
        </w:rPr>
        <w:t>一</w:t>
      </w:r>
      <w:r>
        <w:rPr>
          <w:rFonts w:hint="eastAsia" w:asciiTheme="minorEastAsia" w:hAnsiTheme="minorEastAsia" w:eastAsiaTheme="minorEastAsia" w:cstheme="minorEastAsia"/>
          <w:color w:val="auto"/>
          <w:spacing w:val="-34"/>
          <w:sz w:val="21"/>
          <w:szCs w:val="21"/>
        </w:rPr>
        <w:t xml:space="preserve"> </w:t>
      </w:r>
      <w:r>
        <w:rPr>
          <w:rFonts w:hint="eastAsia" w:asciiTheme="minorEastAsia" w:hAnsiTheme="minorEastAsia" w:eastAsiaTheme="minorEastAsia" w:cstheme="minorEastAsia"/>
          <w:b/>
          <w:bCs/>
          <w:color w:val="auto"/>
          <w:spacing w:val="-5"/>
          <w:sz w:val="21"/>
          <w:szCs w:val="21"/>
        </w:rPr>
        <w:t>、我方承诺无下列相互串通投标的情形：</w:t>
      </w:r>
    </w:p>
    <w:p w14:paraId="4771A4B9">
      <w:pPr>
        <w:spacing w:before="262" w:line="213" w:lineRule="auto"/>
        <w:ind w:left="3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1.不同投标人的投标文件由同一单位或者个人编制；或者不同投标人报名的</w:t>
      </w:r>
      <w:r>
        <w:rPr>
          <w:rFonts w:hint="eastAsia" w:asciiTheme="minorEastAsia" w:hAnsiTheme="minorEastAsia" w:eastAsiaTheme="minorEastAsia" w:cstheme="minorEastAsia"/>
          <w:color w:val="auto"/>
          <w:sz w:val="21"/>
          <w:szCs w:val="21"/>
        </w:rPr>
        <w:t>IP</w:t>
      </w:r>
      <w:r>
        <w:rPr>
          <w:rFonts w:hint="eastAsia" w:asciiTheme="minorEastAsia" w:hAnsiTheme="minorEastAsia" w:eastAsiaTheme="minorEastAsia" w:cstheme="minorEastAsia"/>
          <w:color w:val="auto"/>
          <w:spacing w:val="-39"/>
          <w:sz w:val="21"/>
          <w:szCs w:val="21"/>
        </w:rPr>
        <w:t xml:space="preserve"> </w:t>
      </w:r>
      <w:r>
        <w:rPr>
          <w:rFonts w:hint="eastAsia" w:asciiTheme="minorEastAsia" w:hAnsiTheme="minorEastAsia" w:eastAsiaTheme="minorEastAsia" w:cstheme="minorEastAsia"/>
          <w:color w:val="auto"/>
          <w:spacing w:val="1"/>
          <w:sz w:val="21"/>
          <w:szCs w:val="21"/>
        </w:rPr>
        <w:t>地址一致的；</w:t>
      </w:r>
    </w:p>
    <w:p w14:paraId="6229B84F">
      <w:pPr>
        <w:spacing w:before="297" w:line="213" w:lineRule="auto"/>
        <w:ind w:left="3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2.不同投标人委托同一单位或者个人办理投标事</w:t>
      </w:r>
      <w:r>
        <w:rPr>
          <w:rFonts w:hint="eastAsia" w:asciiTheme="minorEastAsia" w:hAnsiTheme="minorEastAsia" w:eastAsiaTheme="minorEastAsia" w:cstheme="minorEastAsia"/>
          <w:color w:val="auto"/>
          <w:spacing w:val="-2"/>
          <w:sz w:val="21"/>
          <w:szCs w:val="21"/>
        </w:rPr>
        <w:t>宜；</w:t>
      </w:r>
    </w:p>
    <w:p w14:paraId="7805C5E7">
      <w:pPr>
        <w:spacing w:before="278" w:line="213" w:lineRule="auto"/>
        <w:ind w:left="3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3.不同的投标人的投标文件载明的项目管理员为同一个人；</w:t>
      </w:r>
    </w:p>
    <w:p w14:paraId="500449EC">
      <w:pPr>
        <w:spacing w:before="287" w:line="213" w:lineRule="auto"/>
        <w:ind w:left="3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4.不同投标人的投标文件异常一致或者投标报价呈规律性差异；</w:t>
      </w:r>
    </w:p>
    <w:p w14:paraId="0FCECFAD">
      <w:pPr>
        <w:spacing w:before="278" w:line="213" w:lineRule="auto"/>
        <w:ind w:left="3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5.不同投标人的投标文件相互混装；</w:t>
      </w:r>
    </w:p>
    <w:p w14:paraId="3B3B1916">
      <w:pPr>
        <w:spacing w:before="307" w:line="221" w:lineRule="auto"/>
        <w:ind w:left="3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6.不同投标人的投标保证金从同一单位或者个人账户转出。</w:t>
      </w:r>
    </w:p>
    <w:p w14:paraId="7242F1E0">
      <w:pPr>
        <w:spacing w:before="275" w:line="221" w:lineRule="auto"/>
        <w:ind w:left="3"/>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5"/>
          <w:sz w:val="21"/>
          <w:szCs w:val="21"/>
        </w:rPr>
        <w:t>二</w:t>
      </w:r>
      <w:r>
        <w:rPr>
          <w:rFonts w:hint="eastAsia" w:asciiTheme="minorEastAsia" w:hAnsiTheme="minorEastAsia" w:eastAsiaTheme="minorEastAsia" w:cstheme="minorEastAsia"/>
          <w:color w:val="auto"/>
          <w:spacing w:val="-50"/>
          <w:sz w:val="21"/>
          <w:szCs w:val="21"/>
        </w:rPr>
        <w:t xml:space="preserve"> </w:t>
      </w:r>
      <w:r>
        <w:rPr>
          <w:rFonts w:hint="eastAsia" w:asciiTheme="minorEastAsia" w:hAnsiTheme="minorEastAsia" w:eastAsiaTheme="minorEastAsia" w:cstheme="minorEastAsia"/>
          <w:b/>
          <w:bCs/>
          <w:color w:val="auto"/>
          <w:spacing w:val="-5"/>
          <w:sz w:val="21"/>
          <w:szCs w:val="21"/>
        </w:rPr>
        <w:t>、我方承诺无下列恶意串通的情形：</w:t>
      </w:r>
    </w:p>
    <w:p w14:paraId="6E300F74">
      <w:pPr>
        <w:spacing w:before="273" w:line="213" w:lineRule="auto"/>
        <w:ind w:right="15"/>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1.投标人直接或者间接从采购人或者采购代理机构处获得其他投标人的相关信息并修改其投标文件；</w:t>
      </w:r>
    </w:p>
    <w:p w14:paraId="25DFB6F8">
      <w:pPr>
        <w:spacing w:before="278" w:line="213" w:lineRule="auto"/>
        <w:ind w:left="3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2.投标人按照采购人或者采购代理机构的授意撤换、修改投标文件；</w:t>
      </w:r>
    </w:p>
    <w:p w14:paraId="24DA1606">
      <w:pPr>
        <w:spacing w:before="297" w:line="213" w:lineRule="auto"/>
        <w:ind w:left="3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3.投标人之间协商报价、技术方案等投标文件</w:t>
      </w:r>
      <w:r>
        <w:rPr>
          <w:rFonts w:hint="eastAsia" w:asciiTheme="minorEastAsia" w:hAnsiTheme="minorEastAsia" w:eastAsiaTheme="minorEastAsia" w:cstheme="minorEastAsia"/>
          <w:color w:val="auto"/>
          <w:spacing w:val="-1"/>
          <w:sz w:val="21"/>
          <w:szCs w:val="21"/>
        </w:rPr>
        <w:t>的实质性内容；</w:t>
      </w:r>
    </w:p>
    <w:p w14:paraId="0ECB5463">
      <w:pPr>
        <w:spacing w:before="288" w:line="213" w:lineRule="auto"/>
        <w:ind w:left="3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4.属于同一集团、协会、商会等组织成员的投标人按</w:t>
      </w:r>
      <w:r>
        <w:rPr>
          <w:rFonts w:hint="eastAsia" w:asciiTheme="minorEastAsia" w:hAnsiTheme="minorEastAsia" w:eastAsiaTheme="minorEastAsia" w:cstheme="minorEastAsia"/>
          <w:color w:val="auto"/>
          <w:spacing w:val="-1"/>
          <w:sz w:val="21"/>
          <w:szCs w:val="21"/>
        </w:rPr>
        <w:t>照该组织要求协同参加政府采购活动；</w:t>
      </w:r>
    </w:p>
    <w:p w14:paraId="7E8C5AC0">
      <w:pPr>
        <w:spacing w:before="268" w:line="291" w:lineRule="auto"/>
        <w:ind w:right="3" w:firstLine="3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5.投标人之间事先约定一致抬高或者压低投标报价，或者在招标项目中事先约定轮流以高价位或者低</w:t>
      </w:r>
      <w:r>
        <w:rPr>
          <w:rFonts w:hint="eastAsia" w:asciiTheme="minorEastAsia" w:hAnsiTheme="minorEastAsia" w:eastAsiaTheme="minorEastAsia" w:cstheme="minorEastAsia"/>
          <w:color w:val="auto"/>
          <w:spacing w:val="16"/>
          <w:sz w:val="21"/>
          <w:szCs w:val="21"/>
        </w:rPr>
        <w:t xml:space="preserve"> </w:t>
      </w:r>
      <w:r>
        <w:rPr>
          <w:rFonts w:hint="eastAsia" w:asciiTheme="minorEastAsia" w:hAnsiTheme="minorEastAsia" w:eastAsiaTheme="minorEastAsia" w:cstheme="minorEastAsia"/>
          <w:color w:val="auto"/>
          <w:sz w:val="21"/>
          <w:szCs w:val="21"/>
        </w:rPr>
        <w:t>价位中标，或者事先约定由某一特定投标人中标，然后再</w:t>
      </w:r>
      <w:r>
        <w:rPr>
          <w:rFonts w:hint="eastAsia" w:asciiTheme="minorEastAsia" w:hAnsiTheme="minorEastAsia" w:eastAsiaTheme="minorEastAsia" w:cstheme="minorEastAsia"/>
          <w:color w:val="auto"/>
          <w:spacing w:val="-1"/>
          <w:sz w:val="21"/>
          <w:szCs w:val="21"/>
        </w:rPr>
        <w:t>参加投标；</w:t>
      </w:r>
    </w:p>
    <w:p w14:paraId="50E389FF">
      <w:pPr>
        <w:spacing w:before="298" w:line="213" w:lineRule="auto"/>
        <w:ind w:left="3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6.投标人之间商定部分投标人放弃参加政府采购活动或者放弃中标；</w:t>
      </w:r>
    </w:p>
    <w:p w14:paraId="143D3BEA">
      <w:pPr>
        <w:spacing w:before="268" w:line="295" w:lineRule="auto"/>
        <w:ind w:right="24" w:firstLine="3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7.投标人与采购人或者采购代理机构之间、投标人相互之间，为谋求特定投标人中标或者</w:t>
      </w:r>
      <w:r>
        <w:rPr>
          <w:rFonts w:hint="eastAsia" w:asciiTheme="minorEastAsia" w:hAnsiTheme="minorEastAsia" w:eastAsiaTheme="minorEastAsia" w:cstheme="minorEastAsia"/>
          <w:color w:val="auto"/>
          <w:spacing w:val="-1"/>
          <w:sz w:val="21"/>
          <w:szCs w:val="21"/>
        </w:rPr>
        <w:t>排斤其他投</w:t>
      </w:r>
      <w:r>
        <w:rPr>
          <w:rFonts w:hint="eastAsia" w:asciiTheme="minorEastAsia" w:hAnsiTheme="minorEastAsia" w:eastAsiaTheme="minorEastAsia" w:cstheme="minorEastAsia"/>
          <w:color w:val="auto"/>
          <w:sz w:val="21"/>
          <w:szCs w:val="21"/>
        </w:rPr>
        <w:t xml:space="preserve"> 标人的其他串通行为。</w:t>
      </w:r>
    </w:p>
    <w:p w14:paraId="40476EBC">
      <w:pPr>
        <w:spacing w:before="255" w:line="358" w:lineRule="auto"/>
        <w:ind w:left="3" w:firstLine="3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2"/>
          <w:sz w:val="21"/>
          <w:szCs w:val="21"/>
        </w:rPr>
        <w:t>以上情形一经核查属实，接受政府采购监管部门对我方认定存在围标串标行为，我方愿意承担一切后</w:t>
      </w:r>
      <w:r>
        <w:rPr>
          <w:rFonts w:hint="eastAsia" w:asciiTheme="minorEastAsia" w:hAnsiTheme="minorEastAsia" w:eastAsiaTheme="minorEastAsia" w:cstheme="minorEastAsia"/>
          <w:color w:val="auto"/>
          <w:spacing w:val="8"/>
          <w:sz w:val="21"/>
          <w:szCs w:val="21"/>
        </w:rPr>
        <w:t xml:space="preserve"> </w:t>
      </w:r>
      <w:r>
        <w:rPr>
          <w:rFonts w:hint="eastAsia" w:asciiTheme="minorEastAsia" w:hAnsiTheme="minorEastAsia" w:eastAsiaTheme="minorEastAsia" w:cstheme="minorEastAsia"/>
          <w:b/>
          <w:bCs/>
          <w:color w:val="auto"/>
          <w:spacing w:val="-2"/>
          <w:sz w:val="21"/>
          <w:szCs w:val="21"/>
        </w:rPr>
        <w:t>果，并不再寻求任何旨在减轻或者免除法律责任的辩解。</w:t>
      </w:r>
    </w:p>
    <w:p w14:paraId="2F20B065">
      <w:pPr>
        <w:pStyle w:val="10"/>
        <w:spacing w:line="343" w:lineRule="auto"/>
        <w:rPr>
          <w:rFonts w:hint="eastAsia" w:asciiTheme="minorEastAsia" w:hAnsiTheme="minorEastAsia" w:eastAsiaTheme="minorEastAsia" w:cstheme="minorEastAsia"/>
          <w:color w:val="auto"/>
        </w:rPr>
      </w:pPr>
    </w:p>
    <w:p w14:paraId="70A0EBB6">
      <w:pPr>
        <w:spacing w:before="85" w:line="222" w:lineRule="auto"/>
        <w:ind w:left="5149"/>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14"/>
          <w:sz w:val="26"/>
          <w:szCs w:val="26"/>
        </w:rPr>
        <w:t>投标人名称(盖公章):</w:t>
      </w:r>
      <w:r>
        <w:rPr>
          <w:rFonts w:hint="eastAsia" w:asciiTheme="minorEastAsia" w:hAnsiTheme="minorEastAsia" w:eastAsiaTheme="minorEastAsia" w:cstheme="minorEastAsia"/>
          <w:color w:val="auto"/>
          <w:spacing w:val="-38"/>
          <w:sz w:val="26"/>
          <w:szCs w:val="26"/>
        </w:rPr>
        <w:t xml:space="preserve"> </w:t>
      </w:r>
      <w:r>
        <w:rPr>
          <w:rFonts w:hint="eastAsia" w:asciiTheme="minorEastAsia" w:hAnsiTheme="minorEastAsia" w:eastAsiaTheme="minorEastAsia" w:cstheme="minorEastAsia"/>
          <w:color w:val="auto"/>
          <w:sz w:val="26"/>
          <w:szCs w:val="26"/>
          <w:u w:val="single" w:color="auto"/>
        </w:rPr>
        <w:t xml:space="preserve">              </w:t>
      </w:r>
    </w:p>
    <w:p w14:paraId="27FCCE41">
      <w:pPr>
        <w:spacing w:before="238" w:line="223" w:lineRule="auto"/>
        <w:ind w:left="52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日期：</w:t>
      </w:r>
      <w:r>
        <w:rPr>
          <w:rFonts w:hint="eastAsia" w:asciiTheme="minorEastAsia" w:hAnsiTheme="minorEastAsia" w:eastAsiaTheme="minorEastAsia" w:cstheme="minorEastAsia"/>
          <w:color w:val="auto"/>
          <w:spacing w:val="40"/>
          <w:sz w:val="21"/>
          <w:szCs w:val="21"/>
        </w:rPr>
        <w:t xml:space="preserve">  </w:t>
      </w:r>
      <w:r>
        <w:rPr>
          <w:rFonts w:hint="eastAsia" w:asciiTheme="minorEastAsia" w:hAnsiTheme="minorEastAsia" w:eastAsiaTheme="minorEastAsia" w:cstheme="minorEastAsia"/>
          <w:color w:val="auto"/>
          <w:spacing w:val="-4"/>
          <w:sz w:val="21"/>
          <w:szCs w:val="21"/>
        </w:rPr>
        <w:t>年</w:t>
      </w:r>
      <w:r>
        <w:rPr>
          <w:rFonts w:hint="eastAsia" w:asciiTheme="minorEastAsia" w:hAnsiTheme="minorEastAsia" w:eastAsiaTheme="minorEastAsia" w:cstheme="minorEastAsia"/>
          <w:color w:val="auto"/>
          <w:spacing w:val="34"/>
          <w:sz w:val="21"/>
          <w:szCs w:val="21"/>
        </w:rPr>
        <w:t xml:space="preserve">  </w:t>
      </w:r>
      <w:r>
        <w:rPr>
          <w:rFonts w:hint="eastAsia" w:asciiTheme="minorEastAsia" w:hAnsiTheme="minorEastAsia" w:eastAsiaTheme="minorEastAsia" w:cstheme="minorEastAsia"/>
          <w:color w:val="auto"/>
          <w:spacing w:val="-4"/>
          <w:sz w:val="21"/>
          <w:szCs w:val="21"/>
        </w:rPr>
        <w:t>月</w:t>
      </w:r>
      <w:r>
        <w:rPr>
          <w:rFonts w:hint="eastAsia" w:asciiTheme="minorEastAsia" w:hAnsiTheme="minorEastAsia" w:eastAsiaTheme="minorEastAsia" w:cstheme="minorEastAsia"/>
          <w:color w:val="auto"/>
          <w:spacing w:val="3"/>
          <w:sz w:val="21"/>
          <w:szCs w:val="21"/>
        </w:rPr>
        <w:t xml:space="preserve">    </w:t>
      </w:r>
      <w:r>
        <w:rPr>
          <w:rFonts w:hint="eastAsia" w:asciiTheme="minorEastAsia" w:hAnsiTheme="minorEastAsia" w:eastAsiaTheme="minorEastAsia" w:cstheme="minorEastAsia"/>
          <w:color w:val="auto"/>
          <w:spacing w:val="-4"/>
          <w:sz w:val="21"/>
          <w:szCs w:val="21"/>
        </w:rPr>
        <w:t>日</w:t>
      </w:r>
    </w:p>
    <w:p w14:paraId="5287B80D">
      <w:pPr>
        <w:spacing w:line="223" w:lineRule="auto"/>
        <w:rPr>
          <w:rFonts w:hint="eastAsia" w:asciiTheme="minorEastAsia" w:hAnsiTheme="minorEastAsia" w:eastAsiaTheme="minorEastAsia" w:cstheme="minorEastAsia"/>
          <w:color w:val="auto"/>
          <w:sz w:val="21"/>
          <w:szCs w:val="21"/>
        </w:rPr>
        <w:sectPr>
          <w:footerReference r:id="rId39" w:type="default"/>
          <w:pgSz w:w="11900" w:h="16830"/>
          <w:pgMar w:top="1153" w:right="1128" w:bottom="991" w:left="1110" w:header="0" w:footer="847" w:gutter="0"/>
          <w:cols w:space="720" w:num="1"/>
        </w:sectPr>
      </w:pPr>
    </w:p>
    <w:p w14:paraId="035836BE">
      <w:pPr>
        <w:spacing w:before="48" w:line="219"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31"/>
          <w:sz w:val="24"/>
          <w:szCs w:val="24"/>
        </w:rPr>
        <w:t>4.法定代表人身份证明的格式：</w:t>
      </w:r>
    </w:p>
    <w:p w14:paraId="432FEFCF">
      <w:pPr>
        <w:pStyle w:val="10"/>
        <w:spacing w:line="266" w:lineRule="auto"/>
        <w:rPr>
          <w:rFonts w:hint="eastAsia" w:asciiTheme="minorEastAsia" w:hAnsiTheme="minorEastAsia" w:eastAsiaTheme="minorEastAsia" w:cstheme="minorEastAsia"/>
          <w:color w:val="auto"/>
        </w:rPr>
      </w:pPr>
    </w:p>
    <w:p w14:paraId="0937566F">
      <w:pPr>
        <w:pStyle w:val="10"/>
        <w:spacing w:line="266" w:lineRule="auto"/>
        <w:rPr>
          <w:rFonts w:hint="eastAsia" w:asciiTheme="minorEastAsia" w:hAnsiTheme="minorEastAsia" w:eastAsiaTheme="minorEastAsia" w:cstheme="minorEastAsia"/>
          <w:color w:val="auto"/>
        </w:rPr>
      </w:pPr>
    </w:p>
    <w:p w14:paraId="1287BBE6">
      <w:pPr>
        <w:pStyle w:val="10"/>
        <w:spacing w:line="267" w:lineRule="auto"/>
        <w:rPr>
          <w:rFonts w:hint="eastAsia" w:asciiTheme="minorEastAsia" w:hAnsiTheme="minorEastAsia" w:eastAsiaTheme="minorEastAsia" w:cstheme="minorEastAsia"/>
          <w:color w:val="auto"/>
        </w:rPr>
      </w:pPr>
    </w:p>
    <w:p w14:paraId="0D84ECED">
      <w:pPr>
        <w:pStyle w:val="10"/>
        <w:spacing w:line="267" w:lineRule="auto"/>
        <w:rPr>
          <w:rFonts w:hint="eastAsia" w:asciiTheme="minorEastAsia" w:hAnsiTheme="minorEastAsia" w:eastAsiaTheme="minorEastAsia" w:cstheme="minorEastAsia"/>
          <w:color w:val="auto"/>
        </w:rPr>
      </w:pPr>
    </w:p>
    <w:p w14:paraId="001691F5">
      <w:pPr>
        <w:spacing w:before="104" w:line="219" w:lineRule="auto"/>
        <w:ind w:left="3631"/>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bCs/>
          <w:color w:val="auto"/>
          <w:spacing w:val="-5"/>
          <w:sz w:val="32"/>
          <w:szCs w:val="32"/>
        </w:rPr>
        <w:t>法定代表人身份证明</w:t>
      </w:r>
    </w:p>
    <w:p w14:paraId="79E39873">
      <w:pPr>
        <w:spacing w:before="301" w:line="222" w:lineRule="auto"/>
        <w:ind w:left="49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投</w:t>
      </w:r>
      <w:r>
        <w:rPr>
          <w:rFonts w:hint="eastAsia" w:asciiTheme="minorEastAsia" w:hAnsiTheme="minorEastAsia" w:eastAsiaTheme="minorEastAsia" w:cstheme="minorEastAsia"/>
          <w:color w:val="auto"/>
          <w:spacing w:val="-27"/>
          <w:sz w:val="24"/>
          <w:szCs w:val="24"/>
        </w:rPr>
        <w:t xml:space="preserve"> </w:t>
      </w:r>
      <w:r>
        <w:rPr>
          <w:rFonts w:hint="eastAsia" w:asciiTheme="minorEastAsia" w:hAnsiTheme="minorEastAsia" w:eastAsiaTheme="minorEastAsia" w:cstheme="minorEastAsia"/>
          <w:color w:val="auto"/>
          <w:spacing w:val="-8"/>
          <w:sz w:val="24"/>
          <w:szCs w:val="24"/>
        </w:rPr>
        <w:t>标</w:t>
      </w:r>
      <w:r>
        <w:rPr>
          <w:rFonts w:hint="eastAsia" w:asciiTheme="minorEastAsia" w:hAnsiTheme="minorEastAsia" w:eastAsiaTheme="minorEastAsia" w:cstheme="minorEastAsia"/>
          <w:color w:val="auto"/>
          <w:spacing w:val="-20"/>
          <w:sz w:val="24"/>
          <w:szCs w:val="24"/>
        </w:rPr>
        <w:t xml:space="preserve"> </w:t>
      </w:r>
      <w:r>
        <w:rPr>
          <w:rFonts w:hint="eastAsia" w:asciiTheme="minorEastAsia" w:hAnsiTheme="minorEastAsia" w:eastAsiaTheme="minorEastAsia" w:cstheme="minorEastAsia"/>
          <w:color w:val="auto"/>
          <w:spacing w:val="-8"/>
          <w:sz w:val="24"/>
          <w:szCs w:val="24"/>
        </w:rPr>
        <w:t>人</w:t>
      </w:r>
      <w:r>
        <w:rPr>
          <w:rFonts w:hint="eastAsia" w:asciiTheme="minorEastAsia" w:hAnsiTheme="minorEastAsia" w:eastAsiaTheme="minorEastAsia" w:cstheme="minorEastAsia"/>
          <w:color w:val="auto"/>
          <w:spacing w:val="-33"/>
          <w:sz w:val="24"/>
          <w:szCs w:val="24"/>
        </w:rPr>
        <w:t xml:space="preserve"> </w:t>
      </w:r>
      <w:r>
        <w:rPr>
          <w:rFonts w:hint="eastAsia" w:asciiTheme="minorEastAsia" w:hAnsiTheme="minorEastAsia" w:eastAsiaTheme="minorEastAsia" w:cstheme="minorEastAsia"/>
          <w:color w:val="auto"/>
          <w:spacing w:val="-8"/>
          <w:sz w:val="24"/>
          <w:szCs w:val="24"/>
        </w:rPr>
        <w:t>：</w:t>
      </w:r>
      <w:r>
        <w:rPr>
          <w:rFonts w:hint="eastAsia" w:asciiTheme="minorEastAsia" w:hAnsiTheme="minorEastAsia" w:eastAsiaTheme="minorEastAsia" w:cstheme="minorEastAsia"/>
          <w:color w:val="auto"/>
          <w:sz w:val="24"/>
          <w:szCs w:val="24"/>
          <w:u w:val="single" w:color="auto"/>
        </w:rPr>
        <w:t xml:space="preserve">                                                         </w:t>
      </w:r>
    </w:p>
    <w:p w14:paraId="505922C0">
      <w:pPr>
        <w:spacing w:before="191" w:line="230" w:lineRule="auto"/>
        <w:ind w:left="49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地    址：</w:t>
      </w:r>
      <w:r>
        <w:rPr>
          <w:rFonts w:hint="eastAsia" w:asciiTheme="minorEastAsia" w:hAnsiTheme="minorEastAsia" w:eastAsiaTheme="minorEastAsia" w:cstheme="minorEastAsia"/>
          <w:color w:val="auto"/>
          <w:spacing w:val="-1"/>
          <w:sz w:val="24"/>
          <w:szCs w:val="24"/>
          <w:u w:val="single" w:color="auto"/>
        </w:rPr>
        <w:t xml:space="preserve">                                                 </w:t>
      </w:r>
      <w:r>
        <w:rPr>
          <w:rFonts w:hint="eastAsia" w:asciiTheme="minorEastAsia" w:hAnsiTheme="minorEastAsia" w:eastAsiaTheme="minorEastAsia" w:cstheme="minorEastAsia"/>
          <w:color w:val="auto"/>
          <w:spacing w:val="-2"/>
          <w:sz w:val="24"/>
          <w:szCs w:val="24"/>
          <w:u w:val="single" w:color="auto"/>
        </w:rPr>
        <w:t xml:space="preserve">        </w:t>
      </w:r>
    </w:p>
    <w:p w14:paraId="6326BD69">
      <w:pPr>
        <w:spacing w:before="210" w:line="223" w:lineRule="auto"/>
        <w:ind w:left="49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position w:val="-1"/>
          <w:sz w:val="24"/>
          <w:szCs w:val="24"/>
        </w:rPr>
        <w:t>姓</w:t>
      </w:r>
      <w:r>
        <w:rPr>
          <w:rFonts w:hint="eastAsia" w:asciiTheme="minorEastAsia" w:hAnsiTheme="minorEastAsia" w:eastAsiaTheme="minorEastAsia" w:cstheme="minorEastAsia"/>
          <w:color w:val="auto"/>
          <w:spacing w:val="8"/>
          <w:position w:val="-1"/>
          <w:sz w:val="24"/>
          <w:szCs w:val="24"/>
        </w:rPr>
        <w:t xml:space="preserve">    </w:t>
      </w:r>
      <w:r>
        <w:rPr>
          <w:rFonts w:hint="eastAsia" w:asciiTheme="minorEastAsia" w:hAnsiTheme="minorEastAsia" w:eastAsiaTheme="minorEastAsia" w:cstheme="minorEastAsia"/>
          <w:color w:val="auto"/>
          <w:spacing w:val="-5"/>
          <w:position w:val="-1"/>
          <w:sz w:val="24"/>
          <w:szCs w:val="24"/>
        </w:rPr>
        <w:t>名：</w:t>
      </w:r>
      <w:r>
        <w:rPr>
          <w:rFonts w:hint="eastAsia" w:asciiTheme="minorEastAsia" w:hAnsiTheme="minorEastAsia" w:eastAsiaTheme="minorEastAsia" w:cstheme="minorEastAsia"/>
          <w:color w:val="auto"/>
          <w:spacing w:val="-99"/>
          <w:position w:val="-1"/>
          <w:sz w:val="24"/>
          <w:szCs w:val="24"/>
        </w:rPr>
        <w:t xml:space="preserve"> </w:t>
      </w:r>
      <w:r>
        <w:rPr>
          <w:rFonts w:hint="eastAsia" w:asciiTheme="minorEastAsia" w:hAnsiTheme="minorEastAsia" w:eastAsiaTheme="minorEastAsia" w:cstheme="minorEastAsia"/>
          <w:color w:val="auto"/>
          <w:position w:val="-1"/>
          <w:sz w:val="24"/>
          <w:szCs w:val="24"/>
          <w:u w:val="single" w:color="auto"/>
        </w:rPr>
        <w:t xml:space="preserve">                          </w:t>
      </w:r>
      <w:r>
        <w:rPr>
          <w:rFonts w:hint="eastAsia" w:asciiTheme="minorEastAsia" w:hAnsiTheme="minorEastAsia" w:eastAsiaTheme="minorEastAsia" w:cstheme="minorEastAsia"/>
          <w:color w:val="auto"/>
          <w:spacing w:val="-5"/>
          <w:position w:val="1"/>
          <w:sz w:val="24"/>
          <w:szCs w:val="24"/>
        </w:rPr>
        <w:t>性      别：</w:t>
      </w:r>
      <w:r>
        <w:rPr>
          <w:rFonts w:hint="eastAsia" w:asciiTheme="minorEastAsia" w:hAnsiTheme="minorEastAsia" w:eastAsiaTheme="minorEastAsia" w:cstheme="minorEastAsia"/>
          <w:color w:val="auto"/>
          <w:spacing w:val="-5"/>
          <w:position w:val="1"/>
          <w:sz w:val="24"/>
          <w:szCs w:val="24"/>
          <w:u w:val="single" w:color="auto"/>
        </w:rPr>
        <w:t xml:space="preserve">                 </w:t>
      </w:r>
    </w:p>
    <w:p w14:paraId="76EEEC16">
      <w:pPr>
        <w:spacing w:before="199" w:line="223" w:lineRule="auto"/>
        <w:ind w:left="49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年</w:t>
      </w:r>
      <w:r>
        <w:rPr>
          <w:rFonts w:hint="eastAsia" w:asciiTheme="minorEastAsia" w:hAnsiTheme="minorEastAsia" w:eastAsiaTheme="minorEastAsia" w:cstheme="minorEastAsia"/>
          <w:color w:val="auto"/>
          <w:spacing w:val="4"/>
          <w:sz w:val="24"/>
          <w:szCs w:val="24"/>
        </w:rPr>
        <w:t xml:space="preserve">    </w:t>
      </w:r>
      <w:r>
        <w:rPr>
          <w:rFonts w:hint="eastAsia" w:asciiTheme="minorEastAsia" w:hAnsiTheme="minorEastAsia" w:eastAsiaTheme="minorEastAsia" w:cstheme="minorEastAsia"/>
          <w:color w:val="auto"/>
          <w:spacing w:val="-4"/>
          <w:sz w:val="24"/>
          <w:szCs w:val="24"/>
        </w:rPr>
        <w:t>龄：</w:t>
      </w:r>
      <w:r>
        <w:rPr>
          <w:rFonts w:hint="eastAsia" w:asciiTheme="minorEastAsia" w:hAnsiTheme="minorEastAsia" w:eastAsiaTheme="minorEastAsia" w:cstheme="minorEastAsia"/>
          <w:color w:val="auto"/>
          <w:spacing w:val="-89"/>
          <w:sz w:val="24"/>
          <w:szCs w:val="24"/>
        </w:rPr>
        <w:t xml:space="preserve"> </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pacing w:val="-4"/>
          <w:sz w:val="24"/>
          <w:szCs w:val="24"/>
        </w:rPr>
        <w:t>职      务：</w:t>
      </w:r>
      <w:r>
        <w:rPr>
          <w:rFonts w:hint="eastAsia" w:asciiTheme="minorEastAsia" w:hAnsiTheme="minorEastAsia" w:eastAsiaTheme="minorEastAsia" w:cstheme="minorEastAsia"/>
          <w:color w:val="auto"/>
          <w:sz w:val="24"/>
          <w:szCs w:val="24"/>
          <w:u w:val="single" w:color="auto"/>
        </w:rPr>
        <w:t xml:space="preserve">                 </w:t>
      </w:r>
    </w:p>
    <w:p w14:paraId="772C74B1">
      <w:pPr>
        <w:spacing w:before="210" w:line="221" w:lineRule="auto"/>
        <w:ind w:left="49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身份证号码：</w:t>
      </w:r>
      <w:r>
        <w:rPr>
          <w:rFonts w:hint="eastAsia" w:asciiTheme="minorEastAsia" w:hAnsiTheme="minorEastAsia" w:eastAsiaTheme="minorEastAsia" w:cstheme="minorEastAsia"/>
          <w:color w:val="auto"/>
          <w:spacing w:val="-91"/>
          <w:sz w:val="24"/>
          <w:szCs w:val="24"/>
        </w:rPr>
        <w:t xml:space="preserve"> </w:t>
      </w:r>
      <w:r>
        <w:rPr>
          <w:rFonts w:hint="eastAsia" w:asciiTheme="minorEastAsia" w:hAnsiTheme="minorEastAsia" w:eastAsiaTheme="minorEastAsia" w:cstheme="minorEastAsia"/>
          <w:color w:val="auto"/>
          <w:sz w:val="24"/>
          <w:szCs w:val="24"/>
          <w:u w:val="single" w:color="auto"/>
        </w:rPr>
        <w:t xml:space="preserve">                                  </w:t>
      </w:r>
    </w:p>
    <w:p w14:paraId="77228C87">
      <w:pPr>
        <w:spacing w:before="207" w:line="227" w:lineRule="auto"/>
        <w:ind w:left="49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position w:val="1"/>
          <w:sz w:val="24"/>
          <w:szCs w:val="24"/>
        </w:rPr>
        <w:t>系</w:t>
      </w:r>
      <w:r>
        <w:rPr>
          <w:rFonts w:hint="eastAsia" w:asciiTheme="minorEastAsia" w:hAnsiTheme="minorEastAsia" w:eastAsiaTheme="minorEastAsia" w:cstheme="minorEastAsia"/>
          <w:color w:val="auto"/>
          <w:spacing w:val="-62"/>
          <w:position w:val="1"/>
          <w:sz w:val="24"/>
          <w:szCs w:val="24"/>
        </w:rPr>
        <w:t xml:space="preserve"> </w:t>
      </w:r>
      <w:r>
        <w:rPr>
          <w:rFonts w:hint="eastAsia" w:asciiTheme="minorEastAsia" w:hAnsiTheme="minorEastAsia" w:eastAsiaTheme="minorEastAsia" w:cstheme="minorEastAsia"/>
          <w:color w:val="auto"/>
          <w:spacing w:val="-8"/>
          <w:sz w:val="25"/>
          <w:szCs w:val="25"/>
          <w:u w:val="single" w:color="auto"/>
        </w:rPr>
        <w:t xml:space="preserve">           </w:t>
      </w:r>
      <w:r>
        <w:rPr>
          <w:rFonts w:hint="eastAsia" w:asciiTheme="minorEastAsia" w:hAnsiTheme="minorEastAsia" w:eastAsiaTheme="minorEastAsia" w:cstheme="minorEastAsia"/>
          <w:i/>
          <w:iCs/>
          <w:color w:val="auto"/>
          <w:spacing w:val="-8"/>
          <w:sz w:val="25"/>
          <w:szCs w:val="25"/>
          <w:u w:val="single" w:color="auto"/>
        </w:rPr>
        <w:t>(</w:t>
      </w:r>
      <w:r>
        <w:rPr>
          <w:rFonts w:hint="eastAsia" w:asciiTheme="minorEastAsia" w:hAnsiTheme="minorEastAsia" w:eastAsiaTheme="minorEastAsia" w:cstheme="minorEastAsia"/>
          <w:color w:val="auto"/>
          <w:spacing w:val="-8"/>
          <w:sz w:val="25"/>
          <w:szCs w:val="25"/>
          <w:u w:val="single" w:color="auto"/>
        </w:rPr>
        <w:t xml:space="preserve"> </w:t>
      </w:r>
      <w:r>
        <w:rPr>
          <w:rFonts w:hint="eastAsia" w:asciiTheme="minorEastAsia" w:hAnsiTheme="minorEastAsia" w:eastAsiaTheme="minorEastAsia" w:cstheme="minorEastAsia"/>
          <w:i/>
          <w:iCs/>
          <w:color w:val="auto"/>
          <w:spacing w:val="-8"/>
          <w:sz w:val="25"/>
          <w:szCs w:val="25"/>
          <w:u w:val="single" w:color="auto"/>
        </w:rPr>
        <w:t>投</w:t>
      </w:r>
      <w:r>
        <w:rPr>
          <w:rFonts w:hint="eastAsia" w:asciiTheme="minorEastAsia" w:hAnsiTheme="minorEastAsia" w:eastAsiaTheme="minorEastAsia" w:cstheme="minorEastAsia"/>
          <w:color w:val="auto"/>
          <w:spacing w:val="-8"/>
          <w:sz w:val="25"/>
          <w:szCs w:val="25"/>
          <w:u w:val="single" w:color="auto"/>
        </w:rPr>
        <w:t xml:space="preserve"> </w:t>
      </w:r>
      <w:r>
        <w:rPr>
          <w:rFonts w:hint="eastAsia" w:asciiTheme="minorEastAsia" w:hAnsiTheme="minorEastAsia" w:eastAsiaTheme="minorEastAsia" w:cstheme="minorEastAsia"/>
          <w:i/>
          <w:iCs/>
          <w:color w:val="auto"/>
          <w:spacing w:val="-8"/>
          <w:sz w:val="25"/>
          <w:szCs w:val="25"/>
          <w:u w:val="single" w:color="auto"/>
        </w:rPr>
        <w:t>标</w:t>
      </w:r>
      <w:r>
        <w:rPr>
          <w:rFonts w:hint="eastAsia" w:asciiTheme="minorEastAsia" w:hAnsiTheme="minorEastAsia" w:eastAsiaTheme="minorEastAsia" w:cstheme="minorEastAsia"/>
          <w:color w:val="auto"/>
          <w:spacing w:val="-8"/>
          <w:sz w:val="25"/>
          <w:szCs w:val="25"/>
          <w:u w:val="single" w:color="auto"/>
        </w:rPr>
        <w:t xml:space="preserve"> </w:t>
      </w:r>
      <w:r>
        <w:rPr>
          <w:rFonts w:hint="eastAsia" w:asciiTheme="minorEastAsia" w:hAnsiTheme="minorEastAsia" w:eastAsiaTheme="minorEastAsia" w:cstheme="minorEastAsia"/>
          <w:i/>
          <w:iCs/>
          <w:color w:val="auto"/>
          <w:spacing w:val="-8"/>
          <w:sz w:val="25"/>
          <w:szCs w:val="25"/>
          <w:u w:val="single" w:color="auto"/>
        </w:rPr>
        <w:t>人</w:t>
      </w:r>
      <w:r>
        <w:rPr>
          <w:rFonts w:hint="eastAsia" w:asciiTheme="minorEastAsia" w:hAnsiTheme="minorEastAsia" w:eastAsiaTheme="minorEastAsia" w:cstheme="minorEastAsia"/>
          <w:color w:val="auto"/>
          <w:spacing w:val="-8"/>
          <w:sz w:val="25"/>
          <w:szCs w:val="25"/>
          <w:u w:val="single" w:color="auto"/>
        </w:rPr>
        <w:t xml:space="preserve"> </w:t>
      </w:r>
      <w:r>
        <w:rPr>
          <w:rFonts w:hint="eastAsia" w:asciiTheme="minorEastAsia" w:hAnsiTheme="minorEastAsia" w:eastAsiaTheme="minorEastAsia" w:cstheme="minorEastAsia"/>
          <w:i/>
          <w:iCs/>
          <w:color w:val="auto"/>
          <w:spacing w:val="-8"/>
          <w:sz w:val="25"/>
          <w:szCs w:val="25"/>
          <w:u w:val="single" w:color="auto"/>
        </w:rPr>
        <w:t>名</w:t>
      </w:r>
      <w:r>
        <w:rPr>
          <w:rFonts w:hint="eastAsia" w:asciiTheme="minorEastAsia" w:hAnsiTheme="minorEastAsia" w:eastAsiaTheme="minorEastAsia" w:cstheme="minorEastAsia"/>
          <w:color w:val="auto"/>
          <w:spacing w:val="-8"/>
          <w:sz w:val="25"/>
          <w:szCs w:val="25"/>
          <w:u w:val="single" w:color="auto"/>
        </w:rPr>
        <w:t xml:space="preserve"> </w:t>
      </w:r>
      <w:r>
        <w:rPr>
          <w:rFonts w:hint="eastAsia" w:asciiTheme="minorEastAsia" w:hAnsiTheme="minorEastAsia" w:eastAsiaTheme="minorEastAsia" w:cstheme="minorEastAsia"/>
          <w:i/>
          <w:iCs/>
          <w:color w:val="auto"/>
          <w:spacing w:val="-8"/>
          <w:sz w:val="25"/>
          <w:szCs w:val="25"/>
          <w:u w:val="single" w:color="auto"/>
        </w:rPr>
        <w:t>称</w:t>
      </w:r>
      <w:r>
        <w:rPr>
          <w:rFonts w:hint="eastAsia" w:asciiTheme="minorEastAsia" w:hAnsiTheme="minorEastAsia" w:eastAsiaTheme="minorEastAsia" w:cstheme="minorEastAsia"/>
          <w:color w:val="auto"/>
          <w:spacing w:val="-8"/>
          <w:sz w:val="25"/>
          <w:szCs w:val="25"/>
          <w:u w:val="single" w:color="auto"/>
        </w:rPr>
        <w:t xml:space="preserve"> </w:t>
      </w:r>
      <w:r>
        <w:rPr>
          <w:rFonts w:hint="eastAsia" w:asciiTheme="minorEastAsia" w:hAnsiTheme="minorEastAsia" w:eastAsiaTheme="minorEastAsia" w:cstheme="minorEastAsia"/>
          <w:i/>
          <w:iCs/>
          <w:color w:val="auto"/>
          <w:spacing w:val="-8"/>
          <w:sz w:val="25"/>
          <w:szCs w:val="25"/>
          <w:u w:val="single" w:color="auto"/>
        </w:rPr>
        <w:t>)</w:t>
      </w:r>
      <w:r>
        <w:rPr>
          <w:rFonts w:hint="eastAsia" w:asciiTheme="minorEastAsia" w:hAnsiTheme="minorEastAsia" w:eastAsiaTheme="minorEastAsia" w:cstheme="minorEastAsia"/>
          <w:color w:val="auto"/>
          <w:spacing w:val="1"/>
          <w:sz w:val="25"/>
          <w:szCs w:val="25"/>
          <w:u w:val="single" w:color="auto"/>
        </w:rPr>
        <w:t xml:space="preserve">           </w:t>
      </w:r>
      <w:r>
        <w:rPr>
          <w:rFonts w:hint="eastAsia" w:asciiTheme="minorEastAsia" w:hAnsiTheme="minorEastAsia" w:eastAsiaTheme="minorEastAsia" w:cstheme="minorEastAsia"/>
          <w:color w:val="auto"/>
          <w:spacing w:val="-8"/>
          <w:sz w:val="24"/>
          <w:szCs w:val="24"/>
        </w:rPr>
        <w:t>的法定代表人。</w:t>
      </w:r>
    </w:p>
    <w:p w14:paraId="29499F06">
      <w:pPr>
        <w:spacing w:before="198" w:line="221" w:lineRule="auto"/>
        <w:ind w:left="49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特此证明。</w:t>
      </w:r>
    </w:p>
    <w:p w14:paraId="4494C658">
      <w:pPr>
        <w:pStyle w:val="10"/>
        <w:spacing w:line="279" w:lineRule="auto"/>
        <w:rPr>
          <w:rFonts w:hint="eastAsia" w:asciiTheme="minorEastAsia" w:hAnsiTheme="minorEastAsia" w:eastAsiaTheme="minorEastAsia" w:cstheme="minorEastAsia"/>
          <w:color w:val="auto"/>
        </w:rPr>
      </w:pPr>
    </w:p>
    <w:p w14:paraId="65B040AD">
      <w:pPr>
        <w:pStyle w:val="10"/>
        <w:spacing w:line="279" w:lineRule="auto"/>
        <w:rPr>
          <w:rFonts w:hint="eastAsia" w:asciiTheme="minorEastAsia" w:hAnsiTheme="minorEastAsia" w:eastAsiaTheme="minorEastAsia" w:cstheme="minorEastAsia"/>
          <w:color w:val="auto"/>
        </w:rPr>
      </w:pPr>
    </w:p>
    <w:p w14:paraId="1A4CC6A7">
      <w:pPr>
        <w:pStyle w:val="10"/>
        <w:spacing w:line="279" w:lineRule="auto"/>
        <w:rPr>
          <w:rFonts w:hint="eastAsia" w:asciiTheme="minorEastAsia" w:hAnsiTheme="minorEastAsia" w:eastAsiaTheme="minorEastAsia" w:cstheme="minorEastAsia"/>
          <w:color w:val="auto"/>
        </w:rPr>
      </w:pPr>
    </w:p>
    <w:p w14:paraId="3F913359">
      <w:pPr>
        <w:pStyle w:val="10"/>
        <w:spacing w:line="280" w:lineRule="auto"/>
        <w:rPr>
          <w:rFonts w:hint="eastAsia" w:asciiTheme="minorEastAsia" w:hAnsiTheme="minorEastAsia" w:eastAsiaTheme="minorEastAsia" w:cstheme="minorEastAsia"/>
          <w:color w:val="auto"/>
        </w:rPr>
      </w:pPr>
    </w:p>
    <w:p w14:paraId="664CB981">
      <w:pPr>
        <w:spacing w:before="79" w:line="221" w:lineRule="auto"/>
        <w:ind w:left="49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附件：法定代表人有效身份证正反面复印件</w:t>
      </w:r>
    </w:p>
    <w:p w14:paraId="079F0579">
      <w:pPr>
        <w:pStyle w:val="10"/>
        <w:spacing w:line="456" w:lineRule="auto"/>
        <w:rPr>
          <w:rFonts w:hint="eastAsia" w:asciiTheme="minorEastAsia" w:hAnsiTheme="minorEastAsia" w:eastAsiaTheme="minorEastAsia" w:cstheme="minorEastAsia"/>
          <w:color w:val="auto"/>
        </w:rPr>
      </w:pPr>
    </w:p>
    <w:p w14:paraId="70D15FDF">
      <w:pPr>
        <w:spacing w:before="85" w:line="222" w:lineRule="auto"/>
        <w:ind w:left="5146"/>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19"/>
          <w:sz w:val="26"/>
          <w:szCs w:val="26"/>
        </w:rPr>
        <w:t>投标人名称(盖公章):</w:t>
      </w:r>
      <w:r>
        <w:rPr>
          <w:rFonts w:hint="eastAsia" w:asciiTheme="minorEastAsia" w:hAnsiTheme="minorEastAsia" w:eastAsiaTheme="minorEastAsia" w:cstheme="minorEastAsia"/>
          <w:color w:val="auto"/>
          <w:spacing w:val="-22"/>
          <w:sz w:val="26"/>
          <w:szCs w:val="26"/>
        </w:rPr>
        <w:t xml:space="preserve"> </w:t>
      </w:r>
      <w:r>
        <w:rPr>
          <w:rFonts w:hint="eastAsia" w:asciiTheme="minorEastAsia" w:hAnsiTheme="minorEastAsia" w:eastAsiaTheme="minorEastAsia" w:cstheme="minorEastAsia"/>
          <w:color w:val="auto"/>
          <w:sz w:val="26"/>
          <w:szCs w:val="26"/>
          <w:u w:val="single" w:color="auto"/>
        </w:rPr>
        <w:t xml:space="preserve">         </w:t>
      </w:r>
    </w:p>
    <w:p w14:paraId="69F679C0">
      <w:pPr>
        <w:spacing w:before="179" w:line="223" w:lineRule="auto"/>
        <w:ind w:left="517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日期：</w:t>
      </w:r>
      <w:r>
        <w:rPr>
          <w:rFonts w:hint="eastAsia" w:asciiTheme="minorEastAsia" w:hAnsiTheme="minorEastAsia" w:eastAsiaTheme="minorEastAsia" w:cstheme="minorEastAsia"/>
          <w:color w:val="auto"/>
          <w:spacing w:val="95"/>
          <w:sz w:val="24"/>
          <w:szCs w:val="24"/>
        </w:rPr>
        <w:t xml:space="preserve"> </w:t>
      </w:r>
      <w:r>
        <w:rPr>
          <w:rFonts w:hint="eastAsia" w:asciiTheme="minorEastAsia" w:hAnsiTheme="minorEastAsia" w:eastAsiaTheme="minorEastAsia" w:cstheme="minorEastAsia"/>
          <w:color w:val="auto"/>
          <w:spacing w:val="-7"/>
          <w:sz w:val="24"/>
          <w:szCs w:val="24"/>
        </w:rPr>
        <w:t>年</w:t>
      </w:r>
      <w:r>
        <w:rPr>
          <w:rFonts w:hint="eastAsia" w:asciiTheme="minorEastAsia" w:hAnsiTheme="minorEastAsia" w:eastAsiaTheme="minorEastAsia" w:cstheme="minorEastAsia"/>
          <w:color w:val="auto"/>
          <w:spacing w:val="5"/>
          <w:sz w:val="24"/>
          <w:szCs w:val="24"/>
        </w:rPr>
        <w:t xml:space="preserve">  </w:t>
      </w:r>
      <w:r>
        <w:rPr>
          <w:rFonts w:hint="eastAsia" w:asciiTheme="minorEastAsia" w:hAnsiTheme="minorEastAsia" w:eastAsiaTheme="minorEastAsia" w:cstheme="minorEastAsia"/>
          <w:color w:val="auto"/>
          <w:spacing w:val="-7"/>
          <w:sz w:val="24"/>
          <w:szCs w:val="24"/>
        </w:rPr>
        <w:t>月</w:t>
      </w:r>
      <w:r>
        <w:rPr>
          <w:rFonts w:hint="eastAsia" w:asciiTheme="minorEastAsia" w:hAnsiTheme="minorEastAsia" w:eastAsiaTheme="minorEastAsia" w:cstheme="minorEastAsia"/>
          <w:color w:val="auto"/>
          <w:spacing w:val="15"/>
          <w:sz w:val="24"/>
          <w:szCs w:val="24"/>
        </w:rPr>
        <w:t xml:space="preserve">   </w:t>
      </w:r>
      <w:r>
        <w:rPr>
          <w:rFonts w:hint="eastAsia" w:asciiTheme="minorEastAsia" w:hAnsiTheme="minorEastAsia" w:eastAsiaTheme="minorEastAsia" w:cstheme="minorEastAsia"/>
          <w:color w:val="auto"/>
          <w:spacing w:val="-7"/>
          <w:sz w:val="24"/>
          <w:szCs w:val="24"/>
        </w:rPr>
        <w:t>日</w:t>
      </w:r>
    </w:p>
    <w:p w14:paraId="2455FBD2">
      <w:pPr>
        <w:pStyle w:val="10"/>
        <w:spacing w:line="313" w:lineRule="auto"/>
        <w:rPr>
          <w:rFonts w:hint="eastAsia" w:asciiTheme="minorEastAsia" w:hAnsiTheme="minorEastAsia" w:eastAsiaTheme="minorEastAsia" w:cstheme="minorEastAsia"/>
          <w:color w:val="auto"/>
        </w:rPr>
      </w:pPr>
    </w:p>
    <w:p w14:paraId="18A592FA">
      <w:pPr>
        <w:pStyle w:val="10"/>
        <w:spacing w:line="313" w:lineRule="auto"/>
        <w:rPr>
          <w:rFonts w:hint="eastAsia" w:asciiTheme="minorEastAsia" w:hAnsiTheme="minorEastAsia" w:eastAsiaTheme="minorEastAsia" w:cstheme="minorEastAsia"/>
          <w:color w:val="auto"/>
        </w:rPr>
      </w:pPr>
    </w:p>
    <w:p w14:paraId="5FD2FF2B">
      <w:pPr>
        <w:spacing w:before="78" w:line="222" w:lineRule="auto"/>
        <w:ind w:left="57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注：自然人投标的无需提供</w:t>
      </w:r>
    </w:p>
    <w:p w14:paraId="194A7AFF">
      <w:pPr>
        <w:spacing w:line="222" w:lineRule="auto"/>
        <w:rPr>
          <w:rFonts w:hint="eastAsia" w:asciiTheme="minorEastAsia" w:hAnsiTheme="minorEastAsia" w:eastAsiaTheme="minorEastAsia" w:cstheme="minorEastAsia"/>
          <w:color w:val="auto"/>
          <w:sz w:val="24"/>
          <w:szCs w:val="24"/>
        </w:rPr>
        <w:sectPr>
          <w:footerReference r:id="rId40" w:type="default"/>
          <w:pgSz w:w="11900" w:h="16830"/>
          <w:pgMar w:top="1178" w:right="1785" w:bottom="991" w:left="1143" w:header="0" w:footer="847" w:gutter="0"/>
          <w:cols w:space="720" w:num="1"/>
        </w:sectPr>
      </w:pPr>
    </w:p>
    <w:p w14:paraId="4D267343">
      <w:pPr>
        <w:spacing w:before="47"/>
        <w:rPr>
          <w:rFonts w:hint="eastAsia" w:asciiTheme="minorEastAsia" w:hAnsiTheme="minorEastAsia" w:eastAsiaTheme="minorEastAsia" w:cstheme="minorEastAsia"/>
          <w:color w:val="auto"/>
        </w:rPr>
      </w:pPr>
    </w:p>
    <w:p w14:paraId="3BBBC267">
      <w:pPr>
        <w:spacing w:before="46"/>
        <w:rPr>
          <w:rFonts w:hint="eastAsia" w:asciiTheme="minorEastAsia" w:hAnsiTheme="minorEastAsia" w:eastAsiaTheme="minorEastAsia" w:cstheme="minorEastAsia"/>
          <w:color w:val="auto"/>
        </w:rPr>
      </w:pPr>
    </w:p>
    <w:p w14:paraId="0DB0B8B3">
      <w:pPr>
        <w:spacing w:before="46"/>
        <w:rPr>
          <w:rFonts w:hint="eastAsia" w:asciiTheme="minorEastAsia" w:hAnsiTheme="minorEastAsia" w:eastAsiaTheme="minorEastAsia" w:cstheme="minorEastAsia"/>
          <w:color w:val="auto"/>
        </w:rPr>
      </w:pPr>
    </w:p>
    <w:tbl>
      <w:tblPr>
        <w:tblStyle w:val="20"/>
        <w:tblW w:w="846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469"/>
      </w:tblGrid>
      <w:tr w14:paraId="0491E07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709" w:hRule="atLeast"/>
        </w:trPr>
        <w:tc>
          <w:tcPr>
            <w:tcW w:w="8469" w:type="dxa"/>
            <w:vAlign w:val="top"/>
          </w:tcPr>
          <w:p w14:paraId="37BF2F15">
            <w:pPr>
              <w:spacing w:line="398" w:lineRule="auto"/>
              <w:rPr>
                <w:rFonts w:hint="eastAsia" w:asciiTheme="minorEastAsia" w:hAnsiTheme="minorEastAsia" w:eastAsiaTheme="minorEastAsia" w:cstheme="minorEastAsia"/>
                <w:color w:val="auto"/>
                <w:sz w:val="21"/>
              </w:rPr>
            </w:pPr>
          </w:p>
          <w:p w14:paraId="2493FB7A">
            <w:pPr>
              <w:pStyle w:val="21"/>
              <w:spacing w:before="81" w:line="219" w:lineRule="auto"/>
              <w:ind w:left="98"/>
              <w:rPr>
                <w:rFonts w:hint="eastAsia" w:asciiTheme="minorEastAsia" w:hAnsiTheme="minorEastAsia" w:eastAsiaTheme="minorEastAsia" w:cstheme="minorEastAsia"/>
                <w:color w:val="auto"/>
                <w:sz w:val="25"/>
                <w:szCs w:val="25"/>
              </w:rPr>
            </w:pPr>
            <w:r>
              <w:rPr>
                <w:rFonts w:hint="eastAsia" w:asciiTheme="minorEastAsia" w:hAnsiTheme="minorEastAsia" w:eastAsiaTheme="minorEastAsia" w:cstheme="minorEastAsia"/>
                <w:b/>
                <w:bCs/>
                <w:color w:val="auto"/>
                <w:spacing w:val="-1"/>
                <w:sz w:val="25"/>
                <w:szCs w:val="25"/>
              </w:rPr>
              <w:t>法定代表人有效身份证复印件粘贴处(正、反面)</w:t>
            </w:r>
          </w:p>
        </w:tc>
      </w:tr>
    </w:tbl>
    <w:p w14:paraId="6B0F17D0">
      <w:pPr>
        <w:pStyle w:val="10"/>
        <w:rPr>
          <w:rFonts w:hint="eastAsia" w:asciiTheme="minorEastAsia" w:hAnsiTheme="minorEastAsia" w:eastAsiaTheme="minorEastAsia" w:cstheme="minorEastAsia"/>
          <w:color w:val="auto"/>
        </w:rPr>
      </w:pPr>
    </w:p>
    <w:p w14:paraId="3E5FAF22">
      <w:pPr>
        <w:rPr>
          <w:rFonts w:hint="eastAsia" w:asciiTheme="minorEastAsia" w:hAnsiTheme="minorEastAsia" w:eastAsiaTheme="minorEastAsia" w:cstheme="minorEastAsia"/>
          <w:color w:val="auto"/>
        </w:rPr>
        <w:sectPr>
          <w:footerReference r:id="rId41" w:type="default"/>
          <w:pgSz w:w="11900" w:h="16830"/>
          <w:pgMar w:top="1430" w:right="1705" w:bottom="991" w:left="1715" w:header="0" w:footer="847" w:gutter="0"/>
          <w:cols w:space="720" w:num="1"/>
        </w:sectPr>
      </w:pPr>
    </w:p>
    <w:p w14:paraId="6586D1CC">
      <w:pPr>
        <w:spacing w:before="59" w:line="222" w:lineRule="auto"/>
        <w:ind w:left="4"/>
        <w:rPr>
          <w:rFonts w:hint="eastAsia" w:asciiTheme="minorEastAsia" w:hAnsiTheme="minorEastAsia" w:eastAsiaTheme="minorEastAsia" w:cstheme="minorEastAsia"/>
          <w:color w:val="auto"/>
          <w:sz w:val="29"/>
          <w:szCs w:val="29"/>
        </w:rPr>
      </w:pPr>
      <w:r>
        <w:rPr>
          <w:rFonts w:hint="eastAsia" w:asciiTheme="minorEastAsia" w:hAnsiTheme="minorEastAsia" w:eastAsiaTheme="minorEastAsia" w:cstheme="minorEastAsia"/>
          <w:b/>
          <w:bCs/>
          <w:color w:val="auto"/>
          <w:spacing w:val="2"/>
          <w:sz w:val="29"/>
          <w:szCs w:val="29"/>
        </w:rPr>
        <w:t>5.法定代表人授权委托书的格式：</w:t>
      </w:r>
    </w:p>
    <w:p w14:paraId="35F726DC">
      <w:pPr>
        <w:pStyle w:val="10"/>
        <w:spacing w:line="319" w:lineRule="auto"/>
        <w:rPr>
          <w:rFonts w:hint="eastAsia" w:asciiTheme="minorEastAsia" w:hAnsiTheme="minorEastAsia" w:eastAsiaTheme="minorEastAsia" w:cstheme="minorEastAsia"/>
          <w:color w:val="auto"/>
        </w:rPr>
      </w:pPr>
    </w:p>
    <w:p w14:paraId="1E7702AF">
      <w:pPr>
        <w:pStyle w:val="10"/>
        <w:spacing w:line="319" w:lineRule="auto"/>
        <w:rPr>
          <w:rFonts w:hint="eastAsia" w:asciiTheme="minorEastAsia" w:hAnsiTheme="minorEastAsia" w:eastAsiaTheme="minorEastAsia" w:cstheme="minorEastAsia"/>
          <w:color w:val="auto"/>
        </w:rPr>
      </w:pPr>
    </w:p>
    <w:p w14:paraId="0E414CA5">
      <w:pPr>
        <w:pStyle w:val="10"/>
        <w:spacing w:line="319" w:lineRule="auto"/>
        <w:rPr>
          <w:rFonts w:hint="eastAsia" w:asciiTheme="minorEastAsia" w:hAnsiTheme="minorEastAsia" w:eastAsiaTheme="minorEastAsia" w:cstheme="minorEastAsia"/>
          <w:color w:val="auto"/>
        </w:rPr>
      </w:pPr>
    </w:p>
    <w:p w14:paraId="44F0560E">
      <w:pPr>
        <w:spacing w:before="107" w:line="219" w:lineRule="auto"/>
        <w:ind w:left="2124"/>
        <w:rPr>
          <w:rFonts w:hint="eastAsia" w:asciiTheme="minorEastAsia" w:hAnsiTheme="minorEastAsia" w:eastAsiaTheme="minorEastAsia" w:cstheme="minorEastAsia"/>
          <w:color w:val="auto"/>
          <w:sz w:val="33"/>
          <w:szCs w:val="33"/>
        </w:rPr>
      </w:pPr>
      <w:r>
        <w:rPr>
          <w:rFonts w:hint="eastAsia" w:asciiTheme="minorEastAsia" w:hAnsiTheme="minorEastAsia" w:eastAsiaTheme="minorEastAsia" w:cstheme="minorEastAsia"/>
          <w:b/>
          <w:bCs/>
          <w:color w:val="auto"/>
          <w:spacing w:val="1"/>
          <w:sz w:val="33"/>
          <w:szCs w:val="33"/>
        </w:rPr>
        <w:t>法定代表人授权委托书(如有委托时)</w:t>
      </w:r>
    </w:p>
    <w:p w14:paraId="37066C83">
      <w:pPr>
        <w:pStyle w:val="10"/>
        <w:spacing w:line="243" w:lineRule="auto"/>
        <w:rPr>
          <w:rFonts w:hint="eastAsia" w:asciiTheme="minorEastAsia" w:hAnsiTheme="minorEastAsia" w:eastAsiaTheme="minorEastAsia" w:cstheme="minorEastAsia"/>
          <w:color w:val="auto"/>
        </w:rPr>
      </w:pPr>
    </w:p>
    <w:p w14:paraId="302CE4B5">
      <w:pPr>
        <w:pStyle w:val="10"/>
        <w:spacing w:line="244" w:lineRule="auto"/>
        <w:rPr>
          <w:rFonts w:hint="eastAsia" w:asciiTheme="minorEastAsia" w:hAnsiTheme="minorEastAsia" w:eastAsiaTheme="minorEastAsia" w:cstheme="minorEastAsia"/>
          <w:color w:val="auto"/>
        </w:rPr>
      </w:pPr>
    </w:p>
    <w:p w14:paraId="507EA2AA">
      <w:pPr>
        <w:spacing w:before="69" w:line="222" w:lineRule="auto"/>
        <w:ind w:left="40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pacing w:val="-4"/>
          <w:sz w:val="21"/>
          <w:szCs w:val="21"/>
        </w:rPr>
        <w:t>致</w:t>
      </w:r>
      <w:r>
        <w:rPr>
          <w:rFonts w:hint="eastAsia" w:asciiTheme="minorEastAsia" w:hAnsiTheme="minorEastAsia" w:eastAsiaTheme="minorEastAsia" w:cstheme="minorEastAsia"/>
          <w:color w:val="auto"/>
          <w:spacing w:val="-19"/>
          <w:sz w:val="21"/>
          <w:szCs w:val="21"/>
        </w:rPr>
        <w:t xml:space="preserve"> </w:t>
      </w:r>
      <w:r>
        <w:rPr>
          <w:rFonts w:hint="eastAsia" w:asciiTheme="minorEastAsia" w:hAnsiTheme="minorEastAsia" w:eastAsiaTheme="minorEastAsia" w:cstheme="minorEastAsia"/>
          <w:color w:val="auto"/>
          <w:spacing w:val="-4"/>
          <w:sz w:val="21"/>
          <w:szCs w:val="21"/>
        </w:rPr>
        <w:t>：</w:t>
      </w:r>
      <w:r>
        <w:rPr>
          <w:rFonts w:hint="eastAsia" w:asciiTheme="minorEastAsia" w:hAnsiTheme="minorEastAsia" w:eastAsiaTheme="minorEastAsia" w:cstheme="minorEastAsia"/>
          <w:color w:val="auto"/>
          <w:spacing w:val="-4"/>
          <w:sz w:val="21"/>
          <w:szCs w:val="21"/>
          <w:u w:val="single" w:color="auto"/>
          <w:lang w:eastAsia="zh-CN"/>
        </w:rPr>
        <w:t>广西合士嘉项目咨询有限公司</w:t>
      </w:r>
    </w:p>
    <w:p w14:paraId="5ACB36E4">
      <w:pPr>
        <w:spacing w:before="86" w:line="303" w:lineRule="auto"/>
        <w:ind w:firstLine="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9"/>
          <w:sz w:val="21"/>
          <w:szCs w:val="21"/>
        </w:rPr>
        <w:t>本人</w:t>
      </w:r>
      <w:r>
        <w:rPr>
          <w:rFonts w:hint="eastAsia" w:asciiTheme="minorEastAsia" w:hAnsiTheme="minorEastAsia" w:eastAsiaTheme="minorEastAsia" w:cstheme="minorEastAsia"/>
          <w:color w:val="auto"/>
          <w:spacing w:val="-56"/>
          <w:sz w:val="21"/>
          <w:szCs w:val="21"/>
        </w:rPr>
        <w:t xml:space="preserve"> </w:t>
      </w:r>
      <w:r>
        <w:rPr>
          <w:rFonts w:hint="eastAsia" w:asciiTheme="minorEastAsia" w:hAnsiTheme="minorEastAsia" w:eastAsiaTheme="minorEastAsia" w:cstheme="minorEastAsia"/>
          <w:color w:val="auto"/>
          <w:spacing w:val="2"/>
          <w:sz w:val="21"/>
          <w:szCs w:val="21"/>
          <w:u w:val="single" w:color="auto"/>
        </w:rPr>
        <w:t xml:space="preserve">        </w:t>
      </w:r>
      <w:r>
        <w:rPr>
          <w:rFonts w:hint="eastAsia" w:asciiTheme="minorEastAsia" w:hAnsiTheme="minorEastAsia" w:eastAsiaTheme="minorEastAsia" w:cstheme="minorEastAsia"/>
          <w:color w:val="auto"/>
          <w:spacing w:val="-42"/>
          <w:sz w:val="21"/>
          <w:szCs w:val="21"/>
        </w:rPr>
        <w:t xml:space="preserve"> </w:t>
      </w:r>
      <w:r>
        <w:rPr>
          <w:rFonts w:hint="eastAsia" w:asciiTheme="minorEastAsia" w:hAnsiTheme="minorEastAsia" w:eastAsiaTheme="minorEastAsia" w:cstheme="minorEastAsia"/>
          <w:color w:val="auto"/>
          <w:spacing w:val="9"/>
          <w:sz w:val="21"/>
          <w:szCs w:val="21"/>
        </w:rPr>
        <w:t>(姓名)系</w:t>
      </w:r>
      <w:r>
        <w:rPr>
          <w:rFonts w:hint="eastAsia" w:asciiTheme="minorEastAsia" w:hAnsiTheme="minorEastAsia" w:eastAsiaTheme="minorEastAsia" w:cstheme="minorEastAsia"/>
          <w:color w:val="auto"/>
          <w:spacing w:val="2"/>
          <w:sz w:val="21"/>
          <w:szCs w:val="21"/>
          <w:u w:val="single" w:color="auto"/>
        </w:rPr>
        <w:t xml:space="preserve">                 </w:t>
      </w:r>
      <w:r>
        <w:rPr>
          <w:rFonts w:hint="eastAsia" w:asciiTheme="minorEastAsia" w:hAnsiTheme="minorEastAsia" w:eastAsiaTheme="minorEastAsia" w:cstheme="minorEastAsia"/>
          <w:color w:val="auto"/>
          <w:spacing w:val="-14"/>
          <w:sz w:val="21"/>
          <w:szCs w:val="21"/>
        </w:rPr>
        <w:t xml:space="preserve"> </w:t>
      </w:r>
      <w:r>
        <w:rPr>
          <w:rFonts w:hint="eastAsia" w:asciiTheme="minorEastAsia" w:hAnsiTheme="minorEastAsia" w:eastAsiaTheme="minorEastAsia" w:cstheme="minorEastAsia"/>
          <w:color w:val="auto"/>
          <w:spacing w:val="9"/>
          <w:sz w:val="21"/>
          <w:szCs w:val="21"/>
        </w:rPr>
        <w:t>(投标人名称)的法定代表人，现授权我单位在职正式</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3"/>
          <w:sz w:val="21"/>
          <w:szCs w:val="21"/>
        </w:rPr>
        <w:t>员</w:t>
      </w:r>
      <w:r>
        <w:rPr>
          <w:rFonts w:hint="eastAsia" w:asciiTheme="minorEastAsia" w:hAnsiTheme="minorEastAsia" w:eastAsiaTheme="minorEastAsia" w:cstheme="minorEastAsia"/>
          <w:color w:val="auto"/>
          <w:spacing w:val="3"/>
          <w:sz w:val="21"/>
          <w:szCs w:val="21"/>
          <w:u w:val="single" w:color="auto"/>
        </w:rPr>
        <w:t xml:space="preserve">工        </w:t>
      </w:r>
      <w:r>
        <w:rPr>
          <w:rFonts w:hint="eastAsia" w:asciiTheme="minorEastAsia" w:hAnsiTheme="minorEastAsia" w:eastAsiaTheme="minorEastAsia" w:cstheme="minorEastAsia"/>
          <w:color w:val="auto"/>
          <w:spacing w:val="-49"/>
          <w:sz w:val="21"/>
          <w:szCs w:val="21"/>
        </w:rPr>
        <w:t xml:space="preserve"> </w:t>
      </w:r>
      <w:r>
        <w:rPr>
          <w:rFonts w:hint="eastAsia" w:asciiTheme="minorEastAsia" w:hAnsiTheme="minorEastAsia" w:eastAsiaTheme="minorEastAsia" w:cstheme="minorEastAsia"/>
          <w:color w:val="auto"/>
          <w:spacing w:val="3"/>
          <w:sz w:val="21"/>
          <w:szCs w:val="21"/>
        </w:rPr>
        <w:t>(姓名和职务)为我方代理人。代理人根据授权，以我方名义签署、澄清、说明、补正、递</w:t>
      </w:r>
      <w:r>
        <w:rPr>
          <w:rFonts w:hint="eastAsia" w:asciiTheme="minorEastAsia" w:hAnsiTheme="minorEastAsia" w:eastAsiaTheme="minorEastAsia" w:cstheme="minorEastAsia"/>
          <w:color w:val="auto"/>
          <w:sz w:val="21"/>
          <w:szCs w:val="21"/>
        </w:rPr>
        <w:t xml:space="preserve"> 交、撤回、修改贵方组织的</w:t>
      </w:r>
      <w:r>
        <w:rPr>
          <w:rFonts w:hint="eastAsia" w:asciiTheme="minorEastAsia" w:hAnsiTheme="minorEastAsia" w:eastAsiaTheme="minorEastAsia" w:cstheme="minorEastAsia"/>
          <w:i/>
          <w:iCs/>
          <w:color w:val="auto"/>
          <w:sz w:val="22"/>
          <w:szCs w:val="22"/>
          <w:u w:val="single" w:color="auto"/>
        </w:rPr>
        <w:t>(</w:t>
      </w:r>
      <w:r>
        <w:rPr>
          <w:rFonts w:hint="eastAsia" w:asciiTheme="minorEastAsia" w:hAnsiTheme="minorEastAsia" w:eastAsiaTheme="minorEastAsia" w:cstheme="minorEastAsia"/>
          <w:color w:val="auto"/>
          <w:spacing w:val="-56"/>
          <w:sz w:val="22"/>
          <w:szCs w:val="22"/>
          <w:u w:val="single" w:color="auto"/>
        </w:rPr>
        <w:t xml:space="preserve"> </w:t>
      </w:r>
      <w:r>
        <w:rPr>
          <w:rFonts w:hint="eastAsia" w:asciiTheme="minorEastAsia" w:hAnsiTheme="minorEastAsia" w:eastAsiaTheme="minorEastAsia" w:cstheme="minorEastAsia"/>
          <w:i/>
          <w:iCs/>
          <w:color w:val="auto"/>
          <w:sz w:val="22"/>
          <w:szCs w:val="22"/>
          <w:u w:val="single" w:color="auto"/>
        </w:rPr>
        <w:t>项</w:t>
      </w:r>
      <w:r>
        <w:rPr>
          <w:rFonts w:hint="eastAsia" w:asciiTheme="minorEastAsia" w:hAnsiTheme="minorEastAsia" w:eastAsiaTheme="minorEastAsia" w:cstheme="minorEastAsia"/>
          <w:color w:val="auto"/>
          <w:spacing w:val="-28"/>
          <w:sz w:val="22"/>
          <w:szCs w:val="22"/>
          <w:u w:val="single" w:color="auto"/>
        </w:rPr>
        <w:t xml:space="preserve"> </w:t>
      </w:r>
      <w:r>
        <w:rPr>
          <w:rFonts w:hint="eastAsia" w:asciiTheme="minorEastAsia" w:hAnsiTheme="minorEastAsia" w:eastAsiaTheme="minorEastAsia" w:cstheme="minorEastAsia"/>
          <w:i/>
          <w:iCs/>
          <w:color w:val="auto"/>
          <w:sz w:val="22"/>
          <w:szCs w:val="22"/>
          <w:u w:val="single" w:color="auto"/>
        </w:rPr>
        <w:t>目</w:t>
      </w:r>
      <w:r>
        <w:rPr>
          <w:rFonts w:hint="eastAsia" w:asciiTheme="minorEastAsia" w:hAnsiTheme="minorEastAsia" w:eastAsiaTheme="minorEastAsia" w:cstheme="minorEastAsia"/>
          <w:color w:val="auto"/>
          <w:spacing w:val="-53"/>
          <w:sz w:val="22"/>
          <w:szCs w:val="22"/>
          <w:u w:val="single" w:color="auto"/>
        </w:rPr>
        <w:t xml:space="preserve"> </w:t>
      </w:r>
      <w:r>
        <w:rPr>
          <w:rFonts w:hint="eastAsia" w:asciiTheme="minorEastAsia" w:hAnsiTheme="minorEastAsia" w:eastAsiaTheme="minorEastAsia" w:cstheme="minorEastAsia"/>
          <w:i/>
          <w:iCs/>
          <w:color w:val="auto"/>
          <w:sz w:val="22"/>
          <w:szCs w:val="22"/>
          <w:u w:val="single" w:color="auto"/>
        </w:rPr>
        <w:t>名</w:t>
      </w:r>
      <w:r>
        <w:rPr>
          <w:rFonts w:hint="eastAsia" w:asciiTheme="minorEastAsia" w:hAnsiTheme="minorEastAsia" w:eastAsiaTheme="minorEastAsia" w:cstheme="minorEastAsia"/>
          <w:color w:val="auto"/>
          <w:spacing w:val="-54"/>
          <w:sz w:val="22"/>
          <w:szCs w:val="22"/>
          <w:u w:val="single" w:color="auto"/>
        </w:rPr>
        <w:t xml:space="preserve"> </w:t>
      </w:r>
      <w:r>
        <w:rPr>
          <w:rFonts w:hint="eastAsia" w:asciiTheme="minorEastAsia" w:hAnsiTheme="minorEastAsia" w:eastAsiaTheme="minorEastAsia" w:cstheme="minorEastAsia"/>
          <w:i/>
          <w:iCs/>
          <w:color w:val="auto"/>
          <w:sz w:val="22"/>
          <w:szCs w:val="22"/>
          <w:u w:val="single" w:color="auto"/>
        </w:rPr>
        <w:t>称</w:t>
      </w:r>
      <w:r>
        <w:rPr>
          <w:rFonts w:hint="eastAsia" w:asciiTheme="minorEastAsia" w:hAnsiTheme="minorEastAsia" w:eastAsiaTheme="minorEastAsia" w:cstheme="minorEastAsia"/>
          <w:color w:val="auto"/>
          <w:spacing w:val="-59"/>
          <w:sz w:val="22"/>
          <w:szCs w:val="22"/>
          <w:u w:val="single" w:color="auto"/>
        </w:rPr>
        <w:t xml:space="preserve"> </w:t>
      </w:r>
      <w:r>
        <w:rPr>
          <w:rFonts w:hint="eastAsia" w:asciiTheme="minorEastAsia" w:hAnsiTheme="minorEastAsia" w:eastAsiaTheme="minorEastAsia" w:cstheme="minorEastAsia"/>
          <w:i/>
          <w:iCs/>
          <w:color w:val="auto"/>
          <w:sz w:val="22"/>
          <w:szCs w:val="22"/>
        </w:rPr>
        <w:t>)</w:t>
      </w:r>
      <w:r>
        <w:rPr>
          <w:rFonts w:hint="eastAsia" w:asciiTheme="minorEastAsia" w:hAnsiTheme="minorEastAsia" w:eastAsiaTheme="minorEastAsia" w:cstheme="minorEastAsia"/>
          <w:color w:val="auto"/>
          <w:spacing w:val="69"/>
          <w:sz w:val="22"/>
          <w:szCs w:val="22"/>
        </w:rPr>
        <w:t xml:space="preserve"> </w:t>
      </w:r>
      <w:r>
        <w:rPr>
          <w:rFonts w:hint="eastAsia" w:asciiTheme="minorEastAsia" w:hAnsiTheme="minorEastAsia" w:eastAsiaTheme="minorEastAsia" w:cstheme="minorEastAsia"/>
          <w:color w:val="auto"/>
          <w:sz w:val="21"/>
          <w:szCs w:val="21"/>
        </w:rPr>
        <w:t xml:space="preserve">项目(项目编号： </w:t>
      </w:r>
      <w:r>
        <w:rPr>
          <w:rFonts w:hint="eastAsia" w:asciiTheme="minorEastAsia" w:hAnsiTheme="minorEastAsia" w:eastAsiaTheme="minorEastAsia" w:cstheme="minorEastAsia"/>
          <w:color w:val="auto"/>
          <w:sz w:val="21"/>
          <w:szCs w:val="21"/>
          <w:u w:val="single" w:color="auto"/>
        </w:rPr>
        <w:t xml:space="preserve">       </w:t>
      </w:r>
      <w:r>
        <w:rPr>
          <w:rFonts w:hint="eastAsia" w:asciiTheme="minorEastAsia" w:hAnsiTheme="minorEastAsia" w:eastAsiaTheme="minorEastAsia" w:cstheme="minorEastAsia"/>
          <w:color w:val="auto"/>
          <w:spacing w:val="-1"/>
          <w:sz w:val="21"/>
          <w:szCs w:val="21"/>
          <w:u w:val="single" w:color="auto"/>
        </w:rPr>
        <w:t xml:space="preserve">     </w:t>
      </w:r>
      <w:r>
        <w:rPr>
          <w:rFonts w:hint="eastAsia" w:asciiTheme="minorEastAsia" w:hAnsiTheme="minorEastAsia" w:eastAsiaTheme="minorEastAsia" w:cstheme="minorEastAsia"/>
          <w:color w:val="auto"/>
          <w:spacing w:val="-95"/>
          <w:sz w:val="21"/>
          <w:szCs w:val="21"/>
        </w:rPr>
        <w:t xml:space="preserve"> </w:t>
      </w:r>
      <w:r>
        <w:rPr>
          <w:rFonts w:hint="eastAsia" w:asciiTheme="minorEastAsia" w:hAnsiTheme="minorEastAsia" w:eastAsiaTheme="minorEastAsia" w:cstheme="minorEastAsia"/>
          <w:color w:val="auto"/>
          <w:spacing w:val="-1"/>
          <w:sz w:val="21"/>
          <w:szCs w:val="21"/>
        </w:rPr>
        <w:t>)的投标文件、签订合同和处</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1"/>
          <w:sz w:val="21"/>
          <w:szCs w:val="21"/>
        </w:rPr>
        <w:t>理一切有关事宜，其法律后果由我方承担。</w:t>
      </w:r>
    </w:p>
    <w:p w14:paraId="7E625A85">
      <w:pPr>
        <w:spacing w:before="36" w:line="213"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0"/>
          <w:sz w:val="21"/>
          <w:szCs w:val="21"/>
        </w:rPr>
        <w:t>本授权书于</w:t>
      </w:r>
      <w:r>
        <w:rPr>
          <w:rFonts w:hint="eastAsia" w:asciiTheme="minorEastAsia" w:hAnsiTheme="minorEastAsia" w:eastAsiaTheme="minorEastAsia" w:cstheme="minorEastAsia"/>
          <w:color w:val="auto"/>
          <w:spacing w:val="-93"/>
          <w:sz w:val="21"/>
          <w:szCs w:val="21"/>
        </w:rPr>
        <w:t xml:space="preserve"> </w:t>
      </w:r>
      <w:r>
        <w:rPr>
          <w:rFonts w:hint="eastAsia" w:asciiTheme="minorEastAsia" w:hAnsiTheme="minorEastAsia" w:eastAsiaTheme="minorEastAsia" w:cstheme="minorEastAsia"/>
          <w:color w:val="auto"/>
          <w:spacing w:val="5"/>
          <w:sz w:val="21"/>
          <w:szCs w:val="21"/>
          <w:u w:val="single" w:color="auto"/>
        </w:rPr>
        <w:t xml:space="preserve">     </w:t>
      </w:r>
      <w:r>
        <w:rPr>
          <w:rFonts w:hint="eastAsia" w:asciiTheme="minorEastAsia" w:hAnsiTheme="minorEastAsia" w:eastAsiaTheme="minorEastAsia" w:cstheme="minorEastAsia"/>
          <w:color w:val="auto"/>
          <w:spacing w:val="-10"/>
          <w:sz w:val="21"/>
          <w:szCs w:val="21"/>
        </w:rPr>
        <w:t>年.</w:t>
      </w:r>
      <w:r>
        <w:rPr>
          <w:rFonts w:hint="eastAsia" w:asciiTheme="minorEastAsia" w:hAnsiTheme="minorEastAsia" w:eastAsiaTheme="minorEastAsia" w:cstheme="minorEastAsia"/>
          <w:color w:val="auto"/>
          <w:spacing w:val="8"/>
          <w:sz w:val="21"/>
          <w:szCs w:val="21"/>
          <w:u w:val="single" w:color="auto"/>
        </w:rPr>
        <w:t xml:space="preserve">     </w:t>
      </w:r>
      <w:r>
        <w:rPr>
          <w:rFonts w:hint="eastAsia" w:asciiTheme="minorEastAsia" w:hAnsiTheme="minorEastAsia" w:eastAsiaTheme="minorEastAsia" w:cstheme="minorEastAsia"/>
          <w:color w:val="auto"/>
          <w:spacing w:val="-10"/>
          <w:sz w:val="21"/>
          <w:szCs w:val="21"/>
          <w:u w:val="single" w:color="auto"/>
        </w:rPr>
        <w:t>月     日</w:t>
      </w:r>
      <w:r>
        <w:rPr>
          <w:rFonts w:hint="eastAsia" w:asciiTheme="minorEastAsia" w:hAnsiTheme="minorEastAsia" w:eastAsiaTheme="minorEastAsia" w:cstheme="minorEastAsia"/>
          <w:color w:val="auto"/>
          <w:spacing w:val="-10"/>
          <w:sz w:val="21"/>
          <w:szCs w:val="21"/>
        </w:rPr>
        <w:t>签字生效，委托期限：</w:t>
      </w:r>
      <w:r>
        <w:rPr>
          <w:rFonts w:hint="eastAsia" w:asciiTheme="minorEastAsia" w:hAnsiTheme="minorEastAsia" w:eastAsiaTheme="minorEastAsia" w:cstheme="minorEastAsia"/>
          <w:color w:val="auto"/>
          <w:spacing w:val="7"/>
          <w:sz w:val="21"/>
          <w:szCs w:val="21"/>
          <w:u w:val="single" w:color="auto"/>
        </w:rPr>
        <w:t xml:space="preserve">     </w:t>
      </w:r>
      <w:r>
        <w:rPr>
          <w:rFonts w:hint="eastAsia" w:asciiTheme="minorEastAsia" w:hAnsiTheme="minorEastAsia" w:eastAsiaTheme="minorEastAsia" w:cstheme="minorEastAsia"/>
          <w:color w:val="auto"/>
          <w:position w:val="-1"/>
          <w:sz w:val="21"/>
          <w:szCs w:val="21"/>
        </w:rPr>
        <w:drawing>
          <wp:inline distT="0" distB="0" distL="0" distR="0">
            <wp:extent cx="37465" cy="5651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4"/>
                    <a:stretch>
                      <a:fillRect/>
                    </a:stretch>
                  </pic:blipFill>
                  <pic:spPr>
                    <a:xfrm>
                      <a:off x="0" y="0"/>
                      <a:ext cx="38084" cy="57068"/>
                    </a:xfrm>
                    <a:prstGeom prst="rect">
                      <a:avLst/>
                    </a:prstGeom>
                  </pic:spPr>
                </pic:pic>
              </a:graphicData>
            </a:graphic>
          </wp:inline>
        </w:drawing>
      </w:r>
    </w:p>
    <w:p w14:paraId="34214DB4">
      <w:pPr>
        <w:spacing w:before="117" w:line="222"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代理人无转委托权。</w:t>
      </w:r>
    </w:p>
    <w:p w14:paraId="32F1CB50">
      <w:pPr>
        <w:pStyle w:val="10"/>
        <w:spacing w:line="426" w:lineRule="auto"/>
        <w:rPr>
          <w:rFonts w:hint="eastAsia" w:asciiTheme="minorEastAsia" w:hAnsiTheme="minorEastAsia" w:eastAsiaTheme="minorEastAsia" w:cstheme="minorEastAsia"/>
          <w:color w:val="auto"/>
        </w:rPr>
      </w:pPr>
    </w:p>
    <w:p w14:paraId="26B07A87">
      <w:pPr>
        <w:spacing w:before="68" w:line="221"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2"/>
          <w:sz w:val="21"/>
          <w:szCs w:val="21"/>
        </w:rPr>
        <w:t>投标人名称(或联合体投标牵头人名称)(盖公章)</w:t>
      </w:r>
      <w:r>
        <w:rPr>
          <w:rFonts w:hint="eastAsia" w:asciiTheme="minorEastAsia" w:hAnsiTheme="minorEastAsia" w:eastAsiaTheme="minorEastAsia" w:cstheme="minorEastAsia"/>
          <w:color w:val="auto"/>
          <w:spacing w:val="-43"/>
          <w:sz w:val="21"/>
          <w:szCs w:val="21"/>
        </w:rPr>
        <w:t xml:space="preserve"> </w:t>
      </w:r>
      <w:r>
        <w:rPr>
          <w:rFonts w:hint="eastAsia" w:asciiTheme="minorEastAsia" w:hAnsiTheme="minorEastAsia" w:eastAsiaTheme="minorEastAsia" w:cstheme="minorEastAsia"/>
          <w:color w:val="auto"/>
          <w:spacing w:val="12"/>
          <w:sz w:val="21"/>
          <w:szCs w:val="21"/>
          <w:u w:val="single" w:color="auto"/>
        </w:rPr>
        <w:t xml:space="preserve">:          </w:t>
      </w:r>
      <w:r>
        <w:rPr>
          <w:rFonts w:hint="eastAsia" w:asciiTheme="minorEastAsia" w:hAnsiTheme="minorEastAsia" w:eastAsiaTheme="minorEastAsia" w:cstheme="minorEastAsia"/>
          <w:color w:val="auto"/>
          <w:spacing w:val="11"/>
          <w:sz w:val="21"/>
          <w:szCs w:val="21"/>
          <w:u w:val="single" w:color="auto"/>
        </w:rPr>
        <w:t xml:space="preserve">                        </w:t>
      </w:r>
    </w:p>
    <w:p w14:paraId="01484EB4">
      <w:pPr>
        <w:spacing w:before="79" w:line="222" w:lineRule="auto"/>
        <w:ind w:left="409"/>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2"/>
          <w:sz w:val="23"/>
          <w:szCs w:val="23"/>
        </w:rPr>
        <w:t>法定代表人(签字)</w:t>
      </w:r>
      <w:r>
        <w:rPr>
          <w:rFonts w:hint="eastAsia" w:asciiTheme="minorEastAsia" w:hAnsiTheme="minorEastAsia" w:eastAsiaTheme="minorEastAsia" w:cstheme="minorEastAsia"/>
          <w:color w:val="auto"/>
          <w:spacing w:val="-59"/>
          <w:sz w:val="23"/>
          <w:szCs w:val="23"/>
        </w:rPr>
        <w:t xml:space="preserve"> </w:t>
      </w:r>
      <w:r>
        <w:rPr>
          <w:rFonts w:hint="eastAsia" w:asciiTheme="minorEastAsia" w:hAnsiTheme="minorEastAsia" w:eastAsiaTheme="minorEastAsia" w:cstheme="minorEastAsia"/>
          <w:color w:val="auto"/>
          <w:spacing w:val="2"/>
          <w:sz w:val="23"/>
          <w:szCs w:val="23"/>
        </w:rPr>
        <w:t>:</w:t>
      </w:r>
      <w:r>
        <w:rPr>
          <w:rFonts w:hint="eastAsia" w:asciiTheme="minorEastAsia" w:hAnsiTheme="minorEastAsia" w:eastAsiaTheme="minorEastAsia" w:cstheme="minorEastAsia"/>
          <w:color w:val="auto"/>
          <w:spacing w:val="2"/>
          <w:sz w:val="23"/>
          <w:szCs w:val="23"/>
          <w:u w:val="single" w:color="auto"/>
        </w:rPr>
        <w:t xml:space="preserve">                            </w:t>
      </w:r>
      <w:r>
        <w:rPr>
          <w:rFonts w:hint="eastAsia" w:asciiTheme="minorEastAsia" w:hAnsiTheme="minorEastAsia" w:eastAsiaTheme="minorEastAsia" w:cstheme="minorEastAsia"/>
          <w:color w:val="auto"/>
          <w:spacing w:val="1"/>
          <w:sz w:val="23"/>
          <w:szCs w:val="23"/>
          <w:u w:val="single" w:color="auto"/>
        </w:rPr>
        <w:t xml:space="preserve">       </w:t>
      </w:r>
    </w:p>
    <w:p w14:paraId="5CCE7ABE">
      <w:pPr>
        <w:spacing w:before="83" w:line="221" w:lineRule="auto"/>
        <w:ind w:left="40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8"/>
          <w:sz w:val="22"/>
          <w:szCs w:val="22"/>
        </w:rPr>
        <w:t>法定代表人身份证号码：</w:t>
      </w:r>
      <w:r>
        <w:rPr>
          <w:rFonts w:hint="eastAsia" w:asciiTheme="minorEastAsia" w:hAnsiTheme="minorEastAsia" w:eastAsiaTheme="minorEastAsia" w:cstheme="minorEastAsia"/>
          <w:color w:val="auto"/>
          <w:spacing w:val="-8"/>
          <w:sz w:val="22"/>
          <w:szCs w:val="22"/>
          <w:u w:val="single" w:color="auto"/>
        </w:rPr>
        <w:t xml:space="preserve">                                    </w:t>
      </w:r>
    </w:p>
    <w:p w14:paraId="2D4A7A88">
      <w:pPr>
        <w:spacing w:before="98" w:line="222" w:lineRule="auto"/>
        <w:ind w:left="409"/>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12"/>
          <w:sz w:val="23"/>
          <w:szCs w:val="23"/>
        </w:rPr>
        <w:t>委托代理人(签字)</w:t>
      </w:r>
      <w:r>
        <w:rPr>
          <w:rFonts w:hint="eastAsia" w:asciiTheme="minorEastAsia" w:hAnsiTheme="minorEastAsia" w:eastAsiaTheme="minorEastAsia" w:cstheme="minorEastAsia"/>
          <w:color w:val="auto"/>
          <w:spacing w:val="-42"/>
          <w:sz w:val="23"/>
          <w:szCs w:val="23"/>
        </w:rPr>
        <w:t xml:space="preserve"> </w:t>
      </w:r>
      <w:r>
        <w:rPr>
          <w:rFonts w:hint="eastAsia" w:asciiTheme="minorEastAsia" w:hAnsiTheme="minorEastAsia" w:eastAsiaTheme="minorEastAsia" w:cstheme="minorEastAsia"/>
          <w:color w:val="auto"/>
          <w:spacing w:val="12"/>
          <w:sz w:val="23"/>
          <w:szCs w:val="23"/>
        </w:rPr>
        <w:t>:</w:t>
      </w:r>
      <w:r>
        <w:rPr>
          <w:rFonts w:hint="eastAsia" w:asciiTheme="minorEastAsia" w:hAnsiTheme="minorEastAsia" w:eastAsiaTheme="minorEastAsia" w:cstheme="minorEastAsia"/>
          <w:color w:val="auto"/>
          <w:sz w:val="23"/>
          <w:szCs w:val="23"/>
          <w:u w:val="single" w:color="auto"/>
        </w:rPr>
        <w:t xml:space="preserve">                                   </w:t>
      </w:r>
    </w:p>
    <w:p w14:paraId="513A7557">
      <w:pPr>
        <w:spacing w:before="82" w:line="221" w:lineRule="auto"/>
        <w:ind w:left="40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8"/>
          <w:sz w:val="22"/>
          <w:szCs w:val="22"/>
        </w:rPr>
        <w:t>委托代理人身份证号码：</w:t>
      </w:r>
      <w:r>
        <w:rPr>
          <w:rFonts w:hint="eastAsia" w:asciiTheme="minorEastAsia" w:hAnsiTheme="minorEastAsia" w:eastAsiaTheme="minorEastAsia" w:cstheme="minorEastAsia"/>
          <w:color w:val="auto"/>
          <w:spacing w:val="-8"/>
          <w:sz w:val="22"/>
          <w:szCs w:val="22"/>
          <w:u w:val="single" w:color="auto"/>
        </w:rPr>
        <w:t xml:space="preserve">                                    </w:t>
      </w:r>
    </w:p>
    <w:p w14:paraId="4B927F2E">
      <w:pPr>
        <w:pStyle w:val="10"/>
        <w:spacing w:line="379" w:lineRule="auto"/>
        <w:rPr>
          <w:rFonts w:hint="eastAsia" w:asciiTheme="minorEastAsia" w:hAnsiTheme="minorEastAsia" w:eastAsiaTheme="minorEastAsia" w:cstheme="minorEastAsia"/>
          <w:color w:val="auto"/>
        </w:rPr>
      </w:pPr>
    </w:p>
    <w:p w14:paraId="1EDD05DB">
      <w:pPr>
        <w:spacing w:before="76" w:line="221" w:lineRule="auto"/>
        <w:ind w:left="409"/>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3"/>
          <w:sz w:val="23"/>
          <w:szCs w:val="23"/>
        </w:rPr>
        <w:t xml:space="preserve">成员一名称(盖公章): </w:t>
      </w:r>
      <w:r>
        <w:rPr>
          <w:rFonts w:hint="eastAsia" w:asciiTheme="minorEastAsia" w:hAnsiTheme="minorEastAsia" w:eastAsiaTheme="minorEastAsia" w:cstheme="minorEastAsia"/>
          <w:color w:val="auto"/>
          <w:sz w:val="23"/>
          <w:szCs w:val="23"/>
          <w:u w:val="single" w:color="auto"/>
        </w:rPr>
        <w:t xml:space="preserve">                                 </w:t>
      </w:r>
    </w:p>
    <w:p w14:paraId="4739A635">
      <w:pPr>
        <w:spacing w:before="114" w:line="222"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1"/>
          <w:sz w:val="21"/>
          <w:szCs w:val="21"/>
        </w:rPr>
        <w:t>法定代表人(签字)</w:t>
      </w:r>
      <w:r>
        <w:rPr>
          <w:rFonts w:hint="eastAsia" w:asciiTheme="minorEastAsia" w:hAnsiTheme="minorEastAsia" w:eastAsiaTheme="minorEastAsia" w:cstheme="minorEastAsia"/>
          <w:color w:val="auto"/>
          <w:spacing w:val="-36"/>
          <w:sz w:val="21"/>
          <w:szCs w:val="21"/>
        </w:rPr>
        <w:t xml:space="preserve"> </w:t>
      </w:r>
      <w:r>
        <w:rPr>
          <w:rFonts w:hint="eastAsia" w:asciiTheme="minorEastAsia" w:hAnsiTheme="minorEastAsia" w:eastAsiaTheme="minorEastAsia" w:cstheme="minorEastAsia"/>
          <w:color w:val="auto"/>
          <w:spacing w:val="11"/>
          <w:sz w:val="21"/>
          <w:szCs w:val="21"/>
        </w:rPr>
        <w:t>:</w:t>
      </w:r>
      <w:r>
        <w:rPr>
          <w:rFonts w:hint="eastAsia" w:asciiTheme="minorEastAsia" w:hAnsiTheme="minorEastAsia" w:eastAsiaTheme="minorEastAsia" w:cstheme="minorEastAsia"/>
          <w:color w:val="auto"/>
          <w:spacing w:val="11"/>
          <w:sz w:val="21"/>
          <w:szCs w:val="21"/>
          <w:u w:val="single" w:color="auto"/>
        </w:rPr>
        <w:t xml:space="preserve">               </w:t>
      </w:r>
      <w:r>
        <w:rPr>
          <w:rFonts w:hint="eastAsia" w:asciiTheme="minorEastAsia" w:hAnsiTheme="minorEastAsia" w:eastAsiaTheme="minorEastAsia" w:cstheme="minorEastAsia"/>
          <w:color w:val="auto"/>
          <w:spacing w:val="10"/>
          <w:sz w:val="21"/>
          <w:szCs w:val="21"/>
          <w:u w:val="single" w:color="auto"/>
        </w:rPr>
        <w:t xml:space="preserve">                     </w:t>
      </w:r>
    </w:p>
    <w:p w14:paraId="4FB1A308">
      <w:pPr>
        <w:spacing w:before="78" w:line="222" w:lineRule="auto"/>
        <w:ind w:left="409"/>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12"/>
          <w:sz w:val="23"/>
          <w:szCs w:val="23"/>
        </w:rPr>
        <w:t>委托代理人(签字)</w:t>
      </w:r>
      <w:r>
        <w:rPr>
          <w:rFonts w:hint="eastAsia" w:asciiTheme="minorEastAsia" w:hAnsiTheme="minorEastAsia" w:eastAsiaTheme="minorEastAsia" w:cstheme="minorEastAsia"/>
          <w:color w:val="auto"/>
          <w:spacing w:val="-42"/>
          <w:sz w:val="23"/>
          <w:szCs w:val="23"/>
        </w:rPr>
        <w:t xml:space="preserve"> </w:t>
      </w:r>
      <w:r>
        <w:rPr>
          <w:rFonts w:hint="eastAsia" w:asciiTheme="minorEastAsia" w:hAnsiTheme="minorEastAsia" w:eastAsiaTheme="minorEastAsia" w:cstheme="minorEastAsia"/>
          <w:color w:val="auto"/>
          <w:spacing w:val="12"/>
          <w:sz w:val="23"/>
          <w:szCs w:val="23"/>
        </w:rPr>
        <w:t>:</w:t>
      </w:r>
      <w:r>
        <w:rPr>
          <w:rFonts w:hint="eastAsia" w:asciiTheme="minorEastAsia" w:hAnsiTheme="minorEastAsia" w:eastAsiaTheme="minorEastAsia" w:cstheme="minorEastAsia"/>
          <w:color w:val="auto"/>
          <w:sz w:val="23"/>
          <w:szCs w:val="23"/>
          <w:u w:val="single" w:color="auto"/>
        </w:rPr>
        <w:t xml:space="preserve">                                   </w:t>
      </w:r>
    </w:p>
    <w:p w14:paraId="46F42A2F">
      <w:pPr>
        <w:spacing w:before="113" w:line="221"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委托代理人身份证号码：</w:t>
      </w:r>
      <w:r>
        <w:rPr>
          <w:rFonts w:hint="eastAsia" w:asciiTheme="minorEastAsia" w:hAnsiTheme="minorEastAsia" w:eastAsiaTheme="minorEastAsia" w:cstheme="minorEastAsia"/>
          <w:color w:val="auto"/>
          <w:sz w:val="21"/>
          <w:szCs w:val="21"/>
          <w:u w:val="single" w:color="auto"/>
        </w:rPr>
        <w:t xml:space="preserve">                                     </w:t>
      </w:r>
    </w:p>
    <w:p w14:paraId="1B723CC8">
      <w:pPr>
        <w:pStyle w:val="10"/>
        <w:spacing w:line="362" w:lineRule="auto"/>
        <w:rPr>
          <w:rFonts w:hint="eastAsia" w:asciiTheme="minorEastAsia" w:hAnsiTheme="minorEastAsia" w:eastAsiaTheme="minorEastAsia" w:cstheme="minorEastAsia"/>
          <w:color w:val="auto"/>
        </w:rPr>
      </w:pPr>
    </w:p>
    <w:p w14:paraId="4659E151">
      <w:pPr>
        <w:spacing w:before="75" w:line="221" w:lineRule="auto"/>
        <w:ind w:left="409"/>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3"/>
          <w:sz w:val="23"/>
          <w:szCs w:val="23"/>
        </w:rPr>
        <w:t>成员二名称(盖公章):</w:t>
      </w:r>
      <w:r>
        <w:rPr>
          <w:rFonts w:hint="eastAsia" w:asciiTheme="minorEastAsia" w:hAnsiTheme="minorEastAsia" w:eastAsiaTheme="minorEastAsia" w:cstheme="minorEastAsia"/>
          <w:color w:val="auto"/>
          <w:spacing w:val="3"/>
          <w:sz w:val="23"/>
          <w:szCs w:val="23"/>
          <w:u w:val="single" w:color="auto"/>
        </w:rPr>
        <w:t xml:space="preserve">                                 </w:t>
      </w:r>
    </w:p>
    <w:p w14:paraId="0F9863FA">
      <w:pPr>
        <w:spacing w:before="114" w:line="222"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1"/>
          <w:sz w:val="21"/>
          <w:szCs w:val="21"/>
        </w:rPr>
        <w:t>法定代表人(签字)</w:t>
      </w:r>
      <w:r>
        <w:rPr>
          <w:rFonts w:hint="eastAsia" w:asciiTheme="minorEastAsia" w:hAnsiTheme="minorEastAsia" w:eastAsiaTheme="minorEastAsia" w:cstheme="minorEastAsia"/>
          <w:color w:val="auto"/>
          <w:spacing w:val="-36"/>
          <w:sz w:val="21"/>
          <w:szCs w:val="21"/>
        </w:rPr>
        <w:t xml:space="preserve"> </w:t>
      </w:r>
      <w:r>
        <w:rPr>
          <w:rFonts w:hint="eastAsia" w:asciiTheme="minorEastAsia" w:hAnsiTheme="minorEastAsia" w:eastAsiaTheme="minorEastAsia" w:cstheme="minorEastAsia"/>
          <w:color w:val="auto"/>
          <w:spacing w:val="11"/>
          <w:sz w:val="21"/>
          <w:szCs w:val="21"/>
        </w:rPr>
        <w:t>:</w:t>
      </w:r>
      <w:r>
        <w:rPr>
          <w:rFonts w:hint="eastAsia" w:asciiTheme="minorEastAsia" w:hAnsiTheme="minorEastAsia" w:eastAsiaTheme="minorEastAsia" w:cstheme="minorEastAsia"/>
          <w:color w:val="auto"/>
          <w:spacing w:val="11"/>
          <w:sz w:val="21"/>
          <w:szCs w:val="21"/>
          <w:u w:val="single" w:color="auto"/>
        </w:rPr>
        <w:t xml:space="preserve">               </w:t>
      </w:r>
      <w:r>
        <w:rPr>
          <w:rFonts w:hint="eastAsia" w:asciiTheme="minorEastAsia" w:hAnsiTheme="minorEastAsia" w:eastAsiaTheme="minorEastAsia" w:cstheme="minorEastAsia"/>
          <w:color w:val="auto"/>
          <w:spacing w:val="10"/>
          <w:sz w:val="21"/>
          <w:szCs w:val="21"/>
          <w:u w:val="single" w:color="auto"/>
        </w:rPr>
        <w:t xml:space="preserve">                     </w:t>
      </w:r>
    </w:p>
    <w:p w14:paraId="76329423">
      <w:pPr>
        <w:spacing w:before="78" w:line="222" w:lineRule="auto"/>
        <w:ind w:left="409"/>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12"/>
          <w:sz w:val="23"/>
          <w:szCs w:val="23"/>
        </w:rPr>
        <w:t>委托代理人(签字)</w:t>
      </w:r>
      <w:r>
        <w:rPr>
          <w:rFonts w:hint="eastAsia" w:asciiTheme="minorEastAsia" w:hAnsiTheme="minorEastAsia" w:eastAsiaTheme="minorEastAsia" w:cstheme="minorEastAsia"/>
          <w:color w:val="auto"/>
          <w:spacing w:val="-42"/>
          <w:sz w:val="23"/>
          <w:szCs w:val="23"/>
        </w:rPr>
        <w:t xml:space="preserve"> </w:t>
      </w:r>
      <w:r>
        <w:rPr>
          <w:rFonts w:hint="eastAsia" w:asciiTheme="minorEastAsia" w:hAnsiTheme="minorEastAsia" w:eastAsiaTheme="minorEastAsia" w:cstheme="minorEastAsia"/>
          <w:color w:val="auto"/>
          <w:spacing w:val="12"/>
          <w:sz w:val="23"/>
          <w:szCs w:val="23"/>
        </w:rPr>
        <w:t>:</w:t>
      </w:r>
      <w:r>
        <w:rPr>
          <w:rFonts w:hint="eastAsia" w:asciiTheme="minorEastAsia" w:hAnsiTheme="minorEastAsia" w:eastAsiaTheme="minorEastAsia" w:cstheme="minorEastAsia"/>
          <w:color w:val="auto"/>
          <w:sz w:val="23"/>
          <w:szCs w:val="23"/>
          <w:u w:val="single" w:color="auto"/>
        </w:rPr>
        <w:t xml:space="preserve">                                    </w:t>
      </w:r>
    </w:p>
    <w:p w14:paraId="62FB8308">
      <w:pPr>
        <w:spacing w:before="113" w:line="221"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委托代理人身份证号码：</w:t>
      </w:r>
      <w:r>
        <w:rPr>
          <w:rFonts w:hint="eastAsia" w:asciiTheme="minorEastAsia" w:hAnsiTheme="minorEastAsia" w:eastAsiaTheme="minorEastAsia" w:cstheme="minorEastAsia"/>
          <w:color w:val="auto"/>
          <w:spacing w:val="-86"/>
          <w:sz w:val="21"/>
          <w:szCs w:val="21"/>
        </w:rPr>
        <w:t xml:space="preserve"> </w:t>
      </w:r>
      <w:r>
        <w:rPr>
          <w:rFonts w:hint="eastAsia" w:asciiTheme="minorEastAsia" w:hAnsiTheme="minorEastAsia" w:eastAsiaTheme="minorEastAsia" w:cstheme="minorEastAsia"/>
          <w:color w:val="auto"/>
          <w:sz w:val="21"/>
          <w:szCs w:val="21"/>
          <w:u w:val="single" w:color="auto"/>
        </w:rPr>
        <w:t xml:space="preserve">                                     </w:t>
      </w:r>
    </w:p>
    <w:p w14:paraId="2E1C24C9">
      <w:pPr>
        <w:pStyle w:val="10"/>
        <w:spacing w:line="243" w:lineRule="auto"/>
        <w:rPr>
          <w:rFonts w:hint="eastAsia" w:asciiTheme="minorEastAsia" w:hAnsiTheme="minorEastAsia" w:eastAsiaTheme="minorEastAsia" w:cstheme="minorEastAsia"/>
          <w:color w:val="auto"/>
        </w:rPr>
      </w:pPr>
    </w:p>
    <w:p w14:paraId="5A12B091">
      <w:pPr>
        <w:spacing w:before="20" w:line="24" w:lineRule="exact"/>
        <w:ind w:left="659"/>
        <w:rPr>
          <w:rFonts w:hint="eastAsia" w:asciiTheme="minorEastAsia" w:hAnsiTheme="minorEastAsia" w:eastAsiaTheme="minorEastAsia" w:cstheme="minorEastAsia"/>
          <w:color w:val="auto"/>
          <w:sz w:val="6"/>
          <w:szCs w:val="6"/>
        </w:rPr>
      </w:pPr>
      <w:r>
        <w:rPr>
          <w:rFonts w:hint="eastAsia" w:asciiTheme="minorEastAsia" w:hAnsiTheme="minorEastAsia" w:eastAsiaTheme="minorEastAsia" w:cstheme="minorEastAsia"/>
          <w:color w:val="auto"/>
          <w:sz w:val="6"/>
          <w:szCs w:val="6"/>
        </w:rPr>
        <w:t>.</w:t>
      </w:r>
    </w:p>
    <w:p w14:paraId="5E74C927">
      <w:pPr>
        <w:spacing w:before="170" w:line="222"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注</w:t>
      </w:r>
      <w:r>
        <w:rPr>
          <w:rFonts w:hint="eastAsia" w:asciiTheme="minorEastAsia" w:hAnsiTheme="minorEastAsia" w:eastAsiaTheme="minorEastAsia" w:cstheme="minorEastAsia"/>
          <w:color w:val="auto"/>
          <w:spacing w:val="-51"/>
          <w:sz w:val="21"/>
          <w:szCs w:val="21"/>
        </w:rPr>
        <w:t xml:space="preserve"> </w:t>
      </w:r>
      <w:r>
        <w:rPr>
          <w:rFonts w:hint="eastAsia" w:asciiTheme="minorEastAsia" w:hAnsiTheme="minorEastAsia" w:eastAsiaTheme="minorEastAsia" w:cstheme="minorEastAsia"/>
          <w:color w:val="auto"/>
          <w:spacing w:val="-6"/>
          <w:sz w:val="21"/>
          <w:szCs w:val="21"/>
        </w:rPr>
        <w:t>：</w:t>
      </w:r>
    </w:p>
    <w:p w14:paraId="0F846900">
      <w:pPr>
        <w:spacing w:before="85" w:line="213"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1.法定代表人和委托代理人必须在授权委托书上签字，</w:t>
      </w:r>
      <w:r>
        <w:rPr>
          <w:rFonts w:hint="eastAsia" w:asciiTheme="minorEastAsia" w:hAnsiTheme="minorEastAsia" w:eastAsiaTheme="minorEastAsia" w:cstheme="minorEastAsia"/>
          <w:b/>
          <w:bCs/>
          <w:color w:val="auto"/>
          <w:spacing w:val="-1"/>
          <w:sz w:val="21"/>
          <w:szCs w:val="21"/>
        </w:rPr>
        <w:t>否则作无效投标处理；</w:t>
      </w:r>
    </w:p>
    <w:p w14:paraId="74B3A053">
      <w:pPr>
        <w:spacing w:before="121" w:line="213"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2.以联合体形式投标的，本授权委托书应由联合体牵头人的法定代表人按上述规定签署。</w:t>
      </w:r>
    </w:p>
    <w:p w14:paraId="3EEB644C">
      <w:pPr>
        <w:spacing w:before="158" w:line="289" w:lineRule="auto"/>
        <w:ind w:right="4" w:firstLine="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3. 投标人为其他组织或者自然人时，本招标文件规定</w:t>
      </w:r>
      <w:r>
        <w:rPr>
          <w:rFonts w:hint="eastAsia" w:asciiTheme="minorEastAsia" w:hAnsiTheme="minorEastAsia" w:eastAsiaTheme="minorEastAsia" w:cstheme="minorEastAsia"/>
          <w:color w:val="auto"/>
          <w:sz w:val="21"/>
          <w:szCs w:val="21"/>
        </w:rPr>
        <w:t>的法定代表人指负责人或者自然人。本招标文 件所称负责人是指参加投标的其他组织营业执照上的负责人，本招标文件所称自然人指</w:t>
      </w:r>
      <w:r>
        <w:rPr>
          <w:rFonts w:hint="eastAsia" w:asciiTheme="minorEastAsia" w:hAnsiTheme="minorEastAsia" w:eastAsiaTheme="minorEastAsia" w:cstheme="minorEastAsia"/>
          <w:color w:val="auto"/>
          <w:spacing w:val="-1"/>
          <w:sz w:val="21"/>
          <w:szCs w:val="21"/>
        </w:rPr>
        <w:t>参与投标的自然人</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8"/>
          <w:sz w:val="21"/>
          <w:szCs w:val="21"/>
        </w:rPr>
        <w:t>本人。</w:t>
      </w:r>
    </w:p>
    <w:p w14:paraId="37820E99">
      <w:pPr>
        <w:spacing w:before="222" w:line="221"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4. 若为联合体投标须各方签字或盖章。</w:t>
      </w:r>
    </w:p>
    <w:p w14:paraId="75D34AE2">
      <w:pPr>
        <w:spacing w:line="221" w:lineRule="auto"/>
        <w:rPr>
          <w:rFonts w:hint="eastAsia" w:asciiTheme="minorEastAsia" w:hAnsiTheme="minorEastAsia" w:eastAsiaTheme="minorEastAsia" w:cstheme="minorEastAsia"/>
          <w:color w:val="auto"/>
          <w:sz w:val="21"/>
          <w:szCs w:val="21"/>
        </w:rPr>
        <w:sectPr>
          <w:footerReference r:id="rId42" w:type="default"/>
          <w:pgSz w:w="11900" w:h="16830"/>
          <w:pgMar w:top="1388" w:right="1131" w:bottom="991" w:left="1110" w:header="0" w:footer="847" w:gutter="0"/>
          <w:cols w:space="720" w:num="1"/>
        </w:sectPr>
      </w:pPr>
    </w:p>
    <w:p w14:paraId="66D23478">
      <w:pPr>
        <w:spacing w:before="39" w:line="224" w:lineRule="auto"/>
        <w:rPr>
          <w:rFonts w:hint="eastAsia" w:asciiTheme="minorEastAsia" w:hAnsiTheme="minorEastAsia" w:eastAsiaTheme="minorEastAsia" w:cstheme="minorEastAsia"/>
          <w:color w:val="auto"/>
          <w:sz w:val="19"/>
          <w:szCs w:val="19"/>
        </w:rPr>
      </w:pPr>
      <w:r>
        <w:rPr>
          <w:rFonts w:hint="eastAsia" w:asciiTheme="minorEastAsia" w:hAnsiTheme="minorEastAsia" w:eastAsiaTheme="minorEastAsia" w:cstheme="minorEastAsia"/>
          <w:b/>
          <w:bCs/>
          <w:color w:val="auto"/>
          <w:spacing w:val="-10"/>
          <w:sz w:val="19"/>
          <w:szCs w:val="19"/>
        </w:rPr>
        <w:t>附</w:t>
      </w:r>
      <w:r>
        <w:rPr>
          <w:rFonts w:hint="eastAsia" w:asciiTheme="minorEastAsia" w:hAnsiTheme="minorEastAsia" w:eastAsiaTheme="minorEastAsia" w:cstheme="minorEastAsia"/>
          <w:color w:val="auto"/>
          <w:spacing w:val="-18"/>
          <w:sz w:val="19"/>
          <w:szCs w:val="19"/>
        </w:rPr>
        <w:t xml:space="preserve"> </w:t>
      </w:r>
      <w:r>
        <w:rPr>
          <w:rFonts w:hint="eastAsia" w:asciiTheme="minorEastAsia" w:hAnsiTheme="minorEastAsia" w:eastAsiaTheme="minorEastAsia" w:cstheme="minorEastAsia"/>
          <w:b/>
          <w:bCs/>
          <w:color w:val="auto"/>
          <w:spacing w:val="-10"/>
          <w:sz w:val="19"/>
          <w:szCs w:val="19"/>
        </w:rPr>
        <w:t>件</w:t>
      </w:r>
      <w:r>
        <w:rPr>
          <w:rFonts w:hint="eastAsia" w:asciiTheme="minorEastAsia" w:hAnsiTheme="minorEastAsia" w:eastAsiaTheme="minorEastAsia" w:cstheme="minorEastAsia"/>
          <w:color w:val="auto"/>
          <w:spacing w:val="-24"/>
          <w:sz w:val="19"/>
          <w:szCs w:val="19"/>
        </w:rPr>
        <w:t xml:space="preserve"> </w:t>
      </w:r>
      <w:r>
        <w:rPr>
          <w:rFonts w:hint="eastAsia" w:asciiTheme="minorEastAsia" w:hAnsiTheme="minorEastAsia" w:eastAsiaTheme="minorEastAsia" w:cstheme="minorEastAsia"/>
          <w:b/>
          <w:bCs/>
          <w:color w:val="auto"/>
          <w:spacing w:val="-10"/>
          <w:sz w:val="19"/>
          <w:szCs w:val="19"/>
        </w:rPr>
        <w:t>：</w:t>
      </w:r>
    </w:p>
    <w:p w14:paraId="1CF0D16C">
      <w:pPr>
        <w:spacing w:line="236" w:lineRule="exact"/>
        <w:rPr>
          <w:rFonts w:hint="eastAsia" w:asciiTheme="minorEastAsia" w:hAnsiTheme="minorEastAsia" w:eastAsiaTheme="minorEastAsia" w:cstheme="minorEastAsia"/>
          <w:color w:val="auto"/>
        </w:rPr>
      </w:pPr>
    </w:p>
    <w:tbl>
      <w:tblPr>
        <w:tblStyle w:val="20"/>
        <w:tblW w:w="7999" w:type="dxa"/>
        <w:tblInd w:w="807"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7999"/>
      </w:tblGrid>
      <w:tr w14:paraId="3206312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550" w:hRule="atLeast"/>
        </w:trPr>
        <w:tc>
          <w:tcPr>
            <w:tcW w:w="7999" w:type="dxa"/>
            <w:vAlign w:val="top"/>
          </w:tcPr>
          <w:p w14:paraId="49ABBE7E">
            <w:pPr>
              <w:spacing w:line="417" w:lineRule="auto"/>
              <w:rPr>
                <w:rFonts w:hint="eastAsia" w:asciiTheme="minorEastAsia" w:hAnsiTheme="minorEastAsia" w:eastAsiaTheme="minorEastAsia" w:cstheme="minorEastAsia"/>
                <w:color w:val="auto"/>
                <w:sz w:val="21"/>
              </w:rPr>
            </w:pPr>
          </w:p>
          <w:p w14:paraId="60D0C764">
            <w:pPr>
              <w:pStyle w:val="21"/>
              <w:spacing w:before="82" w:line="219" w:lineRule="auto"/>
              <w:ind w:left="98"/>
              <w:rPr>
                <w:rFonts w:hint="eastAsia" w:asciiTheme="minorEastAsia" w:hAnsiTheme="minorEastAsia" w:eastAsiaTheme="minorEastAsia" w:cstheme="minorEastAsia"/>
                <w:color w:val="auto"/>
                <w:sz w:val="25"/>
                <w:szCs w:val="25"/>
              </w:rPr>
            </w:pPr>
            <w:r>
              <w:rPr>
                <w:rFonts w:hint="eastAsia" w:asciiTheme="minorEastAsia" w:hAnsiTheme="minorEastAsia" w:eastAsiaTheme="minorEastAsia" w:cstheme="minorEastAsia"/>
                <w:b/>
                <w:bCs/>
                <w:color w:val="auto"/>
                <w:spacing w:val="-1"/>
                <w:sz w:val="25"/>
                <w:szCs w:val="25"/>
              </w:rPr>
              <w:t>委托代理人有效身份证复印件粘贴处(正、反面)</w:t>
            </w:r>
          </w:p>
        </w:tc>
      </w:tr>
    </w:tbl>
    <w:p w14:paraId="3A69DB29">
      <w:pPr>
        <w:pStyle w:val="10"/>
        <w:rPr>
          <w:rFonts w:hint="eastAsia" w:asciiTheme="minorEastAsia" w:hAnsiTheme="minorEastAsia" w:eastAsiaTheme="minorEastAsia" w:cstheme="minorEastAsia"/>
          <w:color w:val="auto"/>
        </w:rPr>
      </w:pPr>
    </w:p>
    <w:p w14:paraId="6D22D3F7">
      <w:pPr>
        <w:rPr>
          <w:rFonts w:hint="eastAsia" w:asciiTheme="minorEastAsia" w:hAnsiTheme="minorEastAsia" w:eastAsiaTheme="minorEastAsia" w:cstheme="minorEastAsia"/>
          <w:color w:val="auto"/>
        </w:rPr>
        <w:sectPr>
          <w:footerReference r:id="rId43" w:type="default"/>
          <w:pgSz w:w="11900" w:h="16830"/>
          <w:pgMar w:top="1188" w:right="1785" w:bottom="991" w:left="1132" w:header="0" w:footer="847" w:gutter="0"/>
          <w:cols w:space="720" w:num="1"/>
        </w:sectPr>
      </w:pPr>
    </w:p>
    <w:p w14:paraId="71748F39">
      <w:pPr>
        <w:spacing w:before="52" w:line="221" w:lineRule="auto"/>
        <w:ind w:left="463"/>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b/>
          <w:bCs/>
          <w:color w:val="auto"/>
          <w:spacing w:val="11"/>
          <w:sz w:val="26"/>
          <w:szCs w:val="26"/>
        </w:rPr>
        <w:t>6.商务条款偏离表的格式：</w:t>
      </w:r>
    </w:p>
    <w:p w14:paraId="42233D17">
      <w:pPr>
        <w:pStyle w:val="10"/>
        <w:spacing w:line="352" w:lineRule="auto"/>
        <w:rPr>
          <w:rFonts w:hint="eastAsia" w:asciiTheme="minorEastAsia" w:hAnsiTheme="minorEastAsia" w:eastAsiaTheme="minorEastAsia" w:cstheme="minorEastAsia"/>
          <w:color w:val="auto"/>
        </w:rPr>
      </w:pPr>
    </w:p>
    <w:p w14:paraId="34BE2083">
      <w:pPr>
        <w:spacing w:before="98" w:line="219" w:lineRule="auto"/>
        <w:ind w:left="4244"/>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b/>
          <w:bCs/>
          <w:color w:val="auto"/>
          <w:spacing w:val="-6"/>
          <w:sz w:val="30"/>
          <w:szCs w:val="30"/>
        </w:rPr>
        <w:t>商务条款偏离表</w:t>
      </w:r>
    </w:p>
    <w:p w14:paraId="4FB7F94B">
      <w:pPr>
        <w:pStyle w:val="10"/>
        <w:spacing w:line="402" w:lineRule="auto"/>
        <w:rPr>
          <w:rFonts w:hint="eastAsia" w:asciiTheme="minorEastAsia" w:hAnsiTheme="minorEastAsia" w:eastAsiaTheme="minorEastAsia" w:cstheme="minorEastAsia"/>
          <w:color w:val="auto"/>
        </w:rPr>
      </w:pPr>
    </w:p>
    <w:p w14:paraId="15FC9E89">
      <w:pPr>
        <w:spacing w:before="68" w:line="222" w:lineRule="auto"/>
        <w:ind w:left="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项目名称：</w:t>
      </w:r>
      <w:r>
        <w:rPr>
          <w:rFonts w:hint="eastAsia" w:asciiTheme="minorEastAsia" w:hAnsiTheme="minorEastAsia" w:eastAsiaTheme="minorEastAsia" w:cstheme="minorEastAsia"/>
          <w:color w:val="auto"/>
          <w:spacing w:val="68"/>
          <w:sz w:val="21"/>
          <w:szCs w:val="21"/>
        </w:rPr>
        <w:t xml:space="preserve"> </w:t>
      </w:r>
      <w:r>
        <w:rPr>
          <w:rFonts w:hint="eastAsia" w:asciiTheme="minorEastAsia" w:hAnsiTheme="minorEastAsia" w:eastAsiaTheme="minorEastAsia" w:cstheme="minorEastAsia"/>
          <w:color w:val="auto"/>
          <w:sz w:val="21"/>
          <w:szCs w:val="21"/>
          <w:u w:val="single" w:color="auto"/>
        </w:rPr>
        <w:t xml:space="preserve">                    </w:t>
      </w:r>
    </w:p>
    <w:p w14:paraId="69553F16">
      <w:pPr>
        <w:spacing w:before="226" w:line="221" w:lineRule="auto"/>
        <w:ind w:left="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项目编号：</w:t>
      </w:r>
      <w:r>
        <w:rPr>
          <w:rFonts w:hint="eastAsia" w:asciiTheme="minorEastAsia" w:hAnsiTheme="minorEastAsia" w:eastAsiaTheme="minorEastAsia" w:cstheme="minorEastAsia"/>
          <w:color w:val="auto"/>
          <w:spacing w:val="58"/>
          <w:sz w:val="21"/>
          <w:szCs w:val="21"/>
        </w:rPr>
        <w:t xml:space="preserve"> </w:t>
      </w:r>
      <w:r>
        <w:rPr>
          <w:rFonts w:hint="eastAsia" w:asciiTheme="minorEastAsia" w:hAnsiTheme="minorEastAsia" w:eastAsiaTheme="minorEastAsia" w:cstheme="minorEastAsia"/>
          <w:color w:val="auto"/>
          <w:sz w:val="21"/>
          <w:szCs w:val="21"/>
          <w:u w:val="single" w:color="auto"/>
        </w:rPr>
        <w:t xml:space="preserve">                    </w:t>
      </w:r>
    </w:p>
    <w:p w14:paraId="17494DAF">
      <w:pPr>
        <w:spacing w:before="210" w:line="213" w:lineRule="auto"/>
        <w:ind w:left="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1"/>
          <w:sz w:val="21"/>
          <w:szCs w:val="21"/>
        </w:rPr>
        <w:t>所投分标(此处有分标时填写具体分标号，无分标时填写“无”</w:t>
      </w:r>
      <w:r>
        <w:rPr>
          <w:rFonts w:hint="eastAsia" w:asciiTheme="minorEastAsia" w:hAnsiTheme="minorEastAsia" w:eastAsiaTheme="minorEastAsia" w:cstheme="minorEastAsia"/>
          <w:color w:val="auto"/>
          <w:spacing w:val="10"/>
          <w:sz w:val="21"/>
          <w:szCs w:val="21"/>
        </w:rPr>
        <w:t xml:space="preserve">): </w:t>
      </w:r>
      <w:r>
        <w:rPr>
          <w:rFonts w:hint="eastAsia" w:asciiTheme="minorEastAsia" w:hAnsiTheme="minorEastAsia" w:eastAsiaTheme="minorEastAsia" w:cstheme="minorEastAsia"/>
          <w:color w:val="auto"/>
          <w:spacing w:val="10"/>
          <w:sz w:val="21"/>
          <w:szCs w:val="21"/>
          <w:u w:val="single" w:color="auto"/>
        </w:rPr>
        <w:t xml:space="preserve">            </w:t>
      </w:r>
    </w:p>
    <w:p w14:paraId="1FD607BD">
      <w:pPr>
        <w:spacing w:before="83"/>
        <w:rPr>
          <w:rFonts w:hint="eastAsia" w:asciiTheme="minorEastAsia" w:hAnsiTheme="minorEastAsia" w:eastAsiaTheme="minorEastAsia" w:cstheme="minorEastAsia"/>
          <w:color w:val="auto"/>
        </w:rPr>
      </w:pPr>
    </w:p>
    <w:tbl>
      <w:tblPr>
        <w:tblStyle w:val="20"/>
        <w:tblW w:w="9290" w:type="dxa"/>
        <w:tblInd w:w="6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3386"/>
        <w:gridCol w:w="3217"/>
        <w:gridCol w:w="1923"/>
      </w:tblGrid>
      <w:tr w14:paraId="4DF44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64" w:type="dxa"/>
            <w:vAlign w:val="top"/>
          </w:tcPr>
          <w:p w14:paraId="198D860C">
            <w:pPr>
              <w:pStyle w:val="21"/>
              <w:spacing w:before="204" w:line="220" w:lineRule="auto"/>
              <w:ind w:left="12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项号</w:t>
            </w:r>
          </w:p>
        </w:tc>
        <w:tc>
          <w:tcPr>
            <w:tcW w:w="3386" w:type="dxa"/>
            <w:vAlign w:val="top"/>
          </w:tcPr>
          <w:p w14:paraId="094CDBC9">
            <w:pPr>
              <w:pStyle w:val="21"/>
              <w:spacing w:before="204" w:line="219" w:lineRule="auto"/>
              <w:ind w:left="73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rPr>
              <w:t>招标文件的商务条款</w:t>
            </w:r>
          </w:p>
        </w:tc>
        <w:tc>
          <w:tcPr>
            <w:tcW w:w="3217" w:type="dxa"/>
            <w:vAlign w:val="top"/>
          </w:tcPr>
          <w:p w14:paraId="3C85AA41">
            <w:pPr>
              <w:pStyle w:val="21"/>
              <w:spacing w:before="204" w:line="219" w:lineRule="auto"/>
              <w:ind w:left="43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投标文件响应的商务条款</w:t>
            </w:r>
          </w:p>
        </w:tc>
        <w:tc>
          <w:tcPr>
            <w:tcW w:w="1923" w:type="dxa"/>
            <w:vAlign w:val="top"/>
          </w:tcPr>
          <w:p w14:paraId="7966F314">
            <w:pPr>
              <w:pStyle w:val="21"/>
              <w:spacing w:before="204" w:line="219" w:lineRule="auto"/>
              <w:ind w:left="52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偏离说明</w:t>
            </w:r>
          </w:p>
        </w:tc>
      </w:tr>
      <w:tr w14:paraId="6603F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 w:hRule="atLeast"/>
        </w:trPr>
        <w:tc>
          <w:tcPr>
            <w:tcW w:w="764" w:type="dxa"/>
            <w:vAlign w:val="top"/>
          </w:tcPr>
          <w:p w14:paraId="261DC409">
            <w:pPr>
              <w:pStyle w:val="21"/>
              <w:spacing w:before="214" w:line="170" w:lineRule="exact"/>
              <w:ind w:left="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position w:val="-4"/>
              </w:rPr>
              <w:t>一</w:t>
            </w:r>
          </w:p>
        </w:tc>
        <w:tc>
          <w:tcPr>
            <w:tcW w:w="3386" w:type="dxa"/>
            <w:vAlign w:val="top"/>
          </w:tcPr>
          <w:p w14:paraId="4BE05A3C">
            <w:pPr>
              <w:rPr>
                <w:rFonts w:hint="eastAsia" w:asciiTheme="minorEastAsia" w:hAnsiTheme="minorEastAsia" w:eastAsiaTheme="minorEastAsia" w:cstheme="minorEastAsia"/>
                <w:color w:val="auto"/>
                <w:sz w:val="21"/>
              </w:rPr>
            </w:pPr>
          </w:p>
        </w:tc>
        <w:tc>
          <w:tcPr>
            <w:tcW w:w="3217" w:type="dxa"/>
            <w:vAlign w:val="top"/>
          </w:tcPr>
          <w:p w14:paraId="4081DA3E">
            <w:pPr>
              <w:rPr>
                <w:rFonts w:hint="eastAsia" w:asciiTheme="minorEastAsia" w:hAnsiTheme="minorEastAsia" w:eastAsiaTheme="minorEastAsia" w:cstheme="minorEastAsia"/>
                <w:color w:val="auto"/>
                <w:sz w:val="21"/>
              </w:rPr>
            </w:pPr>
          </w:p>
        </w:tc>
        <w:tc>
          <w:tcPr>
            <w:tcW w:w="1923" w:type="dxa"/>
            <w:vAlign w:val="top"/>
          </w:tcPr>
          <w:p w14:paraId="764C750E">
            <w:pPr>
              <w:rPr>
                <w:rFonts w:hint="eastAsia" w:asciiTheme="minorEastAsia" w:hAnsiTheme="minorEastAsia" w:eastAsiaTheme="minorEastAsia" w:cstheme="minorEastAsia"/>
                <w:color w:val="auto"/>
                <w:sz w:val="21"/>
              </w:rPr>
            </w:pPr>
          </w:p>
        </w:tc>
      </w:tr>
      <w:tr w14:paraId="598E6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7" w:hRule="atLeast"/>
        </w:trPr>
        <w:tc>
          <w:tcPr>
            <w:tcW w:w="764" w:type="dxa"/>
            <w:vAlign w:val="top"/>
          </w:tcPr>
          <w:p w14:paraId="3F839C19">
            <w:pPr>
              <w:pStyle w:val="21"/>
              <w:spacing w:before="161" w:line="178" w:lineRule="auto"/>
              <w:ind w:left="4"/>
              <w:rPr>
                <w:rFonts w:hint="eastAsia" w:asciiTheme="minorEastAsia" w:hAnsiTheme="minorEastAsia" w:eastAsiaTheme="minorEastAsia" w:cstheme="minorEastAsia"/>
                <w:color w:val="auto"/>
                <w:sz w:val="33"/>
                <w:szCs w:val="33"/>
              </w:rPr>
            </w:pPr>
            <w:r>
              <w:rPr>
                <w:rFonts w:hint="eastAsia" w:asciiTheme="minorEastAsia" w:hAnsiTheme="minorEastAsia" w:eastAsiaTheme="minorEastAsia" w:cstheme="minorEastAsia"/>
                <w:color w:val="auto"/>
                <w:sz w:val="33"/>
                <w:szCs w:val="33"/>
              </w:rPr>
              <w:t>二</w:t>
            </w:r>
          </w:p>
        </w:tc>
        <w:tc>
          <w:tcPr>
            <w:tcW w:w="3386" w:type="dxa"/>
            <w:vAlign w:val="top"/>
          </w:tcPr>
          <w:p w14:paraId="05686193">
            <w:pPr>
              <w:rPr>
                <w:rFonts w:hint="eastAsia" w:asciiTheme="minorEastAsia" w:hAnsiTheme="minorEastAsia" w:eastAsiaTheme="minorEastAsia" w:cstheme="minorEastAsia"/>
                <w:color w:val="auto"/>
                <w:sz w:val="21"/>
              </w:rPr>
            </w:pPr>
          </w:p>
        </w:tc>
        <w:tc>
          <w:tcPr>
            <w:tcW w:w="3217" w:type="dxa"/>
            <w:vAlign w:val="top"/>
          </w:tcPr>
          <w:p w14:paraId="2F590351">
            <w:pPr>
              <w:rPr>
                <w:rFonts w:hint="eastAsia" w:asciiTheme="minorEastAsia" w:hAnsiTheme="minorEastAsia" w:eastAsiaTheme="minorEastAsia" w:cstheme="minorEastAsia"/>
                <w:color w:val="auto"/>
                <w:sz w:val="21"/>
              </w:rPr>
            </w:pPr>
          </w:p>
        </w:tc>
        <w:tc>
          <w:tcPr>
            <w:tcW w:w="1923" w:type="dxa"/>
            <w:vAlign w:val="top"/>
          </w:tcPr>
          <w:p w14:paraId="7A356A9C">
            <w:pPr>
              <w:rPr>
                <w:rFonts w:hint="eastAsia" w:asciiTheme="minorEastAsia" w:hAnsiTheme="minorEastAsia" w:eastAsiaTheme="minorEastAsia" w:cstheme="minorEastAsia"/>
                <w:color w:val="auto"/>
                <w:sz w:val="21"/>
              </w:rPr>
            </w:pPr>
          </w:p>
        </w:tc>
      </w:tr>
      <w:tr w14:paraId="53900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2" w:hRule="atLeast"/>
        </w:trPr>
        <w:tc>
          <w:tcPr>
            <w:tcW w:w="764" w:type="dxa"/>
            <w:vAlign w:val="top"/>
          </w:tcPr>
          <w:p w14:paraId="41986CC1">
            <w:pPr>
              <w:pStyle w:val="21"/>
              <w:spacing w:before="197" w:line="339" w:lineRule="exact"/>
              <w:ind w:left="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2"/>
                <w:position w:val="2"/>
              </w:rPr>
              <w:t>…</w:t>
            </w:r>
            <w:r>
              <w:rPr>
                <w:rFonts w:hint="eastAsia" w:asciiTheme="minorEastAsia" w:hAnsiTheme="minorEastAsia" w:eastAsiaTheme="minorEastAsia" w:cstheme="minorEastAsia"/>
                <w:color w:val="auto"/>
                <w:spacing w:val="-26"/>
                <w:position w:val="2"/>
              </w:rPr>
              <w:t xml:space="preserve"> </w:t>
            </w:r>
            <w:r>
              <w:rPr>
                <w:rFonts w:hint="eastAsia" w:asciiTheme="minorEastAsia" w:hAnsiTheme="minorEastAsia" w:eastAsiaTheme="minorEastAsia" w:cstheme="minorEastAsia"/>
                <w:color w:val="auto"/>
                <w:spacing w:val="-12"/>
                <w:position w:val="2"/>
              </w:rPr>
              <w:t>·</w:t>
            </w:r>
          </w:p>
        </w:tc>
        <w:tc>
          <w:tcPr>
            <w:tcW w:w="3386" w:type="dxa"/>
            <w:vAlign w:val="top"/>
          </w:tcPr>
          <w:p w14:paraId="7323B70D">
            <w:pPr>
              <w:rPr>
                <w:rFonts w:hint="eastAsia" w:asciiTheme="minorEastAsia" w:hAnsiTheme="minorEastAsia" w:eastAsiaTheme="minorEastAsia" w:cstheme="minorEastAsia"/>
                <w:color w:val="auto"/>
                <w:sz w:val="21"/>
              </w:rPr>
            </w:pPr>
          </w:p>
        </w:tc>
        <w:tc>
          <w:tcPr>
            <w:tcW w:w="3217" w:type="dxa"/>
            <w:vAlign w:val="top"/>
          </w:tcPr>
          <w:p w14:paraId="6F834541">
            <w:pPr>
              <w:rPr>
                <w:rFonts w:hint="eastAsia" w:asciiTheme="minorEastAsia" w:hAnsiTheme="minorEastAsia" w:eastAsiaTheme="minorEastAsia" w:cstheme="minorEastAsia"/>
                <w:color w:val="auto"/>
                <w:sz w:val="21"/>
              </w:rPr>
            </w:pPr>
          </w:p>
        </w:tc>
        <w:tc>
          <w:tcPr>
            <w:tcW w:w="1923" w:type="dxa"/>
            <w:vAlign w:val="top"/>
          </w:tcPr>
          <w:p w14:paraId="0DD1338E">
            <w:pPr>
              <w:rPr>
                <w:rFonts w:hint="eastAsia" w:asciiTheme="minorEastAsia" w:hAnsiTheme="minorEastAsia" w:eastAsiaTheme="minorEastAsia" w:cstheme="minorEastAsia"/>
                <w:color w:val="auto"/>
                <w:sz w:val="21"/>
              </w:rPr>
            </w:pPr>
          </w:p>
        </w:tc>
      </w:tr>
    </w:tbl>
    <w:p w14:paraId="5799A925">
      <w:pPr>
        <w:spacing w:before="19" w:line="224" w:lineRule="auto"/>
        <w:ind w:left="840"/>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5"/>
          <w:sz w:val="23"/>
          <w:szCs w:val="23"/>
        </w:rPr>
        <w:t>注</w:t>
      </w:r>
      <w:r>
        <w:rPr>
          <w:rFonts w:hint="eastAsia" w:asciiTheme="minorEastAsia" w:hAnsiTheme="minorEastAsia" w:eastAsiaTheme="minorEastAsia" w:cstheme="minorEastAsia"/>
          <w:color w:val="auto"/>
          <w:spacing w:val="-59"/>
          <w:sz w:val="23"/>
          <w:szCs w:val="23"/>
        </w:rPr>
        <w:t xml:space="preserve"> </w:t>
      </w:r>
      <w:r>
        <w:rPr>
          <w:rFonts w:hint="eastAsia" w:asciiTheme="minorEastAsia" w:hAnsiTheme="minorEastAsia" w:eastAsiaTheme="minorEastAsia" w:cstheme="minorEastAsia"/>
          <w:color w:val="auto"/>
          <w:spacing w:val="-5"/>
          <w:sz w:val="23"/>
          <w:szCs w:val="23"/>
        </w:rPr>
        <w:t>：</w:t>
      </w:r>
    </w:p>
    <w:p w14:paraId="297CB5DD">
      <w:pPr>
        <w:spacing w:before="134" w:line="222" w:lineRule="auto"/>
        <w:ind w:left="88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1.表格内容均需按要求填写并加盖投标人公章。</w:t>
      </w:r>
    </w:p>
    <w:p w14:paraId="2AF785A7">
      <w:pPr>
        <w:spacing w:before="168" w:line="286" w:lineRule="auto"/>
        <w:ind w:firstLine="88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2.请逐条对应本项目招标文件“第二章</w:t>
      </w:r>
      <w:r>
        <w:rPr>
          <w:rFonts w:hint="eastAsia" w:asciiTheme="minorEastAsia" w:hAnsiTheme="minorEastAsia" w:eastAsiaTheme="minorEastAsia" w:cstheme="minorEastAsia"/>
          <w:color w:val="auto"/>
          <w:spacing w:val="100"/>
          <w:sz w:val="21"/>
          <w:szCs w:val="21"/>
        </w:rPr>
        <w:t xml:space="preserve"> </w:t>
      </w:r>
      <w:r>
        <w:rPr>
          <w:rFonts w:hint="eastAsia" w:asciiTheme="minorEastAsia" w:hAnsiTheme="minorEastAsia" w:eastAsiaTheme="minorEastAsia" w:cstheme="minorEastAsia"/>
          <w:b/>
          <w:bCs/>
          <w:color w:val="auto"/>
          <w:sz w:val="21"/>
          <w:szCs w:val="21"/>
        </w:rPr>
        <w:t>采购需求</w:t>
      </w:r>
      <w:r>
        <w:rPr>
          <w:rFonts w:hint="eastAsia" w:asciiTheme="minorEastAsia" w:hAnsiTheme="minorEastAsia" w:eastAsiaTheme="minorEastAsia" w:cstheme="minorEastAsia"/>
          <w:color w:val="auto"/>
          <w:spacing w:val="-1"/>
          <w:sz w:val="21"/>
          <w:szCs w:val="21"/>
        </w:rPr>
        <w:t>”中“商务条款”的要求，详细填写相应的具体内</w:t>
      </w:r>
      <w:r>
        <w:rPr>
          <w:rFonts w:hint="eastAsia" w:asciiTheme="minorEastAsia" w:hAnsiTheme="minorEastAsia" w:eastAsiaTheme="minorEastAsia" w:cstheme="minorEastAsia"/>
          <w:color w:val="auto"/>
          <w:sz w:val="21"/>
          <w:szCs w:val="21"/>
        </w:rPr>
        <w:t xml:space="preserve"> 容。“偏离说明”一栏应当选择“正偏离”或“负偏离”或“无偏离”进行填写。</w:t>
      </w:r>
    </w:p>
    <w:p w14:paraId="3D11AC06">
      <w:pPr>
        <w:spacing w:before="150" w:line="213" w:lineRule="auto"/>
        <w:ind w:left="77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3.当投标文件的商务内容低于招标文件要求时，投标人应当如实写明“负偏离”。</w:t>
      </w:r>
    </w:p>
    <w:p w14:paraId="70EDFB8F">
      <w:pPr>
        <w:pStyle w:val="10"/>
        <w:spacing w:line="289" w:lineRule="auto"/>
        <w:rPr>
          <w:rFonts w:hint="eastAsia" w:asciiTheme="minorEastAsia" w:hAnsiTheme="minorEastAsia" w:eastAsiaTheme="minorEastAsia" w:cstheme="minorEastAsia"/>
          <w:color w:val="auto"/>
        </w:rPr>
      </w:pPr>
    </w:p>
    <w:p w14:paraId="4BD75E64">
      <w:pPr>
        <w:pStyle w:val="10"/>
        <w:spacing w:line="290" w:lineRule="auto"/>
        <w:rPr>
          <w:rFonts w:hint="eastAsia" w:asciiTheme="minorEastAsia" w:hAnsiTheme="minorEastAsia" w:eastAsiaTheme="minorEastAsia" w:cstheme="minorEastAsia"/>
          <w:color w:val="auto"/>
        </w:rPr>
      </w:pPr>
    </w:p>
    <w:p w14:paraId="776C38F9">
      <w:pPr>
        <w:pStyle w:val="10"/>
        <w:spacing w:line="290" w:lineRule="auto"/>
        <w:rPr>
          <w:rFonts w:hint="eastAsia" w:asciiTheme="minorEastAsia" w:hAnsiTheme="minorEastAsia" w:eastAsiaTheme="minorEastAsia" w:cstheme="minorEastAsia"/>
          <w:color w:val="auto"/>
        </w:rPr>
      </w:pPr>
    </w:p>
    <w:p w14:paraId="53C7883C">
      <w:pPr>
        <w:spacing w:before="84" w:line="222" w:lineRule="auto"/>
        <w:ind w:left="5580"/>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pacing w:val="-14"/>
          <w:sz w:val="26"/>
          <w:szCs w:val="26"/>
        </w:rPr>
        <w:t>投标人名称(盖公章):</w:t>
      </w:r>
      <w:r>
        <w:rPr>
          <w:rFonts w:hint="eastAsia" w:asciiTheme="minorEastAsia" w:hAnsiTheme="minorEastAsia" w:eastAsiaTheme="minorEastAsia" w:cstheme="minorEastAsia"/>
          <w:color w:val="auto"/>
          <w:spacing w:val="-38"/>
          <w:sz w:val="26"/>
          <w:szCs w:val="26"/>
        </w:rPr>
        <w:t xml:space="preserve"> </w:t>
      </w:r>
      <w:r>
        <w:rPr>
          <w:rFonts w:hint="eastAsia" w:asciiTheme="minorEastAsia" w:hAnsiTheme="minorEastAsia" w:eastAsiaTheme="minorEastAsia" w:cstheme="minorEastAsia"/>
          <w:color w:val="auto"/>
          <w:sz w:val="26"/>
          <w:szCs w:val="26"/>
          <w:u w:val="single" w:color="auto"/>
        </w:rPr>
        <w:t xml:space="preserve">              </w:t>
      </w:r>
    </w:p>
    <w:p w14:paraId="0E615C46">
      <w:pPr>
        <w:spacing w:before="218" w:line="223" w:lineRule="auto"/>
        <w:ind w:left="564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日期：</w:t>
      </w:r>
      <w:r>
        <w:rPr>
          <w:rFonts w:hint="eastAsia" w:asciiTheme="minorEastAsia" w:hAnsiTheme="minorEastAsia" w:eastAsiaTheme="minorEastAsia" w:cstheme="minorEastAsia"/>
          <w:color w:val="auto"/>
          <w:spacing w:val="40"/>
          <w:sz w:val="21"/>
          <w:szCs w:val="21"/>
        </w:rPr>
        <w:t xml:space="preserve">  </w:t>
      </w:r>
      <w:r>
        <w:rPr>
          <w:rFonts w:hint="eastAsia" w:asciiTheme="minorEastAsia" w:hAnsiTheme="minorEastAsia" w:eastAsiaTheme="minorEastAsia" w:cstheme="minorEastAsia"/>
          <w:color w:val="auto"/>
          <w:spacing w:val="-4"/>
          <w:sz w:val="21"/>
          <w:szCs w:val="21"/>
        </w:rPr>
        <w:t>年</w:t>
      </w:r>
      <w:r>
        <w:rPr>
          <w:rFonts w:hint="eastAsia" w:asciiTheme="minorEastAsia" w:hAnsiTheme="minorEastAsia" w:eastAsiaTheme="minorEastAsia" w:cstheme="minorEastAsia"/>
          <w:color w:val="auto"/>
          <w:spacing w:val="29"/>
          <w:sz w:val="21"/>
          <w:szCs w:val="21"/>
        </w:rPr>
        <w:t xml:space="preserve">  </w:t>
      </w:r>
      <w:r>
        <w:rPr>
          <w:rFonts w:hint="eastAsia" w:asciiTheme="minorEastAsia" w:hAnsiTheme="minorEastAsia" w:eastAsiaTheme="minorEastAsia" w:cstheme="minorEastAsia"/>
          <w:color w:val="auto"/>
          <w:spacing w:val="-4"/>
          <w:sz w:val="21"/>
          <w:szCs w:val="21"/>
        </w:rPr>
        <w:t>月</w:t>
      </w:r>
      <w:r>
        <w:rPr>
          <w:rFonts w:hint="eastAsia" w:asciiTheme="minorEastAsia" w:hAnsiTheme="minorEastAsia" w:eastAsiaTheme="minorEastAsia" w:cstheme="minorEastAsia"/>
          <w:color w:val="auto"/>
          <w:spacing w:val="6"/>
          <w:sz w:val="21"/>
          <w:szCs w:val="21"/>
        </w:rPr>
        <w:t xml:space="preserve">    </w:t>
      </w:r>
      <w:r>
        <w:rPr>
          <w:rFonts w:hint="eastAsia" w:asciiTheme="minorEastAsia" w:hAnsiTheme="minorEastAsia" w:eastAsiaTheme="minorEastAsia" w:cstheme="minorEastAsia"/>
          <w:color w:val="auto"/>
          <w:spacing w:val="-4"/>
          <w:sz w:val="21"/>
          <w:szCs w:val="21"/>
        </w:rPr>
        <w:t>日</w:t>
      </w:r>
    </w:p>
    <w:p w14:paraId="4FA887D0">
      <w:pPr>
        <w:spacing w:line="223" w:lineRule="auto"/>
        <w:rPr>
          <w:rFonts w:hint="eastAsia" w:asciiTheme="minorEastAsia" w:hAnsiTheme="minorEastAsia" w:eastAsiaTheme="minorEastAsia" w:cstheme="minorEastAsia"/>
          <w:color w:val="auto"/>
          <w:sz w:val="21"/>
          <w:szCs w:val="21"/>
        </w:rPr>
        <w:sectPr>
          <w:footerReference r:id="rId44" w:type="default"/>
          <w:pgSz w:w="11900" w:h="16830"/>
          <w:pgMar w:top="1152" w:right="1117" w:bottom="991" w:left="679" w:header="0" w:footer="847" w:gutter="0"/>
          <w:cols w:space="720" w:num="1"/>
        </w:sectPr>
      </w:pPr>
    </w:p>
    <w:p w14:paraId="20392DA0">
      <w:pPr>
        <w:pStyle w:val="3"/>
        <w:numPr>
          <w:ilvl w:val="1"/>
          <w:numId w:val="0"/>
        </w:numPr>
        <w:bidi w:val="0"/>
        <w:ind w:leftChars="0"/>
        <w:jc w:val="center"/>
        <w:rPr>
          <w:rFonts w:hint="eastAsia"/>
          <w:color w:val="auto"/>
        </w:rPr>
      </w:pPr>
      <w:r>
        <w:rPr>
          <w:rFonts w:hint="eastAsia"/>
          <w:color w:val="auto"/>
        </w:rPr>
        <w:t>第三节</w:t>
      </w:r>
      <w:r>
        <w:rPr>
          <w:rFonts w:hint="eastAsia"/>
          <w:color w:val="auto"/>
          <w:lang w:val="en-US" w:eastAsia="zh-CN"/>
        </w:rPr>
        <w:t xml:space="preserve"> </w:t>
      </w:r>
      <w:r>
        <w:rPr>
          <w:rFonts w:hint="eastAsia"/>
          <w:color w:val="auto"/>
        </w:rPr>
        <w:t>技术文件格式</w:t>
      </w:r>
    </w:p>
    <w:p w14:paraId="06FDE3D6">
      <w:pPr>
        <w:pStyle w:val="10"/>
        <w:spacing w:line="476" w:lineRule="auto"/>
        <w:rPr>
          <w:rFonts w:hint="eastAsia" w:asciiTheme="minorEastAsia" w:hAnsiTheme="minorEastAsia" w:eastAsiaTheme="minorEastAsia" w:cstheme="minorEastAsia"/>
          <w:color w:val="auto"/>
        </w:rPr>
      </w:pPr>
    </w:p>
    <w:p w14:paraId="46E04138">
      <w:pPr>
        <w:spacing w:before="94" w:line="219" w:lineRule="auto"/>
        <w:rPr>
          <w:rFonts w:hint="eastAsia" w:asciiTheme="minorEastAsia" w:hAnsiTheme="minorEastAsia" w:eastAsiaTheme="minorEastAsia" w:cstheme="minorEastAsia"/>
          <w:color w:val="auto"/>
          <w:sz w:val="29"/>
          <w:szCs w:val="29"/>
        </w:rPr>
      </w:pPr>
      <w:r>
        <w:rPr>
          <w:rFonts w:hint="eastAsia" w:asciiTheme="minorEastAsia" w:hAnsiTheme="minorEastAsia" w:eastAsiaTheme="minorEastAsia" w:cstheme="minorEastAsia"/>
          <w:b/>
          <w:bCs/>
          <w:color w:val="auto"/>
          <w:sz w:val="29"/>
          <w:szCs w:val="29"/>
        </w:rPr>
        <w:t>1.</w:t>
      </w:r>
      <w:r>
        <w:rPr>
          <w:rFonts w:hint="eastAsia" w:asciiTheme="minorEastAsia" w:hAnsiTheme="minorEastAsia" w:eastAsiaTheme="minorEastAsia" w:cstheme="minorEastAsia"/>
          <w:color w:val="auto"/>
          <w:sz w:val="29"/>
          <w:szCs w:val="29"/>
        </w:rPr>
        <w:t xml:space="preserve"> </w:t>
      </w:r>
      <w:r>
        <w:rPr>
          <w:rFonts w:hint="eastAsia" w:asciiTheme="minorEastAsia" w:hAnsiTheme="minorEastAsia" w:eastAsiaTheme="minorEastAsia" w:cstheme="minorEastAsia"/>
          <w:b/>
          <w:bCs/>
          <w:color w:val="auto"/>
          <w:sz w:val="29"/>
          <w:szCs w:val="29"/>
        </w:rPr>
        <w:t>技术文件封面的格式(参照此格式自拟):</w:t>
      </w:r>
    </w:p>
    <w:p w14:paraId="45C6503E">
      <w:pPr>
        <w:spacing w:before="114" w:line="222" w:lineRule="auto"/>
        <w:ind w:left="7168"/>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2"/>
          <w:sz w:val="21"/>
          <w:szCs w:val="21"/>
        </w:rPr>
        <w:t>电子投标文件</w:t>
      </w:r>
    </w:p>
    <w:p w14:paraId="43B1BB51">
      <w:pPr>
        <w:pStyle w:val="10"/>
        <w:spacing w:line="267" w:lineRule="auto"/>
        <w:rPr>
          <w:rFonts w:hint="eastAsia" w:asciiTheme="minorEastAsia" w:hAnsiTheme="minorEastAsia" w:eastAsiaTheme="minorEastAsia" w:cstheme="minorEastAsia"/>
          <w:color w:val="auto"/>
        </w:rPr>
      </w:pPr>
    </w:p>
    <w:p w14:paraId="69EA4378">
      <w:pPr>
        <w:pStyle w:val="10"/>
        <w:spacing w:line="268" w:lineRule="auto"/>
        <w:rPr>
          <w:rFonts w:hint="eastAsia" w:asciiTheme="minorEastAsia" w:hAnsiTheme="minorEastAsia" w:eastAsiaTheme="minorEastAsia" w:cstheme="minorEastAsia"/>
          <w:color w:val="auto"/>
        </w:rPr>
      </w:pPr>
    </w:p>
    <w:p w14:paraId="0366C082">
      <w:pPr>
        <w:pStyle w:val="10"/>
        <w:spacing w:line="268" w:lineRule="auto"/>
        <w:rPr>
          <w:rFonts w:hint="eastAsia" w:asciiTheme="minorEastAsia" w:hAnsiTheme="minorEastAsia" w:eastAsiaTheme="minorEastAsia" w:cstheme="minorEastAsia"/>
          <w:color w:val="auto"/>
        </w:rPr>
      </w:pPr>
    </w:p>
    <w:p w14:paraId="46DDC8DC">
      <w:pPr>
        <w:pStyle w:val="10"/>
        <w:spacing w:line="268" w:lineRule="auto"/>
        <w:rPr>
          <w:rFonts w:hint="eastAsia" w:asciiTheme="minorEastAsia" w:hAnsiTheme="minorEastAsia" w:eastAsiaTheme="minorEastAsia" w:cstheme="minorEastAsia"/>
          <w:color w:val="auto"/>
        </w:rPr>
      </w:pPr>
    </w:p>
    <w:p w14:paraId="3CEAB352">
      <w:pPr>
        <w:spacing w:before="104" w:line="219" w:lineRule="auto"/>
        <w:ind w:left="415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bCs/>
          <w:color w:val="auto"/>
          <w:spacing w:val="-6"/>
          <w:sz w:val="32"/>
          <w:szCs w:val="32"/>
        </w:rPr>
        <w:t>技术文件</w:t>
      </w:r>
    </w:p>
    <w:p w14:paraId="644BBCCC">
      <w:pPr>
        <w:pStyle w:val="10"/>
        <w:spacing w:line="283" w:lineRule="auto"/>
        <w:rPr>
          <w:rFonts w:hint="eastAsia" w:asciiTheme="minorEastAsia" w:hAnsiTheme="minorEastAsia" w:eastAsiaTheme="minorEastAsia" w:cstheme="minorEastAsia"/>
          <w:color w:val="auto"/>
        </w:rPr>
      </w:pPr>
    </w:p>
    <w:p w14:paraId="4B6C39CF">
      <w:pPr>
        <w:pStyle w:val="10"/>
        <w:spacing w:line="284" w:lineRule="auto"/>
        <w:rPr>
          <w:rFonts w:hint="eastAsia" w:asciiTheme="minorEastAsia" w:hAnsiTheme="minorEastAsia" w:eastAsiaTheme="minorEastAsia" w:cstheme="minorEastAsia"/>
          <w:color w:val="auto"/>
        </w:rPr>
      </w:pPr>
    </w:p>
    <w:p w14:paraId="289F05EC">
      <w:pPr>
        <w:spacing w:before="68" w:line="222" w:lineRule="auto"/>
        <w:ind w:left="305"/>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2"/>
          <w:sz w:val="21"/>
          <w:szCs w:val="21"/>
        </w:rPr>
        <w:t>项目名称：</w:t>
      </w:r>
    </w:p>
    <w:p w14:paraId="702F75B2">
      <w:pPr>
        <w:pStyle w:val="10"/>
        <w:spacing w:line="347" w:lineRule="auto"/>
        <w:rPr>
          <w:rFonts w:hint="eastAsia" w:asciiTheme="minorEastAsia" w:hAnsiTheme="minorEastAsia" w:eastAsiaTheme="minorEastAsia" w:cstheme="minorEastAsia"/>
          <w:color w:val="auto"/>
        </w:rPr>
      </w:pPr>
    </w:p>
    <w:p w14:paraId="6FA47859">
      <w:pPr>
        <w:pStyle w:val="10"/>
        <w:spacing w:line="347" w:lineRule="auto"/>
        <w:rPr>
          <w:rFonts w:hint="eastAsia" w:asciiTheme="minorEastAsia" w:hAnsiTheme="minorEastAsia" w:eastAsiaTheme="minorEastAsia" w:cstheme="minorEastAsia"/>
          <w:color w:val="auto"/>
        </w:rPr>
      </w:pPr>
    </w:p>
    <w:p w14:paraId="2BA857B6">
      <w:pPr>
        <w:spacing w:before="69" w:line="221" w:lineRule="auto"/>
        <w:ind w:left="305"/>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2"/>
          <w:sz w:val="21"/>
          <w:szCs w:val="21"/>
        </w:rPr>
        <w:t>项目编号：</w:t>
      </w:r>
    </w:p>
    <w:p w14:paraId="2F776578">
      <w:pPr>
        <w:pStyle w:val="10"/>
        <w:spacing w:line="331" w:lineRule="auto"/>
        <w:rPr>
          <w:rFonts w:hint="eastAsia" w:asciiTheme="minorEastAsia" w:hAnsiTheme="minorEastAsia" w:eastAsiaTheme="minorEastAsia" w:cstheme="minorEastAsia"/>
          <w:color w:val="auto"/>
        </w:rPr>
      </w:pPr>
    </w:p>
    <w:p w14:paraId="6C31B7BA">
      <w:pPr>
        <w:pStyle w:val="10"/>
        <w:spacing w:line="332" w:lineRule="auto"/>
        <w:rPr>
          <w:rFonts w:hint="eastAsia" w:asciiTheme="minorEastAsia" w:hAnsiTheme="minorEastAsia" w:eastAsiaTheme="minorEastAsia" w:cstheme="minorEastAsia"/>
          <w:color w:val="auto"/>
        </w:rPr>
      </w:pPr>
    </w:p>
    <w:p w14:paraId="224643AD">
      <w:pPr>
        <w:spacing w:before="82" w:line="213" w:lineRule="auto"/>
        <w:ind w:left="305"/>
        <w:rPr>
          <w:rFonts w:hint="eastAsia" w:asciiTheme="minorEastAsia" w:hAnsiTheme="minorEastAsia" w:eastAsiaTheme="minorEastAsia" w:cstheme="minorEastAsia"/>
          <w:color w:val="auto"/>
          <w:sz w:val="25"/>
          <w:szCs w:val="25"/>
        </w:rPr>
      </w:pPr>
      <w:r>
        <w:rPr>
          <w:rFonts w:hint="eastAsia" w:asciiTheme="minorEastAsia" w:hAnsiTheme="minorEastAsia" w:eastAsiaTheme="minorEastAsia" w:cstheme="minorEastAsia"/>
          <w:color w:val="auto"/>
          <w:spacing w:val="-1"/>
          <w:sz w:val="25"/>
          <w:szCs w:val="25"/>
        </w:rPr>
        <w:t>所投分标(如有则填写，无分标时填写“无”或者留空):</w:t>
      </w:r>
    </w:p>
    <w:p w14:paraId="55E80423">
      <w:pPr>
        <w:pStyle w:val="10"/>
        <w:spacing w:line="246" w:lineRule="auto"/>
        <w:rPr>
          <w:rFonts w:hint="eastAsia" w:asciiTheme="minorEastAsia" w:hAnsiTheme="minorEastAsia" w:eastAsiaTheme="minorEastAsia" w:cstheme="minorEastAsia"/>
          <w:color w:val="auto"/>
        </w:rPr>
      </w:pPr>
    </w:p>
    <w:p w14:paraId="32435969">
      <w:pPr>
        <w:pStyle w:val="10"/>
        <w:spacing w:line="246" w:lineRule="auto"/>
        <w:rPr>
          <w:rFonts w:hint="eastAsia" w:asciiTheme="minorEastAsia" w:hAnsiTheme="minorEastAsia" w:eastAsiaTheme="minorEastAsia" w:cstheme="minorEastAsia"/>
          <w:color w:val="auto"/>
        </w:rPr>
      </w:pPr>
    </w:p>
    <w:p w14:paraId="1A255329">
      <w:pPr>
        <w:pStyle w:val="10"/>
        <w:spacing w:line="246" w:lineRule="auto"/>
        <w:rPr>
          <w:rFonts w:hint="eastAsia" w:asciiTheme="minorEastAsia" w:hAnsiTheme="minorEastAsia" w:eastAsiaTheme="minorEastAsia" w:cstheme="minorEastAsia"/>
          <w:color w:val="auto"/>
        </w:rPr>
      </w:pPr>
    </w:p>
    <w:p w14:paraId="1C41462E">
      <w:pPr>
        <w:spacing w:before="69" w:line="222" w:lineRule="auto"/>
        <w:ind w:left="305"/>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2"/>
          <w:sz w:val="21"/>
          <w:szCs w:val="21"/>
        </w:rPr>
        <w:t>投标人名称：</w:t>
      </w:r>
    </w:p>
    <w:p w14:paraId="5EDD60BB">
      <w:pPr>
        <w:pStyle w:val="10"/>
        <w:spacing w:line="250" w:lineRule="auto"/>
        <w:rPr>
          <w:rFonts w:hint="eastAsia" w:asciiTheme="minorEastAsia" w:hAnsiTheme="minorEastAsia" w:eastAsiaTheme="minorEastAsia" w:cstheme="minorEastAsia"/>
          <w:color w:val="auto"/>
        </w:rPr>
      </w:pPr>
    </w:p>
    <w:p w14:paraId="465E6E23">
      <w:pPr>
        <w:pStyle w:val="10"/>
        <w:spacing w:line="250" w:lineRule="auto"/>
        <w:rPr>
          <w:rFonts w:hint="eastAsia" w:asciiTheme="minorEastAsia" w:hAnsiTheme="minorEastAsia" w:eastAsiaTheme="minorEastAsia" w:cstheme="minorEastAsia"/>
          <w:color w:val="auto"/>
        </w:rPr>
      </w:pPr>
    </w:p>
    <w:p w14:paraId="4F0B842C">
      <w:pPr>
        <w:pStyle w:val="10"/>
        <w:spacing w:line="250" w:lineRule="auto"/>
        <w:rPr>
          <w:rFonts w:hint="eastAsia" w:asciiTheme="minorEastAsia" w:hAnsiTheme="minorEastAsia" w:eastAsiaTheme="minorEastAsia" w:cstheme="minorEastAsia"/>
          <w:color w:val="auto"/>
        </w:rPr>
      </w:pPr>
    </w:p>
    <w:p w14:paraId="15839B14">
      <w:pPr>
        <w:pStyle w:val="10"/>
        <w:spacing w:line="250" w:lineRule="auto"/>
        <w:rPr>
          <w:rFonts w:hint="eastAsia" w:asciiTheme="minorEastAsia" w:hAnsiTheme="minorEastAsia" w:eastAsiaTheme="minorEastAsia" w:cstheme="minorEastAsia"/>
          <w:color w:val="auto"/>
        </w:rPr>
      </w:pPr>
    </w:p>
    <w:p w14:paraId="4AC227AB">
      <w:pPr>
        <w:pStyle w:val="10"/>
        <w:spacing w:line="250" w:lineRule="auto"/>
        <w:rPr>
          <w:rFonts w:hint="eastAsia" w:asciiTheme="minorEastAsia" w:hAnsiTheme="minorEastAsia" w:eastAsiaTheme="minorEastAsia" w:cstheme="minorEastAsia"/>
          <w:color w:val="auto"/>
        </w:rPr>
      </w:pPr>
    </w:p>
    <w:p w14:paraId="04F347B4">
      <w:pPr>
        <w:pStyle w:val="10"/>
        <w:spacing w:line="251" w:lineRule="auto"/>
        <w:rPr>
          <w:rFonts w:hint="eastAsia" w:asciiTheme="minorEastAsia" w:hAnsiTheme="minorEastAsia" w:eastAsiaTheme="minorEastAsia" w:cstheme="minorEastAsia"/>
          <w:color w:val="auto"/>
        </w:rPr>
      </w:pPr>
    </w:p>
    <w:p w14:paraId="0B4B575C">
      <w:pPr>
        <w:pStyle w:val="10"/>
        <w:spacing w:line="251" w:lineRule="auto"/>
        <w:rPr>
          <w:rFonts w:hint="eastAsia" w:asciiTheme="minorEastAsia" w:hAnsiTheme="minorEastAsia" w:eastAsiaTheme="minorEastAsia" w:cstheme="minorEastAsia"/>
          <w:color w:val="auto"/>
        </w:rPr>
      </w:pPr>
    </w:p>
    <w:p w14:paraId="74D1C2CB">
      <w:pPr>
        <w:pStyle w:val="10"/>
        <w:spacing w:line="251" w:lineRule="auto"/>
        <w:rPr>
          <w:rFonts w:hint="eastAsia" w:asciiTheme="minorEastAsia" w:hAnsiTheme="minorEastAsia" w:eastAsiaTheme="minorEastAsia" w:cstheme="minorEastAsia"/>
          <w:color w:val="auto"/>
        </w:rPr>
      </w:pPr>
    </w:p>
    <w:p w14:paraId="3B2D642C">
      <w:pPr>
        <w:pStyle w:val="10"/>
        <w:spacing w:line="251" w:lineRule="auto"/>
        <w:rPr>
          <w:rFonts w:hint="eastAsia" w:asciiTheme="minorEastAsia" w:hAnsiTheme="minorEastAsia" w:eastAsiaTheme="minorEastAsia" w:cstheme="minorEastAsia"/>
          <w:color w:val="auto"/>
        </w:rPr>
      </w:pPr>
    </w:p>
    <w:p w14:paraId="2ADFCC21">
      <w:pPr>
        <w:spacing w:before="68" w:line="223" w:lineRule="auto"/>
        <w:ind w:left="4328"/>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10"/>
          <w:sz w:val="21"/>
          <w:szCs w:val="21"/>
        </w:rPr>
        <w:t>年</w:t>
      </w:r>
      <w:r>
        <w:rPr>
          <w:rFonts w:hint="eastAsia" w:asciiTheme="minorEastAsia" w:hAnsiTheme="minorEastAsia" w:eastAsiaTheme="minorEastAsia" w:cstheme="minorEastAsia"/>
          <w:color w:val="auto"/>
          <w:spacing w:val="24"/>
          <w:sz w:val="21"/>
          <w:szCs w:val="21"/>
        </w:rPr>
        <w:t xml:space="preserve">    </w:t>
      </w:r>
      <w:r>
        <w:rPr>
          <w:rFonts w:hint="eastAsia" w:asciiTheme="minorEastAsia" w:hAnsiTheme="minorEastAsia" w:eastAsiaTheme="minorEastAsia" w:cstheme="minorEastAsia"/>
          <w:b/>
          <w:bCs/>
          <w:color w:val="auto"/>
          <w:spacing w:val="-10"/>
          <w:sz w:val="21"/>
          <w:szCs w:val="21"/>
        </w:rPr>
        <w:t>月</w:t>
      </w:r>
      <w:r>
        <w:rPr>
          <w:rFonts w:hint="eastAsia" w:asciiTheme="minorEastAsia" w:hAnsiTheme="minorEastAsia" w:eastAsiaTheme="minorEastAsia" w:cstheme="minorEastAsia"/>
          <w:color w:val="auto"/>
          <w:spacing w:val="4"/>
          <w:sz w:val="21"/>
          <w:szCs w:val="21"/>
        </w:rPr>
        <w:t xml:space="preserve">     </w:t>
      </w:r>
      <w:r>
        <w:rPr>
          <w:rFonts w:hint="eastAsia" w:asciiTheme="minorEastAsia" w:hAnsiTheme="minorEastAsia" w:eastAsiaTheme="minorEastAsia" w:cstheme="minorEastAsia"/>
          <w:b/>
          <w:bCs/>
          <w:color w:val="auto"/>
          <w:spacing w:val="-10"/>
          <w:sz w:val="21"/>
          <w:szCs w:val="21"/>
        </w:rPr>
        <w:t>日</w:t>
      </w:r>
    </w:p>
    <w:p w14:paraId="1BCA47A2">
      <w:pPr>
        <w:spacing w:line="223" w:lineRule="auto"/>
        <w:rPr>
          <w:rFonts w:hint="eastAsia" w:asciiTheme="minorEastAsia" w:hAnsiTheme="minorEastAsia" w:eastAsiaTheme="minorEastAsia" w:cstheme="minorEastAsia"/>
          <w:color w:val="auto"/>
          <w:sz w:val="21"/>
          <w:szCs w:val="21"/>
        </w:rPr>
        <w:sectPr>
          <w:footerReference r:id="rId45" w:type="default"/>
          <w:pgSz w:w="11900" w:h="16830"/>
          <w:pgMar w:top="1429" w:right="1785" w:bottom="991" w:left="1154" w:header="0" w:footer="847" w:gutter="0"/>
          <w:cols w:space="720" w:num="1"/>
        </w:sectPr>
      </w:pPr>
    </w:p>
    <w:p w14:paraId="21436A8F">
      <w:pPr>
        <w:spacing w:before="60" w:line="219" w:lineRule="auto"/>
        <w:ind w:left="34"/>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b/>
          <w:bCs/>
          <w:color w:val="auto"/>
          <w:spacing w:val="-12"/>
          <w:sz w:val="30"/>
          <w:szCs w:val="30"/>
        </w:rPr>
        <w:t>2.</w:t>
      </w:r>
      <w:r>
        <w:rPr>
          <w:rFonts w:hint="eastAsia" w:asciiTheme="minorEastAsia" w:hAnsiTheme="minorEastAsia" w:eastAsiaTheme="minorEastAsia" w:cstheme="minorEastAsia"/>
          <w:color w:val="auto"/>
          <w:spacing w:val="-55"/>
          <w:sz w:val="30"/>
          <w:szCs w:val="30"/>
        </w:rPr>
        <w:t xml:space="preserve"> </w:t>
      </w:r>
      <w:r>
        <w:rPr>
          <w:rFonts w:hint="eastAsia" w:asciiTheme="minorEastAsia" w:hAnsiTheme="minorEastAsia" w:eastAsiaTheme="minorEastAsia" w:cstheme="minorEastAsia"/>
          <w:b/>
          <w:bCs/>
          <w:color w:val="auto"/>
          <w:spacing w:val="-12"/>
          <w:sz w:val="30"/>
          <w:szCs w:val="30"/>
        </w:rPr>
        <w:t>技术文件目录</w:t>
      </w:r>
    </w:p>
    <w:p w14:paraId="46AD1EB5">
      <w:pPr>
        <w:spacing w:before="143" w:line="221"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根据招标文件规定及投标人提供的材料自行编写目录(部分格式后附)。</w:t>
      </w:r>
    </w:p>
    <w:p w14:paraId="6D4215A5">
      <w:pPr>
        <w:spacing w:line="221" w:lineRule="auto"/>
        <w:rPr>
          <w:rFonts w:hint="eastAsia" w:asciiTheme="minorEastAsia" w:hAnsiTheme="minorEastAsia" w:eastAsiaTheme="minorEastAsia" w:cstheme="minorEastAsia"/>
          <w:color w:val="auto"/>
          <w:sz w:val="24"/>
          <w:szCs w:val="24"/>
        </w:rPr>
        <w:sectPr>
          <w:footerReference r:id="rId46" w:type="default"/>
          <w:pgSz w:w="11900" w:h="16830"/>
          <w:pgMar w:top="1087" w:right="1785" w:bottom="991" w:left="1249" w:header="0" w:footer="847" w:gutter="0"/>
          <w:cols w:space="720" w:num="1"/>
        </w:sectPr>
      </w:pPr>
    </w:p>
    <w:p w14:paraId="36D81245">
      <w:pPr>
        <w:spacing w:before="58" w:line="221" w:lineRule="auto"/>
        <w:ind w:left="269"/>
        <w:rPr>
          <w:rFonts w:hint="eastAsia" w:asciiTheme="minorEastAsia" w:hAnsiTheme="minorEastAsia" w:eastAsiaTheme="minorEastAsia" w:cstheme="minorEastAsia"/>
          <w:color w:val="auto"/>
          <w:sz w:val="29"/>
          <w:szCs w:val="29"/>
        </w:rPr>
      </w:pPr>
      <w:r>
        <w:rPr>
          <w:rFonts w:hint="eastAsia" w:asciiTheme="minorEastAsia" w:hAnsiTheme="minorEastAsia" w:eastAsiaTheme="minorEastAsia" w:cstheme="minorEastAsia"/>
          <w:b/>
          <w:bCs/>
          <w:color w:val="auto"/>
          <w:spacing w:val="-14"/>
          <w:sz w:val="29"/>
          <w:szCs w:val="29"/>
        </w:rPr>
        <w:t>3.</w:t>
      </w:r>
      <w:r>
        <w:rPr>
          <w:rFonts w:hint="eastAsia" w:asciiTheme="minorEastAsia" w:hAnsiTheme="minorEastAsia" w:eastAsiaTheme="minorEastAsia" w:cstheme="minorEastAsia"/>
          <w:color w:val="auto"/>
          <w:spacing w:val="-14"/>
          <w:sz w:val="29"/>
          <w:szCs w:val="29"/>
        </w:rPr>
        <w:t xml:space="preserve"> </w:t>
      </w:r>
      <w:r>
        <w:rPr>
          <w:rFonts w:hint="eastAsia" w:asciiTheme="minorEastAsia" w:hAnsiTheme="minorEastAsia" w:eastAsiaTheme="minorEastAsia" w:cstheme="minorEastAsia"/>
          <w:b/>
          <w:bCs/>
          <w:color w:val="auto"/>
          <w:spacing w:val="-14"/>
          <w:sz w:val="29"/>
          <w:szCs w:val="29"/>
          <w:lang w:val="en-US" w:eastAsia="zh-CN"/>
        </w:rPr>
        <w:t>项目要求及技术服务要求</w:t>
      </w:r>
      <w:r>
        <w:rPr>
          <w:rFonts w:hint="eastAsia" w:asciiTheme="minorEastAsia" w:hAnsiTheme="minorEastAsia" w:eastAsiaTheme="minorEastAsia" w:cstheme="minorEastAsia"/>
          <w:b/>
          <w:bCs/>
          <w:color w:val="auto"/>
          <w:spacing w:val="-14"/>
          <w:sz w:val="29"/>
          <w:szCs w:val="29"/>
        </w:rPr>
        <w:t>偏离表的格式：</w:t>
      </w:r>
    </w:p>
    <w:p w14:paraId="72162A95">
      <w:pPr>
        <w:spacing w:before="205" w:line="219" w:lineRule="auto"/>
        <w:ind w:left="4069"/>
        <w:rPr>
          <w:rFonts w:hint="eastAsia" w:asciiTheme="minorEastAsia" w:hAnsiTheme="minorEastAsia" w:eastAsiaTheme="minorEastAsia" w:cstheme="minorEastAsia"/>
          <w:color w:val="auto"/>
          <w:sz w:val="29"/>
          <w:szCs w:val="29"/>
        </w:rPr>
      </w:pPr>
      <w:r>
        <w:rPr>
          <w:rFonts w:hint="eastAsia" w:asciiTheme="minorEastAsia" w:hAnsiTheme="minorEastAsia" w:eastAsiaTheme="minorEastAsia" w:cstheme="minorEastAsia"/>
          <w:b/>
          <w:bCs/>
          <w:color w:val="auto"/>
          <w:spacing w:val="6"/>
          <w:sz w:val="29"/>
          <w:szCs w:val="29"/>
          <w:lang w:val="en-US" w:eastAsia="zh-CN"/>
        </w:rPr>
        <w:t>项目要求及技术服务要求</w:t>
      </w:r>
      <w:r>
        <w:rPr>
          <w:rFonts w:hint="eastAsia" w:asciiTheme="minorEastAsia" w:hAnsiTheme="minorEastAsia" w:eastAsiaTheme="minorEastAsia" w:cstheme="minorEastAsia"/>
          <w:b/>
          <w:bCs/>
          <w:color w:val="auto"/>
          <w:spacing w:val="6"/>
          <w:sz w:val="29"/>
          <w:szCs w:val="29"/>
        </w:rPr>
        <w:t>偏离表</w:t>
      </w:r>
    </w:p>
    <w:p w14:paraId="3EB9D824">
      <w:pPr>
        <w:pStyle w:val="10"/>
        <w:spacing w:line="414" w:lineRule="auto"/>
        <w:rPr>
          <w:rFonts w:hint="eastAsia" w:asciiTheme="minorEastAsia" w:hAnsiTheme="minorEastAsia" w:eastAsiaTheme="minorEastAsia" w:cstheme="minorEastAsia"/>
          <w:color w:val="auto"/>
        </w:rPr>
      </w:pPr>
    </w:p>
    <w:p w14:paraId="0D3DB32E">
      <w:pPr>
        <w:spacing w:before="68" w:line="222" w:lineRule="auto"/>
        <w:ind w:left="265"/>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rPr>
        <w:drawing>
          <wp:anchor distT="0" distB="0" distL="0" distR="0" simplePos="0" relativeHeight="251661312" behindDoc="0" locked="0" layoutInCell="1" allowOverlap="1">
            <wp:simplePos x="0" y="0"/>
            <wp:positionH relativeFrom="column">
              <wp:posOffset>936625</wp:posOffset>
            </wp:positionH>
            <wp:positionV relativeFrom="paragraph">
              <wp:posOffset>169545</wp:posOffset>
            </wp:positionV>
            <wp:extent cx="1301750" cy="635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65"/>
                    <a:stretch>
                      <a:fillRect/>
                    </a:stretch>
                  </pic:blipFill>
                  <pic:spPr>
                    <a:xfrm>
                      <a:off x="0" y="0"/>
                      <a:ext cx="1301757" cy="6667"/>
                    </a:xfrm>
                    <a:prstGeom prst="rect">
                      <a:avLst/>
                    </a:prstGeom>
                  </pic:spPr>
                </pic:pic>
              </a:graphicData>
            </a:graphic>
          </wp:anchor>
        </w:drawing>
      </w:r>
      <w:r>
        <w:rPr>
          <w:rFonts w:hint="eastAsia" w:asciiTheme="minorEastAsia" w:hAnsiTheme="minorEastAsia" w:eastAsiaTheme="minorEastAsia" w:cstheme="minorEastAsia"/>
          <w:color w:val="auto"/>
          <w:spacing w:val="20"/>
          <w:sz w:val="21"/>
          <w:szCs w:val="21"/>
        </w:rPr>
        <w:t>项目名称：</w:t>
      </w:r>
    </w:p>
    <w:p w14:paraId="6BA1529F">
      <w:pPr>
        <w:pStyle w:val="10"/>
        <w:spacing w:line="347" w:lineRule="auto"/>
        <w:rPr>
          <w:rFonts w:hint="eastAsia" w:asciiTheme="minorEastAsia" w:hAnsiTheme="minorEastAsia" w:eastAsiaTheme="minorEastAsia" w:cstheme="minorEastAsia"/>
          <w:color w:val="auto"/>
        </w:rPr>
      </w:pPr>
    </w:p>
    <w:p w14:paraId="4C5482F9">
      <w:pPr>
        <w:spacing w:before="78" w:line="221" w:lineRule="auto"/>
        <w:ind w:left="26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rPr>
        <w:drawing>
          <wp:anchor distT="0" distB="0" distL="0" distR="0" simplePos="0" relativeHeight="251660288" behindDoc="0" locked="0" layoutInCell="1" allowOverlap="1">
            <wp:simplePos x="0" y="0"/>
            <wp:positionH relativeFrom="column">
              <wp:posOffset>942975</wp:posOffset>
            </wp:positionH>
            <wp:positionV relativeFrom="paragraph">
              <wp:posOffset>194310</wp:posOffset>
            </wp:positionV>
            <wp:extent cx="1295400" cy="762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66"/>
                    <a:stretch>
                      <a:fillRect/>
                    </a:stretch>
                  </pic:blipFill>
                  <pic:spPr>
                    <a:xfrm>
                      <a:off x="0" y="0"/>
                      <a:ext cx="1295411" cy="7619"/>
                    </a:xfrm>
                    <a:prstGeom prst="rect">
                      <a:avLst/>
                    </a:prstGeom>
                  </pic:spPr>
                </pic:pic>
              </a:graphicData>
            </a:graphic>
          </wp:anchor>
        </w:drawing>
      </w:r>
      <w:r>
        <w:rPr>
          <w:rFonts w:hint="eastAsia" w:asciiTheme="minorEastAsia" w:hAnsiTheme="minorEastAsia" w:eastAsiaTheme="minorEastAsia" w:cstheme="minorEastAsia"/>
          <w:color w:val="auto"/>
          <w:spacing w:val="-2"/>
          <w:sz w:val="24"/>
          <w:szCs w:val="24"/>
        </w:rPr>
        <w:t>项目编号：</w:t>
      </w:r>
    </w:p>
    <w:p w14:paraId="6CFA90E3">
      <w:pPr>
        <w:pStyle w:val="10"/>
        <w:spacing w:line="252" w:lineRule="auto"/>
        <w:rPr>
          <w:rFonts w:hint="eastAsia" w:asciiTheme="minorEastAsia" w:hAnsiTheme="minorEastAsia" w:eastAsiaTheme="minorEastAsia" w:cstheme="minorEastAsia"/>
          <w:color w:val="auto"/>
        </w:rPr>
      </w:pPr>
    </w:p>
    <w:p w14:paraId="7049C49E">
      <w:pPr>
        <w:spacing w:before="79" w:line="213" w:lineRule="auto"/>
        <w:ind w:left="26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所投分标(此处有分标时填写具体分标号，无分标时填写“无”):</w:t>
      </w:r>
      <w:r>
        <w:rPr>
          <w:rFonts w:hint="eastAsia" w:asciiTheme="minorEastAsia" w:hAnsiTheme="minorEastAsia" w:eastAsiaTheme="minorEastAsia" w:cstheme="minorEastAsia"/>
          <w:color w:val="auto"/>
          <w:spacing w:val="-32"/>
          <w:sz w:val="24"/>
          <w:szCs w:val="24"/>
        </w:rPr>
        <w:t xml:space="preserve"> </w:t>
      </w:r>
      <w:r>
        <w:rPr>
          <w:rFonts w:hint="eastAsia" w:asciiTheme="minorEastAsia" w:hAnsiTheme="minorEastAsia" w:eastAsiaTheme="minorEastAsia" w:cstheme="minorEastAsia"/>
          <w:color w:val="auto"/>
          <w:sz w:val="24"/>
          <w:szCs w:val="24"/>
          <w:u w:val="single" w:color="auto"/>
        </w:rPr>
        <w:t xml:space="preserve">            </w:t>
      </w:r>
    </w:p>
    <w:p w14:paraId="0B85F086">
      <w:pPr>
        <w:spacing w:before="49"/>
        <w:rPr>
          <w:rFonts w:hint="eastAsia" w:asciiTheme="minorEastAsia" w:hAnsiTheme="minorEastAsia" w:eastAsiaTheme="minorEastAsia" w:cstheme="minorEastAsia"/>
          <w:color w:val="auto"/>
        </w:rPr>
      </w:pPr>
    </w:p>
    <w:tbl>
      <w:tblPr>
        <w:tblStyle w:val="20"/>
        <w:tblW w:w="101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4"/>
        <w:gridCol w:w="1249"/>
        <w:gridCol w:w="3426"/>
        <w:gridCol w:w="3476"/>
        <w:gridCol w:w="1164"/>
      </w:tblGrid>
      <w:tr w14:paraId="7715A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1" w:hRule="atLeast"/>
        </w:trPr>
        <w:tc>
          <w:tcPr>
            <w:tcW w:w="864" w:type="dxa"/>
            <w:vAlign w:val="top"/>
          </w:tcPr>
          <w:p w14:paraId="5AA2E1DA">
            <w:pPr>
              <w:spacing w:line="341" w:lineRule="auto"/>
              <w:rPr>
                <w:rFonts w:hint="eastAsia" w:asciiTheme="minorEastAsia" w:hAnsiTheme="minorEastAsia" w:eastAsiaTheme="minorEastAsia" w:cstheme="minorEastAsia"/>
                <w:color w:val="auto"/>
                <w:sz w:val="21"/>
              </w:rPr>
            </w:pPr>
          </w:p>
          <w:p w14:paraId="3330DDB4">
            <w:pPr>
              <w:pStyle w:val="21"/>
              <w:spacing w:before="71" w:line="220" w:lineRule="auto"/>
              <w:ind w:left="8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项号</w:t>
            </w:r>
          </w:p>
        </w:tc>
        <w:tc>
          <w:tcPr>
            <w:tcW w:w="1249" w:type="dxa"/>
            <w:vAlign w:val="top"/>
          </w:tcPr>
          <w:p w14:paraId="0758047C">
            <w:pPr>
              <w:spacing w:line="341" w:lineRule="auto"/>
              <w:rPr>
                <w:rFonts w:hint="eastAsia" w:asciiTheme="minorEastAsia" w:hAnsiTheme="minorEastAsia" w:eastAsiaTheme="minorEastAsia" w:cstheme="minorEastAsia"/>
                <w:color w:val="auto"/>
                <w:sz w:val="21"/>
              </w:rPr>
            </w:pPr>
          </w:p>
          <w:p w14:paraId="23EAF690">
            <w:pPr>
              <w:pStyle w:val="21"/>
              <w:spacing w:before="71" w:line="220" w:lineRule="auto"/>
              <w:ind w:left="1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标的名称</w:t>
            </w:r>
          </w:p>
        </w:tc>
        <w:tc>
          <w:tcPr>
            <w:tcW w:w="3426" w:type="dxa"/>
            <w:vAlign w:val="top"/>
          </w:tcPr>
          <w:p w14:paraId="6496D086">
            <w:pPr>
              <w:spacing w:line="339" w:lineRule="auto"/>
              <w:rPr>
                <w:rFonts w:hint="eastAsia" w:asciiTheme="minorEastAsia" w:hAnsiTheme="minorEastAsia" w:eastAsiaTheme="minorEastAsia" w:cstheme="minorEastAsia"/>
                <w:color w:val="auto"/>
                <w:sz w:val="21"/>
              </w:rPr>
            </w:pPr>
          </w:p>
          <w:p w14:paraId="64A230B4">
            <w:pPr>
              <w:pStyle w:val="21"/>
              <w:spacing w:before="71" w:line="219" w:lineRule="auto"/>
              <w:ind w:left="22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招标文件采购需求中的服务内容</w:t>
            </w:r>
          </w:p>
        </w:tc>
        <w:tc>
          <w:tcPr>
            <w:tcW w:w="3476" w:type="dxa"/>
            <w:vAlign w:val="top"/>
          </w:tcPr>
          <w:p w14:paraId="6722576B">
            <w:pPr>
              <w:spacing w:line="340" w:lineRule="auto"/>
              <w:rPr>
                <w:rFonts w:hint="eastAsia" w:asciiTheme="minorEastAsia" w:hAnsiTheme="minorEastAsia" w:eastAsiaTheme="minorEastAsia" w:cstheme="minorEastAsia"/>
                <w:color w:val="auto"/>
                <w:sz w:val="21"/>
              </w:rPr>
            </w:pPr>
          </w:p>
          <w:p w14:paraId="7A6BE0AD">
            <w:pPr>
              <w:pStyle w:val="21"/>
              <w:spacing w:before="72" w:line="219" w:lineRule="auto"/>
              <w:ind w:left="55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rPr>
              <w:t>投标文件响应的服务内容</w:t>
            </w:r>
          </w:p>
        </w:tc>
        <w:tc>
          <w:tcPr>
            <w:tcW w:w="1164" w:type="dxa"/>
            <w:vAlign w:val="top"/>
          </w:tcPr>
          <w:p w14:paraId="2EAC0115">
            <w:pPr>
              <w:spacing w:line="340" w:lineRule="auto"/>
              <w:rPr>
                <w:rFonts w:hint="eastAsia" w:asciiTheme="minorEastAsia" w:hAnsiTheme="minorEastAsia" w:eastAsiaTheme="minorEastAsia" w:cstheme="minorEastAsia"/>
                <w:color w:val="auto"/>
                <w:sz w:val="21"/>
              </w:rPr>
            </w:pPr>
          </w:p>
          <w:p w14:paraId="13E39BB3">
            <w:pPr>
              <w:pStyle w:val="21"/>
              <w:spacing w:before="72" w:line="219" w:lineRule="auto"/>
              <w:ind w:left="1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偏离说明</w:t>
            </w:r>
          </w:p>
        </w:tc>
      </w:tr>
      <w:tr w14:paraId="56644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864" w:type="dxa"/>
            <w:vAlign w:val="top"/>
          </w:tcPr>
          <w:p w14:paraId="55381BAE">
            <w:pPr>
              <w:pStyle w:val="21"/>
              <w:spacing w:before="254" w:line="241" w:lineRule="auto"/>
              <w:ind w:left="8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p>
        </w:tc>
        <w:tc>
          <w:tcPr>
            <w:tcW w:w="1249" w:type="dxa"/>
            <w:vAlign w:val="top"/>
          </w:tcPr>
          <w:p w14:paraId="61D2E627">
            <w:pPr>
              <w:rPr>
                <w:rFonts w:hint="eastAsia" w:asciiTheme="minorEastAsia" w:hAnsiTheme="minorEastAsia" w:eastAsiaTheme="minorEastAsia" w:cstheme="minorEastAsia"/>
                <w:color w:val="auto"/>
                <w:sz w:val="21"/>
              </w:rPr>
            </w:pPr>
          </w:p>
        </w:tc>
        <w:tc>
          <w:tcPr>
            <w:tcW w:w="3426" w:type="dxa"/>
            <w:vAlign w:val="top"/>
          </w:tcPr>
          <w:p w14:paraId="4A4C9E5E">
            <w:pPr>
              <w:rPr>
                <w:rFonts w:hint="eastAsia" w:asciiTheme="minorEastAsia" w:hAnsiTheme="minorEastAsia" w:eastAsiaTheme="minorEastAsia" w:cstheme="minorEastAsia"/>
                <w:color w:val="auto"/>
                <w:sz w:val="21"/>
              </w:rPr>
            </w:pPr>
          </w:p>
        </w:tc>
        <w:tc>
          <w:tcPr>
            <w:tcW w:w="3476" w:type="dxa"/>
            <w:vAlign w:val="top"/>
          </w:tcPr>
          <w:p w14:paraId="5288333A">
            <w:pPr>
              <w:rPr>
                <w:rFonts w:hint="eastAsia" w:asciiTheme="minorEastAsia" w:hAnsiTheme="minorEastAsia" w:eastAsiaTheme="minorEastAsia" w:cstheme="minorEastAsia"/>
                <w:color w:val="auto"/>
                <w:sz w:val="21"/>
              </w:rPr>
            </w:pPr>
          </w:p>
        </w:tc>
        <w:tc>
          <w:tcPr>
            <w:tcW w:w="1164" w:type="dxa"/>
            <w:vAlign w:val="top"/>
          </w:tcPr>
          <w:p w14:paraId="03687A11">
            <w:pPr>
              <w:rPr>
                <w:rFonts w:hint="eastAsia" w:asciiTheme="minorEastAsia" w:hAnsiTheme="minorEastAsia" w:eastAsiaTheme="minorEastAsia" w:cstheme="minorEastAsia"/>
                <w:color w:val="auto"/>
                <w:sz w:val="21"/>
              </w:rPr>
            </w:pPr>
          </w:p>
        </w:tc>
      </w:tr>
      <w:tr w14:paraId="534E9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864" w:type="dxa"/>
            <w:vAlign w:val="top"/>
          </w:tcPr>
          <w:p w14:paraId="5C671AD0">
            <w:pPr>
              <w:pStyle w:val="21"/>
              <w:spacing w:before="257" w:line="241" w:lineRule="auto"/>
              <w:ind w:left="8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w:t>
            </w:r>
          </w:p>
        </w:tc>
        <w:tc>
          <w:tcPr>
            <w:tcW w:w="1249" w:type="dxa"/>
            <w:vAlign w:val="top"/>
          </w:tcPr>
          <w:p w14:paraId="2697D947">
            <w:pPr>
              <w:rPr>
                <w:rFonts w:hint="eastAsia" w:asciiTheme="minorEastAsia" w:hAnsiTheme="minorEastAsia" w:eastAsiaTheme="minorEastAsia" w:cstheme="minorEastAsia"/>
                <w:color w:val="auto"/>
                <w:sz w:val="21"/>
              </w:rPr>
            </w:pPr>
          </w:p>
        </w:tc>
        <w:tc>
          <w:tcPr>
            <w:tcW w:w="3426" w:type="dxa"/>
            <w:vAlign w:val="top"/>
          </w:tcPr>
          <w:p w14:paraId="7FAF3794">
            <w:pPr>
              <w:rPr>
                <w:rFonts w:hint="eastAsia" w:asciiTheme="minorEastAsia" w:hAnsiTheme="minorEastAsia" w:eastAsiaTheme="minorEastAsia" w:cstheme="minorEastAsia"/>
                <w:color w:val="auto"/>
                <w:sz w:val="21"/>
              </w:rPr>
            </w:pPr>
          </w:p>
        </w:tc>
        <w:tc>
          <w:tcPr>
            <w:tcW w:w="3476" w:type="dxa"/>
            <w:vAlign w:val="top"/>
          </w:tcPr>
          <w:p w14:paraId="0BB3F9CE">
            <w:pPr>
              <w:rPr>
                <w:rFonts w:hint="eastAsia" w:asciiTheme="minorEastAsia" w:hAnsiTheme="minorEastAsia" w:eastAsiaTheme="minorEastAsia" w:cstheme="minorEastAsia"/>
                <w:color w:val="auto"/>
                <w:sz w:val="21"/>
              </w:rPr>
            </w:pPr>
          </w:p>
        </w:tc>
        <w:tc>
          <w:tcPr>
            <w:tcW w:w="1164" w:type="dxa"/>
            <w:vAlign w:val="top"/>
          </w:tcPr>
          <w:p w14:paraId="046774AF">
            <w:pPr>
              <w:rPr>
                <w:rFonts w:hint="eastAsia" w:asciiTheme="minorEastAsia" w:hAnsiTheme="minorEastAsia" w:eastAsiaTheme="minorEastAsia" w:cstheme="minorEastAsia"/>
                <w:color w:val="auto"/>
                <w:sz w:val="21"/>
              </w:rPr>
            </w:pPr>
          </w:p>
        </w:tc>
      </w:tr>
      <w:tr w14:paraId="439F3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864" w:type="dxa"/>
            <w:vAlign w:val="top"/>
          </w:tcPr>
          <w:p w14:paraId="36FA0645">
            <w:pPr>
              <w:spacing w:line="256" w:lineRule="auto"/>
              <w:rPr>
                <w:rFonts w:hint="eastAsia" w:asciiTheme="minorEastAsia" w:hAnsiTheme="minorEastAsia" w:eastAsiaTheme="minorEastAsia" w:cstheme="minorEastAsia"/>
                <w:color w:val="auto"/>
                <w:sz w:val="21"/>
              </w:rPr>
            </w:pPr>
          </w:p>
          <w:p w14:paraId="6A31D21C">
            <w:pPr>
              <w:pStyle w:val="21"/>
              <w:spacing w:before="72" w:line="303" w:lineRule="exact"/>
              <w:ind w:left="8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position w:val="1"/>
              </w:rPr>
              <w:t>·</w:t>
            </w:r>
          </w:p>
        </w:tc>
        <w:tc>
          <w:tcPr>
            <w:tcW w:w="1249" w:type="dxa"/>
            <w:vAlign w:val="top"/>
          </w:tcPr>
          <w:p w14:paraId="357382D7">
            <w:pPr>
              <w:rPr>
                <w:rFonts w:hint="eastAsia" w:asciiTheme="minorEastAsia" w:hAnsiTheme="minorEastAsia" w:eastAsiaTheme="minorEastAsia" w:cstheme="minorEastAsia"/>
                <w:color w:val="auto"/>
                <w:sz w:val="21"/>
              </w:rPr>
            </w:pPr>
          </w:p>
        </w:tc>
        <w:tc>
          <w:tcPr>
            <w:tcW w:w="3426" w:type="dxa"/>
            <w:vAlign w:val="top"/>
          </w:tcPr>
          <w:p w14:paraId="0206FC81">
            <w:pPr>
              <w:rPr>
                <w:rFonts w:hint="eastAsia" w:asciiTheme="minorEastAsia" w:hAnsiTheme="minorEastAsia" w:eastAsiaTheme="minorEastAsia" w:cstheme="minorEastAsia"/>
                <w:color w:val="auto"/>
                <w:sz w:val="21"/>
              </w:rPr>
            </w:pPr>
          </w:p>
        </w:tc>
        <w:tc>
          <w:tcPr>
            <w:tcW w:w="3476" w:type="dxa"/>
            <w:vAlign w:val="top"/>
          </w:tcPr>
          <w:p w14:paraId="6B7B38EA">
            <w:pPr>
              <w:rPr>
                <w:rFonts w:hint="eastAsia" w:asciiTheme="minorEastAsia" w:hAnsiTheme="minorEastAsia" w:eastAsiaTheme="minorEastAsia" w:cstheme="minorEastAsia"/>
                <w:color w:val="auto"/>
                <w:sz w:val="21"/>
              </w:rPr>
            </w:pPr>
          </w:p>
        </w:tc>
        <w:tc>
          <w:tcPr>
            <w:tcW w:w="1164" w:type="dxa"/>
            <w:vAlign w:val="top"/>
          </w:tcPr>
          <w:p w14:paraId="18E6ACA0">
            <w:pPr>
              <w:rPr>
                <w:rFonts w:hint="eastAsia" w:asciiTheme="minorEastAsia" w:hAnsiTheme="minorEastAsia" w:eastAsiaTheme="minorEastAsia" w:cstheme="minorEastAsia"/>
                <w:color w:val="auto"/>
                <w:sz w:val="21"/>
              </w:rPr>
            </w:pPr>
          </w:p>
        </w:tc>
      </w:tr>
    </w:tbl>
    <w:p w14:paraId="38BE9CE6">
      <w:pPr>
        <w:pStyle w:val="10"/>
        <w:spacing w:line="361" w:lineRule="auto"/>
        <w:rPr>
          <w:rFonts w:hint="eastAsia" w:asciiTheme="minorEastAsia" w:hAnsiTheme="minorEastAsia" w:eastAsiaTheme="minorEastAsia" w:cstheme="minorEastAsia"/>
          <w:color w:val="auto"/>
        </w:rPr>
      </w:pPr>
    </w:p>
    <w:p w14:paraId="54E66638">
      <w:pPr>
        <w:spacing w:before="69" w:line="222" w:lineRule="auto"/>
        <w:ind w:left="67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注</w:t>
      </w:r>
      <w:r>
        <w:rPr>
          <w:rFonts w:hint="eastAsia" w:asciiTheme="minorEastAsia" w:hAnsiTheme="minorEastAsia" w:eastAsiaTheme="minorEastAsia" w:cstheme="minorEastAsia"/>
          <w:color w:val="auto"/>
          <w:spacing w:val="-41"/>
          <w:sz w:val="21"/>
          <w:szCs w:val="21"/>
        </w:rPr>
        <w:t xml:space="preserve"> </w:t>
      </w:r>
      <w:r>
        <w:rPr>
          <w:rFonts w:hint="eastAsia" w:asciiTheme="minorEastAsia" w:hAnsiTheme="minorEastAsia" w:eastAsiaTheme="minorEastAsia" w:cstheme="minorEastAsia"/>
          <w:color w:val="auto"/>
          <w:spacing w:val="-6"/>
          <w:sz w:val="21"/>
          <w:szCs w:val="21"/>
        </w:rPr>
        <w:t>：</w:t>
      </w:r>
    </w:p>
    <w:p w14:paraId="2477A24C">
      <w:pPr>
        <w:spacing w:before="148" w:line="222" w:lineRule="auto"/>
        <w:ind w:left="72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1.表格内容均需按要求填写并加盖投标人公章。</w:t>
      </w:r>
    </w:p>
    <w:p w14:paraId="6E053240">
      <w:pPr>
        <w:spacing w:before="139" w:line="363" w:lineRule="auto"/>
        <w:ind w:left="265" w:right="271" w:firstLine="409"/>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5"/>
          <w:sz w:val="21"/>
          <w:szCs w:val="21"/>
        </w:rPr>
        <w:t>2.请根据所投服务内容，逐条对应本项目招标文件“第二章采购需求”</w:t>
      </w:r>
      <w:r>
        <w:rPr>
          <w:rFonts w:hint="eastAsia" w:asciiTheme="minorEastAsia" w:hAnsiTheme="minorEastAsia" w:eastAsiaTheme="minorEastAsia" w:cstheme="minorEastAsia"/>
          <w:color w:val="auto"/>
          <w:spacing w:val="4"/>
          <w:sz w:val="21"/>
          <w:szCs w:val="21"/>
        </w:rPr>
        <w:t>中“服务要求”的服务内容</w:t>
      </w:r>
      <w:r>
        <w:rPr>
          <w:rFonts w:hint="eastAsia" w:asciiTheme="minorEastAsia" w:hAnsiTheme="minorEastAsia" w:eastAsiaTheme="minorEastAsia" w:cstheme="minorEastAsia"/>
          <w:color w:val="auto"/>
          <w:sz w:val="21"/>
          <w:szCs w:val="21"/>
        </w:rPr>
        <w:t xml:space="preserve"> 作出明确响应，并作出偏离说明。“偏离说明”一栏应当选择“正偏离”或“负偏离”</w:t>
      </w:r>
      <w:r>
        <w:rPr>
          <w:rFonts w:hint="eastAsia" w:asciiTheme="minorEastAsia" w:hAnsiTheme="minorEastAsia" w:eastAsiaTheme="minorEastAsia" w:cstheme="minorEastAsia"/>
          <w:color w:val="auto"/>
          <w:spacing w:val="-1"/>
          <w:sz w:val="21"/>
          <w:szCs w:val="21"/>
        </w:rPr>
        <w:t>或“无偏离”进行</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5"/>
          <w:sz w:val="21"/>
          <w:szCs w:val="21"/>
        </w:rPr>
        <w:t>填写。</w:t>
      </w:r>
    </w:p>
    <w:p w14:paraId="7B5DFB56">
      <w:pPr>
        <w:spacing w:before="1" w:line="212" w:lineRule="auto"/>
        <w:ind w:left="67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3.当投标文件的服务内容低于招标文件要求时，投标人应当如实写明“负偏离”。</w:t>
      </w:r>
    </w:p>
    <w:p w14:paraId="2518A022">
      <w:pPr>
        <w:pStyle w:val="10"/>
        <w:spacing w:line="265" w:lineRule="auto"/>
        <w:rPr>
          <w:rFonts w:hint="eastAsia" w:asciiTheme="minorEastAsia" w:hAnsiTheme="minorEastAsia" w:eastAsiaTheme="minorEastAsia" w:cstheme="minorEastAsia"/>
          <w:color w:val="auto"/>
        </w:rPr>
      </w:pPr>
    </w:p>
    <w:p w14:paraId="3B83580C">
      <w:pPr>
        <w:pStyle w:val="10"/>
        <w:spacing w:line="266" w:lineRule="auto"/>
        <w:rPr>
          <w:rFonts w:hint="eastAsia" w:asciiTheme="minorEastAsia" w:hAnsiTheme="minorEastAsia" w:eastAsiaTheme="minorEastAsia" w:cstheme="minorEastAsia"/>
          <w:color w:val="auto"/>
        </w:rPr>
      </w:pPr>
    </w:p>
    <w:p w14:paraId="4862ADB0">
      <w:pPr>
        <w:pStyle w:val="10"/>
        <w:spacing w:line="266" w:lineRule="auto"/>
        <w:rPr>
          <w:rFonts w:hint="eastAsia" w:asciiTheme="minorEastAsia" w:hAnsiTheme="minorEastAsia" w:eastAsiaTheme="minorEastAsia" w:cstheme="minorEastAsia"/>
          <w:color w:val="auto"/>
        </w:rPr>
      </w:pPr>
    </w:p>
    <w:p w14:paraId="62E62D11">
      <w:pPr>
        <w:pStyle w:val="10"/>
        <w:spacing w:line="266" w:lineRule="auto"/>
        <w:rPr>
          <w:rFonts w:hint="eastAsia" w:asciiTheme="minorEastAsia" w:hAnsiTheme="minorEastAsia" w:eastAsiaTheme="minorEastAsia" w:cstheme="minorEastAsia"/>
          <w:color w:val="auto"/>
        </w:rPr>
      </w:pPr>
    </w:p>
    <w:p w14:paraId="1A2AC489">
      <w:pPr>
        <w:spacing w:before="79" w:line="222" w:lineRule="auto"/>
        <w:ind w:left="591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投标人名称(盖公章):</w:t>
      </w:r>
      <w:r>
        <w:rPr>
          <w:rFonts w:hint="eastAsia" w:asciiTheme="minorEastAsia" w:hAnsiTheme="minorEastAsia" w:eastAsiaTheme="minorEastAsia" w:cstheme="minorEastAsia"/>
          <w:color w:val="auto"/>
          <w:spacing w:val="-26"/>
          <w:sz w:val="24"/>
          <w:szCs w:val="24"/>
        </w:rPr>
        <w:t xml:space="preserve"> </w:t>
      </w:r>
      <w:r>
        <w:rPr>
          <w:rFonts w:hint="eastAsia" w:asciiTheme="minorEastAsia" w:hAnsiTheme="minorEastAsia" w:eastAsiaTheme="minorEastAsia" w:cstheme="minorEastAsia"/>
          <w:color w:val="auto"/>
          <w:sz w:val="24"/>
          <w:szCs w:val="24"/>
          <w:u w:val="single" w:color="auto"/>
        </w:rPr>
        <w:t xml:space="preserve">              </w:t>
      </w:r>
    </w:p>
    <w:p w14:paraId="0281EE0F">
      <w:pPr>
        <w:spacing w:before="202" w:line="223" w:lineRule="auto"/>
        <w:ind w:left="595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日期：</w:t>
      </w:r>
      <w:r>
        <w:rPr>
          <w:rFonts w:hint="eastAsia" w:asciiTheme="minorEastAsia" w:hAnsiTheme="minorEastAsia" w:eastAsiaTheme="minorEastAsia" w:cstheme="minorEastAsia"/>
          <w:color w:val="auto"/>
          <w:spacing w:val="40"/>
          <w:sz w:val="21"/>
          <w:szCs w:val="21"/>
        </w:rPr>
        <w:t xml:space="preserve">  </w:t>
      </w:r>
      <w:r>
        <w:rPr>
          <w:rFonts w:hint="eastAsia" w:asciiTheme="minorEastAsia" w:hAnsiTheme="minorEastAsia" w:eastAsiaTheme="minorEastAsia" w:cstheme="minorEastAsia"/>
          <w:color w:val="auto"/>
          <w:spacing w:val="-4"/>
          <w:sz w:val="21"/>
          <w:szCs w:val="21"/>
        </w:rPr>
        <w:t>年</w:t>
      </w:r>
      <w:r>
        <w:rPr>
          <w:rFonts w:hint="eastAsia" w:asciiTheme="minorEastAsia" w:hAnsiTheme="minorEastAsia" w:eastAsiaTheme="minorEastAsia" w:cstheme="minorEastAsia"/>
          <w:color w:val="auto"/>
          <w:spacing w:val="29"/>
          <w:sz w:val="21"/>
          <w:szCs w:val="21"/>
        </w:rPr>
        <w:t xml:space="preserve">  </w:t>
      </w:r>
      <w:r>
        <w:rPr>
          <w:rFonts w:hint="eastAsia" w:asciiTheme="minorEastAsia" w:hAnsiTheme="minorEastAsia" w:eastAsiaTheme="minorEastAsia" w:cstheme="minorEastAsia"/>
          <w:color w:val="auto"/>
          <w:spacing w:val="-4"/>
          <w:sz w:val="21"/>
          <w:szCs w:val="21"/>
        </w:rPr>
        <w:t>月</w:t>
      </w:r>
      <w:r>
        <w:rPr>
          <w:rFonts w:hint="eastAsia" w:asciiTheme="minorEastAsia" w:hAnsiTheme="minorEastAsia" w:eastAsiaTheme="minorEastAsia" w:cstheme="minorEastAsia"/>
          <w:color w:val="auto"/>
          <w:spacing w:val="6"/>
          <w:sz w:val="21"/>
          <w:szCs w:val="21"/>
        </w:rPr>
        <w:t xml:space="preserve">    </w:t>
      </w:r>
      <w:r>
        <w:rPr>
          <w:rFonts w:hint="eastAsia" w:asciiTheme="minorEastAsia" w:hAnsiTheme="minorEastAsia" w:eastAsiaTheme="minorEastAsia" w:cstheme="minorEastAsia"/>
          <w:color w:val="auto"/>
          <w:spacing w:val="-4"/>
          <w:sz w:val="21"/>
          <w:szCs w:val="21"/>
        </w:rPr>
        <w:t>日</w:t>
      </w:r>
    </w:p>
    <w:p w14:paraId="6BA7B6B3">
      <w:pPr>
        <w:spacing w:line="223" w:lineRule="auto"/>
        <w:rPr>
          <w:rFonts w:hint="eastAsia" w:asciiTheme="minorEastAsia" w:hAnsiTheme="minorEastAsia" w:eastAsiaTheme="minorEastAsia" w:cstheme="minorEastAsia"/>
          <w:color w:val="auto"/>
          <w:sz w:val="21"/>
          <w:szCs w:val="21"/>
        </w:rPr>
        <w:sectPr>
          <w:footerReference r:id="rId47" w:type="default"/>
          <w:pgSz w:w="11900" w:h="16830"/>
          <w:pgMar w:top="1116" w:right="865" w:bottom="991" w:left="845" w:header="0" w:footer="847" w:gutter="0"/>
          <w:cols w:space="720" w:num="1"/>
        </w:sectPr>
      </w:pPr>
    </w:p>
    <w:p w14:paraId="2B40FF08">
      <w:pPr>
        <w:spacing w:before="55" w:line="219" w:lineRule="auto"/>
        <w:ind w:left="328"/>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4"/>
          <w:sz w:val="28"/>
          <w:szCs w:val="28"/>
        </w:rPr>
        <w:t>4.</w:t>
      </w:r>
      <w:r>
        <w:rPr>
          <w:rFonts w:hint="eastAsia" w:asciiTheme="minorEastAsia" w:hAnsiTheme="minorEastAsia" w:eastAsiaTheme="minorEastAsia" w:cstheme="minorEastAsia"/>
          <w:color w:val="auto"/>
          <w:spacing w:val="-4"/>
          <w:sz w:val="28"/>
          <w:szCs w:val="28"/>
        </w:rPr>
        <w:t xml:space="preserve"> </w:t>
      </w:r>
      <w:r>
        <w:rPr>
          <w:rFonts w:hint="eastAsia" w:asciiTheme="minorEastAsia" w:hAnsiTheme="minorEastAsia" w:eastAsiaTheme="minorEastAsia" w:cstheme="minorEastAsia"/>
          <w:b/>
          <w:bCs/>
          <w:color w:val="auto"/>
          <w:spacing w:val="-4"/>
          <w:sz w:val="28"/>
          <w:szCs w:val="28"/>
        </w:rPr>
        <w:t>售后服务机构情况表、售后服务人员情况表的格式：</w:t>
      </w:r>
    </w:p>
    <w:p w14:paraId="40C6E0A4">
      <w:pPr>
        <w:pStyle w:val="10"/>
        <w:spacing w:line="278" w:lineRule="auto"/>
        <w:rPr>
          <w:rFonts w:hint="eastAsia" w:asciiTheme="minorEastAsia" w:hAnsiTheme="minorEastAsia" w:eastAsiaTheme="minorEastAsia" w:cstheme="minorEastAsia"/>
          <w:color w:val="auto"/>
        </w:rPr>
      </w:pPr>
    </w:p>
    <w:p w14:paraId="477F1054">
      <w:pPr>
        <w:pStyle w:val="10"/>
        <w:spacing w:line="278" w:lineRule="auto"/>
        <w:rPr>
          <w:rFonts w:hint="eastAsia" w:asciiTheme="minorEastAsia" w:hAnsiTheme="minorEastAsia" w:eastAsiaTheme="minorEastAsia" w:cstheme="minorEastAsia"/>
          <w:color w:val="auto"/>
        </w:rPr>
      </w:pPr>
    </w:p>
    <w:p w14:paraId="675F2FDA">
      <w:pPr>
        <w:spacing w:before="75" w:line="221" w:lineRule="auto"/>
        <w:ind w:left="188"/>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b/>
          <w:bCs/>
          <w:color w:val="auto"/>
          <w:spacing w:val="14"/>
          <w:sz w:val="23"/>
          <w:szCs w:val="23"/>
        </w:rPr>
        <w:t>附表A:售后服务机构情况表</w:t>
      </w:r>
      <w:r>
        <w:rPr>
          <w:rFonts w:hint="eastAsia" w:asciiTheme="minorEastAsia" w:hAnsiTheme="minorEastAsia" w:eastAsiaTheme="minorEastAsia" w:cstheme="minorEastAsia"/>
          <w:color w:val="auto"/>
          <w:spacing w:val="14"/>
          <w:sz w:val="23"/>
          <w:szCs w:val="23"/>
        </w:rPr>
        <w:t>(如有要求，参照此格式</w:t>
      </w:r>
      <w:r>
        <w:rPr>
          <w:rFonts w:hint="eastAsia" w:asciiTheme="minorEastAsia" w:hAnsiTheme="minorEastAsia" w:eastAsiaTheme="minorEastAsia" w:cstheme="minorEastAsia"/>
          <w:color w:val="auto"/>
          <w:spacing w:val="13"/>
          <w:sz w:val="23"/>
          <w:szCs w:val="23"/>
        </w:rPr>
        <w:t>自制)</w:t>
      </w:r>
    </w:p>
    <w:p w14:paraId="48EEA872">
      <w:pPr>
        <w:spacing w:line="107" w:lineRule="exact"/>
        <w:rPr>
          <w:rFonts w:hint="eastAsia" w:asciiTheme="minorEastAsia" w:hAnsiTheme="minorEastAsia" w:eastAsiaTheme="minorEastAsia" w:cstheme="minorEastAsia"/>
          <w:color w:val="auto"/>
        </w:rPr>
      </w:pPr>
    </w:p>
    <w:tbl>
      <w:tblPr>
        <w:tblStyle w:val="20"/>
        <w:tblW w:w="8749" w:type="dxa"/>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2108"/>
        <w:gridCol w:w="1328"/>
        <w:gridCol w:w="1268"/>
        <w:gridCol w:w="1468"/>
        <w:gridCol w:w="1753"/>
      </w:tblGrid>
      <w:tr w14:paraId="19ADD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824" w:type="dxa"/>
            <w:vAlign w:val="top"/>
          </w:tcPr>
          <w:p w14:paraId="187A6588">
            <w:pPr>
              <w:spacing w:line="273" w:lineRule="auto"/>
              <w:rPr>
                <w:rFonts w:hint="eastAsia" w:asciiTheme="minorEastAsia" w:hAnsiTheme="minorEastAsia" w:eastAsiaTheme="minorEastAsia" w:cstheme="minorEastAsia"/>
                <w:color w:val="auto"/>
                <w:sz w:val="21"/>
              </w:rPr>
            </w:pPr>
          </w:p>
          <w:p w14:paraId="04B6CC04">
            <w:pPr>
              <w:pStyle w:val="21"/>
              <w:spacing w:before="78" w:line="221" w:lineRule="auto"/>
              <w:ind w:left="15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5"/>
                <w:sz w:val="24"/>
                <w:szCs w:val="24"/>
              </w:rPr>
              <w:t>序号</w:t>
            </w:r>
          </w:p>
        </w:tc>
        <w:tc>
          <w:tcPr>
            <w:tcW w:w="2108" w:type="dxa"/>
            <w:vAlign w:val="top"/>
          </w:tcPr>
          <w:p w14:paraId="40F2E8BA">
            <w:pPr>
              <w:spacing w:line="270" w:lineRule="auto"/>
              <w:rPr>
                <w:rFonts w:hint="eastAsia" w:asciiTheme="minorEastAsia" w:hAnsiTheme="minorEastAsia" w:eastAsiaTheme="minorEastAsia" w:cstheme="minorEastAsia"/>
                <w:color w:val="auto"/>
                <w:sz w:val="21"/>
              </w:rPr>
            </w:pPr>
          </w:p>
          <w:p w14:paraId="5C5B4AE8">
            <w:pPr>
              <w:pStyle w:val="21"/>
              <w:spacing w:before="78" w:line="219" w:lineRule="auto"/>
              <w:ind w:left="59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5"/>
                <w:sz w:val="24"/>
                <w:szCs w:val="24"/>
              </w:rPr>
              <w:t>机构名称</w:t>
            </w:r>
          </w:p>
        </w:tc>
        <w:tc>
          <w:tcPr>
            <w:tcW w:w="1328" w:type="dxa"/>
            <w:vAlign w:val="top"/>
          </w:tcPr>
          <w:p w14:paraId="3FAD2930">
            <w:pPr>
              <w:spacing w:line="270" w:lineRule="auto"/>
              <w:rPr>
                <w:rFonts w:hint="eastAsia" w:asciiTheme="minorEastAsia" w:hAnsiTheme="minorEastAsia" w:eastAsiaTheme="minorEastAsia" w:cstheme="minorEastAsia"/>
                <w:color w:val="auto"/>
                <w:sz w:val="21"/>
              </w:rPr>
            </w:pPr>
          </w:p>
          <w:p w14:paraId="7958515F">
            <w:pPr>
              <w:pStyle w:val="21"/>
              <w:spacing w:before="78" w:line="219" w:lineRule="auto"/>
              <w:ind w:left="18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2"/>
                <w:sz w:val="24"/>
                <w:szCs w:val="24"/>
              </w:rPr>
              <w:t>机构性质</w:t>
            </w:r>
          </w:p>
        </w:tc>
        <w:tc>
          <w:tcPr>
            <w:tcW w:w="1268" w:type="dxa"/>
            <w:vAlign w:val="top"/>
          </w:tcPr>
          <w:p w14:paraId="1B19B3E7">
            <w:pPr>
              <w:spacing w:line="273" w:lineRule="auto"/>
              <w:rPr>
                <w:rFonts w:hint="eastAsia" w:asciiTheme="minorEastAsia" w:hAnsiTheme="minorEastAsia" w:eastAsiaTheme="minorEastAsia" w:cstheme="minorEastAsia"/>
                <w:color w:val="auto"/>
                <w:sz w:val="21"/>
              </w:rPr>
            </w:pPr>
          </w:p>
          <w:p w14:paraId="6759C276">
            <w:pPr>
              <w:pStyle w:val="21"/>
              <w:spacing w:before="78" w:line="221" w:lineRule="auto"/>
              <w:ind w:left="15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5"/>
                <w:sz w:val="24"/>
                <w:szCs w:val="24"/>
              </w:rPr>
              <w:t>注册地址</w:t>
            </w:r>
          </w:p>
        </w:tc>
        <w:tc>
          <w:tcPr>
            <w:tcW w:w="1468" w:type="dxa"/>
            <w:vAlign w:val="top"/>
          </w:tcPr>
          <w:p w14:paraId="4142ABE0">
            <w:pPr>
              <w:pStyle w:val="21"/>
              <w:spacing w:before="41" w:line="219" w:lineRule="auto"/>
              <w:ind w:left="13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5"/>
                <w:sz w:val="24"/>
                <w:szCs w:val="24"/>
              </w:rPr>
              <w:t>服务技术人</w:t>
            </w:r>
          </w:p>
          <w:p w14:paraId="5B0E94BD">
            <w:pPr>
              <w:pStyle w:val="21"/>
              <w:spacing w:before="175" w:line="219" w:lineRule="auto"/>
              <w:ind w:left="37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2"/>
                <w:sz w:val="24"/>
                <w:szCs w:val="24"/>
              </w:rPr>
              <w:t>员数量</w:t>
            </w:r>
          </w:p>
        </w:tc>
        <w:tc>
          <w:tcPr>
            <w:tcW w:w="1753" w:type="dxa"/>
            <w:vAlign w:val="top"/>
          </w:tcPr>
          <w:p w14:paraId="5665F881">
            <w:pPr>
              <w:spacing w:line="275" w:lineRule="auto"/>
              <w:rPr>
                <w:rFonts w:hint="eastAsia" w:asciiTheme="minorEastAsia" w:hAnsiTheme="minorEastAsia" w:eastAsiaTheme="minorEastAsia" w:cstheme="minorEastAsia"/>
                <w:color w:val="auto"/>
                <w:sz w:val="21"/>
              </w:rPr>
            </w:pPr>
          </w:p>
          <w:p w14:paraId="0EC77FF9">
            <w:pPr>
              <w:pStyle w:val="21"/>
              <w:spacing w:before="78" w:line="221" w:lineRule="auto"/>
              <w:ind w:left="40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5"/>
                <w:sz w:val="24"/>
                <w:szCs w:val="24"/>
              </w:rPr>
              <w:t>联系电话</w:t>
            </w:r>
          </w:p>
        </w:tc>
      </w:tr>
      <w:tr w14:paraId="34D79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824" w:type="dxa"/>
            <w:vAlign w:val="top"/>
          </w:tcPr>
          <w:p w14:paraId="18797466">
            <w:pPr>
              <w:rPr>
                <w:rFonts w:hint="eastAsia" w:asciiTheme="minorEastAsia" w:hAnsiTheme="minorEastAsia" w:eastAsiaTheme="minorEastAsia" w:cstheme="minorEastAsia"/>
                <w:color w:val="auto"/>
                <w:sz w:val="21"/>
              </w:rPr>
            </w:pPr>
          </w:p>
        </w:tc>
        <w:tc>
          <w:tcPr>
            <w:tcW w:w="2108" w:type="dxa"/>
            <w:vAlign w:val="top"/>
          </w:tcPr>
          <w:p w14:paraId="32C522E5">
            <w:pPr>
              <w:rPr>
                <w:rFonts w:hint="eastAsia" w:asciiTheme="minorEastAsia" w:hAnsiTheme="minorEastAsia" w:eastAsiaTheme="minorEastAsia" w:cstheme="minorEastAsia"/>
                <w:color w:val="auto"/>
                <w:sz w:val="21"/>
              </w:rPr>
            </w:pPr>
          </w:p>
        </w:tc>
        <w:tc>
          <w:tcPr>
            <w:tcW w:w="1328" w:type="dxa"/>
            <w:vAlign w:val="top"/>
          </w:tcPr>
          <w:p w14:paraId="787B5F99">
            <w:pPr>
              <w:rPr>
                <w:rFonts w:hint="eastAsia" w:asciiTheme="minorEastAsia" w:hAnsiTheme="minorEastAsia" w:eastAsiaTheme="minorEastAsia" w:cstheme="minorEastAsia"/>
                <w:color w:val="auto"/>
                <w:sz w:val="21"/>
              </w:rPr>
            </w:pPr>
          </w:p>
        </w:tc>
        <w:tc>
          <w:tcPr>
            <w:tcW w:w="1268" w:type="dxa"/>
            <w:vAlign w:val="top"/>
          </w:tcPr>
          <w:p w14:paraId="59ABEEE7">
            <w:pPr>
              <w:rPr>
                <w:rFonts w:hint="eastAsia" w:asciiTheme="minorEastAsia" w:hAnsiTheme="minorEastAsia" w:eastAsiaTheme="minorEastAsia" w:cstheme="minorEastAsia"/>
                <w:color w:val="auto"/>
                <w:sz w:val="21"/>
              </w:rPr>
            </w:pPr>
          </w:p>
        </w:tc>
        <w:tc>
          <w:tcPr>
            <w:tcW w:w="1468" w:type="dxa"/>
            <w:vAlign w:val="top"/>
          </w:tcPr>
          <w:p w14:paraId="7BAD57F2">
            <w:pPr>
              <w:rPr>
                <w:rFonts w:hint="eastAsia" w:asciiTheme="minorEastAsia" w:hAnsiTheme="minorEastAsia" w:eastAsiaTheme="minorEastAsia" w:cstheme="minorEastAsia"/>
                <w:color w:val="auto"/>
                <w:sz w:val="21"/>
              </w:rPr>
            </w:pPr>
          </w:p>
        </w:tc>
        <w:tc>
          <w:tcPr>
            <w:tcW w:w="1753" w:type="dxa"/>
            <w:vAlign w:val="top"/>
          </w:tcPr>
          <w:p w14:paraId="682DAAF3">
            <w:pPr>
              <w:rPr>
                <w:rFonts w:hint="eastAsia" w:asciiTheme="minorEastAsia" w:hAnsiTheme="minorEastAsia" w:eastAsiaTheme="minorEastAsia" w:cstheme="minorEastAsia"/>
                <w:color w:val="auto"/>
                <w:sz w:val="21"/>
              </w:rPr>
            </w:pPr>
          </w:p>
        </w:tc>
      </w:tr>
      <w:tr w14:paraId="7B1C1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824" w:type="dxa"/>
            <w:vAlign w:val="top"/>
          </w:tcPr>
          <w:p w14:paraId="7240DAFC">
            <w:pPr>
              <w:rPr>
                <w:rFonts w:hint="eastAsia" w:asciiTheme="minorEastAsia" w:hAnsiTheme="minorEastAsia" w:eastAsiaTheme="minorEastAsia" w:cstheme="minorEastAsia"/>
                <w:color w:val="auto"/>
                <w:sz w:val="21"/>
              </w:rPr>
            </w:pPr>
          </w:p>
        </w:tc>
        <w:tc>
          <w:tcPr>
            <w:tcW w:w="2108" w:type="dxa"/>
            <w:vAlign w:val="top"/>
          </w:tcPr>
          <w:p w14:paraId="511A802E">
            <w:pPr>
              <w:rPr>
                <w:rFonts w:hint="eastAsia" w:asciiTheme="minorEastAsia" w:hAnsiTheme="minorEastAsia" w:eastAsiaTheme="minorEastAsia" w:cstheme="minorEastAsia"/>
                <w:color w:val="auto"/>
                <w:sz w:val="21"/>
              </w:rPr>
            </w:pPr>
          </w:p>
        </w:tc>
        <w:tc>
          <w:tcPr>
            <w:tcW w:w="1328" w:type="dxa"/>
            <w:vAlign w:val="top"/>
          </w:tcPr>
          <w:p w14:paraId="18FB01B1">
            <w:pPr>
              <w:rPr>
                <w:rFonts w:hint="eastAsia" w:asciiTheme="minorEastAsia" w:hAnsiTheme="minorEastAsia" w:eastAsiaTheme="minorEastAsia" w:cstheme="minorEastAsia"/>
                <w:color w:val="auto"/>
                <w:sz w:val="21"/>
              </w:rPr>
            </w:pPr>
          </w:p>
        </w:tc>
        <w:tc>
          <w:tcPr>
            <w:tcW w:w="1268" w:type="dxa"/>
            <w:vAlign w:val="top"/>
          </w:tcPr>
          <w:p w14:paraId="3CFE0EEF">
            <w:pPr>
              <w:rPr>
                <w:rFonts w:hint="eastAsia" w:asciiTheme="minorEastAsia" w:hAnsiTheme="minorEastAsia" w:eastAsiaTheme="minorEastAsia" w:cstheme="minorEastAsia"/>
                <w:color w:val="auto"/>
                <w:sz w:val="21"/>
              </w:rPr>
            </w:pPr>
          </w:p>
        </w:tc>
        <w:tc>
          <w:tcPr>
            <w:tcW w:w="1468" w:type="dxa"/>
            <w:vAlign w:val="top"/>
          </w:tcPr>
          <w:p w14:paraId="5630821E">
            <w:pPr>
              <w:rPr>
                <w:rFonts w:hint="eastAsia" w:asciiTheme="minorEastAsia" w:hAnsiTheme="minorEastAsia" w:eastAsiaTheme="minorEastAsia" w:cstheme="minorEastAsia"/>
                <w:color w:val="auto"/>
                <w:sz w:val="21"/>
              </w:rPr>
            </w:pPr>
          </w:p>
        </w:tc>
        <w:tc>
          <w:tcPr>
            <w:tcW w:w="1753" w:type="dxa"/>
            <w:vAlign w:val="top"/>
          </w:tcPr>
          <w:p w14:paraId="13EC4042">
            <w:pPr>
              <w:rPr>
                <w:rFonts w:hint="eastAsia" w:asciiTheme="minorEastAsia" w:hAnsiTheme="minorEastAsia" w:eastAsiaTheme="minorEastAsia" w:cstheme="minorEastAsia"/>
                <w:color w:val="auto"/>
                <w:sz w:val="21"/>
              </w:rPr>
            </w:pPr>
          </w:p>
        </w:tc>
      </w:tr>
      <w:tr w14:paraId="6D5A1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24" w:type="dxa"/>
            <w:vAlign w:val="top"/>
          </w:tcPr>
          <w:p w14:paraId="1704D81C">
            <w:pPr>
              <w:rPr>
                <w:rFonts w:hint="eastAsia" w:asciiTheme="minorEastAsia" w:hAnsiTheme="minorEastAsia" w:eastAsiaTheme="minorEastAsia" w:cstheme="minorEastAsia"/>
                <w:color w:val="auto"/>
                <w:sz w:val="21"/>
              </w:rPr>
            </w:pPr>
          </w:p>
        </w:tc>
        <w:tc>
          <w:tcPr>
            <w:tcW w:w="2108" w:type="dxa"/>
            <w:vAlign w:val="top"/>
          </w:tcPr>
          <w:p w14:paraId="505957DB">
            <w:pPr>
              <w:rPr>
                <w:rFonts w:hint="eastAsia" w:asciiTheme="minorEastAsia" w:hAnsiTheme="minorEastAsia" w:eastAsiaTheme="minorEastAsia" w:cstheme="minorEastAsia"/>
                <w:color w:val="auto"/>
                <w:sz w:val="21"/>
              </w:rPr>
            </w:pPr>
          </w:p>
        </w:tc>
        <w:tc>
          <w:tcPr>
            <w:tcW w:w="1328" w:type="dxa"/>
            <w:vAlign w:val="top"/>
          </w:tcPr>
          <w:p w14:paraId="397099C8">
            <w:pPr>
              <w:rPr>
                <w:rFonts w:hint="eastAsia" w:asciiTheme="minorEastAsia" w:hAnsiTheme="minorEastAsia" w:eastAsiaTheme="minorEastAsia" w:cstheme="minorEastAsia"/>
                <w:color w:val="auto"/>
                <w:sz w:val="21"/>
              </w:rPr>
            </w:pPr>
          </w:p>
        </w:tc>
        <w:tc>
          <w:tcPr>
            <w:tcW w:w="1268" w:type="dxa"/>
            <w:vAlign w:val="top"/>
          </w:tcPr>
          <w:p w14:paraId="4B95F347">
            <w:pPr>
              <w:rPr>
                <w:rFonts w:hint="eastAsia" w:asciiTheme="minorEastAsia" w:hAnsiTheme="minorEastAsia" w:eastAsiaTheme="minorEastAsia" w:cstheme="minorEastAsia"/>
                <w:color w:val="auto"/>
                <w:sz w:val="21"/>
              </w:rPr>
            </w:pPr>
          </w:p>
        </w:tc>
        <w:tc>
          <w:tcPr>
            <w:tcW w:w="1468" w:type="dxa"/>
            <w:vAlign w:val="top"/>
          </w:tcPr>
          <w:p w14:paraId="2C84A4D7">
            <w:pPr>
              <w:rPr>
                <w:rFonts w:hint="eastAsia" w:asciiTheme="minorEastAsia" w:hAnsiTheme="minorEastAsia" w:eastAsiaTheme="minorEastAsia" w:cstheme="minorEastAsia"/>
                <w:color w:val="auto"/>
                <w:sz w:val="21"/>
              </w:rPr>
            </w:pPr>
          </w:p>
        </w:tc>
        <w:tc>
          <w:tcPr>
            <w:tcW w:w="1753" w:type="dxa"/>
            <w:vAlign w:val="top"/>
          </w:tcPr>
          <w:p w14:paraId="1C45589A">
            <w:pPr>
              <w:rPr>
                <w:rFonts w:hint="eastAsia" w:asciiTheme="minorEastAsia" w:hAnsiTheme="minorEastAsia" w:eastAsiaTheme="minorEastAsia" w:cstheme="minorEastAsia"/>
                <w:color w:val="auto"/>
                <w:sz w:val="21"/>
              </w:rPr>
            </w:pPr>
          </w:p>
        </w:tc>
      </w:tr>
    </w:tbl>
    <w:p w14:paraId="03B0FB1C">
      <w:pPr>
        <w:spacing w:before="49" w:line="398" w:lineRule="auto"/>
        <w:ind w:left="188" w:right="159" w:firstLine="20"/>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b/>
          <w:bCs/>
          <w:color w:val="auto"/>
          <w:spacing w:val="-12"/>
          <w:sz w:val="25"/>
          <w:szCs w:val="25"/>
        </w:rPr>
        <w:t>注：关于项目涉及的所有售后服务机构均在本表注明，包括投标人本单位和符合条件的第三</w:t>
      </w:r>
      <w:r>
        <w:rPr>
          <w:rFonts w:hint="eastAsia" w:asciiTheme="minorEastAsia" w:hAnsiTheme="minorEastAsia" w:eastAsiaTheme="minorEastAsia" w:cstheme="minorEastAsia"/>
          <w:color w:val="auto"/>
          <w:spacing w:val="16"/>
          <w:sz w:val="25"/>
          <w:szCs w:val="25"/>
        </w:rPr>
        <w:t xml:space="preserve"> </w:t>
      </w:r>
      <w:r>
        <w:rPr>
          <w:rFonts w:hint="eastAsia" w:asciiTheme="minorEastAsia" w:hAnsiTheme="minorEastAsia" w:eastAsiaTheme="minorEastAsia" w:cstheme="minorEastAsia"/>
          <w:b/>
          <w:bCs/>
          <w:color w:val="auto"/>
          <w:spacing w:val="3"/>
          <w:sz w:val="23"/>
          <w:szCs w:val="23"/>
        </w:rPr>
        <w:t>方服务机构；</w:t>
      </w:r>
    </w:p>
    <w:p w14:paraId="3988B56B">
      <w:pPr>
        <w:pStyle w:val="10"/>
        <w:spacing w:line="345" w:lineRule="auto"/>
        <w:rPr>
          <w:rFonts w:hint="eastAsia" w:asciiTheme="minorEastAsia" w:hAnsiTheme="minorEastAsia" w:eastAsiaTheme="minorEastAsia" w:cstheme="minorEastAsia"/>
          <w:color w:val="auto"/>
        </w:rPr>
      </w:pPr>
    </w:p>
    <w:p w14:paraId="02DA2E8A">
      <w:pPr>
        <w:spacing w:before="75" w:line="221" w:lineRule="auto"/>
        <w:ind w:left="188"/>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b/>
          <w:bCs/>
          <w:color w:val="auto"/>
          <w:spacing w:val="13"/>
          <w:sz w:val="23"/>
          <w:szCs w:val="23"/>
        </w:rPr>
        <w:t>附表B:</w:t>
      </w:r>
      <w:r>
        <w:rPr>
          <w:rFonts w:hint="eastAsia" w:asciiTheme="minorEastAsia" w:hAnsiTheme="minorEastAsia" w:eastAsiaTheme="minorEastAsia" w:cstheme="minorEastAsia"/>
          <w:b/>
          <w:bCs/>
          <w:color w:val="auto"/>
          <w:spacing w:val="32"/>
          <w:sz w:val="23"/>
          <w:szCs w:val="23"/>
        </w:rPr>
        <w:t xml:space="preserve">  </w:t>
      </w:r>
      <w:r>
        <w:rPr>
          <w:rFonts w:hint="eastAsia" w:asciiTheme="minorEastAsia" w:hAnsiTheme="minorEastAsia" w:eastAsiaTheme="minorEastAsia" w:cstheme="minorEastAsia"/>
          <w:b/>
          <w:bCs/>
          <w:color w:val="auto"/>
          <w:spacing w:val="13"/>
          <w:sz w:val="23"/>
          <w:szCs w:val="23"/>
        </w:rPr>
        <w:t>售后服务人员情况表</w:t>
      </w:r>
      <w:r>
        <w:rPr>
          <w:rFonts w:hint="eastAsia" w:asciiTheme="minorEastAsia" w:hAnsiTheme="minorEastAsia" w:eastAsiaTheme="minorEastAsia" w:cstheme="minorEastAsia"/>
          <w:color w:val="auto"/>
          <w:spacing w:val="13"/>
          <w:sz w:val="23"/>
          <w:szCs w:val="23"/>
        </w:rPr>
        <w:t>(如有要求，参照此格式自制)</w:t>
      </w:r>
    </w:p>
    <w:p w14:paraId="02750451">
      <w:pPr>
        <w:spacing w:line="117" w:lineRule="exact"/>
        <w:rPr>
          <w:rFonts w:hint="eastAsia" w:asciiTheme="minorEastAsia" w:hAnsiTheme="minorEastAsia" w:eastAsiaTheme="minorEastAsia" w:cstheme="minorEastAsia"/>
          <w:color w:val="auto"/>
        </w:rPr>
      </w:pPr>
    </w:p>
    <w:tbl>
      <w:tblPr>
        <w:tblStyle w:val="20"/>
        <w:tblW w:w="100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4"/>
        <w:gridCol w:w="739"/>
        <w:gridCol w:w="809"/>
        <w:gridCol w:w="400"/>
        <w:gridCol w:w="899"/>
        <w:gridCol w:w="1069"/>
        <w:gridCol w:w="1079"/>
        <w:gridCol w:w="1089"/>
        <w:gridCol w:w="1269"/>
        <w:gridCol w:w="879"/>
        <w:gridCol w:w="1124"/>
      </w:tblGrid>
      <w:tr w14:paraId="03D31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644" w:type="dxa"/>
            <w:textDirection w:val="tbRlV"/>
            <w:vAlign w:val="top"/>
          </w:tcPr>
          <w:p w14:paraId="5719F23E">
            <w:pPr>
              <w:pStyle w:val="21"/>
              <w:spacing w:before="232" w:line="199" w:lineRule="auto"/>
              <w:ind w:left="83"/>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z w:val="23"/>
                <w:szCs w:val="23"/>
              </w:rPr>
              <w:t>序</w:t>
            </w:r>
            <w:r>
              <w:rPr>
                <w:rFonts w:hint="eastAsia" w:asciiTheme="minorEastAsia" w:hAnsiTheme="minorEastAsia" w:eastAsiaTheme="minorEastAsia" w:cstheme="minorEastAsia"/>
                <w:color w:val="auto"/>
                <w:spacing w:val="34"/>
                <w:sz w:val="23"/>
                <w:szCs w:val="23"/>
              </w:rPr>
              <w:t xml:space="preserve">  </w:t>
            </w:r>
            <w:r>
              <w:rPr>
                <w:rFonts w:hint="eastAsia" w:asciiTheme="minorEastAsia" w:hAnsiTheme="minorEastAsia" w:eastAsiaTheme="minorEastAsia" w:cstheme="minorEastAsia"/>
                <w:color w:val="auto"/>
                <w:sz w:val="23"/>
                <w:szCs w:val="23"/>
              </w:rPr>
              <w:t>号</w:t>
            </w:r>
          </w:p>
        </w:tc>
        <w:tc>
          <w:tcPr>
            <w:tcW w:w="739" w:type="dxa"/>
            <w:vAlign w:val="top"/>
          </w:tcPr>
          <w:p w14:paraId="34928556">
            <w:pPr>
              <w:spacing w:line="278" w:lineRule="auto"/>
              <w:rPr>
                <w:rFonts w:hint="eastAsia" w:asciiTheme="minorEastAsia" w:hAnsiTheme="minorEastAsia" w:eastAsiaTheme="minorEastAsia" w:cstheme="minorEastAsia"/>
                <w:color w:val="auto"/>
                <w:sz w:val="21"/>
              </w:rPr>
            </w:pPr>
          </w:p>
          <w:p w14:paraId="0AD39593">
            <w:pPr>
              <w:pStyle w:val="21"/>
              <w:spacing w:before="74" w:line="219" w:lineRule="auto"/>
              <w:ind w:left="131"/>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9"/>
                <w:sz w:val="23"/>
                <w:szCs w:val="23"/>
              </w:rPr>
              <w:t>类别</w:t>
            </w:r>
          </w:p>
        </w:tc>
        <w:tc>
          <w:tcPr>
            <w:tcW w:w="809" w:type="dxa"/>
            <w:vAlign w:val="top"/>
          </w:tcPr>
          <w:p w14:paraId="4AD79B62">
            <w:pPr>
              <w:pStyle w:val="21"/>
              <w:spacing w:before="244" w:line="219" w:lineRule="auto"/>
              <w:ind w:left="131"/>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14"/>
                <w:sz w:val="23"/>
                <w:szCs w:val="23"/>
              </w:rPr>
              <w:t>姓名</w:t>
            </w:r>
          </w:p>
        </w:tc>
        <w:tc>
          <w:tcPr>
            <w:tcW w:w="400" w:type="dxa"/>
            <w:textDirection w:val="tbRlV"/>
            <w:vAlign w:val="top"/>
          </w:tcPr>
          <w:p w14:paraId="7993E059">
            <w:pPr>
              <w:pStyle w:val="21"/>
              <w:spacing w:before="86" w:line="199" w:lineRule="auto"/>
              <w:ind w:left="73"/>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z w:val="23"/>
                <w:szCs w:val="23"/>
              </w:rPr>
              <w:t>性</w:t>
            </w:r>
            <w:r>
              <w:rPr>
                <w:rFonts w:hint="eastAsia" w:asciiTheme="minorEastAsia" w:hAnsiTheme="minorEastAsia" w:eastAsiaTheme="minorEastAsia" w:cstheme="minorEastAsia"/>
                <w:color w:val="auto"/>
                <w:spacing w:val="43"/>
                <w:sz w:val="23"/>
                <w:szCs w:val="23"/>
              </w:rPr>
              <w:t xml:space="preserve">  </w:t>
            </w:r>
            <w:r>
              <w:rPr>
                <w:rFonts w:hint="eastAsia" w:asciiTheme="minorEastAsia" w:hAnsiTheme="minorEastAsia" w:eastAsiaTheme="minorEastAsia" w:cstheme="minorEastAsia"/>
                <w:color w:val="auto"/>
                <w:sz w:val="23"/>
                <w:szCs w:val="23"/>
              </w:rPr>
              <w:t>别</w:t>
            </w:r>
          </w:p>
        </w:tc>
        <w:tc>
          <w:tcPr>
            <w:tcW w:w="899" w:type="dxa"/>
            <w:vAlign w:val="top"/>
          </w:tcPr>
          <w:p w14:paraId="5AE05D78">
            <w:pPr>
              <w:spacing w:line="278" w:lineRule="auto"/>
              <w:rPr>
                <w:rFonts w:hint="eastAsia" w:asciiTheme="minorEastAsia" w:hAnsiTheme="minorEastAsia" w:eastAsiaTheme="minorEastAsia" w:cstheme="minorEastAsia"/>
                <w:color w:val="auto"/>
                <w:sz w:val="21"/>
              </w:rPr>
            </w:pPr>
          </w:p>
          <w:p w14:paraId="448561F0">
            <w:pPr>
              <w:pStyle w:val="21"/>
              <w:spacing w:before="74" w:line="219" w:lineRule="auto"/>
              <w:ind w:left="203"/>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3"/>
                <w:sz w:val="23"/>
                <w:szCs w:val="23"/>
              </w:rPr>
              <w:t>年龄</w:t>
            </w:r>
          </w:p>
        </w:tc>
        <w:tc>
          <w:tcPr>
            <w:tcW w:w="1069" w:type="dxa"/>
            <w:vAlign w:val="top"/>
          </w:tcPr>
          <w:p w14:paraId="31B937EA">
            <w:pPr>
              <w:spacing w:line="279" w:lineRule="auto"/>
              <w:rPr>
                <w:rFonts w:hint="eastAsia" w:asciiTheme="minorEastAsia" w:hAnsiTheme="minorEastAsia" w:eastAsiaTheme="minorEastAsia" w:cstheme="minorEastAsia"/>
                <w:color w:val="auto"/>
                <w:sz w:val="21"/>
              </w:rPr>
            </w:pPr>
          </w:p>
          <w:p w14:paraId="2405BFDD">
            <w:pPr>
              <w:pStyle w:val="21"/>
              <w:spacing w:before="75" w:line="221" w:lineRule="auto"/>
              <w:ind w:left="294"/>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7"/>
                <w:sz w:val="23"/>
                <w:szCs w:val="23"/>
              </w:rPr>
              <w:t>学历</w:t>
            </w:r>
          </w:p>
        </w:tc>
        <w:tc>
          <w:tcPr>
            <w:tcW w:w="1079" w:type="dxa"/>
            <w:vAlign w:val="top"/>
          </w:tcPr>
          <w:p w14:paraId="58332CF1">
            <w:pPr>
              <w:spacing w:line="278" w:lineRule="auto"/>
              <w:rPr>
                <w:rFonts w:hint="eastAsia" w:asciiTheme="minorEastAsia" w:hAnsiTheme="minorEastAsia" w:eastAsiaTheme="minorEastAsia" w:cstheme="minorEastAsia"/>
                <w:color w:val="auto"/>
                <w:sz w:val="21"/>
              </w:rPr>
            </w:pPr>
          </w:p>
          <w:p w14:paraId="3C4E186F">
            <w:pPr>
              <w:pStyle w:val="21"/>
              <w:spacing w:before="75" w:line="220" w:lineRule="auto"/>
              <w:ind w:left="295"/>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3"/>
                <w:sz w:val="23"/>
                <w:szCs w:val="23"/>
              </w:rPr>
              <w:t>专业</w:t>
            </w:r>
          </w:p>
        </w:tc>
        <w:tc>
          <w:tcPr>
            <w:tcW w:w="1089" w:type="dxa"/>
            <w:vAlign w:val="top"/>
          </w:tcPr>
          <w:p w14:paraId="6034E78D">
            <w:pPr>
              <w:spacing w:line="281" w:lineRule="auto"/>
              <w:rPr>
                <w:rFonts w:hint="eastAsia" w:asciiTheme="minorEastAsia" w:hAnsiTheme="minorEastAsia" w:eastAsiaTheme="minorEastAsia" w:cstheme="minorEastAsia"/>
                <w:color w:val="auto"/>
                <w:sz w:val="21"/>
              </w:rPr>
            </w:pPr>
          </w:p>
          <w:p w14:paraId="2B154A35">
            <w:pPr>
              <w:pStyle w:val="21"/>
              <w:spacing w:before="74" w:line="221" w:lineRule="auto"/>
              <w:ind w:left="286"/>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5"/>
                <w:sz w:val="23"/>
                <w:szCs w:val="23"/>
              </w:rPr>
              <w:t>职称</w:t>
            </w:r>
          </w:p>
        </w:tc>
        <w:tc>
          <w:tcPr>
            <w:tcW w:w="1269" w:type="dxa"/>
            <w:vAlign w:val="top"/>
          </w:tcPr>
          <w:p w14:paraId="375E13C5">
            <w:pPr>
              <w:pStyle w:val="21"/>
              <w:spacing w:before="22" w:line="219" w:lineRule="auto"/>
              <w:ind w:left="166"/>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6"/>
                <w:sz w:val="23"/>
                <w:szCs w:val="23"/>
              </w:rPr>
              <w:t>本项目中</w:t>
            </w:r>
          </w:p>
          <w:p w14:paraId="12392216">
            <w:pPr>
              <w:pStyle w:val="21"/>
              <w:spacing w:before="179" w:line="221" w:lineRule="auto"/>
              <w:ind w:left="287"/>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5"/>
                <w:sz w:val="23"/>
                <w:szCs w:val="23"/>
              </w:rPr>
              <w:t>的职责</w:t>
            </w:r>
          </w:p>
        </w:tc>
        <w:tc>
          <w:tcPr>
            <w:tcW w:w="879" w:type="dxa"/>
            <w:vAlign w:val="top"/>
          </w:tcPr>
          <w:p w14:paraId="1CD64C67">
            <w:pPr>
              <w:pStyle w:val="21"/>
              <w:spacing w:before="17" w:line="221" w:lineRule="auto"/>
              <w:ind w:left="208"/>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4"/>
                <w:sz w:val="23"/>
                <w:szCs w:val="23"/>
              </w:rPr>
              <w:t>响应</w:t>
            </w:r>
          </w:p>
          <w:p w14:paraId="2DB061CA">
            <w:pPr>
              <w:pStyle w:val="21"/>
              <w:spacing w:before="184" w:line="221" w:lineRule="auto"/>
              <w:ind w:left="208"/>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11"/>
                <w:sz w:val="23"/>
                <w:szCs w:val="23"/>
              </w:rPr>
              <w:t>时间</w:t>
            </w:r>
          </w:p>
        </w:tc>
        <w:tc>
          <w:tcPr>
            <w:tcW w:w="1124" w:type="dxa"/>
            <w:vAlign w:val="top"/>
          </w:tcPr>
          <w:p w14:paraId="19CD5A9C">
            <w:pPr>
              <w:pStyle w:val="21"/>
              <w:spacing w:before="25" w:line="220" w:lineRule="auto"/>
              <w:ind w:left="209"/>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2"/>
                <w:sz w:val="23"/>
                <w:szCs w:val="23"/>
              </w:rPr>
              <w:t>到达现</w:t>
            </w:r>
          </w:p>
          <w:p w14:paraId="4351B125">
            <w:pPr>
              <w:pStyle w:val="21"/>
              <w:spacing w:before="175" w:line="220" w:lineRule="auto"/>
              <w:ind w:left="209"/>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7"/>
                <w:sz w:val="23"/>
                <w:szCs w:val="23"/>
              </w:rPr>
              <w:t>场时间</w:t>
            </w:r>
          </w:p>
        </w:tc>
      </w:tr>
      <w:tr w14:paraId="49092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8" w:hRule="atLeast"/>
        </w:trPr>
        <w:tc>
          <w:tcPr>
            <w:tcW w:w="644" w:type="dxa"/>
            <w:vAlign w:val="top"/>
          </w:tcPr>
          <w:p w14:paraId="73A0DAD5">
            <w:pPr>
              <w:rPr>
                <w:rFonts w:hint="eastAsia" w:asciiTheme="minorEastAsia" w:hAnsiTheme="minorEastAsia" w:eastAsiaTheme="minorEastAsia" w:cstheme="minorEastAsia"/>
                <w:color w:val="auto"/>
                <w:sz w:val="21"/>
              </w:rPr>
            </w:pPr>
          </w:p>
        </w:tc>
        <w:tc>
          <w:tcPr>
            <w:tcW w:w="739" w:type="dxa"/>
            <w:vAlign w:val="top"/>
          </w:tcPr>
          <w:p w14:paraId="6A92A714">
            <w:pPr>
              <w:pStyle w:val="21"/>
              <w:spacing w:before="13" w:line="220" w:lineRule="auto"/>
              <w:ind w:left="131"/>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6"/>
                <w:sz w:val="23"/>
                <w:szCs w:val="23"/>
              </w:rPr>
              <w:t>总协</w:t>
            </w:r>
          </w:p>
          <w:p w14:paraId="485A8783">
            <w:pPr>
              <w:pStyle w:val="21"/>
              <w:spacing w:before="198" w:line="221" w:lineRule="auto"/>
              <w:ind w:left="131"/>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4"/>
                <w:sz w:val="23"/>
                <w:szCs w:val="23"/>
              </w:rPr>
              <w:t>调人</w:t>
            </w:r>
          </w:p>
        </w:tc>
        <w:tc>
          <w:tcPr>
            <w:tcW w:w="809" w:type="dxa"/>
            <w:vAlign w:val="top"/>
          </w:tcPr>
          <w:p w14:paraId="2B2D3100">
            <w:pPr>
              <w:rPr>
                <w:rFonts w:hint="eastAsia" w:asciiTheme="minorEastAsia" w:hAnsiTheme="minorEastAsia" w:eastAsiaTheme="minorEastAsia" w:cstheme="minorEastAsia"/>
                <w:color w:val="auto"/>
                <w:sz w:val="21"/>
              </w:rPr>
            </w:pPr>
          </w:p>
        </w:tc>
        <w:tc>
          <w:tcPr>
            <w:tcW w:w="400" w:type="dxa"/>
            <w:vAlign w:val="top"/>
          </w:tcPr>
          <w:p w14:paraId="184F6067">
            <w:pPr>
              <w:rPr>
                <w:rFonts w:hint="eastAsia" w:asciiTheme="minorEastAsia" w:hAnsiTheme="minorEastAsia" w:eastAsiaTheme="minorEastAsia" w:cstheme="minorEastAsia"/>
                <w:color w:val="auto"/>
                <w:sz w:val="21"/>
              </w:rPr>
            </w:pPr>
          </w:p>
        </w:tc>
        <w:tc>
          <w:tcPr>
            <w:tcW w:w="899" w:type="dxa"/>
            <w:vAlign w:val="top"/>
          </w:tcPr>
          <w:p w14:paraId="53B557DF">
            <w:pPr>
              <w:rPr>
                <w:rFonts w:hint="eastAsia" w:asciiTheme="minorEastAsia" w:hAnsiTheme="minorEastAsia" w:eastAsiaTheme="minorEastAsia" w:cstheme="minorEastAsia"/>
                <w:color w:val="auto"/>
                <w:sz w:val="21"/>
              </w:rPr>
            </w:pPr>
          </w:p>
        </w:tc>
        <w:tc>
          <w:tcPr>
            <w:tcW w:w="1069" w:type="dxa"/>
            <w:vAlign w:val="top"/>
          </w:tcPr>
          <w:p w14:paraId="374A5412">
            <w:pPr>
              <w:rPr>
                <w:rFonts w:hint="eastAsia" w:asciiTheme="minorEastAsia" w:hAnsiTheme="minorEastAsia" w:eastAsiaTheme="minorEastAsia" w:cstheme="minorEastAsia"/>
                <w:color w:val="auto"/>
                <w:sz w:val="21"/>
              </w:rPr>
            </w:pPr>
          </w:p>
        </w:tc>
        <w:tc>
          <w:tcPr>
            <w:tcW w:w="1079" w:type="dxa"/>
            <w:vAlign w:val="top"/>
          </w:tcPr>
          <w:p w14:paraId="7C5CB38F">
            <w:pPr>
              <w:rPr>
                <w:rFonts w:hint="eastAsia" w:asciiTheme="minorEastAsia" w:hAnsiTheme="minorEastAsia" w:eastAsiaTheme="minorEastAsia" w:cstheme="minorEastAsia"/>
                <w:color w:val="auto"/>
                <w:sz w:val="21"/>
              </w:rPr>
            </w:pPr>
          </w:p>
        </w:tc>
        <w:tc>
          <w:tcPr>
            <w:tcW w:w="1089" w:type="dxa"/>
            <w:vAlign w:val="top"/>
          </w:tcPr>
          <w:p w14:paraId="3B3C9093">
            <w:pPr>
              <w:rPr>
                <w:rFonts w:hint="eastAsia" w:asciiTheme="minorEastAsia" w:hAnsiTheme="minorEastAsia" w:eastAsiaTheme="minorEastAsia" w:cstheme="minorEastAsia"/>
                <w:color w:val="auto"/>
                <w:sz w:val="21"/>
              </w:rPr>
            </w:pPr>
          </w:p>
        </w:tc>
        <w:tc>
          <w:tcPr>
            <w:tcW w:w="1269" w:type="dxa"/>
            <w:vAlign w:val="top"/>
          </w:tcPr>
          <w:p w14:paraId="220229EE">
            <w:pPr>
              <w:rPr>
                <w:rFonts w:hint="eastAsia" w:asciiTheme="minorEastAsia" w:hAnsiTheme="minorEastAsia" w:eastAsiaTheme="minorEastAsia" w:cstheme="minorEastAsia"/>
                <w:color w:val="auto"/>
                <w:sz w:val="21"/>
              </w:rPr>
            </w:pPr>
          </w:p>
        </w:tc>
        <w:tc>
          <w:tcPr>
            <w:tcW w:w="879" w:type="dxa"/>
            <w:vAlign w:val="top"/>
          </w:tcPr>
          <w:p w14:paraId="62654ABF">
            <w:pPr>
              <w:rPr>
                <w:rFonts w:hint="eastAsia" w:asciiTheme="minorEastAsia" w:hAnsiTheme="minorEastAsia" w:eastAsiaTheme="minorEastAsia" w:cstheme="minorEastAsia"/>
                <w:color w:val="auto"/>
                <w:sz w:val="21"/>
              </w:rPr>
            </w:pPr>
          </w:p>
        </w:tc>
        <w:tc>
          <w:tcPr>
            <w:tcW w:w="1124" w:type="dxa"/>
            <w:vAlign w:val="top"/>
          </w:tcPr>
          <w:p w14:paraId="7AB27D36">
            <w:pPr>
              <w:rPr>
                <w:rFonts w:hint="eastAsia" w:asciiTheme="minorEastAsia" w:hAnsiTheme="minorEastAsia" w:eastAsiaTheme="minorEastAsia" w:cstheme="minorEastAsia"/>
                <w:color w:val="auto"/>
                <w:sz w:val="21"/>
              </w:rPr>
            </w:pPr>
          </w:p>
        </w:tc>
      </w:tr>
      <w:tr w14:paraId="2B9A1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644" w:type="dxa"/>
            <w:vAlign w:val="top"/>
          </w:tcPr>
          <w:p w14:paraId="35CB1108">
            <w:pPr>
              <w:rPr>
                <w:rFonts w:hint="eastAsia" w:asciiTheme="minorEastAsia" w:hAnsiTheme="minorEastAsia" w:eastAsiaTheme="minorEastAsia" w:cstheme="minorEastAsia"/>
                <w:color w:val="auto"/>
                <w:sz w:val="21"/>
              </w:rPr>
            </w:pPr>
          </w:p>
        </w:tc>
        <w:tc>
          <w:tcPr>
            <w:tcW w:w="739" w:type="dxa"/>
            <w:vAlign w:val="top"/>
          </w:tcPr>
          <w:p w14:paraId="6563E72E">
            <w:pPr>
              <w:pStyle w:val="21"/>
              <w:spacing w:before="45" w:line="220" w:lineRule="auto"/>
              <w:ind w:left="131"/>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8"/>
                <w:sz w:val="23"/>
                <w:szCs w:val="23"/>
              </w:rPr>
              <w:t>售后</w:t>
            </w:r>
          </w:p>
          <w:p w14:paraId="22B44141">
            <w:pPr>
              <w:pStyle w:val="21"/>
              <w:spacing w:before="206" w:line="221" w:lineRule="auto"/>
              <w:ind w:left="131"/>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15"/>
                <w:sz w:val="23"/>
                <w:szCs w:val="23"/>
              </w:rPr>
              <w:t>人员</w:t>
            </w:r>
          </w:p>
        </w:tc>
        <w:tc>
          <w:tcPr>
            <w:tcW w:w="809" w:type="dxa"/>
            <w:vAlign w:val="top"/>
          </w:tcPr>
          <w:p w14:paraId="06A4F6E2">
            <w:pPr>
              <w:rPr>
                <w:rFonts w:hint="eastAsia" w:asciiTheme="minorEastAsia" w:hAnsiTheme="minorEastAsia" w:eastAsiaTheme="minorEastAsia" w:cstheme="minorEastAsia"/>
                <w:color w:val="auto"/>
                <w:sz w:val="21"/>
              </w:rPr>
            </w:pPr>
          </w:p>
        </w:tc>
        <w:tc>
          <w:tcPr>
            <w:tcW w:w="400" w:type="dxa"/>
            <w:vAlign w:val="top"/>
          </w:tcPr>
          <w:p w14:paraId="4929D71B">
            <w:pPr>
              <w:rPr>
                <w:rFonts w:hint="eastAsia" w:asciiTheme="minorEastAsia" w:hAnsiTheme="minorEastAsia" w:eastAsiaTheme="minorEastAsia" w:cstheme="minorEastAsia"/>
                <w:color w:val="auto"/>
                <w:sz w:val="21"/>
              </w:rPr>
            </w:pPr>
          </w:p>
        </w:tc>
        <w:tc>
          <w:tcPr>
            <w:tcW w:w="899" w:type="dxa"/>
            <w:vAlign w:val="top"/>
          </w:tcPr>
          <w:p w14:paraId="0C2C0DB9">
            <w:pPr>
              <w:rPr>
                <w:rFonts w:hint="eastAsia" w:asciiTheme="minorEastAsia" w:hAnsiTheme="minorEastAsia" w:eastAsiaTheme="minorEastAsia" w:cstheme="minorEastAsia"/>
                <w:color w:val="auto"/>
                <w:sz w:val="21"/>
              </w:rPr>
            </w:pPr>
          </w:p>
        </w:tc>
        <w:tc>
          <w:tcPr>
            <w:tcW w:w="1069" w:type="dxa"/>
            <w:vAlign w:val="top"/>
          </w:tcPr>
          <w:p w14:paraId="08FC6EAB">
            <w:pPr>
              <w:rPr>
                <w:rFonts w:hint="eastAsia" w:asciiTheme="minorEastAsia" w:hAnsiTheme="minorEastAsia" w:eastAsiaTheme="minorEastAsia" w:cstheme="minorEastAsia"/>
                <w:color w:val="auto"/>
                <w:sz w:val="21"/>
              </w:rPr>
            </w:pPr>
          </w:p>
        </w:tc>
        <w:tc>
          <w:tcPr>
            <w:tcW w:w="1079" w:type="dxa"/>
            <w:vAlign w:val="top"/>
          </w:tcPr>
          <w:p w14:paraId="046C9005">
            <w:pPr>
              <w:rPr>
                <w:rFonts w:hint="eastAsia" w:asciiTheme="minorEastAsia" w:hAnsiTheme="minorEastAsia" w:eastAsiaTheme="minorEastAsia" w:cstheme="minorEastAsia"/>
                <w:color w:val="auto"/>
                <w:sz w:val="21"/>
              </w:rPr>
            </w:pPr>
          </w:p>
        </w:tc>
        <w:tc>
          <w:tcPr>
            <w:tcW w:w="1089" w:type="dxa"/>
            <w:vAlign w:val="top"/>
          </w:tcPr>
          <w:p w14:paraId="1993B8FD">
            <w:pPr>
              <w:rPr>
                <w:rFonts w:hint="eastAsia" w:asciiTheme="minorEastAsia" w:hAnsiTheme="minorEastAsia" w:eastAsiaTheme="minorEastAsia" w:cstheme="minorEastAsia"/>
                <w:color w:val="auto"/>
                <w:sz w:val="21"/>
              </w:rPr>
            </w:pPr>
          </w:p>
        </w:tc>
        <w:tc>
          <w:tcPr>
            <w:tcW w:w="1269" w:type="dxa"/>
            <w:vAlign w:val="top"/>
          </w:tcPr>
          <w:p w14:paraId="04396D37">
            <w:pPr>
              <w:rPr>
                <w:rFonts w:hint="eastAsia" w:asciiTheme="minorEastAsia" w:hAnsiTheme="minorEastAsia" w:eastAsiaTheme="minorEastAsia" w:cstheme="minorEastAsia"/>
                <w:color w:val="auto"/>
                <w:sz w:val="21"/>
              </w:rPr>
            </w:pPr>
          </w:p>
        </w:tc>
        <w:tc>
          <w:tcPr>
            <w:tcW w:w="879" w:type="dxa"/>
            <w:vAlign w:val="top"/>
          </w:tcPr>
          <w:p w14:paraId="6C7E5935">
            <w:pPr>
              <w:rPr>
                <w:rFonts w:hint="eastAsia" w:asciiTheme="minorEastAsia" w:hAnsiTheme="minorEastAsia" w:eastAsiaTheme="minorEastAsia" w:cstheme="minorEastAsia"/>
                <w:color w:val="auto"/>
                <w:sz w:val="21"/>
              </w:rPr>
            </w:pPr>
          </w:p>
        </w:tc>
        <w:tc>
          <w:tcPr>
            <w:tcW w:w="1124" w:type="dxa"/>
            <w:vAlign w:val="top"/>
          </w:tcPr>
          <w:p w14:paraId="5C37173E">
            <w:pPr>
              <w:rPr>
                <w:rFonts w:hint="eastAsia" w:asciiTheme="minorEastAsia" w:hAnsiTheme="minorEastAsia" w:eastAsiaTheme="minorEastAsia" w:cstheme="minorEastAsia"/>
                <w:color w:val="auto"/>
                <w:sz w:val="21"/>
              </w:rPr>
            </w:pPr>
          </w:p>
        </w:tc>
      </w:tr>
      <w:tr w14:paraId="6384A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644" w:type="dxa"/>
            <w:vAlign w:val="top"/>
          </w:tcPr>
          <w:p w14:paraId="385B579D">
            <w:pPr>
              <w:rPr>
                <w:rFonts w:hint="eastAsia" w:asciiTheme="minorEastAsia" w:hAnsiTheme="minorEastAsia" w:eastAsiaTheme="minorEastAsia" w:cstheme="minorEastAsia"/>
                <w:color w:val="auto"/>
                <w:sz w:val="21"/>
              </w:rPr>
            </w:pPr>
          </w:p>
        </w:tc>
        <w:tc>
          <w:tcPr>
            <w:tcW w:w="739" w:type="dxa"/>
            <w:vAlign w:val="top"/>
          </w:tcPr>
          <w:p w14:paraId="4911B7EA">
            <w:pPr>
              <w:rPr>
                <w:rFonts w:hint="eastAsia" w:asciiTheme="minorEastAsia" w:hAnsiTheme="minorEastAsia" w:eastAsiaTheme="minorEastAsia" w:cstheme="minorEastAsia"/>
                <w:color w:val="auto"/>
                <w:sz w:val="21"/>
              </w:rPr>
            </w:pPr>
          </w:p>
        </w:tc>
        <w:tc>
          <w:tcPr>
            <w:tcW w:w="809" w:type="dxa"/>
            <w:vAlign w:val="top"/>
          </w:tcPr>
          <w:p w14:paraId="6EF2255B">
            <w:pPr>
              <w:rPr>
                <w:rFonts w:hint="eastAsia" w:asciiTheme="minorEastAsia" w:hAnsiTheme="minorEastAsia" w:eastAsiaTheme="minorEastAsia" w:cstheme="minorEastAsia"/>
                <w:color w:val="auto"/>
                <w:sz w:val="21"/>
              </w:rPr>
            </w:pPr>
          </w:p>
        </w:tc>
        <w:tc>
          <w:tcPr>
            <w:tcW w:w="400" w:type="dxa"/>
            <w:vAlign w:val="top"/>
          </w:tcPr>
          <w:p w14:paraId="221CFDC5">
            <w:pPr>
              <w:rPr>
                <w:rFonts w:hint="eastAsia" w:asciiTheme="minorEastAsia" w:hAnsiTheme="minorEastAsia" w:eastAsiaTheme="minorEastAsia" w:cstheme="minorEastAsia"/>
                <w:color w:val="auto"/>
                <w:sz w:val="21"/>
              </w:rPr>
            </w:pPr>
          </w:p>
        </w:tc>
        <w:tc>
          <w:tcPr>
            <w:tcW w:w="899" w:type="dxa"/>
            <w:vAlign w:val="top"/>
          </w:tcPr>
          <w:p w14:paraId="2EE970CA">
            <w:pPr>
              <w:rPr>
                <w:rFonts w:hint="eastAsia" w:asciiTheme="minorEastAsia" w:hAnsiTheme="minorEastAsia" w:eastAsiaTheme="minorEastAsia" w:cstheme="minorEastAsia"/>
                <w:color w:val="auto"/>
                <w:sz w:val="21"/>
              </w:rPr>
            </w:pPr>
          </w:p>
        </w:tc>
        <w:tc>
          <w:tcPr>
            <w:tcW w:w="1069" w:type="dxa"/>
            <w:vAlign w:val="top"/>
          </w:tcPr>
          <w:p w14:paraId="035954FF">
            <w:pPr>
              <w:rPr>
                <w:rFonts w:hint="eastAsia" w:asciiTheme="minorEastAsia" w:hAnsiTheme="minorEastAsia" w:eastAsiaTheme="minorEastAsia" w:cstheme="minorEastAsia"/>
                <w:color w:val="auto"/>
                <w:sz w:val="21"/>
              </w:rPr>
            </w:pPr>
          </w:p>
        </w:tc>
        <w:tc>
          <w:tcPr>
            <w:tcW w:w="1079" w:type="dxa"/>
            <w:vAlign w:val="top"/>
          </w:tcPr>
          <w:p w14:paraId="50D53062">
            <w:pPr>
              <w:rPr>
                <w:rFonts w:hint="eastAsia" w:asciiTheme="minorEastAsia" w:hAnsiTheme="minorEastAsia" w:eastAsiaTheme="minorEastAsia" w:cstheme="minorEastAsia"/>
                <w:color w:val="auto"/>
                <w:sz w:val="21"/>
              </w:rPr>
            </w:pPr>
          </w:p>
        </w:tc>
        <w:tc>
          <w:tcPr>
            <w:tcW w:w="1089" w:type="dxa"/>
            <w:vAlign w:val="top"/>
          </w:tcPr>
          <w:p w14:paraId="6AC58426">
            <w:pPr>
              <w:rPr>
                <w:rFonts w:hint="eastAsia" w:asciiTheme="minorEastAsia" w:hAnsiTheme="minorEastAsia" w:eastAsiaTheme="minorEastAsia" w:cstheme="minorEastAsia"/>
                <w:color w:val="auto"/>
                <w:sz w:val="21"/>
              </w:rPr>
            </w:pPr>
          </w:p>
        </w:tc>
        <w:tc>
          <w:tcPr>
            <w:tcW w:w="1269" w:type="dxa"/>
            <w:vAlign w:val="top"/>
          </w:tcPr>
          <w:p w14:paraId="4048BA13">
            <w:pPr>
              <w:rPr>
                <w:rFonts w:hint="eastAsia" w:asciiTheme="minorEastAsia" w:hAnsiTheme="minorEastAsia" w:eastAsiaTheme="minorEastAsia" w:cstheme="minorEastAsia"/>
                <w:color w:val="auto"/>
                <w:sz w:val="21"/>
              </w:rPr>
            </w:pPr>
          </w:p>
        </w:tc>
        <w:tc>
          <w:tcPr>
            <w:tcW w:w="879" w:type="dxa"/>
            <w:vAlign w:val="top"/>
          </w:tcPr>
          <w:p w14:paraId="54CD678D">
            <w:pPr>
              <w:rPr>
                <w:rFonts w:hint="eastAsia" w:asciiTheme="minorEastAsia" w:hAnsiTheme="minorEastAsia" w:eastAsiaTheme="minorEastAsia" w:cstheme="minorEastAsia"/>
                <w:color w:val="auto"/>
                <w:sz w:val="21"/>
              </w:rPr>
            </w:pPr>
          </w:p>
        </w:tc>
        <w:tc>
          <w:tcPr>
            <w:tcW w:w="1124" w:type="dxa"/>
            <w:vAlign w:val="top"/>
          </w:tcPr>
          <w:p w14:paraId="2733A205">
            <w:pPr>
              <w:rPr>
                <w:rFonts w:hint="eastAsia" w:asciiTheme="minorEastAsia" w:hAnsiTheme="minorEastAsia" w:eastAsiaTheme="minorEastAsia" w:cstheme="minorEastAsia"/>
                <w:color w:val="auto"/>
                <w:sz w:val="21"/>
              </w:rPr>
            </w:pPr>
          </w:p>
        </w:tc>
      </w:tr>
      <w:tr w14:paraId="236C3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644" w:type="dxa"/>
            <w:vAlign w:val="top"/>
          </w:tcPr>
          <w:p w14:paraId="12C17209">
            <w:pPr>
              <w:rPr>
                <w:rFonts w:hint="eastAsia" w:asciiTheme="minorEastAsia" w:hAnsiTheme="minorEastAsia" w:eastAsiaTheme="minorEastAsia" w:cstheme="minorEastAsia"/>
                <w:color w:val="auto"/>
                <w:sz w:val="21"/>
              </w:rPr>
            </w:pPr>
          </w:p>
        </w:tc>
        <w:tc>
          <w:tcPr>
            <w:tcW w:w="739" w:type="dxa"/>
            <w:vAlign w:val="top"/>
          </w:tcPr>
          <w:p w14:paraId="1478D131">
            <w:pPr>
              <w:rPr>
                <w:rFonts w:hint="eastAsia" w:asciiTheme="minorEastAsia" w:hAnsiTheme="minorEastAsia" w:eastAsiaTheme="minorEastAsia" w:cstheme="minorEastAsia"/>
                <w:color w:val="auto"/>
                <w:sz w:val="21"/>
              </w:rPr>
            </w:pPr>
          </w:p>
        </w:tc>
        <w:tc>
          <w:tcPr>
            <w:tcW w:w="809" w:type="dxa"/>
            <w:vAlign w:val="top"/>
          </w:tcPr>
          <w:p w14:paraId="02B3ABD4">
            <w:pPr>
              <w:rPr>
                <w:rFonts w:hint="eastAsia" w:asciiTheme="minorEastAsia" w:hAnsiTheme="minorEastAsia" w:eastAsiaTheme="minorEastAsia" w:cstheme="minorEastAsia"/>
                <w:color w:val="auto"/>
                <w:sz w:val="21"/>
              </w:rPr>
            </w:pPr>
          </w:p>
        </w:tc>
        <w:tc>
          <w:tcPr>
            <w:tcW w:w="400" w:type="dxa"/>
            <w:vAlign w:val="top"/>
          </w:tcPr>
          <w:p w14:paraId="4D34C730">
            <w:pPr>
              <w:rPr>
                <w:rFonts w:hint="eastAsia" w:asciiTheme="minorEastAsia" w:hAnsiTheme="minorEastAsia" w:eastAsiaTheme="minorEastAsia" w:cstheme="minorEastAsia"/>
                <w:color w:val="auto"/>
                <w:sz w:val="21"/>
              </w:rPr>
            </w:pPr>
          </w:p>
        </w:tc>
        <w:tc>
          <w:tcPr>
            <w:tcW w:w="899" w:type="dxa"/>
            <w:vAlign w:val="top"/>
          </w:tcPr>
          <w:p w14:paraId="0D2E30BB">
            <w:pPr>
              <w:rPr>
                <w:rFonts w:hint="eastAsia" w:asciiTheme="minorEastAsia" w:hAnsiTheme="minorEastAsia" w:eastAsiaTheme="minorEastAsia" w:cstheme="minorEastAsia"/>
                <w:color w:val="auto"/>
                <w:sz w:val="21"/>
              </w:rPr>
            </w:pPr>
          </w:p>
        </w:tc>
        <w:tc>
          <w:tcPr>
            <w:tcW w:w="1069" w:type="dxa"/>
            <w:vAlign w:val="top"/>
          </w:tcPr>
          <w:p w14:paraId="5622F013">
            <w:pPr>
              <w:rPr>
                <w:rFonts w:hint="eastAsia" w:asciiTheme="minorEastAsia" w:hAnsiTheme="minorEastAsia" w:eastAsiaTheme="minorEastAsia" w:cstheme="minorEastAsia"/>
                <w:color w:val="auto"/>
                <w:sz w:val="21"/>
              </w:rPr>
            </w:pPr>
          </w:p>
        </w:tc>
        <w:tc>
          <w:tcPr>
            <w:tcW w:w="1079" w:type="dxa"/>
            <w:vAlign w:val="top"/>
          </w:tcPr>
          <w:p w14:paraId="7F3D1B65">
            <w:pPr>
              <w:rPr>
                <w:rFonts w:hint="eastAsia" w:asciiTheme="minorEastAsia" w:hAnsiTheme="minorEastAsia" w:eastAsiaTheme="minorEastAsia" w:cstheme="minorEastAsia"/>
                <w:color w:val="auto"/>
                <w:sz w:val="21"/>
              </w:rPr>
            </w:pPr>
          </w:p>
        </w:tc>
        <w:tc>
          <w:tcPr>
            <w:tcW w:w="1089" w:type="dxa"/>
            <w:vAlign w:val="top"/>
          </w:tcPr>
          <w:p w14:paraId="44B9FFC7">
            <w:pPr>
              <w:rPr>
                <w:rFonts w:hint="eastAsia" w:asciiTheme="minorEastAsia" w:hAnsiTheme="minorEastAsia" w:eastAsiaTheme="minorEastAsia" w:cstheme="minorEastAsia"/>
                <w:color w:val="auto"/>
                <w:sz w:val="21"/>
              </w:rPr>
            </w:pPr>
          </w:p>
        </w:tc>
        <w:tc>
          <w:tcPr>
            <w:tcW w:w="1269" w:type="dxa"/>
            <w:vAlign w:val="top"/>
          </w:tcPr>
          <w:p w14:paraId="2EAD132C">
            <w:pPr>
              <w:rPr>
                <w:rFonts w:hint="eastAsia" w:asciiTheme="minorEastAsia" w:hAnsiTheme="minorEastAsia" w:eastAsiaTheme="minorEastAsia" w:cstheme="minorEastAsia"/>
                <w:color w:val="auto"/>
                <w:sz w:val="21"/>
              </w:rPr>
            </w:pPr>
          </w:p>
        </w:tc>
        <w:tc>
          <w:tcPr>
            <w:tcW w:w="879" w:type="dxa"/>
            <w:vAlign w:val="top"/>
          </w:tcPr>
          <w:p w14:paraId="34B1368B">
            <w:pPr>
              <w:rPr>
                <w:rFonts w:hint="eastAsia" w:asciiTheme="minorEastAsia" w:hAnsiTheme="minorEastAsia" w:eastAsiaTheme="minorEastAsia" w:cstheme="minorEastAsia"/>
                <w:color w:val="auto"/>
                <w:sz w:val="21"/>
              </w:rPr>
            </w:pPr>
          </w:p>
        </w:tc>
        <w:tc>
          <w:tcPr>
            <w:tcW w:w="1124" w:type="dxa"/>
            <w:vAlign w:val="top"/>
          </w:tcPr>
          <w:p w14:paraId="00E5040A">
            <w:pPr>
              <w:rPr>
                <w:rFonts w:hint="eastAsia" w:asciiTheme="minorEastAsia" w:hAnsiTheme="minorEastAsia" w:eastAsiaTheme="minorEastAsia" w:cstheme="minorEastAsia"/>
                <w:color w:val="auto"/>
                <w:sz w:val="21"/>
              </w:rPr>
            </w:pPr>
          </w:p>
        </w:tc>
      </w:tr>
    </w:tbl>
    <w:p w14:paraId="412C7088">
      <w:pPr>
        <w:pStyle w:val="10"/>
        <w:spacing w:line="275" w:lineRule="auto"/>
        <w:rPr>
          <w:rFonts w:hint="eastAsia" w:asciiTheme="minorEastAsia" w:hAnsiTheme="minorEastAsia" w:eastAsiaTheme="minorEastAsia" w:cstheme="minorEastAsia"/>
          <w:color w:val="auto"/>
        </w:rPr>
      </w:pPr>
    </w:p>
    <w:p w14:paraId="49AD0B9C">
      <w:pPr>
        <w:pStyle w:val="10"/>
        <w:spacing w:line="275" w:lineRule="auto"/>
        <w:rPr>
          <w:rFonts w:hint="eastAsia" w:asciiTheme="minorEastAsia" w:hAnsiTheme="minorEastAsia" w:eastAsiaTheme="minorEastAsia" w:cstheme="minorEastAsia"/>
          <w:color w:val="auto"/>
        </w:rPr>
      </w:pPr>
    </w:p>
    <w:p w14:paraId="62831118">
      <w:pPr>
        <w:pStyle w:val="10"/>
        <w:spacing w:line="275" w:lineRule="auto"/>
        <w:rPr>
          <w:rFonts w:hint="eastAsia" w:asciiTheme="minorEastAsia" w:hAnsiTheme="minorEastAsia" w:eastAsiaTheme="minorEastAsia" w:cstheme="minorEastAsia"/>
          <w:color w:val="auto"/>
        </w:rPr>
      </w:pPr>
    </w:p>
    <w:p w14:paraId="41F9EF41">
      <w:pPr>
        <w:pStyle w:val="10"/>
        <w:spacing w:line="276" w:lineRule="auto"/>
        <w:rPr>
          <w:rFonts w:hint="eastAsia" w:asciiTheme="minorEastAsia" w:hAnsiTheme="minorEastAsia" w:eastAsiaTheme="minorEastAsia" w:cstheme="minorEastAsia"/>
          <w:color w:val="auto"/>
        </w:rPr>
      </w:pPr>
    </w:p>
    <w:p w14:paraId="696DBE88">
      <w:pPr>
        <w:spacing w:before="75" w:line="222" w:lineRule="auto"/>
        <w:ind w:left="5345"/>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9"/>
          <w:sz w:val="23"/>
          <w:szCs w:val="23"/>
        </w:rPr>
        <w:t>投标人名称(盖公章):</w:t>
      </w:r>
    </w:p>
    <w:p w14:paraId="2257B261">
      <w:pPr>
        <w:spacing w:before="186" w:line="223" w:lineRule="auto"/>
        <w:ind w:left="5374"/>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2"/>
          <w:sz w:val="23"/>
          <w:szCs w:val="23"/>
        </w:rPr>
        <w:t>日期：  年</w:t>
      </w:r>
      <w:r>
        <w:rPr>
          <w:rFonts w:hint="eastAsia" w:asciiTheme="minorEastAsia" w:hAnsiTheme="minorEastAsia" w:eastAsiaTheme="minorEastAsia" w:cstheme="minorEastAsia"/>
          <w:color w:val="auto"/>
          <w:spacing w:val="10"/>
          <w:sz w:val="23"/>
          <w:szCs w:val="23"/>
        </w:rPr>
        <w:t xml:space="preserve">  </w:t>
      </w:r>
      <w:r>
        <w:rPr>
          <w:rFonts w:hint="eastAsia" w:asciiTheme="minorEastAsia" w:hAnsiTheme="minorEastAsia" w:eastAsiaTheme="minorEastAsia" w:cstheme="minorEastAsia"/>
          <w:color w:val="auto"/>
          <w:spacing w:val="-2"/>
          <w:sz w:val="23"/>
          <w:szCs w:val="23"/>
        </w:rPr>
        <w:t>月</w:t>
      </w:r>
      <w:r>
        <w:rPr>
          <w:rFonts w:hint="eastAsia" w:asciiTheme="minorEastAsia" w:hAnsiTheme="minorEastAsia" w:eastAsiaTheme="minorEastAsia" w:cstheme="minorEastAsia"/>
          <w:color w:val="auto"/>
          <w:spacing w:val="26"/>
          <w:sz w:val="23"/>
          <w:szCs w:val="23"/>
        </w:rPr>
        <w:t xml:space="preserve">   </w:t>
      </w:r>
      <w:r>
        <w:rPr>
          <w:rFonts w:hint="eastAsia" w:asciiTheme="minorEastAsia" w:hAnsiTheme="minorEastAsia" w:eastAsiaTheme="minorEastAsia" w:cstheme="minorEastAsia"/>
          <w:color w:val="auto"/>
          <w:spacing w:val="-2"/>
          <w:sz w:val="23"/>
          <w:szCs w:val="23"/>
        </w:rPr>
        <w:t>日</w:t>
      </w:r>
    </w:p>
    <w:p w14:paraId="769D3EE1">
      <w:pPr>
        <w:spacing w:line="223" w:lineRule="auto"/>
        <w:rPr>
          <w:rFonts w:hint="eastAsia" w:asciiTheme="minorEastAsia" w:hAnsiTheme="minorEastAsia" w:eastAsiaTheme="minorEastAsia" w:cstheme="minorEastAsia"/>
          <w:color w:val="auto"/>
          <w:sz w:val="23"/>
          <w:szCs w:val="23"/>
        </w:rPr>
        <w:sectPr>
          <w:footerReference r:id="rId48" w:type="default"/>
          <w:pgSz w:w="11900" w:h="16830"/>
          <w:pgMar w:top="1280" w:right="944" w:bottom="991" w:left="944" w:header="0" w:footer="847" w:gutter="0"/>
          <w:cols w:space="720" w:num="1"/>
        </w:sectPr>
      </w:pPr>
    </w:p>
    <w:p w14:paraId="772484EE">
      <w:pPr>
        <w:spacing w:before="56" w:line="219"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4"/>
          <w:sz w:val="28"/>
          <w:szCs w:val="28"/>
        </w:rPr>
        <w:t>5.</w:t>
      </w:r>
      <w:r>
        <w:rPr>
          <w:rFonts w:hint="eastAsia" w:asciiTheme="minorEastAsia" w:hAnsiTheme="minorEastAsia" w:eastAsiaTheme="minorEastAsia" w:cstheme="minorEastAsia"/>
          <w:color w:val="auto"/>
          <w:spacing w:val="-4"/>
          <w:sz w:val="28"/>
          <w:szCs w:val="28"/>
        </w:rPr>
        <w:t xml:space="preserve"> </w:t>
      </w:r>
      <w:r>
        <w:rPr>
          <w:rFonts w:hint="eastAsia" w:asciiTheme="minorEastAsia" w:hAnsiTheme="minorEastAsia" w:eastAsiaTheme="minorEastAsia" w:cstheme="minorEastAsia"/>
          <w:b/>
          <w:bCs/>
          <w:color w:val="auto"/>
          <w:spacing w:val="-4"/>
          <w:sz w:val="28"/>
          <w:szCs w:val="28"/>
        </w:rPr>
        <w:t>项目实施人员一览表的格式：</w:t>
      </w:r>
    </w:p>
    <w:p w14:paraId="14A52318">
      <w:pPr>
        <w:pStyle w:val="10"/>
        <w:spacing w:line="284" w:lineRule="auto"/>
        <w:rPr>
          <w:rFonts w:hint="eastAsia" w:asciiTheme="minorEastAsia" w:hAnsiTheme="minorEastAsia" w:eastAsiaTheme="minorEastAsia" w:cstheme="minorEastAsia"/>
          <w:color w:val="auto"/>
        </w:rPr>
      </w:pPr>
    </w:p>
    <w:p w14:paraId="296EB037">
      <w:pPr>
        <w:pStyle w:val="10"/>
        <w:spacing w:line="285" w:lineRule="auto"/>
        <w:rPr>
          <w:rFonts w:hint="eastAsia" w:asciiTheme="minorEastAsia" w:hAnsiTheme="minorEastAsia" w:eastAsiaTheme="minorEastAsia" w:cstheme="minorEastAsia"/>
          <w:color w:val="auto"/>
        </w:rPr>
      </w:pPr>
    </w:p>
    <w:p w14:paraId="64BFFB3B">
      <w:pPr>
        <w:spacing w:before="107" w:line="220" w:lineRule="auto"/>
        <w:ind w:left="2501"/>
        <w:rPr>
          <w:rFonts w:hint="eastAsia" w:asciiTheme="minorEastAsia" w:hAnsiTheme="minorEastAsia" w:eastAsiaTheme="minorEastAsia" w:cstheme="minorEastAsia"/>
          <w:color w:val="auto"/>
          <w:sz w:val="33"/>
          <w:szCs w:val="33"/>
        </w:rPr>
      </w:pPr>
      <w:r>
        <w:rPr>
          <w:rFonts w:hint="eastAsia" w:asciiTheme="minorEastAsia" w:hAnsiTheme="minorEastAsia" w:eastAsiaTheme="minorEastAsia" w:cstheme="minorEastAsia"/>
          <w:b/>
          <w:bCs/>
          <w:color w:val="auto"/>
          <w:spacing w:val="5"/>
          <w:sz w:val="33"/>
          <w:szCs w:val="33"/>
        </w:rPr>
        <w:t>项目实施人员一览表(如有要求)</w:t>
      </w:r>
    </w:p>
    <w:p w14:paraId="267F2BC6">
      <w:pPr>
        <w:spacing w:before="72" w:line="221" w:lineRule="auto"/>
        <w:ind w:left="2426"/>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11"/>
          <w:sz w:val="23"/>
          <w:szCs w:val="23"/>
        </w:rPr>
        <w:t>(由投标人根据采购需求及招标文件要求编制)</w:t>
      </w:r>
    </w:p>
    <w:p w14:paraId="6ACDBF22">
      <w:pPr>
        <w:pStyle w:val="10"/>
        <w:spacing w:line="445" w:lineRule="auto"/>
        <w:rPr>
          <w:rFonts w:hint="eastAsia" w:asciiTheme="minorEastAsia" w:hAnsiTheme="minorEastAsia" w:eastAsiaTheme="minorEastAsia" w:cstheme="minorEastAsia"/>
          <w:color w:val="auto"/>
        </w:rPr>
      </w:pPr>
    </w:p>
    <w:p w14:paraId="59CC8312">
      <w:pPr>
        <w:spacing w:before="74" w:line="225" w:lineRule="auto"/>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b/>
          <w:bCs/>
          <w:color w:val="auto"/>
          <w:spacing w:val="7"/>
          <w:sz w:val="23"/>
          <w:szCs w:val="23"/>
        </w:rPr>
        <w:t>附表A:本项目的项目经理情况表</w:t>
      </w:r>
    </w:p>
    <w:p w14:paraId="2EADB6AF">
      <w:pPr>
        <w:spacing w:line="121" w:lineRule="exact"/>
        <w:rPr>
          <w:rFonts w:hint="eastAsia" w:asciiTheme="minorEastAsia" w:hAnsiTheme="minorEastAsia" w:eastAsiaTheme="minorEastAsia" w:cstheme="minorEastAsia"/>
          <w:color w:val="auto"/>
        </w:rPr>
      </w:pPr>
    </w:p>
    <w:tbl>
      <w:tblPr>
        <w:tblStyle w:val="20"/>
        <w:tblW w:w="8760"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63"/>
        <w:gridCol w:w="1289"/>
        <w:gridCol w:w="1248"/>
        <w:gridCol w:w="4160"/>
      </w:tblGrid>
      <w:tr w14:paraId="303C8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3" w:hRule="atLeast"/>
        </w:trPr>
        <w:tc>
          <w:tcPr>
            <w:tcW w:w="2063" w:type="dxa"/>
            <w:vAlign w:val="top"/>
          </w:tcPr>
          <w:p w14:paraId="7CC70956">
            <w:pPr>
              <w:spacing w:line="251" w:lineRule="auto"/>
              <w:rPr>
                <w:rFonts w:hint="eastAsia" w:asciiTheme="minorEastAsia" w:hAnsiTheme="minorEastAsia" w:eastAsiaTheme="minorEastAsia" w:cstheme="minorEastAsia"/>
                <w:color w:val="auto"/>
                <w:sz w:val="21"/>
              </w:rPr>
            </w:pPr>
          </w:p>
          <w:p w14:paraId="721A6BAC">
            <w:pPr>
              <w:spacing w:line="252" w:lineRule="auto"/>
              <w:rPr>
                <w:rFonts w:hint="eastAsia" w:asciiTheme="minorEastAsia" w:hAnsiTheme="minorEastAsia" w:eastAsiaTheme="minorEastAsia" w:cstheme="minorEastAsia"/>
                <w:color w:val="auto"/>
                <w:sz w:val="21"/>
              </w:rPr>
            </w:pPr>
          </w:p>
          <w:p w14:paraId="78FDB4AF">
            <w:pPr>
              <w:pStyle w:val="21"/>
              <w:spacing w:before="78" w:line="219" w:lineRule="auto"/>
              <w:ind w:left="78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5"/>
                <w:sz w:val="24"/>
                <w:szCs w:val="24"/>
              </w:rPr>
              <w:t>姓名</w:t>
            </w:r>
          </w:p>
        </w:tc>
        <w:tc>
          <w:tcPr>
            <w:tcW w:w="1289" w:type="dxa"/>
            <w:vAlign w:val="top"/>
          </w:tcPr>
          <w:p w14:paraId="1506D6A0">
            <w:pPr>
              <w:rPr>
                <w:rFonts w:hint="eastAsia" w:asciiTheme="minorEastAsia" w:hAnsiTheme="minorEastAsia" w:eastAsiaTheme="minorEastAsia" w:cstheme="minorEastAsia"/>
                <w:color w:val="auto"/>
                <w:sz w:val="21"/>
              </w:rPr>
            </w:pPr>
          </w:p>
        </w:tc>
        <w:tc>
          <w:tcPr>
            <w:tcW w:w="1248" w:type="dxa"/>
            <w:vAlign w:val="top"/>
          </w:tcPr>
          <w:p w14:paraId="0D9507D3">
            <w:pPr>
              <w:spacing w:line="253" w:lineRule="auto"/>
              <w:rPr>
                <w:rFonts w:hint="eastAsia" w:asciiTheme="minorEastAsia" w:hAnsiTheme="minorEastAsia" w:eastAsiaTheme="minorEastAsia" w:cstheme="minorEastAsia"/>
                <w:color w:val="auto"/>
                <w:sz w:val="21"/>
              </w:rPr>
            </w:pPr>
          </w:p>
          <w:p w14:paraId="1ADF6941">
            <w:pPr>
              <w:spacing w:line="253" w:lineRule="auto"/>
              <w:rPr>
                <w:rFonts w:hint="eastAsia" w:asciiTheme="minorEastAsia" w:hAnsiTheme="minorEastAsia" w:eastAsiaTheme="minorEastAsia" w:cstheme="minorEastAsia"/>
                <w:color w:val="auto"/>
                <w:sz w:val="21"/>
              </w:rPr>
            </w:pPr>
          </w:p>
          <w:p w14:paraId="3A8B0C5A">
            <w:pPr>
              <w:pStyle w:val="21"/>
              <w:spacing w:before="78" w:line="221" w:lineRule="auto"/>
              <w:ind w:left="36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页码</w:t>
            </w:r>
          </w:p>
        </w:tc>
        <w:tc>
          <w:tcPr>
            <w:tcW w:w="4160" w:type="dxa"/>
            <w:vAlign w:val="top"/>
          </w:tcPr>
          <w:p w14:paraId="1E5314DC">
            <w:pPr>
              <w:pStyle w:val="21"/>
              <w:spacing w:before="45" w:line="343" w:lineRule="auto"/>
              <w:ind w:left="95" w:right="109" w:firstLine="59"/>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投标截止时间前三年业绩及承担的主</w:t>
            </w:r>
            <w:r>
              <w:rPr>
                <w:rFonts w:hint="eastAsia" w:asciiTheme="minorEastAsia" w:hAnsiTheme="minorEastAsia" w:eastAsiaTheme="minorEastAsia" w:cstheme="minorEastAsia"/>
                <w:color w:val="auto"/>
                <w:spacing w:val="12"/>
                <w:sz w:val="24"/>
                <w:szCs w:val="24"/>
              </w:rPr>
              <w:t xml:space="preserve"> </w:t>
            </w:r>
            <w:r>
              <w:rPr>
                <w:rFonts w:hint="eastAsia" w:asciiTheme="minorEastAsia" w:hAnsiTheme="minorEastAsia" w:eastAsiaTheme="minorEastAsia" w:cstheme="minorEastAsia"/>
                <w:color w:val="auto"/>
                <w:spacing w:val="6"/>
                <w:sz w:val="24"/>
                <w:szCs w:val="24"/>
              </w:rPr>
              <w:t>要工作情况，曾担任项目经理的项目</w:t>
            </w:r>
            <w:r>
              <w:rPr>
                <w:rFonts w:hint="eastAsia" w:asciiTheme="minorEastAsia" w:hAnsiTheme="minorEastAsia" w:eastAsiaTheme="minorEastAsia" w:cstheme="minorEastAsia"/>
                <w:color w:val="auto"/>
                <w:spacing w:val="8"/>
                <w:sz w:val="24"/>
                <w:szCs w:val="24"/>
              </w:rPr>
              <w:t xml:space="preserve"> </w:t>
            </w:r>
            <w:r>
              <w:rPr>
                <w:rFonts w:hint="eastAsia" w:asciiTheme="minorEastAsia" w:hAnsiTheme="minorEastAsia" w:eastAsiaTheme="minorEastAsia" w:cstheme="minorEastAsia"/>
                <w:color w:val="auto"/>
                <w:sz w:val="24"/>
                <w:szCs w:val="24"/>
              </w:rPr>
              <w:t>应列明细。</w:t>
            </w:r>
          </w:p>
        </w:tc>
      </w:tr>
      <w:tr w14:paraId="49FC6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2063" w:type="dxa"/>
            <w:vAlign w:val="top"/>
          </w:tcPr>
          <w:p w14:paraId="163653CD">
            <w:pPr>
              <w:pStyle w:val="21"/>
              <w:spacing w:before="42" w:line="220" w:lineRule="auto"/>
              <w:ind w:left="78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9"/>
                <w:sz w:val="24"/>
                <w:szCs w:val="24"/>
              </w:rPr>
              <w:t>性别</w:t>
            </w:r>
          </w:p>
        </w:tc>
        <w:tc>
          <w:tcPr>
            <w:tcW w:w="1289" w:type="dxa"/>
            <w:vAlign w:val="top"/>
          </w:tcPr>
          <w:p w14:paraId="31E5C811">
            <w:pPr>
              <w:rPr>
                <w:rFonts w:hint="eastAsia" w:asciiTheme="minorEastAsia" w:hAnsiTheme="minorEastAsia" w:eastAsiaTheme="minorEastAsia" w:cstheme="minorEastAsia"/>
                <w:color w:val="auto"/>
                <w:sz w:val="21"/>
              </w:rPr>
            </w:pPr>
          </w:p>
        </w:tc>
        <w:tc>
          <w:tcPr>
            <w:tcW w:w="1248" w:type="dxa"/>
            <w:vAlign w:val="top"/>
          </w:tcPr>
          <w:p w14:paraId="074CD7AD">
            <w:pPr>
              <w:rPr>
                <w:rFonts w:hint="eastAsia" w:asciiTheme="minorEastAsia" w:hAnsiTheme="minorEastAsia" w:eastAsiaTheme="minorEastAsia" w:cstheme="minorEastAsia"/>
                <w:color w:val="auto"/>
                <w:sz w:val="21"/>
              </w:rPr>
            </w:pPr>
          </w:p>
        </w:tc>
        <w:tc>
          <w:tcPr>
            <w:tcW w:w="4160" w:type="dxa"/>
            <w:vMerge w:val="restart"/>
            <w:tcBorders>
              <w:bottom w:val="nil"/>
            </w:tcBorders>
            <w:vAlign w:val="top"/>
          </w:tcPr>
          <w:p w14:paraId="199BCAD2">
            <w:pPr>
              <w:rPr>
                <w:rFonts w:hint="eastAsia" w:asciiTheme="minorEastAsia" w:hAnsiTheme="minorEastAsia" w:eastAsiaTheme="minorEastAsia" w:cstheme="minorEastAsia"/>
                <w:color w:val="auto"/>
                <w:sz w:val="21"/>
              </w:rPr>
            </w:pPr>
          </w:p>
        </w:tc>
      </w:tr>
      <w:tr w14:paraId="7AFE0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2063" w:type="dxa"/>
            <w:vAlign w:val="top"/>
          </w:tcPr>
          <w:p w14:paraId="57946A52">
            <w:pPr>
              <w:pStyle w:val="21"/>
              <w:spacing w:before="122" w:line="219" w:lineRule="auto"/>
              <w:ind w:left="78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年龄</w:t>
            </w:r>
          </w:p>
        </w:tc>
        <w:tc>
          <w:tcPr>
            <w:tcW w:w="1289" w:type="dxa"/>
            <w:vAlign w:val="top"/>
          </w:tcPr>
          <w:p w14:paraId="16631943">
            <w:pPr>
              <w:rPr>
                <w:rFonts w:hint="eastAsia" w:asciiTheme="minorEastAsia" w:hAnsiTheme="minorEastAsia" w:eastAsiaTheme="minorEastAsia" w:cstheme="minorEastAsia"/>
                <w:color w:val="auto"/>
                <w:sz w:val="21"/>
              </w:rPr>
            </w:pPr>
          </w:p>
        </w:tc>
        <w:tc>
          <w:tcPr>
            <w:tcW w:w="1248" w:type="dxa"/>
            <w:vAlign w:val="top"/>
          </w:tcPr>
          <w:p w14:paraId="171E9EC9">
            <w:pPr>
              <w:rPr>
                <w:rFonts w:hint="eastAsia" w:asciiTheme="minorEastAsia" w:hAnsiTheme="minorEastAsia" w:eastAsiaTheme="minorEastAsia" w:cstheme="minorEastAsia"/>
                <w:color w:val="auto"/>
                <w:sz w:val="21"/>
              </w:rPr>
            </w:pPr>
          </w:p>
        </w:tc>
        <w:tc>
          <w:tcPr>
            <w:tcW w:w="4160" w:type="dxa"/>
            <w:vMerge w:val="continue"/>
            <w:tcBorders>
              <w:top w:val="nil"/>
              <w:bottom w:val="nil"/>
            </w:tcBorders>
            <w:vAlign w:val="top"/>
          </w:tcPr>
          <w:p w14:paraId="1FFC3D09">
            <w:pPr>
              <w:rPr>
                <w:rFonts w:hint="eastAsia" w:asciiTheme="minorEastAsia" w:hAnsiTheme="minorEastAsia" w:eastAsiaTheme="minorEastAsia" w:cstheme="minorEastAsia"/>
                <w:color w:val="auto"/>
                <w:sz w:val="21"/>
              </w:rPr>
            </w:pPr>
          </w:p>
        </w:tc>
      </w:tr>
      <w:tr w14:paraId="448F1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2063" w:type="dxa"/>
            <w:vAlign w:val="top"/>
          </w:tcPr>
          <w:p w14:paraId="180A7A1D">
            <w:pPr>
              <w:pStyle w:val="21"/>
              <w:spacing w:before="47" w:line="221" w:lineRule="auto"/>
              <w:ind w:left="78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职称</w:t>
            </w:r>
          </w:p>
        </w:tc>
        <w:tc>
          <w:tcPr>
            <w:tcW w:w="1289" w:type="dxa"/>
            <w:vAlign w:val="top"/>
          </w:tcPr>
          <w:p w14:paraId="3FED1D55">
            <w:pPr>
              <w:rPr>
                <w:rFonts w:hint="eastAsia" w:asciiTheme="minorEastAsia" w:hAnsiTheme="minorEastAsia" w:eastAsiaTheme="minorEastAsia" w:cstheme="minorEastAsia"/>
                <w:color w:val="auto"/>
                <w:sz w:val="21"/>
              </w:rPr>
            </w:pPr>
          </w:p>
        </w:tc>
        <w:tc>
          <w:tcPr>
            <w:tcW w:w="1248" w:type="dxa"/>
            <w:vAlign w:val="top"/>
          </w:tcPr>
          <w:p w14:paraId="46F3AD51">
            <w:pPr>
              <w:rPr>
                <w:rFonts w:hint="eastAsia" w:asciiTheme="minorEastAsia" w:hAnsiTheme="minorEastAsia" w:eastAsiaTheme="minorEastAsia" w:cstheme="minorEastAsia"/>
                <w:color w:val="auto"/>
                <w:sz w:val="21"/>
              </w:rPr>
            </w:pPr>
          </w:p>
        </w:tc>
        <w:tc>
          <w:tcPr>
            <w:tcW w:w="4160" w:type="dxa"/>
            <w:vMerge w:val="continue"/>
            <w:tcBorders>
              <w:top w:val="nil"/>
              <w:bottom w:val="nil"/>
            </w:tcBorders>
            <w:vAlign w:val="top"/>
          </w:tcPr>
          <w:p w14:paraId="7FA52E3B">
            <w:pPr>
              <w:rPr>
                <w:rFonts w:hint="eastAsia" w:asciiTheme="minorEastAsia" w:hAnsiTheme="minorEastAsia" w:eastAsiaTheme="minorEastAsia" w:cstheme="minorEastAsia"/>
                <w:color w:val="auto"/>
                <w:sz w:val="21"/>
              </w:rPr>
            </w:pPr>
          </w:p>
        </w:tc>
      </w:tr>
      <w:tr w14:paraId="03201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2063" w:type="dxa"/>
            <w:vAlign w:val="top"/>
          </w:tcPr>
          <w:p w14:paraId="7C04DA7B">
            <w:pPr>
              <w:pStyle w:val="21"/>
              <w:spacing w:before="44" w:line="219" w:lineRule="auto"/>
              <w:ind w:left="54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毕业时间</w:t>
            </w:r>
          </w:p>
        </w:tc>
        <w:tc>
          <w:tcPr>
            <w:tcW w:w="1289" w:type="dxa"/>
            <w:vAlign w:val="top"/>
          </w:tcPr>
          <w:p w14:paraId="08E02809">
            <w:pPr>
              <w:rPr>
                <w:rFonts w:hint="eastAsia" w:asciiTheme="minorEastAsia" w:hAnsiTheme="minorEastAsia" w:eastAsiaTheme="minorEastAsia" w:cstheme="minorEastAsia"/>
                <w:color w:val="auto"/>
                <w:sz w:val="21"/>
              </w:rPr>
            </w:pPr>
          </w:p>
        </w:tc>
        <w:tc>
          <w:tcPr>
            <w:tcW w:w="1248" w:type="dxa"/>
            <w:vAlign w:val="top"/>
          </w:tcPr>
          <w:p w14:paraId="6D72C13D">
            <w:pPr>
              <w:rPr>
                <w:rFonts w:hint="eastAsia" w:asciiTheme="minorEastAsia" w:hAnsiTheme="minorEastAsia" w:eastAsiaTheme="minorEastAsia" w:cstheme="minorEastAsia"/>
                <w:color w:val="auto"/>
                <w:sz w:val="21"/>
              </w:rPr>
            </w:pPr>
          </w:p>
        </w:tc>
        <w:tc>
          <w:tcPr>
            <w:tcW w:w="4160" w:type="dxa"/>
            <w:vMerge w:val="continue"/>
            <w:tcBorders>
              <w:top w:val="nil"/>
              <w:bottom w:val="nil"/>
            </w:tcBorders>
            <w:vAlign w:val="top"/>
          </w:tcPr>
          <w:p w14:paraId="48320405">
            <w:pPr>
              <w:rPr>
                <w:rFonts w:hint="eastAsia" w:asciiTheme="minorEastAsia" w:hAnsiTheme="minorEastAsia" w:eastAsiaTheme="minorEastAsia" w:cstheme="minorEastAsia"/>
                <w:color w:val="auto"/>
                <w:sz w:val="21"/>
              </w:rPr>
            </w:pPr>
          </w:p>
        </w:tc>
      </w:tr>
      <w:tr w14:paraId="68076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2063" w:type="dxa"/>
            <w:vAlign w:val="top"/>
          </w:tcPr>
          <w:p w14:paraId="14AA7829">
            <w:pPr>
              <w:pStyle w:val="21"/>
              <w:spacing w:before="46" w:line="220" w:lineRule="auto"/>
              <w:ind w:left="54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所学专业</w:t>
            </w:r>
          </w:p>
        </w:tc>
        <w:tc>
          <w:tcPr>
            <w:tcW w:w="1289" w:type="dxa"/>
            <w:vAlign w:val="top"/>
          </w:tcPr>
          <w:p w14:paraId="7B590B22">
            <w:pPr>
              <w:rPr>
                <w:rFonts w:hint="eastAsia" w:asciiTheme="minorEastAsia" w:hAnsiTheme="minorEastAsia" w:eastAsiaTheme="minorEastAsia" w:cstheme="minorEastAsia"/>
                <w:color w:val="auto"/>
                <w:sz w:val="21"/>
              </w:rPr>
            </w:pPr>
          </w:p>
        </w:tc>
        <w:tc>
          <w:tcPr>
            <w:tcW w:w="1248" w:type="dxa"/>
            <w:vAlign w:val="top"/>
          </w:tcPr>
          <w:p w14:paraId="10411EAE">
            <w:pPr>
              <w:rPr>
                <w:rFonts w:hint="eastAsia" w:asciiTheme="minorEastAsia" w:hAnsiTheme="minorEastAsia" w:eastAsiaTheme="minorEastAsia" w:cstheme="minorEastAsia"/>
                <w:color w:val="auto"/>
                <w:sz w:val="21"/>
              </w:rPr>
            </w:pPr>
          </w:p>
        </w:tc>
        <w:tc>
          <w:tcPr>
            <w:tcW w:w="4160" w:type="dxa"/>
            <w:vMerge w:val="continue"/>
            <w:tcBorders>
              <w:top w:val="nil"/>
              <w:bottom w:val="nil"/>
            </w:tcBorders>
            <w:vAlign w:val="top"/>
          </w:tcPr>
          <w:p w14:paraId="1ADB21B2">
            <w:pPr>
              <w:rPr>
                <w:rFonts w:hint="eastAsia" w:asciiTheme="minorEastAsia" w:hAnsiTheme="minorEastAsia" w:eastAsiaTheme="minorEastAsia" w:cstheme="minorEastAsia"/>
                <w:color w:val="auto"/>
                <w:sz w:val="21"/>
              </w:rPr>
            </w:pPr>
          </w:p>
        </w:tc>
      </w:tr>
      <w:tr w14:paraId="623ED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2063" w:type="dxa"/>
            <w:vAlign w:val="top"/>
          </w:tcPr>
          <w:p w14:paraId="4623F341">
            <w:pPr>
              <w:pStyle w:val="21"/>
              <w:spacing w:before="38" w:line="221" w:lineRule="auto"/>
              <w:ind w:left="78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学历</w:t>
            </w:r>
          </w:p>
        </w:tc>
        <w:tc>
          <w:tcPr>
            <w:tcW w:w="1289" w:type="dxa"/>
            <w:vAlign w:val="top"/>
          </w:tcPr>
          <w:p w14:paraId="529792A2">
            <w:pPr>
              <w:rPr>
                <w:rFonts w:hint="eastAsia" w:asciiTheme="minorEastAsia" w:hAnsiTheme="minorEastAsia" w:eastAsiaTheme="minorEastAsia" w:cstheme="minorEastAsia"/>
                <w:color w:val="auto"/>
                <w:sz w:val="21"/>
              </w:rPr>
            </w:pPr>
          </w:p>
        </w:tc>
        <w:tc>
          <w:tcPr>
            <w:tcW w:w="1248" w:type="dxa"/>
            <w:vAlign w:val="top"/>
          </w:tcPr>
          <w:p w14:paraId="523B8B6D">
            <w:pPr>
              <w:rPr>
                <w:rFonts w:hint="eastAsia" w:asciiTheme="minorEastAsia" w:hAnsiTheme="minorEastAsia" w:eastAsiaTheme="minorEastAsia" w:cstheme="minorEastAsia"/>
                <w:color w:val="auto"/>
                <w:sz w:val="21"/>
              </w:rPr>
            </w:pPr>
          </w:p>
        </w:tc>
        <w:tc>
          <w:tcPr>
            <w:tcW w:w="4160" w:type="dxa"/>
            <w:vMerge w:val="continue"/>
            <w:tcBorders>
              <w:top w:val="nil"/>
              <w:bottom w:val="nil"/>
            </w:tcBorders>
            <w:vAlign w:val="top"/>
          </w:tcPr>
          <w:p w14:paraId="3029FBAF">
            <w:pPr>
              <w:rPr>
                <w:rFonts w:hint="eastAsia" w:asciiTheme="minorEastAsia" w:hAnsiTheme="minorEastAsia" w:eastAsiaTheme="minorEastAsia" w:cstheme="minorEastAsia"/>
                <w:color w:val="auto"/>
                <w:sz w:val="21"/>
              </w:rPr>
            </w:pPr>
          </w:p>
        </w:tc>
      </w:tr>
      <w:tr w14:paraId="1C557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2063" w:type="dxa"/>
            <w:vAlign w:val="top"/>
          </w:tcPr>
          <w:p w14:paraId="210174C5">
            <w:pPr>
              <w:pStyle w:val="21"/>
              <w:spacing w:before="36" w:line="219" w:lineRule="auto"/>
              <w:ind w:left="30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资质证书编号</w:t>
            </w:r>
          </w:p>
        </w:tc>
        <w:tc>
          <w:tcPr>
            <w:tcW w:w="1289" w:type="dxa"/>
            <w:vAlign w:val="top"/>
          </w:tcPr>
          <w:p w14:paraId="3AC37F85">
            <w:pPr>
              <w:rPr>
                <w:rFonts w:hint="eastAsia" w:asciiTheme="minorEastAsia" w:hAnsiTheme="minorEastAsia" w:eastAsiaTheme="minorEastAsia" w:cstheme="minorEastAsia"/>
                <w:color w:val="auto"/>
                <w:sz w:val="21"/>
              </w:rPr>
            </w:pPr>
          </w:p>
        </w:tc>
        <w:tc>
          <w:tcPr>
            <w:tcW w:w="1248" w:type="dxa"/>
            <w:vAlign w:val="top"/>
          </w:tcPr>
          <w:p w14:paraId="602A8522">
            <w:pPr>
              <w:rPr>
                <w:rFonts w:hint="eastAsia" w:asciiTheme="minorEastAsia" w:hAnsiTheme="minorEastAsia" w:eastAsiaTheme="minorEastAsia" w:cstheme="minorEastAsia"/>
                <w:color w:val="auto"/>
                <w:sz w:val="21"/>
              </w:rPr>
            </w:pPr>
          </w:p>
        </w:tc>
        <w:tc>
          <w:tcPr>
            <w:tcW w:w="4160" w:type="dxa"/>
            <w:vMerge w:val="continue"/>
            <w:tcBorders>
              <w:top w:val="nil"/>
              <w:bottom w:val="nil"/>
            </w:tcBorders>
            <w:vAlign w:val="top"/>
          </w:tcPr>
          <w:p w14:paraId="49A6F2A0">
            <w:pPr>
              <w:rPr>
                <w:rFonts w:hint="eastAsia" w:asciiTheme="minorEastAsia" w:hAnsiTheme="minorEastAsia" w:eastAsiaTheme="minorEastAsia" w:cstheme="minorEastAsia"/>
                <w:color w:val="auto"/>
                <w:sz w:val="21"/>
              </w:rPr>
            </w:pPr>
          </w:p>
        </w:tc>
      </w:tr>
      <w:tr w14:paraId="17A09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2063" w:type="dxa"/>
            <w:vAlign w:val="top"/>
          </w:tcPr>
          <w:p w14:paraId="3132B99E">
            <w:pPr>
              <w:pStyle w:val="21"/>
              <w:spacing w:before="49" w:line="220" w:lineRule="auto"/>
              <w:ind w:left="30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其他资质情况</w:t>
            </w:r>
          </w:p>
        </w:tc>
        <w:tc>
          <w:tcPr>
            <w:tcW w:w="1289" w:type="dxa"/>
            <w:vAlign w:val="top"/>
          </w:tcPr>
          <w:p w14:paraId="5886F08C">
            <w:pPr>
              <w:rPr>
                <w:rFonts w:hint="eastAsia" w:asciiTheme="minorEastAsia" w:hAnsiTheme="minorEastAsia" w:eastAsiaTheme="minorEastAsia" w:cstheme="minorEastAsia"/>
                <w:color w:val="auto"/>
                <w:sz w:val="21"/>
              </w:rPr>
            </w:pPr>
          </w:p>
        </w:tc>
        <w:tc>
          <w:tcPr>
            <w:tcW w:w="1248" w:type="dxa"/>
            <w:vAlign w:val="top"/>
          </w:tcPr>
          <w:p w14:paraId="59205B3A">
            <w:pPr>
              <w:rPr>
                <w:rFonts w:hint="eastAsia" w:asciiTheme="minorEastAsia" w:hAnsiTheme="minorEastAsia" w:eastAsiaTheme="minorEastAsia" w:cstheme="minorEastAsia"/>
                <w:color w:val="auto"/>
                <w:sz w:val="21"/>
              </w:rPr>
            </w:pPr>
          </w:p>
        </w:tc>
        <w:tc>
          <w:tcPr>
            <w:tcW w:w="4160" w:type="dxa"/>
            <w:vMerge w:val="continue"/>
            <w:tcBorders>
              <w:top w:val="nil"/>
              <w:bottom w:val="nil"/>
            </w:tcBorders>
            <w:vAlign w:val="top"/>
          </w:tcPr>
          <w:p w14:paraId="778FF168">
            <w:pPr>
              <w:rPr>
                <w:rFonts w:hint="eastAsia" w:asciiTheme="minorEastAsia" w:hAnsiTheme="minorEastAsia" w:eastAsiaTheme="minorEastAsia" w:cstheme="minorEastAsia"/>
                <w:color w:val="auto"/>
                <w:sz w:val="21"/>
              </w:rPr>
            </w:pPr>
          </w:p>
        </w:tc>
      </w:tr>
      <w:tr w14:paraId="5BD11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2063" w:type="dxa"/>
            <w:vAlign w:val="top"/>
          </w:tcPr>
          <w:p w14:paraId="296CEA77">
            <w:pPr>
              <w:pStyle w:val="21"/>
              <w:spacing w:before="63" w:line="221" w:lineRule="auto"/>
              <w:ind w:left="54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联系电话</w:t>
            </w:r>
          </w:p>
        </w:tc>
        <w:tc>
          <w:tcPr>
            <w:tcW w:w="1289" w:type="dxa"/>
            <w:vAlign w:val="top"/>
          </w:tcPr>
          <w:p w14:paraId="300D4809">
            <w:pPr>
              <w:rPr>
                <w:rFonts w:hint="eastAsia" w:asciiTheme="minorEastAsia" w:hAnsiTheme="minorEastAsia" w:eastAsiaTheme="minorEastAsia" w:cstheme="minorEastAsia"/>
                <w:color w:val="auto"/>
                <w:sz w:val="21"/>
              </w:rPr>
            </w:pPr>
          </w:p>
        </w:tc>
        <w:tc>
          <w:tcPr>
            <w:tcW w:w="1248" w:type="dxa"/>
            <w:vAlign w:val="top"/>
          </w:tcPr>
          <w:p w14:paraId="148331A7">
            <w:pPr>
              <w:rPr>
                <w:rFonts w:hint="eastAsia" w:asciiTheme="minorEastAsia" w:hAnsiTheme="minorEastAsia" w:eastAsiaTheme="minorEastAsia" w:cstheme="minorEastAsia"/>
                <w:color w:val="auto"/>
                <w:sz w:val="21"/>
              </w:rPr>
            </w:pPr>
          </w:p>
        </w:tc>
        <w:tc>
          <w:tcPr>
            <w:tcW w:w="4160" w:type="dxa"/>
            <w:vMerge w:val="continue"/>
            <w:tcBorders>
              <w:top w:val="nil"/>
            </w:tcBorders>
            <w:vAlign w:val="top"/>
          </w:tcPr>
          <w:p w14:paraId="2793C9DD">
            <w:pPr>
              <w:rPr>
                <w:rFonts w:hint="eastAsia" w:asciiTheme="minorEastAsia" w:hAnsiTheme="minorEastAsia" w:eastAsiaTheme="minorEastAsia" w:cstheme="minorEastAsia"/>
                <w:color w:val="auto"/>
                <w:sz w:val="21"/>
              </w:rPr>
            </w:pPr>
          </w:p>
        </w:tc>
      </w:tr>
    </w:tbl>
    <w:p w14:paraId="772C5027">
      <w:pPr>
        <w:spacing w:before="62" w:line="219" w:lineRule="auto"/>
        <w:ind w:left="1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3"/>
          <w:sz w:val="24"/>
          <w:szCs w:val="24"/>
        </w:rPr>
        <w:t>注：投标人可参照上述的格式自行编制，并注明所在投标技术文件页码。</w:t>
      </w:r>
    </w:p>
    <w:p w14:paraId="43A7F252">
      <w:pPr>
        <w:spacing w:before="202" w:line="222" w:lineRule="auto"/>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b/>
          <w:bCs/>
          <w:color w:val="auto"/>
          <w:spacing w:val="15"/>
          <w:sz w:val="23"/>
          <w:szCs w:val="23"/>
        </w:rPr>
        <w:t>附表B:本项目的项目小组人员情况表</w:t>
      </w:r>
      <w:r>
        <w:rPr>
          <w:rFonts w:hint="eastAsia" w:asciiTheme="minorEastAsia" w:hAnsiTheme="minorEastAsia" w:eastAsiaTheme="minorEastAsia" w:cstheme="minorEastAsia"/>
          <w:color w:val="auto"/>
          <w:spacing w:val="15"/>
          <w:sz w:val="23"/>
          <w:szCs w:val="23"/>
        </w:rPr>
        <w:t>(参照此格式自制)</w:t>
      </w:r>
    </w:p>
    <w:p w14:paraId="30A9F563">
      <w:pPr>
        <w:spacing w:line="125" w:lineRule="exact"/>
        <w:rPr>
          <w:rFonts w:hint="eastAsia" w:asciiTheme="minorEastAsia" w:hAnsiTheme="minorEastAsia" w:eastAsiaTheme="minorEastAsia" w:cstheme="minorEastAsia"/>
          <w:color w:val="auto"/>
        </w:rPr>
      </w:pPr>
    </w:p>
    <w:tbl>
      <w:tblPr>
        <w:tblStyle w:val="20"/>
        <w:tblW w:w="9019" w:type="dxa"/>
        <w:tblInd w:w="3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4"/>
        <w:gridCol w:w="779"/>
        <w:gridCol w:w="409"/>
        <w:gridCol w:w="599"/>
        <w:gridCol w:w="1029"/>
        <w:gridCol w:w="1079"/>
        <w:gridCol w:w="1089"/>
        <w:gridCol w:w="1249"/>
        <w:gridCol w:w="899"/>
        <w:gridCol w:w="1473"/>
      </w:tblGrid>
      <w:tr w14:paraId="449AE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414" w:type="dxa"/>
            <w:textDirection w:val="tbRlV"/>
            <w:vAlign w:val="top"/>
          </w:tcPr>
          <w:p w14:paraId="68EC553F">
            <w:pPr>
              <w:pStyle w:val="21"/>
              <w:spacing w:before="103" w:line="199" w:lineRule="auto"/>
              <w:ind w:left="93"/>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z w:val="23"/>
                <w:szCs w:val="23"/>
              </w:rPr>
              <w:t>序</w:t>
            </w:r>
            <w:r>
              <w:rPr>
                <w:rFonts w:hint="eastAsia" w:asciiTheme="minorEastAsia" w:hAnsiTheme="minorEastAsia" w:eastAsiaTheme="minorEastAsia" w:cstheme="minorEastAsia"/>
                <w:color w:val="auto"/>
                <w:spacing w:val="24"/>
                <w:sz w:val="23"/>
                <w:szCs w:val="23"/>
              </w:rPr>
              <w:t xml:space="preserve">  </w:t>
            </w:r>
            <w:r>
              <w:rPr>
                <w:rFonts w:hint="eastAsia" w:asciiTheme="minorEastAsia" w:hAnsiTheme="minorEastAsia" w:eastAsiaTheme="minorEastAsia" w:cstheme="minorEastAsia"/>
                <w:color w:val="auto"/>
                <w:sz w:val="23"/>
                <w:szCs w:val="23"/>
              </w:rPr>
              <w:t>号</w:t>
            </w:r>
          </w:p>
        </w:tc>
        <w:tc>
          <w:tcPr>
            <w:tcW w:w="779" w:type="dxa"/>
            <w:vAlign w:val="top"/>
          </w:tcPr>
          <w:p w14:paraId="6708E8A1">
            <w:pPr>
              <w:spacing w:line="288" w:lineRule="auto"/>
              <w:rPr>
                <w:rFonts w:hint="eastAsia" w:asciiTheme="minorEastAsia" w:hAnsiTheme="minorEastAsia" w:eastAsiaTheme="minorEastAsia" w:cstheme="minorEastAsia"/>
                <w:color w:val="auto"/>
                <w:sz w:val="21"/>
              </w:rPr>
            </w:pPr>
          </w:p>
          <w:p w14:paraId="106F4DD3">
            <w:pPr>
              <w:pStyle w:val="21"/>
              <w:spacing w:before="74" w:line="219" w:lineRule="auto"/>
              <w:ind w:left="131"/>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14"/>
                <w:sz w:val="23"/>
                <w:szCs w:val="23"/>
              </w:rPr>
              <w:t>姓名</w:t>
            </w:r>
          </w:p>
        </w:tc>
        <w:tc>
          <w:tcPr>
            <w:tcW w:w="409" w:type="dxa"/>
            <w:textDirection w:val="tbRlV"/>
            <w:vAlign w:val="top"/>
          </w:tcPr>
          <w:p w14:paraId="291A2880">
            <w:pPr>
              <w:pStyle w:val="21"/>
              <w:spacing w:before="96" w:line="199" w:lineRule="auto"/>
              <w:ind w:left="74"/>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z w:val="23"/>
                <w:szCs w:val="23"/>
              </w:rPr>
              <w:t>性</w:t>
            </w:r>
            <w:r>
              <w:rPr>
                <w:rFonts w:hint="eastAsia" w:asciiTheme="minorEastAsia" w:hAnsiTheme="minorEastAsia" w:eastAsiaTheme="minorEastAsia" w:cstheme="minorEastAsia"/>
                <w:color w:val="auto"/>
                <w:spacing w:val="43"/>
                <w:sz w:val="23"/>
                <w:szCs w:val="23"/>
              </w:rPr>
              <w:t xml:space="preserve">  </w:t>
            </w:r>
            <w:r>
              <w:rPr>
                <w:rFonts w:hint="eastAsia" w:asciiTheme="minorEastAsia" w:hAnsiTheme="minorEastAsia" w:eastAsiaTheme="minorEastAsia" w:cstheme="minorEastAsia"/>
                <w:color w:val="auto"/>
                <w:sz w:val="23"/>
                <w:szCs w:val="23"/>
              </w:rPr>
              <w:t>别</w:t>
            </w:r>
          </w:p>
        </w:tc>
        <w:tc>
          <w:tcPr>
            <w:tcW w:w="599" w:type="dxa"/>
            <w:vAlign w:val="top"/>
          </w:tcPr>
          <w:p w14:paraId="1CDE78B8">
            <w:pPr>
              <w:pStyle w:val="21"/>
              <w:spacing w:before="53" w:line="204" w:lineRule="auto"/>
              <w:ind w:left="173"/>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z w:val="23"/>
                <w:szCs w:val="23"/>
              </w:rPr>
              <w:t>年</w:t>
            </w:r>
          </w:p>
          <w:p w14:paraId="37059270">
            <w:pPr>
              <w:pStyle w:val="21"/>
              <w:spacing w:line="222" w:lineRule="auto"/>
              <w:ind w:left="173"/>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z w:val="23"/>
                <w:szCs w:val="23"/>
              </w:rPr>
              <w:t>龄</w:t>
            </w:r>
          </w:p>
        </w:tc>
        <w:tc>
          <w:tcPr>
            <w:tcW w:w="1029" w:type="dxa"/>
            <w:vAlign w:val="top"/>
          </w:tcPr>
          <w:p w14:paraId="758D9123">
            <w:pPr>
              <w:pStyle w:val="21"/>
              <w:spacing w:before="35" w:line="221" w:lineRule="auto"/>
              <w:ind w:left="273"/>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7"/>
                <w:sz w:val="23"/>
                <w:szCs w:val="23"/>
              </w:rPr>
              <w:t>学历</w:t>
            </w:r>
          </w:p>
          <w:p w14:paraId="7099DA9D">
            <w:pPr>
              <w:pStyle w:val="21"/>
              <w:spacing w:before="196" w:line="221" w:lineRule="auto"/>
              <w:ind w:left="164"/>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12"/>
                <w:sz w:val="23"/>
                <w:szCs w:val="23"/>
              </w:rPr>
              <w:t>(页码)</w:t>
            </w:r>
          </w:p>
        </w:tc>
        <w:tc>
          <w:tcPr>
            <w:tcW w:w="1079" w:type="dxa"/>
            <w:vAlign w:val="top"/>
          </w:tcPr>
          <w:p w14:paraId="6D086339">
            <w:pPr>
              <w:pStyle w:val="21"/>
              <w:spacing w:before="35" w:line="220" w:lineRule="auto"/>
              <w:ind w:left="305"/>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3"/>
                <w:sz w:val="23"/>
                <w:szCs w:val="23"/>
              </w:rPr>
              <w:t>专业</w:t>
            </w:r>
          </w:p>
          <w:p w14:paraId="231C1EC4">
            <w:pPr>
              <w:pStyle w:val="21"/>
              <w:spacing w:before="198" w:line="221" w:lineRule="auto"/>
              <w:ind w:left="184"/>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12"/>
                <w:sz w:val="23"/>
                <w:szCs w:val="23"/>
              </w:rPr>
              <w:t>(页码)</w:t>
            </w:r>
          </w:p>
        </w:tc>
        <w:tc>
          <w:tcPr>
            <w:tcW w:w="1089" w:type="dxa"/>
            <w:vAlign w:val="top"/>
          </w:tcPr>
          <w:p w14:paraId="5197DD1A">
            <w:pPr>
              <w:pStyle w:val="21"/>
              <w:spacing w:before="37" w:line="221" w:lineRule="auto"/>
              <w:ind w:left="305"/>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5"/>
                <w:sz w:val="23"/>
                <w:szCs w:val="23"/>
              </w:rPr>
              <w:t>职称</w:t>
            </w:r>
          </w:p>
          <w:p w14:paraId="24853ABE">
            <w:pPr>
              <w:pStyle w:val="21"/>
              <w:spacing w:before="194" w:line="221" w:lineRule="auto"/>
              <w:ind w:left="195"/>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12"/>
                <w:sz w:val="23"/>
                <w:szCs w:val="23"/>
              </w:rPr>
              <w:t>(页码)</w:t>
            </w:r>
          </w:p>
        </w:tc>
        <w:tc>
          <w:tcPr>
            <w:tcW w:w="1249" w:type="dxa"/>
            <w:vAlign w:val="top"/>
          </w:tcPr>
          <w:p w14:paraId="0BDEFE4D">
            <w:pPr>
              <w:pStyle w:val="21"/>
              <w:spacing w:before="43" w:line="219" w:lineRule="auto"/>
              <w:ind w:left="157"/>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6"/>
                <w:sz w:val="23"/>
                <w:szCs w:val="23"/>
              </w:rPr>
              <w:t>本项目中</w:t>
            </w:r>
          </w:p>
          <w:p w14:paraId="7988101B">
            <w:pPr>
              <w:pStyle w:val="21"/>
              <w:spacing w:before="199" w:line="221" w:lineRule="auto"/>
              <w:ind w:left="276"/>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5"/>
                <w:sz w:val="23"/>
                <w:szCs w:val="23"/>
              </w:rPr>
              <w:t>的职责</w:t>
            </w:r>
          </w:p>
        </w:tc>
        <w:tc>
          <w:tcPr>
            <w:tcW w:w="899" w:type="dxa"/>
            <w:vAlign w:val="top"/>
          </w:tcPr>
          <w:p w14:paraId="55B7CDE3">
            <w:pPr>
              <w:pStyle w:val="21"/>
              <w:spacing w:before="35" w:line="220" w:lineRule="auto"/>
              <w:ind w:left="217"/>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7"/>
                <w:sz w:val="23"/>
                <w:szCs w:val="23"/>
              </w:rPr>
              <w:t>项 目</w:t>
            </w:r>
          </w:p>
          <w:p w14:paraId="3FED1EF3">
            <w:pPr>
              <w:pStyle w:val="21"/>
              <w:spacing w:before="198" w:line="222" w:lineRule="auto"/>
              <w:ind w:left="217"/>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7"/>
                <w:sz w:val="23"/>
                <w:szCs w:val="23"/>
              </w:rPr>
              <w:t>经历</w:t>
            </w:r>
          </w:p>
        </w:tc>
        <w:tc>
          <w:tcPr>
            <w:tcW w:w="1473" w:type="dxa"/>
            <w:vAlign w:val="top"/>
          </w:tcPr>
          <w:p w14:paraId="608CFD24">
            <w:pPr>
              <w:pStyle w:val="21"/>
              <w:spacing w:before="53" w:line="219" w:lineRule="auto"/>
              <w:ind w:left="159"/>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8"/>
                <w:sz w:val="23"/>
                <w:szCs w:val="23"/>
              </w:rPr>
              <w:t>参与本项目</w:t>
            </w:r>
          </w:p>
          <w:p w14:paraId="40022B30">
            <w:pPr>
              <w:pStyle w:val="21"/>
              <w:spacing w:before="189" w:line="220" w:lineRule="auto"/>
              <w:ind w:left="159"/>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1"/>
                <w:sz w:val="23"/>
                <w:szCs w:val="23"/>
              </w:rPr>
              <w:t>的到位情况</w:t>
            </w:r>
          </w:p>
        </w:tc>
      </w:tr>
      <w:tr w14:paraId="6A3D9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414" w:type="dxa"/>
            <w:vAlign w:val="top"/>
          </w:tcPr>
          <w:p w14:paraId="53F33C24">
            <w:pPr>
              <w:rPr>
                <w:rFonts w:hint="eastAsia" w:asciiTheme="minorEastAsia" w:hAnsiTheme="minorEastAsia" w:eastAsiaTheme="minorEastAsia" w:cstheme="minorEastAsia"/>
                <w:color w:val="auto"/>
                <w:sz w:val="21"/>
              </w:rPr>
            </w:pPr>
          </w:p>
        </w:tc>
        <w:tc>
          <w:tcPr>
            <w:tcW w:w="779" w:type="dxa"/>
            <w:vAlign w:val="top"/>
          </w:tcPr>
          <w:p w14:paraId="70D649A3">
            <w:pPr>
              <w:rPr>
                <w:rFonts w:hint="eastAsia" w:asciiTheme="minorEastAsia" w:hAnsiTheme="minorEastAsia" w:eastAsiaTheme="minorEastAsia" w:cstheme="minorEastAsia"/>
                <w:color w:val="auto"/>
                <w:sz w:val="21"/>
              </w:rPr>
            </w:pPr>
          </w:p>
        </w:tc>
        <w:tc>
          <w:tcPr>
            <w:tcW w:w="409" w:type="dxa"/>
            <w:vAlign w:val="top"/>
          </w:tcPr>
          <w:p w14:paraId="6E87607C">
            <w:pPr>
              <w:rPr>
                <w:rFonts w:hint="eastAsia" w:asciiTheme="minorEastAsia" w:hAnsiTheme="minorEastAsia" w:eastAsiaTheme="minorEastAsia" w:cstheme="minorEastAsia"/>
                <w:color w:val="auto"/>
                <w:sz w:val="21"/>
              </w:rPr>
            </w:pPr>
          </w:p>
        </w:tc>
        <w:tc>
          <w:tcPr>
            <w:tcW w:w="599" w:type="dxa"/>
            <w:vAlign w:val="top"/>
          </w:tcPr>
          <w:p w14:paraId="46F9AB33">
            <w:pPr>
              <w:rPr>
                <w:rFonts w:hint="eastAsia" w:asciiTheme="minorEastAsia" w:hAnsiTheme="minorEastAsia" w:eastAsiaTheme="minorEastAsia" w:cstheme="minorEastAsia"/>
                <w:color w:val="auto"/>
                <w:sz w:val="21"/>
              </w:rPr>
            </w:pPr>
          </w:p>
        </w:tc>
        <w:tc>
          <w:tcPr>
            <w:tcW w:w="1029" w:type="dxa"/>
            <w:vAlign w:val="top"/>
          </w:tcPr>
          <w:p w14:paraId="178B88BE">
            <w:pPr>
              <w:rPr>
                <w:rFonts w:hint="eastAsia" w:asciiTheme="minorEastAsia" w:hAnsiTheme="minorEastAsia" w:eastAsiaTheme="minorEastAsia" w:cstheme="minorEastAsia"/>
                <w:color w:val="auto"/>
                <w:sz w:val="21"/>
              </w:rPr>
            </w:pPr>
          </w:p>
        </w:tc>
        <w:tc>
          <w:tcPr>
            <w:tcW w:w="1079" w:type="dxa"/>
            <w:vAlign w:val="top"/>
          </w:tcPr>
          <w:p w14:paraId="5C4C58EA">
            <w:pPr>
              <w:rPr>
                <w:rFonts w:hint="eastAsia" w:asciiTheme="minorEastAsia" w:hAnsiTheme="minorEastAsia" w:eastAsiaTheme="minorEastAsia" w:cstheme="minorEastAsia"/>
                <w:color w:val="auto"/>
                <w:sz w:val="21"/>
              </w:rPr>
            </w:pPr>
          </w:p>
        </w:tc>
        <w:tc>
          <w:tcPr>
            <w:tcW w:w="1089" w:type="dxa"/>
            <w:vAlign w:val="top"/>
          </w:tcPr>
          <w:p w14:paraId="0BBCBFB7">
            <w:pPr>
              <w:rPr>
                <w:rFonts w:hint="eastAsia" w:asciiTheme="minorEastAsia" w:hAnsiTheme="minorEastAsia" w:eastAsiaTheme="minorEastAsia" w:cstheme="minorEastAsia"/>
                <w:color w:val="auto"/>
                <w:sz w:val="21"/>
              </w:rPr>
            </w:pPr>
          </w:p>
        </w:tc>
        <w:tc>
          <w:tcPr>
            <w:tcW w:w="1249" w:type="dxa"/>
            <w:vAlign w:val="top"/>
          </w:tcPr>
          <w:p w14:paraId="250A643C">
            <w:pPr>
              <w:rPr>
                <w:rFonts w:hint="eastAsia" w:asciiTheme="minorEastAsia" w:hAnsiTheme="minorEastAsia" w:eastAsiaTheme="minorEastAsia" w:cstheme="minorEastAsia"/>
                <w:color w:val="auto"/>
                <w:sz w:val="21"/>
              </w:rPr>
            </w:pPr>
          </w:p>
        </w:tc>
        <w:tc>
          <w:tcPr>
            <w:tcW w:w="899" w:type="dxa"/>
            <w:vAlign w:val="top"/>
          </w:tcPr>
          <w:p w14:paraId="7FB73EF4">
            <w:pPr>
              <w:rPr>
                <w:rFonts w:hint="eastAsia" w:asciiTheme="minorEastAsia" w:hAnsiTheme="minorEastAsia" w:eastAsiaTheme="minorEastAsia" w:cstheme="minorEastAsia"/>
                <w:color w:val="auto"/>
                <w:sz w:val="21"/>
              </w:rPr>
            </w:pPr>
          </w:p>
        </w:tc>
        <w:tc>
          <w:tcPr>
            <w:tcW w:w="1473" w:type="dxa"/>
            <w:vAlign w:val="top"/>
          </w:tcPr>
          <w:p w14:paraId="65FDE1D0">
            <w:pPr>
              <w:rPr>
                <w:rFonts w:hint="eastAsia" w:asciiTheme="minorEastAsia" w:hAnsiTheme="minorEastAsia" w:eastAsiaTheme="minorEastAsia" w:cstheme="minorEastAsia"/>
                <w:color w:val="auto"/>
                <w:sz w:val="21"/>
              </w:rPr>
            </w:pPr>
          </w:p>
        </w:tc>
      </w:tr>
      <w:tr w14:paraId="17EFE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414" w:type="dxa"/>
            <w:vAlign w:val="top"/>
          </w:tcPr>
          <w:p w14:paraId="36CF6252">
            <w:pPr>
              <w:rPr>
                <w:rFonts w:hint="eastAsia" w:asciiTheme="minorEastAsia" w:hAnsiTheme="minorEastAsia" w:eastAsiaTheme="minorEastAsia" w:cstheme="minorEastAsia"/>
                <w:color w:val="auto"/>
                <w:sz w:val="21"/>
              </w:rPr>
            </w:pPr>
          </w:p>
        </w:tc>
        <w:tc>
          <w:tcPr>
            <w:tcW w:w="779" w:type="dxa"/>
            <w:vAlign w:val="top"/>
          </w:tcPr>
          <w:p w14:paraId="52A7246F">
            <w:pPr>
              <w:rPr>
                <w:rFonts w:hint="eastAsia" w:asciiTheme="minorEastAsia" w:hAnsiTheme="minorEastAsia" w:eastAsiaTheme="minorEastAsia" w:cstheme="minorEastAsia"/>
                <w:color w:val="auto"/>
                <w:sz w:val="21"/>
              </w:rPr>
            </w:pPr>
          </w:p>
        </w:tc>
        <w:tc>
          <w:tcPr>
            <w:tcW w:w="409" w:type="dxa"/>
            <w:vAlign w:val="top"/>
          </w:tcPr>
          <w:p w14:paraId="1B818803">
            <w:pPr>
              <w:rPr>
                <w:rFonts w:hint="eastAsia" w:asciiTheme="minorEastAsia" w:hAnsiTheme="minorEastAsia" w:eastAsiaTheme="minorEastAsia" w:cstheme="minorEastAsia"/>
                <w:color w:val="auto"/>
                <w:sz w:val="21"/>
              </w:rPr>
            </w:pPr>
          </w:p>
        </w:tc>
        <w:tc>
          <w:tcPr>
            <w:tcW w:w="599" w:type="dxa"/>
            <w:vAlign w:val="top"/>
          </w:tcPr>
          <w:p w14:paraId="4D770D17">
            <w:pPr>
              <w:rPr>
                <w:rFonts w:hint="eastAsia" w:asciiTheme="minorEastAsia" w:hAnsiTheme="minorEastAsia" w:eastAsiaTheme="minorEastAsia" w:cstheme="minorEastAsia"/>
                <w:color w:val="auto"/>
                <w:sz w:val="21"/>
              </w:rPr>
            </w:pPr>
          </w:p>
        </w:tc>
        <w:tc>
          <w:tcPr>
            <w:tcW w:w="1029" w:type="dxa"/>
            <w:vAlign w:val="top"/>
          </w:tcPr>
          <w:p w14:paraId="21A0957D">
            <w:pPr>
              <w:rPr>
                <w:rFonts w:hint="eastAsia" w:asciiTheme="minorEastAsia" w:hAnsiTheme="minorEastAsia" w:eastAsiaTheme="minorEastAsia" w:cstheme="minorEastAsia"/>
                <w:color w:val="auto"/>
                <w:sz w:val="21"/>
              </w:rPr>
            </w:pPr>
          </w:p>
        </w:tc>
        <w:tc>
          <w:tcPr>
            <w:tcW w:w="1079" w:type="dxa"/>
            <w:vAlign w:val="top"/>
          </w:tcPr>
          <w:p w14:paraId="01149AAA">
            <w:pPr>
              <w:rPr>
                <w:rFonts w:hint="eastAsia" w:asciiTheme="minorEastAsia" w:hAnsiTheme="minorEastAsia" w:eastAsiaTheme="minorEastAsia" w:cstheme="minorEastAsia"/>
                <w:color w:val="auto"/>
                <w:sz w:val="21"/>
              </w:rPr>
            </w:pPr>
          </w:p>
        </w:tc>
        <w:tc>
          <w:tcPr>
            <w:tcW w:w="1089" w:type="dxa"/>
            <w:vAlign w:val="top"/>
          </w:tcPr>
          <w:p w14:paraId="47720EAE">
            <w:pPr>
              <w:rPr>
                <w:rFonts w:hint="eastAsia" w:asciiTheme="minorEastAsia" w:hAnsiTheme="minorEastAsia" w:eastAsiaTheme="minorEastAsia" w:cstheme="minorEastAsia"/>
                <w:color w:val="auto"/>
                <w:sz w:val="21"/>
              </w:rPr>
            </w:pPr>
          </w:p>
        </w:tc>
        <w:tc>
          <w:tcPr>
            <w:tcW w:w="1249" w:type="dxa"/>
            <w:vAlign w:val="top"/>
          </w:tcPr>
          <w:p w14:paraId="3D9B5A18">
            <w:pPr>
              <w:rPr>
                <w:rFonts w:hint="eastAsia" w:asciiTheme="minorEastAsia" w:hAnsiTheme="minorEastAsia" w:eastAsiaTheme="minorEastAsia" w:cstheme="minorEastAsia"/>
                <w:color w:val="auto"/>
                <w:sz w:val="21"/>
              </w:rPr>
            </w:pPr>
          </w:p>
        </w:tc>
        <w:tc>
          <w:tcPr>
            <w:tcW w:w="899" w:type="dxa"/>
            <w:vAlign w:val="top"/>
          </w:tcPr>
          <w:p w14:paraId="6916DA40">
            <w:pPr>
              <w:rPr>
                <w:rFonts w:hint="eastAsia" w:asciiTheme="minorEastAsia" w:hAnsiTheme="minorEastAsia" w:eastAsiaTheme="minorEastAsia" w:cstheme="minorEastAsia"/>
                <w:color w:val="auto"/>
                <w:sz w:val="21"/>
              </w:rPr>
            </w:pPr>
          </w:p>
        </w:tc>
        <w:tc>
          <w:tcPr>
            <w:tcW w:w="1473" w:type="dxa"/>
            <w:vAlign w:val="top"/>
          </w:tcPr>
          <w:p w14:paraId="6C8BC859">
            <w:pPr>
              <w:rPr>
                <w:rFonts w:hint="eastAsia" w:asciiTheme="minorEastAsia" w:hAnsiTheme="minorEastAsia" w:eastAsiaTheme="minorEastAsia" w:cstheme="minorEastAsia"/>
                <w:color w:val="auto"/>
                <w:sz w:val="21"/>
              </w:rPr>
            </w:pPr>
          </w:p>
        </w:tc>
      </w:tr>
    </w:tbl>
    <w:p w14:paraId="4DDD0186">
      <w:pPr>
        <w:spacing w:before="51" w:line="219" w:lineRule="auto"/>
        <w:ind w:left="1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3"/>
          <w:sz w:val="24"/>
          <w:szCs w:val="24"/>
        </w:rPr>
        <w:t>注：投标人可参照上述的格式自行编制，并注明所在投标技术文件页码。</w:t>
      </w:r>
    </w:p>
    <w:p w14:paraId="25BDC410">
      <w:pPr>
        <w:pStyle w:val="10"/>
        <w:spacing w:line="258" w:lineRule="auto"/>
        <w:rPr>
          <w:rFonts w:hint="eastAsia" w:asciiTheme="minorEastAsia" w:hAnsiTheme="minorEastAsia" w:eastAsiaTheme="minorEastAsia" w:cstheme="minorEastAsia"/>
          <w:color w:val="auto"/>
        </w:rPr>
      </w:pPr>
    </w:p>
    <w:p w14:paraId="15EBAFF6">
      <w:pPr>
        <w:pStyle w:val="10"/>
        <w:spacing w:line="259" w:lineRule="auto"/>
        <w:rPr>
          <w:rFonts w:hint="eastAsia" w:asciiTheme="minorEastAsia" w:hAnsiTheme="minorEastAsia" w:eastAsiaTheme="minorEastAsia" w:cstheme="minorEastAsia"/>
          <w:color w:val="auto"/>
        </w:rPr>
      </w:pPr>
    </w:p>
    <w:p w14:paraId="1F455145">
      <w:pPr>
        <w:pStyle w:val="10"/>
        <w:spacing w:line="259" w:lineRule="auto"/>
        <w:rPr>
          <w:rFonts w:hint="eastAsia" w:asciiTheme="minorEastAsia" w:hAnsiTheme="minorEastAsia" w:eastAsiaTheme="minorEastAsia" w:cstheme="minorEastAsia"/>
          <w:color w:val="auto"/>
        </w:rPr>
      </w:pPr>
    </w:p>
    <w:p w14:paraId="13142BF0">
      <w:pPr>
        <w:pStyle w:val="10"/>
        <w:spacing w:line="259" w:lineRule="auto"/>
        <w:rPr>
          <w:rFonts w:hint="eastAsia" w:asciiTheme="minorEastAsia" w:hAnsiTheme="minorEastAsia" w:eastAsiaTheme="minorEastAsia" w:cstheme="minorEastAsia"/>
          <w:color w:val="auto"/>
        </w:rPr>
      </w:pPr>
    </w:p>
    <w:p w14:paraId="44106C07">
      <w:pPr>
        <w:spacing w:before="76" w:line="222" w:lineRule="auto"/>
        <w:ind w:left="5036"/>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9"/>
          <w:sz w:val="23"/>
          <w:szCs w:val="23"/>
        </w:rPr>
        <w:t>投标人名称(盖公章):</w:t>
      </w:r>
    </w:p>
    <w:p w14:paraId="52130E8C">
      <w:pPr>
        <w:spacing w:before="205" w:line="223" w:lineRule="auto"/>
        <w:ind w:left="5066"/>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4"/>
          <w:sz w:val="23"/>
          <w:szCs w:val="23"/>
        </w:rPr>
        <w:t>日期：  年</w:t>
      </w:r>
      <w:r>
        <w:rPr>
          <w:rFonts w:hint="eastAsia" w:asciiTheme="minorEastAsia" w:hAnsiTheme="minorEastAsia" w:eastAsiaTheme="minorEastAsia" w:cstheme="minorEastAsia"/>
          <w:color w:val="auto"/>
          <w:spacing w:val="13"/>
          <w:sz w:val="23"/>
          <w:szCs w:val="23"/>
        </w:rPr>
        <w:t xml:space="preserve">  </w:t>
      </w:r>
      <w:r>
        <w:rPr>
          <w:rFonts w:hint="eastAsia" w:asciiTheme="minorEastAsia" w:hAnsiTheme="minorEastAsia" w:eastAsiaTheme="minorEastAsia" w:cstheme="minorEastAsia"/>
          <w:color w:val="auto"/>
          <w:spacing w:val="-4"/>
          <w:sz w:val="23"/>
          <w:szCs w:val="23"/>
        </w:rPr>
        <w:t>月</w:t>
      </w:r>
      <w:r>
        <w:rPr>
          <w:rFonts w:hint="eastAsia" w:asciiTheme="minorEastAsia" w:hAnsiTheme="minorEastAsia" w:eastAsiaTheme="minorEastAsia" w:cstheme="minorEastAsia"/>
          <w:color w:val="auto"/>
          <w:spacing w:val="26"/>
          <w:sz w:val="23"/>
          <w:szCs w:val="23"/>
        </w:rPr>
        <w:t xml:space="preserve">   </w:t>
      </w:r>
      <w:r>
        <w:rPr>
          <w:rFonts w:hint="eastAsia" w:asciiTheme="minorEastAsia" w:hAnsiTheme="minorEastAsia" w:eastAsiaTheme="minorEastAsia" w:cstheme="minorEastAsia"/>
          <w:color w:val="auto"/>
          <w:spacing w:val="-4"/>
          <w:sz w:val="23"/>
          <w:szCs w:val="23"/>
        </w:rPr>
        <w:t>日</w:t>
      </w:r>
    </w:p>
    <w:p w14:paraId="138E0773">
      <w:pPr>
        <w:spacing w:line="223" w:lineRule="auto"/>
        <w:rPr>
          <w:rFonts w:hint="eastAsia" w:asciiTheme="minorEastAsia" w:hAnsiTheme="minorEastAsia" w:eastAsiaTheme="minorEastAsia" w:cstheme="minorEastAsia"/>
          <w:color w:val="auto"/>
          <w:sz w:val="23"/>
          <w:szCs w:val="23"/>
        </w:rPr>
        <w:sectPr>
          <w:footerReference r:id="rId49" w:type="default"/>
          <w:pgSz w:w="11900" w:h="16830"/>
          <w:pgMar w:top="1161" w:right="1425" w:bottom="991" w:left="1133" w:header="0" w:footer="847" w:gutter="0"/>
          <w:cols w:space="720" w:num="1"/>
        </w:sectPr>
      </w:pPr>
    </w:p>
    <w:p w14:paraId="5CA34F68">
      <w:pPr>
        <w:pStyle w:val="3"/>
        <w:numPr>
          <w:ilvl w:val="1"/>
          <w:numId w:val="0"/>
        </w:numPr>
        <w:bidi w:val="0"/>
        <w:ind w:leftChars="0"/>
        <w:jc w:val="center"/>
        <w:rPr>
          <w:rFonts w:hint="eastAsia"/>
          <w:color w:val="auto"/>
        </w:rPr>
      </w:pPr>
      <w:r>
        <w:rPr>
          <w:rFonts w:hint="eastAsia"/>
          <w:color w:val="auto"/>
        </w:rPr>
        <w:t>第四节</w:t>
      </w:r>
      <w:r>
        <w:rPr>
          <w:rFonts w:hint="eastAsia"/>
          <w:color w:val="auto"/>
          <w:lang w:val="en-US" w:eastAsia="zh-CN"/>
        </w:rPr>
        <w:t xml:space="preserve"> </w:t>
      </w:r>
      <w:r>
        <w:rPr>
          <w:rFonts w:hint="eastAsia"/>
          <w:color w:val="auto"/>
        </w:rPr>
        <w:t>报价文件格式</w:t>
      </w:r>
    </w:p>
    <w:p w14:paraId="7959CA8B">
      <w:pPr>
        <w:spacing w:before="207" w:line="218" w:lineRule="auto"/>
        <w:rPr>
          <w:rFonts w:hint="eastAsia" w:asciiTheme="minorEastAsia" w:hAnsiTheme="minorEastAsia" w:eastAsiaTheme="minorEastAsia" w:cstheme="minorEastAsia"/>
          <w:color w:val="auto"/>
          <w:sz w:val="29"/>
          <w:szCs w:val="29"/>
        </w:rPr>
      </w:pPr>
      <w:r>
        <w:rPr>
          <w:rFonts w:hint="eastAsia" w:asciiTheme="minorEastAsia" w:hAnsiTheme="minorEastAsia" w:eastAsiaTheme="minorEastAsia" w:cstheme="minorEastAsia"/>
          <w:b/>
          <w:bCs/>
          <w:color w:val="auto"/>
          <w:spacing w:val="2"/>
          <w:sz w:val="29"/>
          <w:szCs w:val="29"/>
        </w:rPr>
        <w:t>1.报价文件封面的格式(参照此格式自拟):</w:t>
      </w:r>
    </w:p>
    <w:p w14:paraId="0455426B">
      <w:pPr>
        <w:pStyle w:val="10"/>
        <w:spacing w:line="322" w:lineRule="auto"/>
        <w:rPr>
          <w:rFonts w:hint="eastAsia" w:asciiTheme="minorEastAsia" w:hAnsiTheme="minorEastAsia" w:eastAsiaTheme="minorEastAsia" w:cstheme="minorEastAsia"/>
          <w:color w:val="auto"/>
        </w:rPr>
      </w:pPr>
    </w:p>
    <w:p w14:paraId="1CC1FEFB">
      <w:pPr>
        <w:pStyle w:val="10"/>
        <w:spacing w:line="322" w:lineRule="auto"/>
        <w:rPr>
          <w:rFonts w:hint="eastAsia" w:asciiTheme="minorEastAsia" w:hAnsiTheme="minorEastAsia" w:eastAsiaTheme="minorEastAsia" w:cstheme="minorEastAsia"/>
          <w:color w:val="auto"/>
        </w:rPr>
      </w:pPr>
    </w:p>
    <w:p w14:paraId="265C28DC">
      <w:pPr>
        <w:spacing w:before="68" w:line="222" w:lineRule="auto"/>
        <w:ind w:left="6708"/>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6"/>
          <w:sz w:val="21"/>
          <w:szCs w:val="21"/>
        </w:rPr>
        <w:t>电子投标文件</w:t>
      </w:r>
    </w:p>
    <w:p w14:paraId="3AB8F5FE">
      <w:pPr>
        <w:pStyle w:val="10"/>
        <w:spacing w:line="320" w:lineRule="auto"/>
        <w:rPr>
          <w:rFonts w:hint="eastAsia" w:asciiTheme="minorEastAsia" w:hAnsiTheme="minorEastAsia" w:eastAsiaTheme="minorEastAsia" w:cstheme="minorEastAsia"/>
          <w:color w:val="auto"/>
        </w:rPr>
      </w:pPr>
    </w:p>
    <w:p w14:paraId="69F5D28E">
      <w:pPr>
        <w:pStyle w:val="10"/>
        <w:spacing w:line="320" w:lineRule="auto"/>
        <w:rPr>
          <w:rFonts w:hint="eastAsia" w:asciiTheme="minorEastAsia" w:hAnsiTheme="minorEastAsia" w:eastAsiaTheme="minorEastAsia" w:cstheme="minorEastAsia"/>
          <w:color w:val="auto"/>
        </w:rPr>
      </w:pPr>
    </w:p>
    <w:p w14:paraId="29AA8612">
      <w:pPr>
        <w:spacing w:before="104" w:line="218" w:lineRule="auto"/>
        <w:ind w:left="391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bCs/>
          <w:color w:val="auto"/>
          <w:spacing w:val="-6"/>
          <w:sz w:val="32"/>
          <w:szCs w:val="32"/>
        </w:rPr>
        <w:t>报价文件</w:t>
      </w:r>
    </w:p>
    <w:p w14:paraId="68493B0F">
      <w:pPr>
        <w:pStyle w:val="10"/>
        <w:spacing w:line="242" w:lineRule="auto"/>
        <w:rPr>
          <w:rFonts w:hint="eastAsia" w:asciiTheme="minorEastAsia" w:hAnsiTheme="minorEastAsia" w:eastAsiaTheme="minorEastAsia" w:cstheme="minorEastAsia"/>
          <w:color w:val="auto"/>
        </w:rPr>
      </w:pPr>
    </w:p>
    <w:p w14:paraId="12AAE84C">
      <w:pPr>
        <w:pStyle w:val="10"/>
        <w:spacing w:line="242" w:lineRule="auto"/>
        <w:rPr>
          <w:rFonts w:hint="eastAsia" w:asciiTheme="minorEastAsia" w:hAnsiTheme="minorEastAsia" w:eastAsiaTheme="minorEastAsia" w:cstheme="minorEastAsia"/>
          <w:color w:val="auto"/>
        </w:rPr>
      </w:pPr>
    </w:p>
    <w:p w14:paraId="4A161BE5">
      <w:pPr>
        <w:pStyle w:val="10"/>
        <w:spacing w:line="242" w:lineRule="auto"/>
        <w:rPr>
          <w:rFonts w:hint="eastAsia" w:asciiTheme="minorEastAsia" w:hAnsiTheme="minorEastAsia" w:eastAsiaTheme="minorEastAsia" w:cstheme="minorEastAsia"/>
          <w:color w:val="auto"/>
        </w:rPr>
      </w:pPr>
    </w:p>
    <w:p w14:paraId="567BFC2F">
      <w:pPr>
        <w:pStyle w:val="10"/>
        <w:spacing w:line="242" w:lineRule="auto"/>
        <w:rPr>
          <w:rFonts w:hint="eastAsia" w:asciiTheme="minorEastAsia" w:hAnsiTheme="minorEastAsia" w:eastAsiaTheme="minorEastAsia" w:cstheme="minorEastAsia"/>
          <w:color w:val="auto"/>
        </w:rPr>
      </w:pPr>
    </w:p>
    <w:p w14:paraId="6FFF2253">
      <w:pPr>
        <w:pStyle w:val="10"/>
        <w:spacing w:line="242" w:lineRule="auto"/>
        <w:rPr>
          <w:rFonts w:hint="eastAsia" w:asciiTheme="minorEastAsia" w:hAnsiTheme="minorEastAsia" w:eastAsiaTheme="minorEastAsia" w:cstheme="minorEastAsia"/>
          <w:color w:val="auto"/>
        </w:rPr>
      </w:pPr>
    </w:p>
    <w:p w14:paraId="603E25F9">
      <w:pPr>
        <w:pStyle w:val="10"/>
        <w:spacing w:line="242" w:lineRule="auto"/>
        <w:rPr>
          <w:rFonts w:hint="eastAsia" w:asciiTheme="minorEastAsia" w:hAnsiTheme="minorEastAsia" w:eastAsiaTheme="minorEastAsia" w:cstheme="minorEastAsia"/>
          <w:color w:val="auto"/>
        </w:rPr>
      </w:pPr>
    </w:p>
    <w:p w14:paraId="22B0A5B0">
      <w:pPr>
        <w:pStyle w:val="10"/>
        <w:spacing w:line="243" w:lineRule="auto"/>
        <w:rPr>
          <w:rFonts w:hint="eastAsia" w:asciiTheme="minorEastAsia" w:hAnsiTheme="minorEastAsia" w:eastAsiaTheme="minorEastAsia" w:cstheme="minorEastAsia"/>
          <w:color w:val="auto"/>
        </w:rPr>
      </w:pPr>
    </w:p>
    <w:p w14:paraId="07039E42">
      <w:pPr>
        <w:pStyle w:val="10"/>
        <w:spacing w:line="243" w:lineRule="auto"/>
        <w:rPr>
          <w:rFonts w:hint="eastAsia" w:asciiTheme="minorEastAsia" w:hAnsiTheme="minorEastAsia" w:eastAsiaTheme="minorEastAsia" w:cstheme="minorEastAsia"/>
          <w:color w:val="auto"/>
        </w:rPr>
      </w:pPr>
    </w:p>
    <w:p w14:paraId="2D294026">
      <w:pPr>
        <w:pStyle w:val="10"/>
        <w:spacing w:line="243" w:lineRule="auto"/>
        <w:rPr>
          <w:rFonts w:hint="eastAsia" w:asciiTheme="minorEastAsia" w:hAnsiTheme="minorEastAsia" w:eastAsiaTheme="minorEastAsia" w:cstheme="minorEastAsia"/>
          <w:color w:val="auto"/>
        </w:rPr>
      </w:pPr>
    </w:p>
    <w:p w14:paraId="73747CC0">
      <w:pPr>
        <w:spacing w:before="70" w:line="222" w:lineRule="auto"/>
        <w:ind w:left="85"/>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1"/>
          <w:sz w:val="21"/>
          <w:szCs w:val="21"/>
        </w:rPr>
        <w:t>项目名称：</w:t>
      </w:r>
    </w:p>
    <w:p w14:paraId="5CF34BC9">
      <w:pPr>
        <w:pStyle w:val="10"/>
        <w:spacing w:line="241" w:lineRule="auto"/>
        <w:rPr>
          <w:rFonts w:hint="eastAsia" w:asciiTheme="minorEastAsia" w:hAnsiTheme="minorEastAsia" w:eastAsiaTheme="minorEastAsia" w:cstheme="minorEastAsia"/>
          <w:color w:val="auto"/>
        </w:rPr>
      </w:pPr>
    </w:p>
    <w:p w14:paraId="5A6E9A93">
      <w:pPr>
        <w:pStyle w:val="10"/>
        <w:spacing w:line="241" w:lineRule="auto"/>
        <w:rPr>
          <w:rFonts w:hint="eastAsia" w:asciiTheme="minorEastAsia" w:hAnsiTheme="minorEastAsia" w:eastAsiaTheme="minorEastAsia" w:cstheme="minorEastAsia"/>
          <w:color w:val="auto"/>
        </w:rPr>
      </w:pPr>
    </w:p>
    <w:p w14:paraId="2B708350">
      <w:pPr>
        <w:pStyle w:val="10"/>
        <w:spacing w:line="242" w:lineRule="auto"/>
        <w:rPr>
          <w:rFonts w:hint="eastAsia" w:asciiTheme="minorEastAsia" w:hAnsiTheme="minorEastAsia" w:eastAsiaTheme="minorEastAsia" w:cstheme="minorEastAsia"/>
          <w:color w:val="auto"/>
        </w:rPr>
      </w:pPr>
    </w:p>
    <w:p w14:paraId="76CEB684">
      <w:pPr>
        <w:spacing w:before="68" w:line="221" w:lineRule="auto"/>
        <w:ind w:left="85"/>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1"/>
          <w:sz w:val="21"/>
          <w:szCs w:val="21"/>
        </w:rPr>
        <w:t>项目编号：</w:t>
      </w:r>
    </w:p>
    <w:p w14:paraId="75DFCB7D">
      <w:pPr>
        <w:pStyle w:val="10"/>
        <w:spacing w:line="331" w:lineRule="auto"/>
        <w:rPr>
          <w:rFonts w:hint="eastAsia" w:asciiTheme="minorEastAsia" w:hAnsiTheme="minorEastAsia" w:eastAsiaTheme="minorEastAsia" w:cstheme="minorEastAsia"/>
          <w:color w:val="auto"/>
        </w:rPr>
      </w:pPr>
    </w:p>
    <w:p w14:paraId="27076A95">
      <w:pPr>
        <w:pStyle w:val="10"/>
        <w:spacing w:line="332" w:lineRule="auto"/>
        <w:rPr>
          <w:rFonts w:hint="eastAsia" w:asciiTheme="minorEastAsia" w:hAnsiTheme="minorEastAsia" w:eastAsiaTheme="minorEastAsia" w:cstheme="minorEastAsia"/>
          <w:color w:val="auto"/>
        </w:rPr>
      </w:pPr>
    </w:p>
    <w:p w14:paraId="10C8CBC0">
      <w:pPr>
        <w:spacing w:before="82" w:line="213" w:lineRule="auto"/>
        <w:ind w:left="85"/>
        <w:rPr>
          <w:rFonts w:hint="eastAsia" w:asciiTheme="minorEastAsia" w:hAnsiTheme="minorEastAsia" w:eastAsiaTheme="minorEastAsia" w:cstheme="minorEastAsia"/>
          <w:color w:val="auto"/>
          <w:sz w:val="25"/>
          <w:szCs w:val="25"/>
        </w:rPr>
      </w:pPr>
      <w:r>
        <w:rPr>
          <w:rFonts w:hint="eastAsia" w:asciiTheme="minorEastAsia" w:hAnsiTheme="minorEastAsia" w:eastAsiaTheme="minorEastAsia" w:cstheme="minorEastAsia"/>
          <w:color w:val="auto"/>
          <w:sz w:val="25"/>
          <w:szCs w:val="25"/>
        </w:rPr>
        <w:t>所投分标(如有则填写，无分标时填写“无”或者留空):</w:t>
      </w:r>
    </w:p>
    <w:p w14:paraId="6482DAB5">
      <w:pPr>
        <w:pStyle w:val="10"/>
        <w:spacing w:line="242" w:lineRule="auto"/>
        <w:rPr>
          <w:rFonts w:hint="eastAsia" w:asciiTheme="minorEastAsia" w:hAnsiTheme="minorEastAsia" w:eastAsiaTheme="minorEastAsia" w:cstheme="minorEastAsia"/>
          <w:color w:val="auto"/>
        </w:rPr>
      </w:pPr>
    </w:p>
    <w:p w14:paraId="72C29B08">
      <w:pPr>
        <w:pStyle w:val="10"/>
        <w:spacing w:line="243" w:lineRule="auto"/>
        <w:rPr>
          <w:rFonts w:hint="eastAsia" w:asciiTheme="minorEastAsia" w:hAnsiTheme="minorEastAsia" w:eastAsiaTheme="minorEastAsia" w:cstheme="minorEastAsia"/>
          <w:color w:val="auto"/>
        </w:rPr>
      </w:pPr>
    </w:p>
    <w:p w14:paraId="6DBB5C10">
      <w:pPr>
        <w:pStyle w:val="10"/>
        <w:spacing w:line="243" w:lineRule="auto"/>
        <w:rPr>
          <w:rFonts w:hint="eastAsia" w:asciiTheme="minorEastAsia" w:hAnsiTheme="minorEastAsia" w:eastAsiaTheme="minorEastAsia" w:cstheme="minorEastAsia"/>
          <w:color w:val="auto"/>
        </w:rPr>
      </w:pPr>
    </w:p>
    <w:p w14:paraId="3350773F">
      <w:pPr>
        <w:spacing w:before="69" w:line="222" w:lineRule="auto"/>
        <w:ind w:left="85"/>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2"/>
          <w:sz w:val="21"/>
          <w:szCs w:val="21"/>
        </w:rPr>
        <w:t>投标人名称：</w:t>
      </w:r>
    </w:p>
    <w:p w14:paraId="388E00FE">
      <w:pPr>
        <w:pStyle w:val="10"/>
        <w:spacing w:line="243" w:lineRule="auto"/>
        <w:rPr>
          <w:rFonts w:hint="eastAsia" w:asciiTheme="minorEastAsia" w:hAnsiTheme="minorEastAsia" w:eastAsiaTheme="minorEastAsia" w:cstheme="minorEastAsia"/>
          <w:color w:val="auto"/>
        </w:rPr>
      </w:pPr>
    </w:p>
    <w:p w14:paraId="1266D301">
      <w:pPr>
        <w:pStyle w:val="10"/>
        <w:spacing w:line="243" w:lineRule="auto"/>
        <w:rPr>
          <w:rFonts w:hint="eastAsia" w:asciiTheme="minorEastAsia" w:hAnsiTheme="minorEastAsia" w:eastAsiaTheme="minorEastAsia" w:cstheme="minorEastAsia"/>
          <w:color w:val="auto"/>
        </w:rPr>
      </w:pPr>
    </w:p>
    <w:p w14:paraId="29E73281">
      <w:pPr>
        <w:pStyle w:val="10"/>
        <w:spacing w:line="244" w:lineRule="auto"/>
        <w:rPr>
          <w:rFonts w:hint="eastAsia" w:asciiTheme="minorEastAsia" w:hAnsiTheme="minorEastAsia" w:eastAsiaTheme="minorEastAsia" w:cstheme="minorEastAsia"/>
          <w:color w:val="auto"/>
        </w:rPr>
      </w:pPr>
    </w:p>
    <w:p w14:paraId="123AA5F4">
      <w:pPr>
        <w:pStyle w:val="10"/>
        <w:spacing w:line="244" w:lineRule="auto"/>
        <w:rPr>
          <w:rFonts w:hint="eastAsia" w:asciiTheme="minorEastAsia" w:hAnsiTheme="minorEastAsia" w:eastAsiaTheme="minorEastAsia" w:cstheme="minorEastAsia"/>
          <w:color w:val="auto"/>
        </w:rPr>
      </w:pPr>
    </w:p>
    <w:p w14:paraId="0F8D003B">
      <w:pPr>
        <w:pStyle w:val="10"/>
        <w:spacing w:line="244" w:lineRule="auto"/>
        <w:rPr>
          <w:rFonts w:hint="eastAsia" w:asciiTheme="minorEastAsia" w:hAnsiTheme="minorEastAsia" w:eastAsiaTheme="minorEastAsia" w:cstheme="minorEastAsia"/>
          <w:color w:val="auto"/>
        </w:rPr>
      </w:pPr>
    </w:p>
    <w:p w14:paraId="6905ECEF">
      <w:pPr>
        <w:pStyle w:val="10"/>
        <w:spacing w:line="244" w:lineRule="auto"/>
        <w:rPr>
          <w:rFonts w:hint="eastAsia" w:asciiTheme="minorEastAsia" w:hAnsiTheme="minorEastAsia" w:eastAsiaTheme="minorEastAsia" w:cstheme="minorEastAsia"/>
          <w:color w:val="auto"/>
        </w:rPr>
      </w:pPr>
    </w:p>
    <w:p w14:paraId="2138EE27">
      <w:pPr>
        <w:pStyle w:val="10"/>
        <w:spacing w:line="244" w:lineRule="auto"/>
        <w:rPr>
          <w:rFonts w:hint="eastAsia" w:asciiTheme="minorEastAsia" w:hAnsiTheme="minorEastAsia" w:eastAsiaTheme="minorEastAsia" w:cstheme="minorEastAsia"/>
          <w:color w:val="auto"/>
        </w:rPr>
      </w:pPr>
    </w:p>
    <w:p w14:paraId="14E7962B">
      <w:pPr>
        <w:pStyle w:val="10"/>
        <w:spacing w:line="244" w:lineRule="auto"/>
        <w:rPr>
          <w:rFonts w:hint="eastAsia" w:asciiTheme="minorEastAsia" w:hAnsiTheme="minorEastAsia" w:eastAsiaTheme="minorEastAsia" w:cstheme="minorEastAsia"/>
          <w:color w:val="auto"/>
        </w:rPr>
      </w:pPr>
    </w:p>
    <w:p w14:paraId="0D7C55E6">
      <w:pPr>
        <w:pStyle w:val="10"/>
        <w:spacing w:line="244" w:lineRule="auto"/>
        <w:rPr>
          <w:rFonts w:hint="eastAsia" w:asciiTheme="minorEastAsia" w:hAnsiTheme="minorEastAsia" w:eastAsiaTheme="minorEastAsia" w:cstheme="minorEastAsia"/>
          <w:color w:val="auto"/>
        </w:rPr>
      </w:pPr>
    </w:p>
    <w:p w14:paraId="0BEE2853">
      <w:pPr>
        <w:spacing w:before="69" w:line="223" w:lineRule="auto"/>
        <w:ind w:left="4298"/>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10"/>
          <w:sz w:val="21"/>
          <w:szCs w:val="21"/>
        </w:rPr>
        <w:t>年</w:t>
      </w:r>
      <w:r>
        <w:rPr>
          <w:rFonts w:hint="eastAsia" w:asciiTheme="minorEastAsia" w:hAnsiTheme="minorEastAsia" w:eastAsiaTheme="minorEastAsia" w:cstheme="minorEastAsia"/>
          <w:color w:val="auto"/>
          <w:spacing w:val="29"/>
          <w:sz w:val="21"/>
          <w:szCs w:val="21"/>
        </w:rPr>
        <w:t xml:space="preserve">  </w:t>
      </w:r>
      <w:r>
        <w:rPr>
          <w:rFonts w:hint="eastAsia" w:asciiTheme="minorEastAsia" w:hAnsiTheme="minorEastAsia" w:eastAsiaTheme="minorEastAsia" w:cstheme="minorEastAsia"/>
          <w:b/>
          <w:bCs/>
          <w:color w:val="auto"/>
          <w:spacing w:val="-10"/>
          <w:sz w:val="21"/>
          <w:szCs w:val="21"/>
        </w:rPr>
        <w:t>月</w:t>
      </w:r>
      <w:r>
        <w:rPr>
          <w:rFonts w:hint="eastAsia" w:asciiTheme="minorEastAsia" w:hAnsiTheme="minorEastAsia" w:eastAsiaTheme="minorEastAsia" w:cstheme="minorEastAsia"/>
          <w:color w:val="auto"/>
          <w:spacing w:val="52"/>
          <w:sz w:val="21"/>
          <w:szCs w:val="21"/>
        </w:rPr>
        <w:t xml:space="preserve">  </w:t>
      </w:r>
      <w:r>
        <w:rPr>
          <w:rFonts w:hint="eastAsia" w:asciiTheme="minorEastAsia" w:hAnsiTheme="minorEastAsia" w:eastAsiaTheme="minorEastAsia" w:cstheme="minorEastAsia"/>
          <w:b/>
          <w:bCs/>
          <w:color w:val="auto"/>
          <w:spacing w:val="-10"/>
          <w:sz w:val="21"/>
          <w:szCs w:val="21"/>
        </w:rPr>
        <w:t>日</w:t>
      </w:r>
    </w:p>
    <w:p w14:paraId="063476C3">
      <w:pPr>
        <w:spacing w:line="223" w:lineRule="auto"/>
        <w:rPr>
          <w:rFonts w:hint="eastAsia" w:asciiTheme="minorEastAsia" w:hAnsiTheme="minorEastAsia" w:eastAsiaTheme="minorEastAsia" w:cstheme="minorEastAsia"/>
          <w:color w:val="auto"/>
          <w:sz w:val="21"/>
          <w:szCs w:val="21"/>
        </w:rPr>
        <w:sectPr>
          <w:footerReference r:id="rId50" w:type="default"/>
          <w:pgSz w:w="11900" w:h="16830"/>
          <w:pgMar w:top="1117" w:right="1785" w:bottom="1191" w:left="1394" w:header="0" w:footer="1047" w:gutter="0"/>
          <w:cols w:space="720" w:num="1"/>
        </w:sectPr>
      </w:pPr>
    </w:p>
    <w:p w14:paraId="3D9F529E">
      <w:pPr>
        <w:spacing w:before="55" w:line="218" w:lineRule="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2"/>
          <w:sz w:val="28"/>
          <w:szCs w:val="28"/>
        </w:rPr>
        <w:t>2.报价文件目录</w:t>
      </w:r>
    </w:p>
    <w:p w14:paraId="31842993">
      <w:pPr>
        <w:spacing w:before="274" w:line="219" w:lineRule="auto"/>
        <w:ind w:left="5"/>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7"/>
          <w:sz w:val="28"/>
          <w:szCs w:val="28"/>
        </w:rPr>
        <w:t>根据招标文件规定及投标人提供的材料自行编写目录(部分格</w:t>
      </w:r>
      <w:r>
        <w:rPr>
          <w:rFonts w:hint="eastAsia" w:asciiTheme="minorEastAsia" w:hAnsiTheme="minorEastAsia" w:eastAsiaTheme="minorEastAsia" w:cstheme="minorEastAsia"/>
          <w:color w:val="auto"/>
          <w:spacing w:val="6"/>
          <w:sz w:val="28"/>
          <w:szCs w:val="28"/>
        </w:rPr>
        <w:t>式后附)。</w:t>
      </w:r>
    </w:p>
    <w:p w14:paraId="1D6C5FBC">
      <w:pPr>
        <w:spacing w:line="219" w:lineRule="auto"/>
        <w:rPr>
          <w:rFonts w:hint="eastAsia" w:asciiTheme="minorEastAsia" w:hAnsiTheme="minorEastAsia" w:eastAsiaTheme="minorEastAsia" w:cstheme="minorEastAsia"/>
          <w:color w:val="auto"/>
          <w:sz w:val="28"/>
          <w:szCs w:val="28"/>
        </w:rPr>
        <w:sectPr>
          <w:footerReference r:id="rId51" w:type="default"/>
          <w:pgSz w:w="11900" w:h="16830"/>
          <w:pgMar w:top="1229" w:right="1785" w:bottom="991" w:left="1144" w:header="0" w:footer="847" w:gutter="0"/>
          <w:cols w:space="720" w:num="1"/>
        </w:sectPr>
      </w:pPr>
    </w:p>
    <w:p w14:paraId="781F7B0D">
      <w:pPr>
        <w:spacing w:before="52" w:line="219" w:lineRule="auto"/>
        <w:ind w:left="3"/>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b/>
          <w:bCs/>
          <w:color w:val="auto"/>
          <w:spacing w:val="8"/>
          <w:sz w:val="26"/>
          <w:szCs w:val="26"/>
        </w:rPr>
        <w:t>3.投标函的格式：</w:t>
      </w:r>
    </w:p>
    <w:p w14:paraId="4608DE33">
      <w:pPr>
        <w:spacing w:before="172" w:line="222" w:lineRule="auto"/>
        <w:ind w:left="4384"/>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b/>
          <w:bCs/>
          <w:color w:val="auto"/>
          <w:spacing w:val="-6"/>
          <w:sz w:val="30"/>
          <w:szCs w:val="30"/>
        </w:rPr>
        <w:t>投标函</w:t>
      </w:r>
    </w:p>
    <w:p w14:paraId="6A20B7D8">
      <w:pPr>
        <w:pStyle w:val="10"/>
        <w:spacing w:line="258" w:lineRule="auto"/>
        <w:rPr>
          <w:rFonts w:hint="eastAsia" w:asciiTheme="minorEastAsia" w:hAnsiTheme="minorEastAsia" w:eastAsiaTheme="minorEastAsia" w:cstheme="minorEastAsia"/>
          <w:color w:val="auto"/>
        </w:rPr>
      </w:pPr>
    </w:p>
    <w:p w14:paraId="3CB4E334">
      <w:pPr>
        <w:pStyle w:val="10"/>
        <w:spacing w:line="258" w:lineRule="auto"/>
        <w:rPr>
          <w:rFonts w:hint="eastAsia" w:asciiTheme="minorEastAsia" w:hAnsiTheme="minorEastAsia" w:eastAsiaTheme="minorEastAsia" w:cstheme="minorEastAsia"/>
          <w:color w:val="auto"/>
        </w:rPr>
      </w:pPr>
    </w:p>
    <w:p w14:paraId="64D6D29D">
      <w:pPr>
        <w:spacing w:before="69" w:line="222" w:lineRule="auto"/>
        <w:ind w:left="40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pacing w:val="-5"/>
          <w:sz w:val="21"/>
          <w:szCs w:val="21"/>
        </w:rPr>
        <w:t>致</w:t>
      </w:r>
      <w:r>
        <w:rPr>
          <w:rFonts w:hint="eastAsia" w:asciiTheme="minorEastAsia" w:hAnsiTheme="minorEastAsia" w:eastAsiaTheme="minorEastAsia" w:cstheme="minorEastAsia"/>
          <w:color w:val="auto"/>
          <w:spacing w:val="-35"/>
          <w:sz w:val="21"/>
          <w:szCs w:val="21"/>
        </w:rPr>
        <w:t xml:space="preserve"> </w:t>
      </w:r>
      <w:r>
        <w:rPr>
          <w:rFonts w:hint="eastAsia" w:asciiTheme="minorEastAsia" w:hAnsiTheme="minorEastAsia" w:eastAsiaTheme="minorEastAsia" w:cstheme="minorEastAsia"/>
          <w:color w:val="auto"/>
          <w:spacing w:val="-5"/>
          <w:sz w:val="21"/>
          <w:szCs w:val="21"/>
        </w:rPr>
        <w:t>：</w:t>
      </w:r>
      <w:r>
        <w:rPr>
          <w:rFonts w:hint="eastAsia" w:asciiTheme="minorEastAsia" w:hAnsiTheme="minorEastAsia" w:eastAsiaTheme="minorEastAsia" w:cstheme="minorEastAsia"/>
          <w:color w:val="auto"/>
          <w:spacing w:val="-5"/>
          <w:sz w:val="21"/>
          <w:szCs w:val="21"/>
          <w:u w:val="single" w:color="auto"/>
          <w:lang w:eastAsia="zh-CN"/>
        </w:rPr>
        <w:t>广西合士嘉项目咨询有限公司</w:t>
      </w:r>
    </w:p>
    <w:p w14:paraId="30795AFA">
      <w:pPr>
        <w:spacing w:before="148" w:line="386" w:lineRule="auto"/>
        <w:ind w:right="73" w:firstLine="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我方已仔细阅读了贵方组织的</w:t>
      </w:r>
      <w:r>
        <w:rPr>
          <w:rFonts w:hint="eastAsia" w:asciiTheme="minorEastAsia" w:hAnsiTheme="minorEastAsia" w:eastAsiaTheme="minorEastAsia" w:cstheme="minorEastAsia"/>
          <w:color w:val="auto"/>
          <w:spacing w:val="56"/>
          <w:sz w:val="21"/>
          <w:szCs w:val="21"/>
        </w:rPr>
        <w:t xml:space="preserve"> </w:t>
      </w:r>
      <w:r>
        <w:rPr>
          <w:rFonts w:hint="eastAsia" w:asciiTheme="minorEastAsia" w:hAnsiTheme="minorEastAsia" w:eastAsiaTheme="minorEastAsia" w:cstheme="minorEastAsia"/>
          <w:color w:val="auto"/>
          <w:spacing w:val="-27"/>
          <w:sz w:val="22"/>
          <w:szCs w:val="22"/>
          <w:u w:val="single" w:color="auto"/>
        </w:rPr>
        <w:t xml:space="preserve"> </w:t>
      </w:r>
      <w:r>
        <w:rPr>
          <w:rFonts w:hint="eastAsia" w:asciiTheme="minorEastAsia" w:hAnsiTheme="minorEastAsia" w:eastAsiaTheme="minorEastAsia" w:cstheme="minorEastAsia"/>
          <w:i/>
          <w:iCs/>
          <w:color w:val="auto"/>
          <w:spacing w:val="1"/>
          <w:sz w:val="22"/>
          <w:szCs w:val="22"/>
          <w:u w:val="single" w:color="auto"/>
        </w:rPr>
        <w:t>(项目名称)</w:t>
      </w:r>
      <w:r>
        <w:rPr>
          <w:rFonts w:hint="eastAsia" w:asciiTheme="minorEastAsia" w:hAnsiTheme="minorEastAsia" w:eastAsiaTheme="minorEastAsia" w:cstheme="minorEastAsia"/>
          <w:color w:val="auto"/>
          <w:spacing w:val="85"/>
          <w:sz w:val="22"/>
          <w:szCs w:val="22"/>
        </w:rPr>
        <w:t xml:space="preserve"> </w:t>
      </w:r>
      <w:r>
        <w:rPr>
          <w:rFonts w:hint="eastAsia" w:asciiTheme="minorEastAsia" w:hAnsiTheme="minorEastAsia" w:eastAsiaTheme="minorEastAsia" w:cstheme="minorEastAsia"/>
          <w:color w:val="auto"/>
          <w:spacing w:val="1"/>
          <w:sz w:val="21"/>
          <w:szCs w:val="21"/>
        </w:rPr>
        <w:t>项</w:t>
      </w:r>
      <w:r>
        <w:rPr>
          <w:rFonts w:hint="eastAsia" w:asciiTheme="minorEastAsia" w:hAnsiTheme="minorEastAsia" w:eastAsiaTheme="minorEastAsia" w:cstheme="minorEastAsia"/>
          <w:color w:val="auto"/>
          <w:sz w:val="21"/>
          <w:szCs w:val="21"/>
        </w:rPr>
        <w:t xml:space="preserve">目(项目编号： </w:t>
      </w:r>
      <w:r>
        <w:rPr>
          <w:rFonts w:hint="eastAsia" w:asciiTheme="minorEastAsia" w:hAnsiTheme="minorEastAsia" w:eastAsiaTheme="minorEastAsia" w:cstheme="minorEastAsia"/>
          <w:color w:val="auto"/>
          <w:sz w:val="21"/>
          <w:szCs w:val="21"/>
          <w:u w:val="single" w:color="auto"/>
        </w:rPr>
        <w:t xml:space="preserve">        </w:t>
      </w:r>
      <w:r>
        <w:rPr>
          <w:rFonts w:hint="eastAsia" w:asciiTheme="minorEastAsia" w:hAnsiTheme="minorEastAsia" w:eastAsiaTheme="minorEastAsia" w:cstheme="minorEastAsia"/>
          <w:color w:val="auto"/>
          <w:spacing w:val="-85"/>
          <w:sz w:val="21"/>
          <w:szCs w:val="21"/>
        </w:rPr>
        <w:t xml:space="preserve"> </w:t>
      </w:r>
      <w:r>
        <w:rPr>
          <w:rFonts w:hint="eastAsia" w:asciiTheme="minorEastAsia" w:hAnsiTheme="minorEastAsia" w:eastAsiaTheme="minorEastAsia" w:cstheme="minorEastAsia"/>
          <w:color w:val="auto"/>
          <w:sz w:val="21"/>
          <w:szCs w:val="21"/>
        </w:rPr>
        <w:t xml:space="preserve">)的招标文件的全部内容， </w:t>
      </w:r>
      <w:r>
        <w:rPr>
          <w:rFonts w:hint="eastAsia" w:asciiTheme="minorEastAsia" w:hAnsiTheme="minorEastAsia" w:eastAsiaTheme="minorEastAsia" w:cstheme="minorEastAsia"/>
          <w:color w:val="auto"/>
          <w:spacing w:val="-1"/>
          <w:sz w:val="21"/>
          <w:szCs w:val="21"/>
        </w:rPr>
        <w:t>授权</w:t>
      </w:r>
      <w:r>
        <w:rPr>
          <w:rFonts w:hint="eastAsia" w:asciiTheme="minorEastAsia" w:hAnsiTheme="minorEastAsia" w:eastAsiaTheme="minorEastAsia" w:cstheme="minorEastAsia"/>
          <w:color w:val="auto"/>
          <w:spacing w:val="-81"/>
          <w:sz w:val="21"/>
          <w:szCs w:val="21"/>
        </w:rPr>
        <w:t xml:space="preserve"> </w:t>
      </w:r>
      <w:r>
        <w:rPr>
          <w:rFonts w:hint="eastAsia" w:asciiTheme="minorEastAsia" w:hAnsiTheme="minorEastAsia" w:eastAsiaTheme="minorEastAsia" w:cstheme="minorEastAsia"/>
          <w:color w:val="auto"/>
          <w:spacing w:val="-1"/>
          <w:sz w:val="21"/>
          <w:szCs w:val="21"/>
          <w:u w:val="single" w:color="auto"/>
        </w:rPr>
        <w:t xml:space="preserve">                        (全</w:t>
      </w:r>
      <w:r>
        <w:rPr>
          <w:rFonts w:hint="eastAsia" w:asciiTheme="minorEastAsia" w:hAnsiTheme="minorEastAsia" w:eastAsiaTheme="minorEastAsia" w:cstheme="minorEastAsia"/>
          <w:color w:val="auto"/>
          <w:spacing w:val="-1"/>
          <w:sz w:val="21"/>
          <w:szCs w:val="21"/>
        </w:rPr>
        <w:t>权代表姓名)</w:t>
      </w:r>
      <w:r>
        <w:rPr>
          <w:rFonts w:hint="eastAsia" w:asciiTheme="minorEastAsia" w:hAnsiTheme="minorEastAsia" w:eastAsiaTheme="minorEastAsia" w:cstheme="minorEastAsia"/>
          <w:color w:val="auto"/>
          <w:spacing w:val="-1"/>
          <w:sz w:val="21"/>
          <w:szCs w:val="21"/>
          <w:u w:val="single" w:color="auto"/>
        </w:rPr>
        <w:t xml:space="preserve">          </w:t>
      </w:r>
      <w:r>
        <w:rPr>
          <w:rFonts w:hint="eastAsia" w:asciiTheme="minorEastAsia" w:hAnsiTheme="minorEastAsia" w:eastAsiaTheme="minorEastAsia" w:cstheme="minorEastAsia"/>
          <w:color w:val="auto"/>
          <w:spacing w:val="-55"/>
          <w:sz w:val="21"/>
          <w:szCs w:val="21"/>
        </w:rPr>
        <w:t xml:space="preserve"> </w:t>
      </w:r>
      <w:r>
        <w:rPr>
          <w:rFonts w:hint="eastAsia" w:asciiTheme="minorEastAsia" w:hAnsiTheme="minorEastAsia" w:eastAsiaTheme="minorEastAsia" w:cstheme="minorEastAsia"/>
          <w:color w:val="auto"/>
          <w:spacing w:val="-1"/>
          <w:sz w:val="21"/>
          <w:szCs w:val="21"/>
        </w:rPr>
        <w:t>(职务、职称)为全权代表，现正式递交下述文</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1"/>
          <w:sz w:val="21"/>
          <w:szCs w:val="21"/>
        </w:rPr>
        <w:t>件参加贵方组织的本次政府采购活动：</w:t>
      </w:r>
    </w:p>
    <w:p w14:paraId="4A1672A7">
      <w:pPr>
        <w:spacing w:before="1" w:line="220"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一</w:t>
      </w:r>
      <w:r>
        <w:rPr>
          <w:rFonts w:hint="eastAsia" w:asciiTheme="minorEastAsia" w:hAnsiTheme="minorEastAsia" w:eastAsiaTheme="minorEastAsia" w:cstheme="minorEastAsia"/>
          <w:color w:val="auto"/>
          <w:spacing w:val="-39"/>
          <w:sz w:val="21"/>
          <w:szCs w:val="21"/>
        </w:rPr>
        <w:t xml:space="preserve"> </w:t>
      </w:r>
      <w:r>
        <w:rPr>
          <w:rFonts w:hint="eastAsia" w:asciiTheme="minorEastAsia" w:hAnsiTheme="minorEastAsia" w:eastAsiaTheme="minorEastAsia" w:cstheme="minorEastAsia"/>
          <w:color w:val="auto"/>
          <w:spacing w:val="6"/>
          <w:sz w:val="21"/>
          <w:szCs w:val="21"/>
        </w:rPr>
        <w:t>、报价文件电子版(包含按投标人须知前附表要求提交的全部文件);</w:t>
      </w:r>
    </w:p>
    <w:p w14:paraId="393F82C9">
      <w:pPr>
        <w:spacing w:before="198" w:line="221"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二</w:t>
      </w:r>
      <w:r>
        <w:rPr>
          <w:rFonts w:hint="eastAsia" w:asciiTheme="minorEastAsia" w:hAnsiTheme="minorEastAsia" w:eastAsiaTheme="minorEastAsia" w:cstheme="minorEastAsia"/>
          <w:color w:val="auto"/>
          <w:spacing w:val="-38"/>
          <w:sz w:val="21"/>
          <w:szCs w:val="21"/>
        </w:rPr>
        <w:t xml:space="preserve"> </w:t>
      </w:r>
      <w:r>
        <w:rPr>
          <w:rFonts w:hint="eastAsia" w:asciiTheme="minorEastAsia" w:hAnsiTheme="minorEastAsia" w:eastAsiaTheme="minorEastAsia" w:cstheme="minorEastAsia"/>
          <w:color w:val="auto"/>
          <w:spacing w:val="6"/>
          <w:sz w:val="21"/>
          <w:szCs w:val="21"/>
        </w:rPr>
        <w:t>、资格文件电子版(包含按投标人须知前附表要求提交的全部文件);</w:t>
      </w:r>
    </w:p>
    <w:p w14:paraId="37CDC0EB">
      <w:pPr>
        <w:spacing w:before="189" w:line="221"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三</w:t>
      </w:r>
      <w:r>
        <w:rPr>
          <w:rFonts w:hint="eastAsia" w:asciiTheme="minorEastAsia" w:hAnsiTheme="minorEastAsia" w:eastAsiaTheme="minorEastAsia" w:cstheme="minorEastAsia"/>
          <w:color w:val="auto"/>
          <w:spacing w:val="-39"/>
          <w:sz w:val="21"/>
          <w:szCs w:val="21"/>
        </w:rPr>
        <w:t xml:space="preserve"> </w:t>
      </w:r>
      <w:r>
        <w:rPr>
          <w:rFonts w:hint="eastAsia" w:asciiTheme="minorEastAsia" w:hAnsiTheme="minorEastAsia" w:eastAsiaTheme="minorEastAsia" w:cstheme="minorEastAsia"/>
          <w:color w:val="auto"/>
          <w:spacing w:val="6"/>
          <w:sz w:val="21"/>
          <w:szCs w:val="21"/>
        </w:rPr>
        <w:t>、技术文件电子版(包含按投标人须知前附表要求提交的全部文件);</w:t>
      </w:r>
    </w:p>
    <w:p w14:paraId="66EAA551">
      <w:pPr>
        <w:spacing w:before="189" w:line="221"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四</w:t>
      </w:r>
      <w:r>
        <w:rPr>
          <w:rFonts w:hint="eastAsia" w:asciiTheme="minorEastAsia" w:hAnsiTheme="minorEastAsia" w:eastAsiaTheme="minorEastAsia" w:cstheme="minorEastAsia"/>
          <w:color w:val="auto"/>
          <w:spacing w:val="-38"/>
          <w:sz w:val="21"/>
          <w:szCs w:val="21"/>
        </w:rPr>
        <w:t xml:space="preserve"> </w:t>
      </w:r>
      <w:r>
        <w:rPr>
          <w:rFonts w:hint="eastAsia" w:asciiTheme="minorEastAsia" w:hAnsiTheme="minorEastAsia" w:eastAsiaTheme="minorEastAsia" w:cstheme="minorEastAsia"/>
          <w:color w:val="auto"/>
          <w:spacing w:val="6"/>
          <w:sz w:val="21"/>
          <w:szCs w:val="21"/>
        </w:rPr>
        <w:t>、商务文件电子版(包含按投标人须知前附表要求提交的全部文件);</w:t>
      </w:r>
    </w:p>
    <w:p w14:paraId="2B93D6BC">
      <w:pPr>
        <w:spacing w:before="189" w:line="213"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据此函，我方兹宣布：</w:t>
      </w:r>
    </w:p>
    <w:p w14:paraId="0FECF8C6">
      <w:pPr>
        <w:spacing w:before="189" w:line="295" w:lineRule="auto"/>
        <w:ind w:right="91" w:firstLine="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1、我方愿意以投标时提供的开标一览表中</w:t>
      </w:r>
      <w:r>
        <w:rPr>
          <w:rFonts w:hint="eastAsia" w:asciiTheme="minorEastAsia" w:hAnsiTheme="minorEastAsia" w:eastAsiaTheme="minorEastAsia" w:cstheme="minorEastAsia"/>
          <w:color w:val="auto"/>
          <w:spacing w:val="2"/>
          <w:sz w:val="21"/>
          <w:szCs w:val="21"/>
        </w:rPr>
        <w:t>的投标总报价，在承诺的提交服务成果时间内提供本项目</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3"/>
          <w:sz w:val="21"/>
          <w:szCs w:val="21"/>
        </w:rPr>
        <w:t>招标文件“第二章 采购需求”的“服务要求”中的相应的采购内容，具体详见开标一览表。</w:t>
      </w:r>
    </w:p>
    <w:p w14:paraId="22EAA681">
      <w:pPr>
        <w:spacing w:before="148" w:line="279" w:lineRule="auto"/>
        <w:ind w:right="76" w:firstLine="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2"/>
          <w:sz w:val="21"/>
          <w:szCs w:val="21"/>
        </w:rPr>
        <w:t>2、我方同意自本项目招标文件“第三章投标人须知”第一节</w:t>
      </w:r>
      <w:r>
        <w:rPr>
          <w:rFonts w:hint="eastAsia" w:asciiTheme="minorEastAsia" w:hAnsiTheme="minorEastAsia" w:eastAsiaTheme="minorEastAsia" w:cstheme="minorEastAsia"/>
          <w:color w:val="auto"/>
          <w:spacing w:val="11"/>
          <w:sz w:val="21"/>
          <w:szCs w:val="21"/>
        </w:rPr>
        <w:t>投标人须知前附表第21.1项规定的</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9"/>
          <w:sz w:val="21"/>
          <w:szCs w:val="21"/>
        </w:rPr>
        <w:t>投标截止时间(开标时间)起遵循本投标函，并承诺在“投标人须知前附表”第17.2项规定的投标有效</w:t>
      </w:r>
      <w:r>
        <w:rPr>
          <w:rFonts w:hint="eastAsia" w:asciiTheme="minorEastAsia" w:hAnsiTheme="minorEastAsia" w:eastAsiaTheme="minorEastAsia" w:cstheme="minorEastAsia"/>
          <w:color w:val="auto"/>
          <w:spacing w:val="3"/>
          <w:sz w:val="21"/>
          <w:szCs w:val="21"/>
        </w:rPr>
        <w:t xml:space="preserve"> </w:t>
      </w:r>
      <w:r>
        <w:rPr>
          <w:rFonts w:hint="eastAsia" w:asciiTheme="minorEastAsia" w:hAnsiTheme="minorEastAsia" w:eastAsiaTheme="minorEastAsia" w:cstheme="minorEastAsia"/>
          <w:color w:val="auto"/>
          <w:spacing w:val="-1"/>
          <w:sz w:val="21"/>
          <w:szCs w:val="21"/>
        </w:rPr>
        <w:t>期内不修改、撤销投标文件。</w:t>
      </w:r>
    </w:p>
    <w:p w14:paraId="0E1D992B">
      <w:pPr>
        <w:spacing w:before="127" w:line="221"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3、我方在此声明所递交的投标文件及有关资料都是内容完整、真实和准确</w:t>
      </w:r>
      <w:r>
        <w:rPr>
          <w:rFonts w:hint="eastAsia" w:asciiTheme="minorEastAsia" w:hAnsiTheme="minorEastAsia" w:eastAsiaTheme="minorEastAsia" w:cstheme="minorEastAsia"/>
          <w:color w:val="auto"/>
          <w:spacing w:val="-1"/>
          <w:sz w:val="21"/>
          <w:szCs w:val="21"/>
        </w:rPr>
        <w:t>的。</w:t>
      </w:r>
    </w:p>
    <w:p w14:paraId="6BD8112E">
      <w:pPr>
        <w:spacing w:before="159" w:line="213"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4、如本项目采购内容涉及须符合国家强制规定的，我方承诺我方本次投标(包括资格条件和所投产</w:t>
      </w:r>
    </w:p>
    <w:p w14:paraId="3DBD29B3">
      <w:pPr>
        <w:spacing w:before="217" w:line="222"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品)均符合国家有关强制规定。</w:t>
      </w:r>
    </w:p>
    <w:p w14:paraId="30E8B92A">
      <w:pPr>
        <w:spacing w:before="159" w:line="334" w:lineRule="auto"/>
        <w:ind w:right="104" w:firstLine="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5、如我方中标，我方承诺在收到中标通知书后，在中标通知书规定的期限内，根据招标文件、我方</w:t>
      </w:r>
      <w:r>
        <w:rPr>
          <w:rFonts w:hint="eastAsia" w:asciiTheme="minorEastAsia" w:hAnsiTheme="minorEastAsia" w:eastAsiaTheme="minorEastAsia" w:cstheme="minorEastAsia"/>
          <w:color w:val="auto"/>
          <w:sz w:val="21"/>
          <w:szCs w:val="21"/>
        </w:rPr>
        <w:t xml:space="preserve"> 的投标文件及有关澄清承诺书的要求按第五章“拟签订的</w:t>
      </w:r>
      <w:r>
        <w:rPr>
          <w:rFonts w:hint="eastAsia" w:asciiTheme="minorEastAsia" w:hAnsiTheme="minorEastAsia" w:eastAsiaTheme="minorEastAsia" w:cstheme="minorEastAsia"/>
          <w:color w:val="auto"/>
          <w:spacing w:val="-1"/>
          <w:sz w:val="21"/>
          <w:szCs w:val="21"/>
        </w:rPr>
        <w:t>合同文本”与采购人订立书面合同，并按照合同</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1"/>
          <w:sz w:val="21"/>
          <w:szCs w:val="21"/>
        </w:rPr>
        <w:t>约定承担完成合同的责任和义务。</w:t>
      </w:r>
    </w:p>
    <w:p w14:paraId="13BEF8F5">
      <w:pPr>
        <w:spacing w:before="200" w:line="213"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6、我方已详细审核招标文件，我方知道必须放弃提出含糊不清或误解问题的权利。</w:t>
      </w:r>
    </w:p>
    <w:p w14:paraId="674B2911">
      <w:pPr>
        <w:spacing w:before="187" w:line="308" w:lineRule="auto"/>
        <w:ind w:right="99" w:firstLine="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7、我方同意应贵方要求提供与本投标有关的任何数据或资料。若贵方需要，我方愿意提供我方作出</w:t>
      </w:r>
      <w:r>
        <w:rPr>
          <w:rFonts w:hint="eastAsia" w:asciiTheme="minorEastAsia" w:hAnsiTheme="minorEastAsia" w:eastAsiaTheme="minorEastAsia" w:cstheme="minorEastAsia"/>
          <w:color w:val="auto"/>
          <w:spacing w:val="11"/>
          <w:sz w:val="21"/>
          <w:szCs w:val="21"/>
        </w:rPr>
        <w:t xml:space="preserve"> </w:t>
      </w:r>
      <w:r>
        <w:rPr>
          <w:rFonts w:hint="eastAsia" w:asciiTheme="minorEastAsia" w:hAnsiTheme="minorEastAsia" w:eastAsiaTheme="minorEastAsia" w:cstheme="minorEastAsia"/>
          <w:color w:val="auto"/>
          <w:spacing w:val="-2"/>
          <w:sz w:val="21"/>
          <w:szCs w:val="21"/>
        </w:rPr>
        <w:t>的一切承诺的证明材料。</w:t>
      </w:r>
    </w:p>
    <w:p w14:paraId="2A45D83F">
      <w:pPr>
        <w:spacing w:before="189" w:line="221" w:lineRule="auto"/>
        <w:ind w:left="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8、我方完全理解贵方不一定接受投标报价最低的投标人为中标人的行</w:t>
      </w:r>
      <w:r>
        <w:rPr>
          <w:rFonts w:hint="eastAsia" w:asciiTheme="minorEastAsia" w:hAnsiTheme="minorEastAsia" w:eastAsiaTheme="minorEastAsia" w:cstheme="minorEastAsia"/>
          <w:color w:val="auto"/>
          <w:spacing w:val="-1"/>
          <w:sz w:val="21"/>
          <w:szCs w:val="21"/>
        </w:rPr>
        <w:t>为。</w:t>
      </w:r>
    </w:p>
    <w:p w14:paraId="6F6A960F">
      <w:pPr>
        <w:spacing w:before="181" w:line="343" w:lineRule="auto"/>
        <w:ind w:firstLine="4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9、我方将严格遵守《中华人民共和国政府采购法》第七十七条的规定，即</w:t>
      </w:r>
      <w:r>
        <w:rPr>
          <w:rFonts w:hint="eastAsia" w:asciiTheme="minorEastAsia" w:hAnsiTheme="minorEastAsia" w:eastAsiaTheme="minorEastAsia" w:cstheme="minorEastAsia"/>
          <w:color w:val="auto"/>
          <w:spacing w:val="-1"/>
          <w:sz w:val="21"/>
          <w:szCs w:val="21"/>
        </w:rPr>
        <w:t>供应商有下列情形之一的，</w:t>
      </w:r>
      <w:r>
        <w:rPr>
          <w:rFonts w:hint="eastAsia" w:asciiTheme="minorEastAsia" w:hAnsiTheme="minorEastAsia" w:eastAsiaTheme="minorEastAsia" w:cstheme="minorEastAsia"/>
          <w:color w:val="auto"/>
          <w:sz w:val="21"/>
          <w:szCs w:val="21"/>
        </w:rPr>
        <w:t xml:space="preserve"> 处以采购金额千分之五以上千分之十以下的罚款，列入不良行为记录名单，在一至三</w:t>
      </w:r>
      <w:r>
        <w:rPr>
          <w:rFonts w:hint="eastAsia" w:asciiTheme="minorEastAsia" w:hAnsiTheme="minorEastAsia" w:eastAsiaTheme="minorEastAsia" w:cstheme="minorEastAsia"/>
          <w:color w:val="auto"/>
          <w:spacing w:val="-1"/>
          <w:sz w:val="21"/>
          <w:szCs w:val="21"/>
        </w:rPr>
        <w:t>年内禁止参加政府采</w:t>
      </w:r>
      <w:r>
        <w:rPr>
          <w:rFonts w:hint="eastAsia" w:asciiTheme="minorEastAsia" w:hAnsiTheme="minorEastAsia" w:eastAsiaTheme="minorEastAsia" w:cstheme="minorEastAsia"/>
          <w:color w:val="auto"/>
          <w:sz w:val="21"/>
          <w:szCs w:val="21"/>
        </w:rPr>
        <w:t xml:space="preserve">  购活动，有违法所得的，并处没收违法所得，情节严重的，由工商行政管理机关吊销营业执照；构成犯罪</w:t>
      </w:r>
      <w:r>
        <w:rPr>
          <w:rFonts w:hint="eastAsia" w:asciiTheme="minorEastAsia" w:hAnsiTheme="minorEastAsia" w:eastAsiaTheme="minorEastAsia" w:cstheme="minorEastAsia"/>
          <w:color w:val="auto"/>
          <w:spacing w:val="14"/>
          <w:sz w:val="21"/>
          <w:szCs w:val="21"/>
        </w:rPr>
        <w:t xml:space="preserve"> </w:t>
      </w:r>
      <w:r>
        <w:rPr>
          <w:rFonts w:hint="eastAsia" w:asciiTheme="minorEastAsia" w:hAnsiTheme="minorEastAsia" w:eastAsiaTheme="minorEastAsia" w:cstheme="minorEastAsia"/>
          <w:color w:val="auto"/>
          <w:spacing w:val="-2"/>
          <w:sz w:val="21"/>
          <w:szCs w:val="21"/>
        </w:rPr>
        <w:t>的，依法追究刑事责任：</w:t>
      </w:r>
    </w:p>
    <w:p w14:paraId="6DBA7D8C">
      <w:pPr>
        <w:spacing w:before="198" w:line="213" w:lineRule="auto"/>
        <w:ind w:left="54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(1)   提供虚假材料谋取中标、成交的；</w:t>
      </w:r>
    </w:p>
    <w:p w14:paraId="7EE29069">
      <w:pPr>
        <w:spacing w:before="197" w:line="213" w:lineRule="auto"/>
        <w:ind w:left="51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(2)</w:t>
      </w:r>
      <w:r>
        <w:rPr>
          <w:rFonts w:hint="eastAsia" w:asciiTheme="minorEastAsia" w:hAnsiTheme="minorEastAsia" w:eastAsiaTheme="minorEastAsia" w:cstheme="minorEastAsia"/>
          <w:color w:val="auto"/>
          <w:spacing w:val="16"/>
          <w:sz w:val="21"/>
          <w:szCs w:val="21"/>
        </w:rPr>
        <w:t xml:space="preserve">   </w:t>
      </w:r>
      <w:r>
        <w:rPr>
          <w:rFonts w:hint="eastAsia" w:asciiTheme="minorEastAsia" w:hAnsiTheme="minorEastAsia" w:eastAsiaTheme="minorEastAsia" w:cstheme="minorEastAsia"/>
          <w:color w:val="auto"/>
          <w:spacing w:val="-3"/>
          <w:sz w:val="21"/>
          <w:szCs w:val="21"/>
        </w:rPr>
        <w:t>采取不正当手段诋毁、排挤其他供应商的；</w:t>
      </w:r>
    </w:p>
    <w:p w14:paraId="5497855B">
      <w:pPr>
        <w:spacing w:line="213" w:lineRule="auto"/>
        <w:rPr>
          <w:rFonts w:hint="eastAsia" w:asciiTheme="minorEastAsia" w:hAnsiTheme="minorEastAsia" w:eastAsiaTheme="minorEastAsia" w:cstheme="minorEastAsia"/>
          <w:color w:val="auto"/>
          <w:sz w:val="21"/>
          <w:szCs w:val="21"/>
        </w:rPr>
        <w:sectPr>
          <w:footerReference r:id="rId52" w:type="default"/>
          <w:pgSz w:w="11900" w:h="16830"/>
          <w:pgMar w:top="1274" w:right="1045" w:bottom="1183" w:left="1110" w:header="0" w:footer="994" w:gutter="0"/>
          <w:cols w:space="720" w:num="1"/>
        </w:sectPr>
      </w:pPr>
    </w:p>
    <w:p w14:paraId="47D61110">
      <w:pPr>
        <w:spacing w:before="40" w:line="213" w:lineRule="auto"/>
        <w:ind w:left="51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7"/>
          <w:sz w:val="20"/>
          <w:szCs w:val="20"/>
        </w:rPr>
        <w:t>(3)</w:t>
      </w:r>
      <w:r>
        <w:rPr>
          <w:rFonts w:hint="eastAsia" w:asciiTheme="minorEastAsia" w:hAnsiTheme="minorEastAsia" w:eastAsiaTheme="minorEastAsia" w:cstheme="minorEastAsia"/>
          <w:color w:val="auto"/>
          <w:spacing w:val="22"/>
          <w:sz w:val="20"/>
          <w:szCs w:val="20"/>
        </w:rPr>
        <w:t xml:space="preserve">   </w:t>
      </w:r>
      <w:r>
        <w:rPr>
          <w:rFonts w:hint="eastAsia" w:asciiTheme="minorEastAsia" w:hAnsiTheme="minorEastAsia" w:eastAsiaTheme="minorEastAsia" w:cstheme="minorEastAsia"/>
          <w:color w:val="auto"/>
          <w:spacing w:val="7"/>
          <w:sz w:val="20"/>
          <w:szCs w:val="20"/>
        </w:rPr>
        <w:t>与采购人、其他供应商或者采购代理机构</w:t>
      </w:r>
      <w:r>
        <w:rPr>
          <w:rFonts w:hint="eastAsia" w:asciiTheme="minorEastAsia" w:hAnsiTheme="minorEastAsia" w:eastAsiaTheme="minorEastAsia" w:cstheme="minorEastAsia"/>
          <w:color w:val="auto"/>
          <w:spacing w:val="6"/>
          <w:sz w:val="20"/>
          <w:szCs w:val="20"/>
        </w:rPr>
        <w:t>恶意串通的；</w:t>
      </w:r>
    </w:p>
    <w:p w14:paraId="2FCA197A">
      <w:pPr>
        <w:spacing w:before="199" w:line="213" w:lineRule="auto"/>
        <w:ind w:left="51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7"/>
          <w:sz w:val="20"/>
          <w:szCs w:val="20"/>
        </w:rPr>
        <w:t>(4)</w:t>
      </w:r>
      <w:r>
        <w:rPr>
          <w:rFonts w:hint="eastAsia" w:asciiTheme="minorEastAsia" w:hAnsiTheme="minorEastAsia" w:eastAsiaTheme="minorEastAsia" w:cstheme="minorEastAsia"/>
          <w:color w:val="auto"/>
          <w:spacing w:val="25"/>
          <w:sz w:val="20"/>
          <w:szCs w:val="20"/>
        </w:rPr>
        <w:t xml:space="preserve">   </w:t>
      </w:r>
      <w:r>
        <w:rPr>
          <w:rFonts w:hint="eastAsia" w:asciiTheme="minorEastAsia" w:hAnsiTheme="minorEastAsia" w:eastAsiaTheme="minorEastAsia" w:cstheme="minorEastAsia"/>
          <w:color w:val="auto"/>
          <w:spacing w:val="7"/>
          <w:sz w:val="20"/>
          <w:szCs w:val="20"/>
        </w:rPr>
        <w:t>向采购人、采购代理机构行贿或者提供其他不正当利益的；</w:t>
      </w:r>
    </w:p>
    <w:p w14:paraId="4FAA3D40">
      <w:pPr>
        <w:spacing w:before="219" w:line="213" w:lineRule="auto"/>
        <w:ind w:left="51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6"/>
          <w:sz w:val="20"/>
          <w:szCs w:val="20"/>
        </w:rPr>
        <w:t>(5)</w:t>
      </w:r>
      <w:r>
        <w:rPr>
          <w:rFonts w:hint="eastAsia" w:asciiTheme="minorEastAsia" w:hAnsiTheme="minorEastAsia" w:eastAsiaTheme="minorEastAsia" w:cstheme="minorEastAsia"/>
          <w:color w:val="auto"/>
          <w:spacing w:val="27"/>
          <w:sz w:val="20"/>
          <w:szCs w:val="20"/>
        </w:rPr>
        <w:t xml:space="preserve">   </w:t>
      </w:r>
      <w:r>
        <w:rPr>
          <w:rFonts w:hint="eastAsia" w:asciiTheme="minorEastAsia" w:hAnsiTheme="minorEastAsia" w:eastAsiaTheme="minorEastAsia" w:cstheme="minorEastAsia"/>
          <w:color w:val="auto"/>
          <w:spacing w:val="6"/>
          <w:sz w:val="20"/>
          <w:szCs w:val="20"/>
        </w:rPr>
        <w:t>在招标采购过程中与采购人进行协商谈判的；</w:t>
      </w:r>
    </w:p>
    <w:p w14:paraId="482576C5">
      <w:pPr>
        <w:spacing w:before="217" w:line="221" w:lineRule="auto"/>
        <w:ind w:left="51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7"/>
          <w:sz w:val="20"/>
          <w:szCs w:val="20"/>
        </w:rPr>
        <w:t>(6)</w:t>
      </w:r>
      <w:r>
        <w:rPr>
          <w:rFonts w:hint="eastAsia" w:asciiTheme="minorEastAsia" w:hAnsiTheme="minorEastAsia" w:eastAsiaTheme="minorEastAsia" w:cstheme="minorEastAsia"/>
          <w:color w:val="auto"/>
          <w:spacing w:val="21"/>
          <w:sz w:val="20"/>
          <w:szCs w:val="20"/>
        </w:rPr>
        <w:t xml:space="preserve">   </w:t>
      </w:r>
      <w:r>
        <w:rPr>
          <w:rFonts w:hint="eastAsia" w:asciiTheme="minorEastAsia" w:hAnsiTheme="minorEastAsia" w:eastAsiaTheme="minorEastAsia" w:cstheme="minorEastAsia"/>
          <w:color w:val="auto"/>
          <w:spacing w:val="7"/>
          <w:sz w:val="20"/>
          <w:szCs w:val="20"/>
        </w:rPr>
        <w:t>拒绝有关部门监督检查或提供虚假情况的。</w:t>
      </w:r>
    </w:p>
    <w:p w14:paraId="58613D96">
      <w:pPr>
        <w:spacing w:before="51" w:line="300" w:lineRule="auto"/>
        <w:ind w:firstLine="42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9"/>
          <w:sz w:val="20"/>
          <w:szCs w:val="20"/>
        </w:rPr>
        <w:t>10、以上事项如有虚假或者隐瞒，我方愿意承担一切后果，并不再寻求任何旨在减轻或者免除法律责</w:t>
      </w:r>
      <w:r>
        <w:rPr>
          <w:rFonts w:hint="eastAsia" w:asciiTheme="minorEastAsia" w:hAnsiTheme="minorEastAsia" w:eastAsiaTheme="minorEastAsia" w:cstheme="minorEastAsia"/>
          <w:color w:val="auto"/>
          <w:spacing w:val="16"/>
          <w:sz w:val="20"/>
          <w:szCs w:val="20"/>
        </w:rPr>
        <w:t xml:space="preserve"> </w:t>
      </w:r>
      <w:r>
        <w:rPr>
          <w:rFonts w:hint="eastAsia" w:asciiTheme="minorEastAsia" w:hAnsiTheme="minorEastAsia" w:eastAsiaTheme="minorEastAsia" w:cstheme="minorEastAsia"/>
          <w:color w:val="auto"/>
          <w:spacing w:val="14"/>
          <w:sz w:val="20"/>
          <w:szCs w:val="20"/>
        </w:rPr>
        <w:t>任的辩解。</w:t>
      </w:r>
    </w:p>
    <w:p w14:paraId="252058EE">
      <w:pPr>
        <w:spacing w:before="169" w:line="222" w:lineRule="auto"/>
        <w:ind w:left="42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8"/>
          <w:sz w:val="20"/>
          <w:szCs w:val="20"/>
        </w:rPr>
        <w:t>11、与本投标有关的一切正式往来信函请寄：</w:t>
      </w:r>
    </w:p>
    <w:p w14:paraId="311971BD">
      <w:pPr>
        <w:spacing w:before="200" w:line="230" w:lineRule="auto"/>
        <w:ind w:left="42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31"/>
          <w:w w:val="91"/>
          <w:sz w:val="20"/>
          <w:szCs w:val="20"/>
        </w:rPr>
        <w:t>地</w:t>
      </w:r>
      <w:r>
        <w:rPr>
          <w:rFonts w:hint="eastAsia" w:asciiTheme="minorEastAsia" w:hAnsiTheme="minorEastAsia" w:eastAsiaTheme="minorEastAsia" w:cstheme="minorEastAsia"/>
          <w:color w:val="auto"/>
          <w:spacing w:val="-2"/>
          <w:sz w:val="20"/>
          <w:szCs w:val="20"/>
        </w:rPr>
        <w:t xml:space="preserve"> </w:t>
      </w:r>
      <w:r>
        <w:rPr>
          <w:rFonts w:hint="eastAsia" w:asciiTheme="minorEastAsia" w:hAnsiTheme="minorEastAsia" w:eastAsiaTheme="minorEastAsia" w:cstheme="minorEastAsia"/>
          <w:color w:val="auto"/>
          <w:spacing w:val="-31"/>
          <w:w w:val="91"/>
          <w:sz w:val="20"/>
          <w:szCs w:val="20"/>
        </w:rPr>
        <w:t>址</w:t>
      </w:r>
      <w:r>
        <w:rPr>
          <w:rFonts w:hint="eastAsia" w:asciiTheme="minorEastAsia" w:hAnsiTheme="minorEastAsia" w:eastAsiaTheme="minorEastAsia" w:cstheme="minorEastAsia"/>
          <w:color w:val="auto"/>
          <w:spacing w:val="-13"/>
          <w:sz w:val="20"/>
          <w:szCs w:val="20"/>
        </w:rPr>
        <w:t xml:space="preserve"> </w:t>
      </w:r>
      <w:r>
        <w:rPr>
          <w:rFonts w:hint="eastAsia" w:asciiTheme="minorEastAsia" w:hAnsiTheme="minorEastAsia" w:eastAsiaTheme="minorEastAsia" w:cstheme="minorEastAsia"/>
          <w:color w:val="auto"/>
          <w:spacing w:val="-31"/>
          <w:w w:val="91"/>
          <w:sz w:val="20"/>
          <w:szCs w:val="20"/>
        </w:rPr>
        <w:t>：</w:t>
      </w:r>
      <w:r>
        <w:rPr>
          <w:rFonts w:hint="eastAsia" w:asciiTheme="minorEastAsia" w:hAnsiTheme="minorEastAsia" w:eastAsiaTheme="minorEastAsia" w:cstheme="minorEastAsia"/>
          <w:color w:val="auto"/>
          <w:sz w:val="20"/>
          <w:szCs w:val="20"/>
          <w:u w:val="single" w:color="auto"/>
        </w:rPr>
        <w:t xml:space="preserve">                                                           </w:t>
      </w:r>
    </w:p>
    <w:p w14:paraId="71F5555E">
      <w:pPr>
        <w:spacing w:before="153" w:line="224" w:lineRule="auto"/>
        <w:ind w:left="42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42"/>
          <w:w w:val="98"/>
          <w:sz w:val="20"/>
          <w:szCs w:val="20"/>
        </w:rPr>
        <w:t>电</w:t>
      </w:r>
      <w:r>
        <w:rPr>
          <w:rFonts w:hint="eastAsia" w:asciiTheme="minorEastAsia" w:hAnsiTheme="minorEastAsia" w:eastAsiaTheme="minorEastAsia" w:cstheme="minorEastAsia"/>
          <w:color w:val="auto"/>
          <w:spacing w:val="-10"/>
          <w:sz w:val="20"/>
          <w:szCs w:val="20"/>
        </w:rPr>
        <w:t xml:space="preserve"> </w:t>
      </w:r>
      <w:r>
        <w:rPr>
          <w:rFonts w:hint="eastAsia" w:asciiTheme="minorEastAsia" w:hAnsiTheme="minorEastAsia" w:eastAsiaTheme="minorEastAsia" w:cstheme="minorEastAsia"/>
          <w:color w:val="auto"/>
          <w:spacing w:val="-42"/>
          <w:w w:val="98"/>
          <w:sz w:val="20"/>
          <w:szCs w:val="20"/>
        </w:rPr>
        <w:t>话 ：</w:t>
      </w:r>
      <w:r>
        <w:rPr>
          <w:rFonts w:hint="eastAsia" w:asciiTheme="minorEastAsia" w:hAnsiTheme="minorEastAsia" w:eastAsiaTheme="minorEastAsia" w:cstheme="minorEastAsia"/>
          <w:color w:val="auto"/>
          <w:sz w:val="20"/>
          <w:szCs w:val="20"/>
          <w:u w:val="single" w:color="auto"/>
        </w:rPr>
        <w:t xml:space="preserve">                                                           </w:t>
      </w:r>
    </w:p>
    <w:p w14:paraId="3752D987">
      <w:pPr>
        <w:spacing w:before="184" w:line="222" w:lineRule="auto"/>
        <w:ind w:left="429"/>
        <w:rPr>
          <w:rFonts w:hint="eastAsia" w:asciiTheme="minorEastAsia" w:hAnsiTheme="minorEastAsia" w:eastAsiaTheme="minorEastAsia" w:cstheme="minorEastAsia"/>
          <w:color w:val="auto"/>
          <w:sz w:val="16"/>
          <w:szCs w:val="16"/>
        </w:rPr>
      </w:pPr>
      <w:r>
        <w:rPr>
          <w:rFonts w:hint="eastAsia" w:asciiTheme="minorEastAsia" w:hAnsiTheme="minorEastAsia" w:eastAsiaTheme="minorEastAsia" w:cstheme="minorEastAsia"/>
          <w:color w:val="auto"/>
          <w:spacing w:val="-5"/>
          <w:sz w:val="16"/>
          <w:szCs w:val="16"/>
        </w:rPr>
        <w:t>传 真</w:t>
      </w:r>
      <w:r>
        <w:rPr>
          <w:rFonts w:hint="eastAsia" w:asciiTheme="minorEastAsia" w:hAnsiTheme="minorEastAsia" w:eastAsiaTheme="minorEastAsia" w:cstheme="minorEastAsia"/>
          <w:color w:val="auto"/>
          <w:spacing w:val="-12"/>
          <w:sz w:val="16"/>
          <w:szCs w:val="16"/>
        </w:rPr>
        <w:t xml:space="preserve"> </w:t>
      </w:r>
      <w:r>
        <w:rPr>
          <w:rFonts w:hint="eastAsia" w:asciiTheme="minorEastAsia" w:hAnsiTheme="minorEastAsia" w:eastAsiaTheme="minorEastAsia" w:cstheme="minorEastAsia"/>
          <w:color w:val="auto"/>
          <w:spacing w:val="-5"/>
          <w:sz w:val="16"/>
          <w:szCs w:val="16"/>
        </w:rPr>
        <w:t>：</w:t>
      </w:r>
      <w:r>
        <w:rPr>
          <w:rFonts w:hint="eastAsia" w:asciiTheme="minorEastAsia" w:hAnsiTheme="minorEastAsia" w:eastAsiaTheme="minorEastAsia" w:cstheme="minorEastAsia"/>
          <w:color w:val="auto"/>
          <w:spacing w:val="-60"/>
          <w:sz w:val="16"/>
          <w:szCs w:val="16"/>
        </w:rPr>
        <w:t xml:space="preserve"> </w:t>
      </w:r>
      <w:r>
        <w:rPr>
          <w:rFonts w:hint="eastAsia" w:asciiTheme="minorEastAsia" w:hAnsiTheme="minorEastAsia" w:eastAsiaTheme="minorEastAsia" w:cstheme="minorEastAsia"/>
          <w:color w:val="auto"/>
          <w:sz w:val="16"/>
          <w:szCs w:val="16"/>
          <w:u w:val="single" w:color="auto"/>
        </w:rPr>
        <w:t xml:space="preserve">                                                                          </w:t>
      </w:r>
    </w:p>
    <w:p w14:paraId="2A3BB5DA">
      <w:pPr>
        <w:spacing w:before="159" w:line="222" w:lineRule="auto"/>
        <w:ind w:left="42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pacing w:val="-10"/>
          <w:sz w:val="22"/>
          <w:szCs w:val="22"/>
        </w:rPr>
        <w:t>电子邮箱：</w:t>
      </w:r>
      <w:r>
        <w:rPr>
          <w:rFonts w:hint="eastAsia" w:asciiTheme="minorEastAsia" w:hAnsiTheme="minorEastAsia" w:eastAsiaTheme="minorEastAsia" w:cstheme="minorEastAsia"/>
          <w:color w:val="auto"/>
          <w:sz w:val="22"/>
          <w:szCs w:val="22"/>
          <w:u w:val="single" w:color="auto"/>
        </w:rPr>
        <w:t xml:space="preserve">                                                  </w:t>
      </w:r>
    </w:p>
    <w:p w14:paraId="315EAAFF">
      <w:pPr>
        <w:spacing w:before="165" w:line="221" w:lineRule="auto"/>
        <w:ind w:left="42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邮政编码：</w:t>
      </w:r>
      <w:r>
        <w:rPr>
          <w:rFonts w:hint="eastAsia" w:asciiTheme="minorEastAsia" w:hAnsiTheme="minorEastAsia" w:eastAsiaTheme="minorEastAsia" w:cstheme="minorEastAsia"/>
          <w:color w:val="auto"/>
          <w:spacing w:val="-40"/>
          <w:sz w:val="20"/>
          <w:szCs w:val="20"/>
        </w:rPr>
        <w:t xml:space="preserve"> </w:t>
      </w:r>
      <w:r>
        <w:rPr>
          <w:rFonts w:hint="eastAsia" w:asciiTheme="minorEastAsia" w:hAnsiTheme="minorEastAsia" w:eastAsiaTheme="minorEastAsia" w:cstheme="minorEastAsia"/>
          <w:color w:val="auto"/>
          <w:sz w:val="20"/>
          <w:szCs w:val="20"/>
          <w:u w:val="single" w:color="auto"/>
        </w:rPr>
        <w:t xml:space="preserve">                                                       </w:t>
      </w:r>
    </w:p>
    <w:p w14:paraId="12FBDE0B">
      <w:pPr>
        <w:spacing w:before="191" w:line="222" w:lineRule="auto"/>
        <w:ind w:left="42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5"/>
          <w:sz w:val="20"/>
          <w:szCs w:val="20"/>
        </w:rPr>
        <w:t>开户名称：</w:t>
      </w:r>
      <w:r>
        <w:rPr>
          <w:rFonts w:hint="eastAsia" w:asciiTheme="minorEastAsia" w:hAnsiTheme="minorEastAsia" w:eastAsiaTheme="minorEastAsia" w:cstheme="minorEastAsia"/>
          <w:color w:val="auto"/>
          <w:sz w:val="20"/>
          <w:szCs w:val="20"/>
          <w:u w:val="single" w:color="auto"/>
        </w:rPr>
        <w:t xml:space="preserve">                                                        </w:t>
      </w:r>
    </w:p>
    <w:p w14:paraId="2233CAC9">
      <w:pPr>
        <w:spacing w:before="159" w:line="222" w:lineRule="auto"/>
        <w:ind w:left="42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5"/>
          <w:sz w:val="20"/>
          <w:szCs w:val="20"/>
        </w:rPr>
        <w:t>开户银行：</w:t>
      </w:r>
      <w:r>
        <w:rPr>
          <w:rFonts w:hint="eastAsia" w:asciiTheme="minorEastAsia" w:hAnsiTheme="minorEastAsia" w:eastAsiaTheme="minorEastAsia" w:cstheme="minorEastAsia"/>
          <w:color w:val="auto"/>
          <w:sz w:val="20"/>
          <w:szCs w:val="20"/>
          <w:u w:val="single" w:color="auto"/>
        </w:rPr>
        <w:t xml:space="preserve">                                                        </w:t>
      </w:r>
    </w:p>
    <w:p w14:paraId="10126079">
      <w:pPr>
        <w:spacing w:before="169" w:line="221" w:lineRule="auto"/>
        <w:ind w:left="42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银行账号：</w:t>
      </w:r>
      <w:r>
        <w:rPr>
          <w:rFonts w:hint="eastAsia" w:asciiTheme="minorEastAsia" w:hAnsiTheme="minorEastAsia" w:eastAsiaTheme="minorEastAsia" w:cstheme="minorEastAsia"/>
          <w:color w:val="auto"/>
          <w:spacing w:val="-40"/>
          <w:sz w:val="20"/>
          <w:szCs w:val="20"/>
        </w:rPr>
        <w:t xml:space="preserve"> </w:t>
      </w:r>
      <w:r>
        <w:rPr>
          <w:rFonts w:hint="eastAsia" w:asciiTheme="minorEastAsia" w:hAnsiTheme="minorEastAsia" w:eastAsiaTheme="minorEastAsia" w:cstheme="minorEastAsia"/>
          <w:color w:val="auto"/>
          <w:sz w:val="20"/>
          <w:szCs w:val="20"/>
          <w:u w:val="single" w:color="auto"/>
        </w:rPr>
        <w:t xml:space="preserve">                                                       </w:t>
      </w:r>
    </w:p>
    <w:p w14:paraId="3C560D2C">
      <w:pPr>
        <w:pStyle w:val="10"/>
        <w:spacing w:line="292" w:lineRule="auto"/>
        <w:rPr>
          <w:rFonts w:hint="eastAsia" w:asciiTheme="minorEastAsia" w:hAnsiTheme="minorEastAsia" w:eastAsiaTheme="minorEastAsia" w:cstheme="minorEastAsia"/>
          <w:color w:val="auto"/>
        </w:rPr>
      </w:pPr>
    </w:p>
    <w:p w14:paraId="5D6931D6">
      <w:pPr>
        <w:pStyle w:val="10"/>
        <w:spacing w:line="292" w:lineRule="auto"/>
        <w:rPr>
          <w:rFonts w:hint="eastAsia" w:asciiTheme="minorEastAsia" w:hAnsiTheme="minorEastAsia" w:eastAsiaTheme="minorEastAsia" w:cstheme="minorEastAsia"/>
          <w:color w:val="auto"/>
        </w:rPr>
      </w:pPr>
    </w:p>
    <w:p w14:paraId="7BE25C55">
      <w:pPr>
        <w:pStyle w:val="10"/>
        <w:spacing w:line="293" w:lineRule="auto"/>
        <w:rPr>
          <w:rFonts w:hint="eastAsia" w:asciiTheme="minorEastAsia" w:hAnsiTheme="minorEastAsia" w:eastAsiaTheme="minorEastAsia" w:cstheme="minorEastAsia"/>
          <w:color w:val="auto"/>
        </w:rPr>
      </w:pPr>
    </w:p>
    <w:p w14:paraId="04A261F7">
      <w:pPr>
        <w:spacing w:before="69" w:line="222" w:lineRule="auto"/>
        <w:ind w:left="46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5"/>
          <w:sz w:val="21"/>
          <w:szCs w:val="21"/>
        </w:rPr>
        <w:t>投标人名称(盖公章):</w:t>
      </w:r>
      <w:r>
        <w:rPr>
          <w:rFonts w:hint="eastAsia" w:asciiTheme="minorEastAsia" w:hAnsiTheme="minorEastAsia" w:eastAsiaTheme="minorEastAsia" w:cstheme="minorEastAsia"/>
          <w:color w:val="auto"/>
          <w:spacing w:val="-37"/>
          <w:sz w:val="21"/>
          <w:szCs w:val="21"/>
        </w:rPr>
        <w:t xml:space="preserve"> </w:t>
      </w:r>
      <w:r>
        <w:rPr>
          <w:rFonts w:hint="eastAsia" w:asciiTheme="minorEastAsia" w:hAnsiTheme="minorEastAsia" w:eastAsiaTheme="minorEastAsia" w:cstheme="minorEastAsia"/>
          <w:color w:val="auto"/>
          <w:sz w:val="21"/>
          <w:szCs w:val="21"/>
          <w:u w:val="single" w:color="auto"/>
        </w:rPr>
        <w:t xml:space="preserve">                </w:t>
      </w:r>
    </w:p>
    <w:p w14:paraId="6EE92E9B">
      <w:pPr>
        <w:spacing w:before="169" w:line="223" w:lineRule="auto"/>
        <w:ind w:left="4629"/>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pacing w:val="-12"/>
          <w:sz w:val="20"/>
          <w:szCs w:val="20"/>
        </w:rPr>
        <w:t>日</w:t>
      </w:r>
      <w:r>
        <w:rPr>
          <w:rFonts w:hint="eastAsia" w:asciiTheme="minorEastAsia" w:hAnsiTheme="minorEastAsia" w:eastAsiaTheme="minorEastAsia" w:cstheme="minorEastAsia"/>
          <w:color w:val="auto"/>
          <w:spacing w:val="-42"/>
          <w:sz w:val="20"/>
          <w:szCs w:val="20"/>
        </w:rPr>
        <w:t xml:space="preserve"> </w:t>
      </w:r>
      <w:r>
        <w:rPr>
          <w:rFonts w:hint="eastAsia" w:asciiTheme="minorEastAsia" w:hAnsiTheme="minorEastAsia" w:eastAsiaTheme="minorEastAsia" w:cstheme="minorEastAsia"/>
          <w:color w:val="auto"/>
          <w:spacing w:val="-12"/>
          <w:sz w:val="20"/>
          <w:szCs w:val="20"/>
        </w:rPr>
        <w:t>期</w:t>
      </w:r>
      <w:r>
        <w:rPr>
          <w:rFonts w:hint="eastAsia" w:asciiTheme="minorEastAsia" w:hAnsiTheme="minorEastAsia" w:eastAsiaTheme="minorEastAsia" w:cstheme="minorEastAsia"/>
          <w:color w:val="auto"/>
          <w:spacing w:val="-52"/>
          <w:sz w:val="20"/>
          <w:szCs w:val="20"/>
        </w:rPr>
        <w:t xml:space="preserve"> </w:t>
      </w:r>
      <w:r>
        <w:rPr>
          <w:rFonts w:hint="eastAsia" w:asciiTheme="minorEastAsia" w:hAnsiTheme="minorEastAsia" w:eastAsiaTheme="minorEastAsia" w:cstheme="minorEastAsia"/>
          <w:color w:val="auto"/>
          <w:spacing w:val="-12"/>
          <w:sz w:val="20"/>
          <w:szCs w:val="20"/>
        </w:rPr>
        <w:t>：</w:t>
      </w:r>
      <w:r>
        <w:rPr>
          <w:rFonts w:hint="eastAsia" w:asciiTheme="minorEastAsia" w:hAnsiTheme="minorEastAsia" w:eastAsiaTheme="minorEastAsia" w:cstheme="minorEastAsia"/>
          <w:color w:val="auto"/>
          <w:spacing w:val="73"/>
          <w:sz w:val="20"/>
          <w:szCs w:val="20"/>
        </w:rPr>
        <w:t xml:space="preserve"> </w:t>
      </w:r>
      <w:r>
        <w:rPr>
          <w:rFonts w:hint="eastAsia" w:asciiTheme="minorEastAsia" w:hAnsiTheme="minorEastAsia" w:eastAsiaTheme="minorEastAsia" w:cstheme="minorEastAsia"/>
          <w:color w:val="auto"/>
          <w:spacing w:val="-12"/>
          <w:sz w:val="20"/>
          <w:szCs w:val="20"/>
        </w:rPr>
        <w:t>年</w:t>
      </w:r>
      <w:r>
        <w:rPr>
          <w:rFonts w:hint="eastAsia" w:asciiTheme="minorEastAsia" w:hAnsiTheme="minorEastAsia" w:eastAsiaTheme="minorEastAsia" w:cstheme="minorEastAsia"/>
          <w:color w:val="auto"/>
          <w:spacing w:val="19"/>
          <w:sz w:val="20"/>
          <w:szCs w:val="20"/>
        </w:rPr>
        <w:t xml:space="preserve">  </w:t>
      </w:r>
      <w:r>
        <w:rPr>
          <w:rFonts w:hint="eastAsia" w:asciiTheme="minorEastAsia" w:hAnsiTheme="minorEastAsia" w:eastAsiaTheme="minorEastAsia" w:cstheme="minorEastAsia"/>
          <w:color w:val="auto"/>
          <w:spacing w:val="-12"/>
          <w:sz w:val="20"/>
          <w:szCs w:val="20"/>
        </w:rPr>
        <w:t>月</w:t>
      </w:r>
      <w:r>
        <w:rPr>
          <w:rFonts w:hint="eastAsia" w:asciiTheme="minorEastAsia" w:hAnsiTheme="minorEastAsia" w:eastAsiaTheme="minorEastAsia" w:cstheme="minorEastAsia"/>
          <w:color w:val="auto"/>
          <w:spacing w:val="14"/>
          <w:sz w:val="20"/>
          <w:szCs w:val="20"/>
        </w:rPr>
        <w:t xml:space="preserve">   </w:t>
      </w:r>
      <w:r>
        <w:rPr>
          <w:rFonts w:hint="eastAsia" w:asciiTheme="minorEastAsia" w:hAnsiTheme="minorEastAsia" w:eastAsiaTheme="minorEastAsia" w:cstheme="minorEastAsia"/>
          <w:color w:val="auto"/>
          <w:spacing w:val="-12"/>
          <w:sz w:val="20"/>
          <w:szCs w:val="20"/>
        </w:rPr>
        <w:t>日</w:t>
      </w:r>
    </w:p>
    <w:p w14:paraId="63775B0E">
      <w:pPr>
        <w:spacing w:line="223" w:lineRule="auto"/>
        <w:rPr>
          <w:rFonts w:hint="eastAsia" w:asciiTheme="minorEastAsia" w:hAnsiTheme="minorEastAsia" w:eastAsiaTheme="minorEastAsia" w:cstheme="minorEastAsia"/>
          <w:color w:val="auto"/>
          <w:sz w:val="20"/>
          <w:szCs w:val="20"/>
        </w:rPr>
        <w:sectPr>
          <w:footerReference r:id="rId53" w:type="default"/>
          <w:pgSz w:w="11900" w:h="16830"/>
          <w:pgMar w:top="1267" w:right="1137" w:bottom="1189" w:left="1110" w:header="0" w:footer="1045" w:gutter="0"/>
          <w:cols w:space="720" w:num="1"/>
        </w:sectPr>
      </w:pPr>
    </w:p>
    <w:p w14:paraId="46B25FF0">
      <w:pPr>
        <w:spacing w:before="58" w:line="219" w:lineRule="auto"/>
        <w:ind w:left="5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pacing w:val="-13"/>
          <w:sz w:val="29"/>
          <w:szCs w:val="29"/>
        </w:rPr>
        <w:t>4.</w:t>
      </w:r>
      <w:r>
        <w:rPr>
          <w:rFonts w:hint="eastAsia" w:asciiTheme="minorEastAsia" w:hAnsiTheme="minorEastAsia" w:eastAsiaTheme="minorEastAsia" w:cstheme="minorEastAsia"/>
          <w:color w:val="auto"/>
          <w:spacing w:val="-27"/>
          <w:sz w:val="29"/>
          <w:szCs w:val="29"/>
        </w:rPr>
        <w:t xml:space="preserve"> </w:t>
      </w:r>
      <w:r>
        <w:rPr>
          <w:rFonts w:hint="eastAsia" w:asciiTheme="minorEastAsia" w:hAnsiTheme="minorEastAsia" w:eastAsiaTheme="minorEastAsia" w:cstheme="minorEastAsia"/>
          <w:b/>
          <w:bCs/>
          <w:color w:val="auto"/>
          <w:spacing w:val="-13"/>
          <w:sz w:val="29"/>
          <w:szCs w:val="29"/>
        </w:rPr>
        <w:t>开标一览表的格式：</w:t>
      </w:r>
    </w:p>
    <w:p w14:paraId="596C567E">
      <w:pPr>
        <w:pStyle w:val="10"/>
        <w:spacing w:line="245" w:lineRule="auto"/>
        <w:rPr>
          <w:rFonts w:hint="eastAsia" w:asciiTheme="minorEastAsia" w:hAnsiTheme="minorEastAsia" w:eastAsiaTheme="minorEastAsia" w:cstheme="minorEastAsia"/>
          <w:color w:val="auto"/>
        </w:rPr>
      </w:pPr>
    </w:p>
    <w:p w14:paraId="6723AA00">
      <w:pPr>
        <w:spacing w:before="94" w:line="219" w:lineRule="auto"/>
        <w:ind w:left="2749"/>
        <w:rPr>
          <w:rFonts w:hint="eastAsia" w:asciiTheme="minorEastAsia" w:hAnsiTheme="minorEastAsia" w:eastAsiaTheme="minorEastAsia" w:cstheme="minorEastAsia"/>
          <w:color w:val="auto"/>
          <w:sz w:val="29"/>
          <w:szCs w:val="29"/>
        </w:rPr>
      </w:pPr>
      <w:r>
        <w:rPr>
          <w:rFonts w:hint="eastAsia" w:asciiTheme="minorEastAsia" w:hAnsiTheme="minorEastAsia" w:eastAsiaTheme="minorEastAsia" w:cstheme="minorEastAsia"/>
          <w:b/>
          <w:bCs/>
          <w:color w:val="auto"/>
          <w:spacing w:val="9"/>
          <w:sz w:val="29"/>
          <w:szCs w:val="29"/>
        </w:rPr>
        <w:t>开标一览表(单位均为人民币元)</w:t>
      </w:r>
    </w:p>
    <w:p w14:paraId="613FA857">
      <w:pPr>
        <w:pStyle w:val="10"/>
        <w:spacing w:line="357" w:lineRule="auto"/>
        <w:rPr>
          <w:rFonts w:hint="eastAsia" w:asciiTheme="minorEastAsia" w:hAnsiTheme="minorEastAsia" w:eastAsiaTheme="minorEastAsia" w:cstheme="minorEastAsia"/>
          <w:color w:val="auto"/>
        </w:rPr>
      </w:pPr>
    </w:p>
    <w:p w14:paraId="1D0DDA3A">
      <w:pPr>
        <w:pStyle w:val="10"/>
        <w:spacing w:line="357" w:lineRule="auto"/>
        <w:rPr>
          <w:rFonts w:hint="eastAsia" w:asciiTheme="minorEastAsia" w:hAnsiTheme="minorEastAsia" w:eastAsiaTheme="minorEastAsia" w:cstheme="minorEastAsia"/>
          <w:color w:val="auto"/>
        </w:rPr>
      </w:pPr>
    </w:p>
    <w:p w14:paraId="3ADE52F6">
      <w:pPr>
        <w:spacing w:before="68" w:line="222" w:lineRule="auto"/>
        <w:ind w:left="1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2"/>
          <w:sz w:val="21"/>
          <w:szCs w:val="21"/>
        </w:rPr>
        <w:t>项目名称：</w:t>
      </w:r>
    </w:p>
    <w:p w14:paraId="22159511">
      <w:pPr>
        <w:spacing w:before="256" w:line="221" w:lineRule="auto"/>
        <w:ind w:left="14"/>
        <w:rPr>
          <w:rFonts w:hint="eastAsia" w:asciiTheme="minorEastAsia" w:hAnsiTheme="minorEastAsia" w:eastAsiaTheme="minorEastAsia" w:cstheme="minorEastAsia"/>
          <w:color w:val="auto"/>
          <w:spacing w:val="22"/>
          <w:sz w:val="21"/>
          <w:szCs w:val="21"/>
        </w:rPr>
      </w:pPr>
      <w:r>
        <w:rPr>
          <w:rFonts w:hint="eastAsia" w:asciiTheme="minorEastAsia" w:hAnsiTheme="minorEastAsia" w:eastAsiaTheme="minorEastAsia" w:cstheme="minorEastAsia"/>
          <w:color w:val="auto"/>
          <w:spacing w:val="22"/>
          <w:sz w:val="21"/>
          <w:szCs w:val="21"/>
        </w:rPr>
        <w:t>项目编号：</w:t>
      </w:r>
    </w:p>
    <w:p w14:paraId="39A2F5D7">
      <w:pPr>
        <w:spacing w:before="256" w:line="221" w:lineRule="auto"/>
        <w:ind w:left="14"/>
        <w:rPr>
          <w:rFonts w:hint="default" w:asciiTheme="minorEastAsia" w:hAnsiTheme="minorEastAsia" w:eastAsiaTheme="minorEastAsia" w:cstheme="minorEastAsia"/>
          <w:color w:val="auto"/>
          <w:spacing w:val="22"/>
          <w:sz w:val="21"/>
          <w:szCs w:val="21"/>
          <w:lang w:val="en-US" w:eastAsia="zh-CN"/>
        </w:rPr>
      </w:pPr>
      <w:r>
        <w:rPr>
          <w:rFonts w:hint="eastAsia" w:asciiTheme="minorEastAsia" w:hAnsiTheme="minorEastAsia" w:eastAsiaTheme="minorEastAsia" w:cstheme="minorEastAsia"/>
          <w:color w:val="auto"/>
          <w:spacing w:val="22"/>
          <w:sz w:val="21"/>
          <w:szCs w:val="21"/>
          <w:lang w:val="en-US" w:eastAsia="zh-CN"/>
        </w:rPr>
        <w:t>标段1</w:t>
      </w:r>
    </w:p>
    <w:p w14:paraId="0F368C6F">
      <w:pPr>
        <w:spacing w:line="207" w:lineRule="exact"/>
        <w:rPr>
          <w:rFonts w:hint="eastAsia" w:asciiTheme="minorEastAsia" w:hAnsiTheme="minorEastAsia" w:eastAsiaTheme="minorEastAsia" w:cstheme="minorEastAsia"/>
          <w:color w:val="auto"/>
        </w:rPr>
      </w:pPr>
    </w:p>
    <w:tbl>
      <w:tblPr>
        <w:tblStyle w:val="20"/>
        <w:tblW w:w="96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00"/>
        <w:gridCol w:w="3856"/>
        <w:gridCol w:w="1443"/>
      </w:tblGrid>
      <w:tr w14:paraId="2BDC5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4400" w:type="dxa"/>
            <w:vAlign w:val="center"/>
          </w:tcPr>
          <w:p w14:paraId="108CB4AC">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firstLine="420" w:firstLineChars="200"/>
              <w:jc w:val="center"/>
              <w:textAlignment w:val="auto"/>
              <w:rPr>
                <w:rFonts w:hint="default" w:asciiTheme="minorEastAsia" w:hAnsiTheme="minorEastAsia" w:eastAsiaTheme="minorEastAsia" w:cstheme="minorEastAsia"/>
                <w:b w:val="0"/>
                <w:bCs w:val="0"/>
                <w:color w:val="auto"/>
                <w:kern w:val="2"/>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1"/>
                <w:highlight w:val="none"/>
                <w:lang w:val="en-US" w:eastAsia="zh-CN"/>
              </w:rPr>
              <w:t>标的名称</w:t>
            </w:r>
          </w:p>
        </w:tc>
        <w:tc>
          <w:tcPr>
            <w:tcW w:w="3856" w:type="dxa"/>
            <w:vAlign w:val="center"/>
          </w:tcPr>
          <w:p w14:paraId="5BFBDDDF">
            <w:pPr>
              <w:jc w:val="center"/>
              <w:rPr>
                <w:rFonts w:hint="default" w:asciiTheme="minorEastAsia" w:hAnsiTheme="minorEastAsia" w:eastAsiaTheme="minorEastAsia" w:cstheme="minorEastAsia"/>
                <w:color w:val="auto"/>
                <w:sz w:val="21"/>
                <w:lang w:val="en-US" w:eastAsia="zh-CN"/>
              </w:rPr>
            </w:pPr>
            <w:r>
              <w:rPr>
                <w:rFonts w:hint="eastAsia" w:asciiTheme="minorEastAsia" w:hAnsiTheme="minorEastAsia" w:eastAsiaTheme="minorEastAsia" w:cstheme="minorEastAsia"/>
                <w:color w:val="auto"/>
                <w:sz w:val="21"/>
                <w:lang w:val="en-US" w:eastAsia="zh-CN"/>
              </w:rPr>
              <w:t>投标报价（元）</w:t>
            </w:r>
          </w:p>
        </w:tc>
        <w:tc>
          <w:tcPr>
            <w:tcW w:w="1443" w:type="dxa"/>
            <w:vAlign w:val="center"/>
          </w:tcPr>
          <w:p w14:paraId="7977AE82">
            <w:pPr>
              <w:jc w:val="center"/>
              <w:rPr>
                <w:rFonts w:hint="eastAsia" w:asciiTheme="minorEastAsia" w:hAnsiTheme="minorEastAsia" w:eastAsiaTheme="minorEastAsia" w:cstheme="minorEastAsia"/>
                <w:color w:val="auto"/>
                <w:sz w:val="21"/>
                <w:lang w:val="en-US" w:eastAsia="zh-CN"/>
              </w:rPr>
            </w:pPr>
            <w:r>
              <w:rPr>
                <w:rFonts w:hint="eastAsia" w:asciiTheme="minorEastAsia" w:hAnsiTheme="minorEastAsia" w:eastAsiaTheme="minorEastAsia" w:cstheme="minorEastAsia"/>
                <w:color w:val="auto"/>
                <w:sz w:val="21"/>
                <w:lang w:val="en-US" w:eastAsia="zh-CN"/>
              </w:rPr>
              <w:t>备注</w:t>
            </w:r>
          </w:p>
        </w:tc>
      </w:tr>
      <w:tr w14:paraId="5E696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4400" w:type="dxa"/>
            <w:vAlign w:val="top"/>
          </w:tcPr>
          <w:p w14:paraId="6940C11D">
            <w:pPr>
              <w:keepNext w:val="0"/>
              <w:keepLines w:val="0"/>
              <w:pageBreakBefore w:val="0"/>
              <w:widowControl/>
              <w:numPr>
                <w:ilvl w:val="0"/>
                <w:numId w:val="0"/>
              </w:numPr>
              <w:kinsoku/>
              <w:wordWrap/>
              <w:overflowPunct/>
              <w:topLinePunct w:val="0"/>
              <w:autoSpaceDE/>
              <w:autoSpaceDN/>
              <w:bidi w:val="0"/>
              <w:adjustRightInd w:val="0"/>
              <w:snapToGrid w:val="0"/>
              <w:spacing w:after="0" w:line="380" w:lineRule="exact"/>
              <w:ind w:firstLine="420" w:firstLineChars="200"/>
              <w:jc w:val="both"/>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val="0"/>
                <w:bCs w:val="0"/>
                <w:color w:val="auto"/>
                <w:kern w:val="2"/>
                <w:sz w:val="21"/>
                <w:szCs w:val="21"/>
                <w:highlight w:val="none"/>
                <w:lang w:val="en-US" w:eastAsia="zh-CN"/>
              </w:rPr>
              <w:t>保护设施设备购置</w:t>
            </w:r>
          </w:p>
        </w:tc>
        <w:tc>
          <w:tcPr>
            <w:tcW w:w="3856" w:type="dxa"/>
            <w:vAlign w:val="top"/>
          </w:tcPr>
          <w:p w14:paraId="41EE7586">
            <w:pPr>
              <w:rPr>
                <w:rFonts w:hint="eastAsia" w:asciiTheme="minorEastAsia" w:hAnsiTheme="minorEastAsia" w:eastAsiaTheme="minorEastAsia" w:cstheme="minorEastAsia"/>
                <w:color w:val="auto"/>
                <w:sz w:val="21"/>
              </w:rPr>
            </w:pPr>
          </w:p>
        </w:tc>
        <w:tc>
          <w:tcPr>
            <w:tcW w:w="1443" w:type="dxa"/>
            <w:vAlign w:val="top"/>
          </w:tcPr>
          <w:p w14:paraId="5A742167">
            <w:pPr>
              <w:rPr>
                <w:rFonts w:hint="eastAsia" w:asciiTheme="minorEastAsia" w:hAnsiTheme="minorEastAsia" w:eastAsiaTheme="minorEastAsia" w:cstheme="minorEastAsia"/>
                <w:color w:val="auto"/>
                <w:sz w:val="21"/>
              </w:rPr>
            </w:pPr>
          </w:p>
        </w:tc>
      </w:tr>
      <w:tr w14:paraId="25DD7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4" w:hRule="atLeast"/>
        </w:trPr>
        <w:tc>
          <w:tcPr>
            <w:tcW w:w="9699" w:type="dxa"/>
            <w:gridSpan w:val="3"/>
            <w:vAlign w:val="top"/>
          </w:tcPr>
          <w:p w14:paraId="58E11FC5">
            <w:pPr>
              <w:pStyle w:val="21"/>
              <w:spacing w:before="276" w:line="233" w:lineRule="auto"/>
              <w:ind w:left="6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2"/>
              </w:rPr>
              <w:t>投标总报价(包含税费等所有费用):(大写)人</w:t>
            </w:r>
            <w:r>
              <w:rPr>
                <w:rFonts w:hint="eastAsia" w:asciiTheme="minorEastAsia" w:hAnsiTheme="minorEastAsia" w:eastAsiaTheme="minorEastAsia" w:cstheme="minorEastAsia"/>
                <w:color w:val="auto"/>
                <w:spacing w:val="41"/>
              </w:rPr>
              <w:t>民币</w:t>
            </w:r>
            <w:r>
              <w:rPr>
                <w:rFonts w:hint="eastAsia" w:asciiTheme="minorEastAsia" w:hAnsiTheme="minorEastAsia" w:eastAsiaTheme="minorEastAsia" w:cstheme="minorEastAsia"/>
                <w:color w:val="auto"/>
                <w:spacing w:val="41"/>
                <w:lang w:eastAsia="zh-CN"/>
              </w:rPr>
              <w:t>：</w:t>
            </w:r>
            <w:r>
              <w:rPr>
                <w:rFonts w:hint="eastAsia" w:asciiTheme="minorEastAsia" w:hAnsiTheme="minorEastAsia" w:eastAsiaTheme="minorEastAsia" w:cstheme="minorEastAsia"/>
                <w:color w:val="auto"/>
                <w:spacing w:val="2"/>
                <w:u w:val="single"/>
              </w:rPr>
              <w:t xml:space="preserve">                  </w:t>
            </w:r>
            <w:r>
              <w:rPr>
                <w:rFonts w:hint="eastAsia" w:asciiTheme="minorEastAsia" w:hAnsiTheme="minorEastAsia" w:eastAsiaTheme="minorEastAsia" w:cstheme="minorEastAsia"/>
                <w:color w:val="auto"/>
                <w:spacing w:val="2"/>
              </w:rPr>
              <w:t xml:space="preserve"> </w:t>
            </w:r>
            <w:r>
              <w:rPr>
                <w:rFonts w:hint="eastAsia" w:asciiTheme="minorEastAsia" w:hAnsiTheme="minorEastAsia" w:eastAsiaTheme="minorEastAsia" w:cstheme="minorEastAsia"/>
                <w:color w:val="auto"/>
                <w:spacing w:val="41"/>
                <w:position w:val="-2"/>
              </w:rPr>
              <w:t>(小写)¥</w:t>
            </w:r>
            <w:r>
              <w:rPr>
                <w:rFonts w:hint="eastAsia" w:asciiTheme="minorEastAsia" w:hAnsiTheme="minorEastAsia" w:eastAsiaTheme="minorEastAsia" w:cstheme="minorEastAsia"/>
                <w:color w:val="auto"/>
                <w:spacing w:val="3"/>
                <w:position w:val="-2"/>
                <w:u w:val="single" w:color="auto"/>
              </w:rPr>
              <w:t xml:space="preserve">    </w:t>
            </w:r>
          </w:p>
          <w:p w14:paraId="1E6DC85C">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Theme="minorEastAsia" w:hAnsiTheme="minorEastAsia" w:eastAsiaTheme="minorEastAsia" w:cstheme="minorEastAsia"/>
                <w:color w:val="auto"/>
                <w:spacing w:val="-1"/>
              </w:rPr>
            </w:pPr>
            <w:r>
              <w:rPr>
                <w:rFonts w:hint="eastAsia"/>
                <w:color w:val="auto"/>
              </w:rPr>
              <w:t>合同履行期限</w:t>
            </w:r>
            <w:r>
              <w:rPr>
                <w:rFonts w:hint="eastAsia" w:asciiTheme="minorEastAsia" w:hAnsiTheme="minorEastAsia" w:eastAsiaTheme="minorEastAsia" w:cstheme="minorEastAsia"/>
                <w:color w:val="auto"/>
                <w:spacing w:val="-1"/>
              </w:rPr>
              <w:t>：</w:t>
            </w:r>
            <w:r>
              <w:rPr>
                <w:rFonts w:hint="eastAsia" w:eastAsia="宋体"/>
                <w:color w:val="auto"/>
                <w:lang w:val="en-US" w:eastAsia="zh-CN"/>
              </w:rPr>
              <w:t>施工期为合同签订之日起至2026年6月30日止，标段1运维周期1年。</w:t>
            </w:r>
          </w:p>
          <w:p w14:paraId="35B787BB">
            <w:pPr>
              <w:pStyle w:val="21"/>
              <w:spacing w:before="93" w:line="219" w:lineRule="auto"/>
              <w:ind w:left="64"/>
              <w:rPr>
                <w:rFonts w:hint="eastAsia" w:asciiTheme="minorEastAsia" w:hAnsiTheme="minorEastAsia" w:eastAsiaTheme="minorEastAsia" w:cstheme="minorEastAsia"/>
                <w:color w:val="auto"/>
                <w:spacing w:val="-1"/>
                <w:lang w:val="en-US" w:eastAsia="zh-CN"/>
              </w:rPr>
            </w:pPr>
            <w:r>
              <w:rPr>
                <w:rFonts w:hint="eastAsia" w:asciiTheme="minorEastAsia" w:hAnsiTheme="minorEastAsia" w:eastAsiaTheme="minorEastAsia" w:cstheme="minorEastAsia"/>
                <w:color w:val="auto"/>
                <w:spacing w:val="-1"/>
                <w:lang w:val="en-US" w:eastAsia="zh-CN"/>
              </w:rPr>
              <w:t>注：1、投标总报价已含完成合同项目过程中所需的劳务、材料、设备、仪器、运输、协调沟通、咨询、管理、保险、税费、利润、培训等费用，以及合同中约定的所有责任、义务和一般风险等的一切费用。</w:t>
            </w:r>
          </w:p>
          <w:p w14:paraId="21C3F3D5">
            <w:pPr>
              <w:pStyle w:val="21"/>
              <w:spacing w:before="93" w:line="219" w:lineRule="auto"/>
              <w:ind w:left="64" w:firstLine="436" w:firstLineChars="200"/>
              <w:rPr>
                <w:rFonts w:hint="default" w:asciiTheme="minorEastAsia" w:hAnsiTheme="minorEastAsia" w:eastAsiaTheme="minorEastAsia" w:cstheme="minorEastAsia"/>
                <w:color w:val="auto"/>
                <w:spacing w:val="-1"/>
                <w:lang w:val="en-US" w:eastAsia="zh-CN"/>
              </w:rPr>
            </w:pPr>
            <w:r>
              <w:rPr>
                <w:rFonts w:hint="eastAsia" w:asciiTheme="minorEastAsia" w:hAnsiTheme="minorEastAsia" w:eastAsiaTheme="minorEastAsia" w:cstheme="minorEastAsia"/>
                <w:color w:val="auto"/>
                <w:spacing w:val="-1"/>
                <w:lang w:val="en-US" w:eastAsia="zh-CN"/>
              </w:rPr>
              <w:t>2、开标一览表附件</w:t>
            </w:r>
            <w:r>
              <w:rPr>
                <w:rFonts w:hint="eastAsia" w:asciiTheme="minorEastAsia" w:hAnsiTheme="minorEastAsia" w:eastAsiaTheme="minorEastAsia" w:cstheme="minorEastAsia"/>
                <w:b w:val="0"/>
                <w:bCs w:val="0"/>
                <w:color w:val="auto"/>
                <w:lang w:val="en-US" w:eastAsia="zh-CN"/>
              </w:rPr>
              <w:t>按第二章采购需求对应标段附件完全响应提供。</w:t>
            </w:r>
          </w:p>
        </w:tc>
      </w:tr>
    </w:tbl>
    <w:p w14:paraId="126CDAA4">
      <w:pPr>
        <w:pStyle w:val="10"/>
        <w:spacing w:line="310" w:lineRule="auto"/>
        <w:rPr>
          <w:rFonts w:hint="eastAsia" w:asciiTheme="minorEastAsia" w:hAnsiTheme="minorEastAsia" w:eastAsiaTheme="minorEastAsia" w:cstheme="minorEastAsia"/>
          <w:color w:val="auto"/>
        </w:rPr>
      </w:pPr>
    </w:p>
    <w:p w14:paraId="4000516D">
      <w:pPr>
        <w:spacing w:before="264" w:line="299" w:lineRule="auto"/>
        <w:ind w:left="0" w:right="49" w:firstLine="469"/>
        <w:rPr>
          <w:rFonts w:hint="eastAsia" w:asciiTheme="minorEastAsia" w:hAnsiTheme="minorEastAsia" w:eastAsiaTheme="minorEastAsia" w:cstheme="minorEastAsia"/>
          <w:color w:val="auto"/>
          <w:spacing w:val="8"/>
          <w:sz w:val="23"/>
          <w:szCs w:val="23"/>
        </w:rPr>
      </w:pPr>
      <w:r>
        <w:rPr>
          <w:rFonts w:hint="eastAsia" w:asciiTheme="minorEastAsia" w:hAnsiTheme="minorEastAsia" w:eastAsiaTheme="minorEastAsia" w:cstheme="minorEastAsia"/>
          <w:color w:val="auto"/>
          <w:spacing w:val="8"/>
          <w:sz w:val="23"/>
          <w:szCs w:val="23"/>
        </w:rPr>
        <w:t>注：</w:t>
      </w:r>
    </w:p>
    <w:p w14:paraId="53FA651B">
      <w:pPr>
        <w:spacing w:before="264" w:line="299" w:lineRule="auto"/>
        <w:ind w:left="0" w:right="49" w:firstLine="469"/>
        <w:rPr>
          <w:rFonts w:hint="eastAsia" w:asciiTheme="minorEastAsia" w:hAnsiTheme="minorEastAsia" w:eastAsiaTheme="minorEastAsia" w:cstheme="minorEastAsia"/>
          <w:color w:val="auto"/>
          <w:spacing w:val="8"/>
          <w:sz w:val="23"/>
          <w:szCs w:val="23"/>
        </w:rPr>
      </w:pPr>
      <w:r>
        <w:rPr>
          <w:rFonts w:hint="eastAsia" w:asciiTheme="minorEastAsia" w:hAnsiTheme="minorEastAsia" w:eastAsiaTheme="minorEastAsia" w:cstheme="minorEastAsia"/>
          <w:color w:val="auto"/>
          <w:spacing w:val="8"/>
          <w:sz w:val="23"/>
          <w:szCs w:val="23"/>
        </w:rPr>
        <w:t>1、投标人可视项目情况，可附上报价明细表(格式自拟),并加盖投标人有效公章。</w:t>
      </w:r>
    </w:p>
    <w:p w14:paraId="3C6E3D82">
      <w:pPr>
        <w:spacing w:before="264" w:line="299" w:lineRule="auto"/>
        <w:ind w:right="49" w:firstLine="469"/>
        <w:rPr>
          <w:rFonts w:hint="eastAsia" w:asciiTheme="minorEastAsia" w:hAnsiTheme="minorEastAsia" w:eastAsiaTheme="minorEastAsia" w:cstheme="minorEastAsia"/>
          <w:color w:val="auto"/>
          <w:spacing w:val="8"/>
          <w:sz w:val="23"/>
          <w:szCs w:val="23"/>
        </w:rPr>
      </w:pPr>
      <w:r>
        <w:rPr>
          <w:rFonts w:hint="eastAsia" w:asciiTheme="minorEastAsia" w:hAnsiTheme="minorEastAsia" w:eastAsiaTheme="minorEastAsia" w:cstheme="minorEastAsia"/>
          <w:color w:val="auto"/>
          <w:spacing w:val="8"/>
          <w:sz w:val="23"/>
          <w:szCs w:val="23"/>
        </w:rPr>
        <w:t>2、 投标人需按本表格式填写，不得自行更改，也不得留空(备注除外),如有多分标， 按分标分别提供开标一览表，必须加盖投标人有效公章，否则其投标作无效标处理。</w:t>
      </w:r>
    </w:p>
    <w:p w14:paraId="7B4B49CC">
      <w:pPr>
        <w:spacing w:before="264" w:line="299" w:lineRule="auto"/>
        <w:ind w:left="0" w:right="49" w:firstLine="469"/>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8"/>
          <w:sz w:val="23"/>
          <w:szCs w:val="23"/>
        </w:rPr>
        <w:t>3、本表内容均不能涂改</w:t>
      </w:r>
      <w:r>
        <w:rPr>
          <w:rFonts w:hint="eastAsia" w:asciiTheme="minorEastAsia" w:hAnsiTheme="minorEastAsia" w:eastAsiaTheme="minorEastAsia" w:cstheme="minorEastAsia"/>
          <w:color w:val="auto"/>
          <w:spacing w:val="10"/>
          <w:sz w:val="23"/>
          <w:szCs w:val="23"/>
        </w:rPr>
        <w:t>，否则其投标作无效标处理。</w:t>
      </w:r>
    </w:p>
    <w:p w14:paraId="40C13DF5">
      <w:pPr>
        <w:spacing w:before="264" w:line="299" w:lineRule="auto"/>
        <w:ind w:right="49" w:firstLine="469"/>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8"/>
          <w:sz w:val="23"/>
          <w:szCs w:val="23"/>
        </w:rPr>
        <w:t>4、特别提示：采购代理机构将对项目名称和项目编号，中标人名称、地址和中标金额，</w:t>
      </w:r>
      <w:r>
        <w:rPr>
          <w:rFonts w:hint="eastAsia" w:asciiTheme="minorEastAsia" w:hAnsiTheme="minorEastAsia" w:eastAsiaTheme="minorEastAsia" w:cstheme="minorEastAsia"/>
          <w:color w:val="auto"/>
          <w:spacing w:val="7"/>
          <w:sz w:val="23"/>
          <w:szCs w:val="23"/>
        </w:rPr>
        <w:t xml:space="preserve"> </w:t>
      </w:r>
      <w:r>
        <w:rPr>
          <w:rFonts w:hint="eastAsia" w:asciiTheme="minorEastAsia" w:hAnsiTheme="minorEastAsia" w:eastAsiaTheme="minorEastAsia" w:cstheme="minorEastAsia"/>
          <w:color w:val="auto"/>
          <w:spacing w:val="10"/>
          <w:sz w:val="23"/>
          <w:szCs w:val="23"/>
        </w:rPr>
        <w:t>主要中标标的的名称、服务范围、服务要求</w:t>
      </w:r>
      <w:r>
        <w:rPr>
          <w:rFonts w:hint="eastAsia" w:asciiTheme="minorEastAsia" w:hAnsiTheme="minorEastAsia" w:eastAsiaTheme="minorEastAsia" w:cstheme="minorEastAsia"/>
          <w:color w:val="auto"/>
          <w:spacing w:val="9"/>
          <w:sz w:val="23"/>
          <w:szCs w:val="23"/>
        </w:rPr>
        <w:t>、服务时间、服务标准等予以公示。</w:t>
      </w:r>
    </w:p>
    <w:p w14:paraId="7D5D6DDA">
      <w:pPr>
        <w:spacing w:before="186" w:line="322" w:lineRule="auto"/>
        <w:ind w:firstLine="46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9"/>
          <w:sz w:val="23"/>
          <w:szCs w:val="23"/>
        </w:rPr>
        <w:t>5、符合招标文件中列明的可享受中小企业扶持政策的投标人，请填写中小企业声明函。</w:t>
      </w:r>
      <w:r>
        <w:rPr>
          <w:rFonts w:hint="eastAsia" w:asciiTheme="minorEastAsia" w:hAnsiTheme="minorEastAsia" w:eastAsiaTheme="minorEastAsia" w:cstheme="minorEastAsia"/>
          <w:color w:val="auto"/>
          <w:spacing w:val="17"/>
          <w:sz w:val="23"/>
          <w:szCs w:val="23"/>
        </w:rPr>
        <w:t xml:space="preserve"> </w:t>
      </w:r>
      <w:r>
        <w:rPr>
          <w:rFonts w:hint="eastAsia" w:asciiTheme="minorEastAsia" w:hAnsiTheme="minorEastAsia" w:eastAsiaTheme="minorEastAsia" w:cstheme="minorEastAsia"/>
          <w:color w:val="auto"/>
          <w:spacing w:val="5"/>
          <w:sz w:val="23"/>
          <w:szCs w:val="23"/>
        </w:rPr>
        <w:t>注：投标人提供的中小企业声明函内容不实的，属于提供虚假材料谋取中标、成交，依照《中</w:t>
      </w:r>
      <w:r>
        <w:rPr>
          <w:rFonts w:hint="eastAsia" w:asciiTheme="minorEastAsia" w:hAnsiTheme="minorEastAsia" w:eastAsiaTheme="minorEastAsia" w:cstheme="minorEastAsia"/>
          <w:color w:val="auto"/>
          <w:spacing w:val="11"/>
          <w:sz w:val="23"/>
          <w:szCs w:val="23"/>
        </w:rPr>
        <w:t xml:space="preserve"> </w:t>
      </w:r>
      <w:r>
        <w:rPr>
          <w:rFonts w:hint="eastAsia" w:asciiTheme="minorEastAsia" w:hAnsiTheme="minorEastAsia" w:eastAsiaTheme="minorEastAsia" w:cstheme="minorEastAsia"/>
          <w:color w:val="auto"/>
          <w:spacing w:val="9"/>
          <w:sz w:val="23"/>
          <w:szCs w:val="23"/>
        </w:rPr>
        <w:t>华人民共和国政府采购法》等国家有关规定追究相应责任。</w:t>
      </w:r>
    </w:p>
    <w:p w14:paraId="1948870B">
      <w:pPr>
        <w:pStyle w:val="10"/>
        <w:spacing w:line="286" w:lineRule="auto"/>
        <w:rPr>
          <w:rFonts w:hint="eastAsia" w:asciiTheme="minorEastAsia" w:hAnsiTheme="minorEastAsia" w:eastAsiaTheme="minorEastAsia" w:cstheme="minorEastAsia"/>
          <w:color w:val="auto"/>
        </w:rPr>
      </w:pPr>
    </w:p>
    <w:p w14:paraId="0B4AC611">
      <w:pPr>
        <w:pStyle w:val="10"/>
        <w:spacing w:line="287" w:lineRule="auto"/>
        <w:rPr>
          <w:rFonts w:hint="eastAsia" w:asciiTheme="minorEastAsia" w:hAnsiTheme="minorEastAsia" w:eastAsiaTheme="minorEastAsia" w:cstheme="minorEastAsia"/>
          <w:color w:val="auto"/>
        </w:rPr>
      </w:pPr>
    </w:p>
    <w:p w14:paraId="2C5B9FF3">
      <w:pPr>
        <w:spacing w:before="76" w:line="222" w:lineRule="auto"/>
        <w:ind w:left="5050"/>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6"/>
          <w:sz w:val="23"/>
          <w:szCs w:val="23"/>
        </w:rPr>
        <w:t xml:space="preserve">投标人名称(盖公章): </w:t>
      </w:r>
      <w:r>
        <w:rPr>
          <w:rFonts w:hint="eastAsia" w:asciiTheme="minorEastAsia" w:hAnsiTheme="minorEastAsia" w:eastAsiaTheme="minorEastAsia" w:cstheme="minorEastAsia"/>
          <w:color w:val="auto"/>
          <w:sz w:val="23"/>
          <w:szCs w:val="23"/>
          <w:u w:val="single" w:color="auto"/>
        </w:rPr>
        <w:t xml:space="preserve">               </w:t>
      </w:r>
    </w:p>
    <w:p w14:paraId="4245CA41">
      <w:pPr>
        <w:spacing w:before="205" w:line="223" w:lineRule="auto"/>
        <w:ind w:left="5189"/>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11"/>
          <w:sz w:val="23"/>
          <w:szCs w:val="23"/>
        </w:rPr>
        <w:t>日</w:t>
      </w:r>
      <w:r>
        <w:rPr>
          <w:rFonts w:hint="eastAsia" w:asciiTheme="minorEastAsia" w:hAnsiTheme="minorEastAsia" w:eastAsiaTheme="minorEastAsia" w:cstheme="minorEastAsia"/>
          <w:color w:val="auto"/>
          <w:spacing w:val="-19"/>
          <w:sz w:val="23"/>
          <w:szCs w:val="23"/>
        </w:rPr>
        <w:t xml:space="preserve"> </w:t>
      </w:r>
      <w:r>
        <w:rPr>
          <w:rFonts w:hint="eastAsia" w:asciiTheme="minorEastAsia" w:hAnsiTheme="minorEastAsia" w:eastAsiaTheme="minorEastAsia" w:cstheme="minorEastAsia"/>
          <w:color w:val="auto"/>
          <w:spacing w:val="-11"/>
          <w:sz w:val="23"/>
          <w:szCs w:val="23"/>
        </w:rPr>
        <w:t>期</w:t>
      </w:r>
      <w:r>
        <w:rPr>
          <w:rFonts w:hint="eastAsia" w:asciiTheme="minorEastAsia" w:hAnsiTheme="minorEastAsia" w:eastAsiaTheme="minorEastAsia" w:cstheme="minorEastAsia"/>
          <w:color w:val="auto"/>
          <w:spacing w:val="-29"/>
          <w:sz w:val="23"/>
          <w:szCs w:val="23"/>
        </w:rPr>
        <w:t xml:space="preserve"> </w:t>
      </w:r>
      <w:r>
        <w:rPr>
          <w:rFonts w:hint="eastAsia" w:asciiTheme="minorEastAsia" w:hAnsiTheme="minorEastAsia" w:eastAsiaTheme="minorEastAsia" w:cstheme="minorEastAsia"/>
          <w:color w:val="auto"/>
          <w:spacing w:val="-11"/>
          <w:sz w:val="23"/>
          <w:szCs w:val="23"/>
        </w:rPr>
        <w:t>：  年</w:t>
      </w:r>
      <w:r>
        <w:rPr>
          <w:rFonts w:hint="eastAsia" w:asciiTheme="minorEastAsia" w:hAnsiTheme="minorEastAsia" w:eastAsiaTheme="minorEastAsia" w:cstheme="minorEastAsia"/>
          <w:color w:val="auto"/>
          <w:spacing w:val="15"/>
          <w:sz w:val="23"/>
          <w:szCs w:val="23"/>
        </w:rPr>
        <w:t xml:space="preserve">  </w:t>
      </w:r>
      <w:r>
        <w:rPr>
          <w:rFonts w:hint="eastAsia" w:asciiTheme="minorEastAsia" w:hAnsiTheme="minorEastAsia" w:eastAsiaTheme="minorEastAsia" w:cstheme="minorEastAsia"/>
          <w:color w:val="auto"/>
          <w:spacing w:val="-11"/>
          <w:sz w:val="23"/>
          <w:szCs w:val="23"/>
        </w:rPr>
        <w:t>月</w:t>
      </w:r>
      <w:r>
        <w:rPr>
          <w:rFonts w:hint="eastAsia" w:asciiTheme="minorEastAsia" w:hAnsiTheme="minorEastAsia" w:eastAsiaTheme="minorEastAsia" w:cstheme="minorEastAsia"/>
          <w:color w:val="auto"/>
          <w:spacing w:val="16"/>
          <w:sz w:val="23"/>
          <w:szCs w:val="23"/>
        </w:rPr>
        <w:t xml:space="preserve">   </w:t>
      </w:r>
      <w:r>
        <w:rPr>
          <w:rFonts w:hint="eastAsia" w:asciiTheme="minorEastAsia" w:hAnsiTheme="minorEastAsia" w:eastAsiaTheme="minorEastAsia" w:cstheme="minorEastAsia"/>
          <w:color w:val="auto"/>
          <w:spacing w:val="-11"/>
          <w:sz w:val="23"/>
          <w:szCs w:val="23"/>
        </w:rPr>
        <w:t>日</w:t>
      </w:r>
    </w:p>
    <w:p w14:paraId="13813C04">
      <w:pPr>
        <w:spacing w:line="223" w:lineRule="auto"/>
        <w:rPr>
          <w:rFonts w:hint="eastAsia" w:asciiTheme="minorEastAsia" w:hAnsiTheme="minorEastAsia" w:eastAsiaTheme="minorEastAsia" w:cstheme="minorEastAsia"/>
          <w:color w:val="auto"/>
          <w:sz w:val="23"/>
          <w:szCs w:val="23"/>
        </w:rPr>
        <w:sectPr>
          <w:footerReference r:id="rId54" w:type="default"/>
          <w:pgSz w:w="11900" w:h="16830"/>
          <w:pgMar w:top="1120" w:right="1075" w:bottom="1192" w:left="1130" w:header="0" w:footer="1057" w:gutter="0"/>
          <w:cols w:space="720" w:num="1"/>
        </w:sectPr>
      </w:pPr>
    </w:p>
    <w:p w14:paraId="40D8E986">
      <w:pPr>
        <w:spacing w:before="94" w:line="219" w:lineRule="auto"/>
        <w:ind w:left="2749"/>
        <w:rPr>
          <w:rFonts w:hint="eastAsia" w:asciiTheme="minorEastAsia" w:hAnsiTheme="minorEastAsia" w:eastAsiaTheme="minorEastAsia" w:cstheme="minorEastAsia"/>
          <w:color w:val="auto"/>
          <w:sz w:val="29"/>
          <w:szCs w:val="29"/>
        </w:rPr>
      </w:pPr>
      <w:r>
        <w:rPr>
          <w:rFonts w:hint="eastAsia" w:asciiTheme="minorEastAsia" w:hAnsiTheme="minorEastAsia" w:eastAsiaTheme="minorEastAsia" w:cstheme="minorEastAsia"/>
          <w:b/>
          <w:bCs/>
          <w:color w:val="auto"/>
          <w:spacing w:val="9"/>
          <w:sz w:val="29"/>
          <w:szCs w:val="29"/>
        </w:rPr>
        <w:t>开标一览表(单位均为人民币元)</w:t>
      </w:r>
    </w:p>
    <w:p w14:paraId="4E251A8C">
      <w:pPr>
        <w:pStyle w:val="10"/>
        <w:spacing w:line="357" w:lineRule="auto"/>
        <w:rPr>
          <w:rFonts w:hint="eastAsia" w:asciiTheme="minorEastAsia" w:hAnsiTheme="minorEastAsia" w:eastAsiaTheme="minorEastAsia" w:cstheme="minorEastAsia"/>
          <w:color w:val="auto"/>
        </w:rPr>
      </w:pPr>
    </w:p>
    <w:p w14:paraId="7DB6A629">
      <w:pPr>
        <w:spacing w:before="68" w:line="222" w:lineRule="auto"/>
        <w:ind w:left="14"/>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2"/>
          <w:sz w:val="21"/>
          <w:szCs w:val="21"/>
        </w:rPr>
        <w:t>项目名称：</w:t>
      </w:r>
    </w:p>
    <w:p w14:paraId="1F6D901F">
      <w:pPr>
        <w:spacing w:before="256" w:line="221" w:lineRule="auto"/>
        <w:ind w:left="14"/>
        <w:rPr>
          <w:rFonts w:hint="eastAsia" w:asciiTheme="minorEastAsia" w:hAnsiTheme="minorEastAsia" w:eastAsiaTheme="minorEastAsia" w:cstheme="minorEastAsia"/>
          <w:color w:val="auto"/>
          <w:spacing w:val="22"/>
          <w:sz w:val="21"/>
          <w:szCs w:val="21"/>
        </w:rPr>
      </w:pPr>
      <w:r>
        <w:rPr>
          <w:rFonts w:hint="eastAsia" w:asciiTheme="minorEastAsia" w:hAnsiTheme="minorEastAsia" w:eastAsiaTheme="minorEastAsia" w:cstheme="minorEastAsia"/>
          <w:color w:val="auto"/>
          <w:spacing w:val="22"/>
          <w:sz w:val="21"/>
          <w:szCs w:val="21"/>
        </w:rPr>
        <w:t>项目编号：</w:t>
      </w:r>
    </w:p>
    <w:p w14:paraId="70F2DA45">
      <w:pPr>
        <w:spacing w:before="256" w:line="221" w:lineRule="auto"/>
        <w:ind w:left="14"/>
        <w:rPr>
          <w:rFonts w:hint="default" w:asciiTheme="minorEastAsia" w:hAnsiTheme="minorEastAsia" w:eastAsiaTheme="minorEastAsia" w:cstheme="minorEastAsia"/>
          <w:color w:val="auto"/>
          <w:spacing w:val="22"/>
          <w:sz w:val="21"/>
          <w:szCs w:val="21"/>
          <w:lang w:val="en-US" w:eastAsia="zh-CN"/>
        </w:rPr>
      </w:pPr>
      <w:r>
        <w:rPr>
          <w:rFonts w:hint="eastAsia" w:asciiTheme="minorEastAsia" w:hAnsiTheme="minorEastAsia" w:eastAsiaTheme="minorEastAsia" w:cstheme="minorEastAsia"/>
          <w:color w:val="auto"/>
          <w:spacing w:val="22"/>
          <w:sz w:val="21"/>
          <w:szCs w:val="21"/>
          <w:lang w:val="en-US" w:eastAsia="zh-CN"/>
        </w:rPr>
        <w:t>标段2</w:t>
      </w:r>
    </w:p>
    <w:p w14:paraId="73E97B51">
      <w:pPr>
        <w:spacing w:line="207" w:lineRule="exact"/>
        <w:rPr>
          <w:rFonts w:hint="eastAsia" w:asciiTheme="minorEastAsia" w:hAnsiTheme="minorEastAsia" w:eastAsiaTheme="minorEastAsia" w:cstheme="minorEastAsia"/>
          <w:color w:val="auto"/>
        </w:rPr>
      </w:pPr>
    </w:p>
    <w:tbl>
      <w:tblPr>
        <w:tblStyle w:val="20"/>
        <w:tblW w:w="96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3636"/>
        <w:gridCol w:w="3856"/>
        <w:gridCol w:w="5"/>
        <w:gridCol w:w="1438"/>
      </w:tblGrid>
      <w:tr w14:paraId="0FE81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764" w:type="dxa"/>
            <w:vAlign w:val="center"/>
          </w:tcPr>
          <w:p w14:paraId="48B4D517">
            <w:pPr>
              <w:pStyle w:val="21"/>
              <w:spacing w:before="72" w:line="221" w:lineRule="auto"/>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序号</w:t>
            </w:r>
          </w:p>
        </w:tc>
        <w:tc>
          <w:tcPr>
            <w:tcW w:w="3636" w:type="dxa"/>
            <w:vAlign w:val="center"/>
          </w:tcPr>
          <w:p w14:paraId="2D1BFC0F">
            <w:pPr>
              <w:pStyle w:val="21"/>
              <w:spacing w:before="71" w:line="220" w:lineRule="auto"/>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标的名称</w:t>
            </w:r>
          </w:p>
        </w:tc>
        <w:tc>
          <w:tcPr>
            <w:tcW w:w="3856" w:type="dxa"/>
            <w:vAlign w:val="center"/>
          </w:tcPr>
          <w:p w14:paraId="378CAB8E">
            <w:pPr>
              <w:pStyle w:val="21"/>
              <w:spacing w:before="201" w:line="269" w:lineRule="auto"/>
              <w:ind w:right="183"/>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lang w:val="en-US" w:eastAsia="zh-CN"/>
              </w:rPr>
              <w:t>投标报价（元）</w:t>
            </w:r>
          </w:p>
        </w:tc>
        <w:tc>
          <w:tcPr>
            <w:tcW w:w="1443" w:type="dxa"/>
            <w:gridSpan w:val="2"/>
            <w:vAlign w:val="center"/>
          </w:tcPr>
          <w:p w14:paraId="4A2AEE80">
            <w:pPr>
              <w:pStyle w:val="21"/>
              <w:spacing w:before="104" w:line="217" w:lineRule="auto"/>
              <w:jc w:val="center"/>
              <w:rPr>
                <w:rFonts w:hint="default"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备注</w:t>
            </w:r>
          </w:p>
        </w:tc>
      </w:tr>
      <w:tr w14:paraId="77207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764" w:type="dxa"/>
            <w:vAlign w:val="top"/>
          </w:tcPr>
          <w:p w14:paraId="49F136E6">
            <w:pPr>
              <w:pStyle w:val="21"/>
              <w:spacing w:before="197" w:line="241" w:lineRule="auto"/>
              <w:ind w:left="31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p>
        </w:tc>
        <w:tc>
          <w:tcPr>
            <w:tcW w:w="3636" w:type="dxa"/>
            <w:vAlign w:val="top"/>
          </w:tcPr>
          <w:p w14:paraId="34BB2D38">
            <w:pPr>
              <w:pStyle w:val="21"/>
              <w:spacing w:before="176" w:line="219"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eastAsia="zh-CN"/>
              </w:rPr>
              <w:t>广西雅长兰科植物国家级自然保护区三维实景模型与场景空间展示系统</w:t>
            </w:r>
          </w:p>
        </w:tc>
        <w:tc>
          <w:tcPr>
            <w:tcW w:w="3856" w:type="dxa"/>
            <w:vAlign w:val="top"/>
          </w:tcPr>
          <w:p w14:paraId="2D1B0B41">
            <w:pPr>
              <w:rPr>
                <w:rFonts w:hint="eastAsia" w:asciiTheme="minorEastAsia" w:hAnsiTheme="minorEastAsia" w:eastAsiaTheme="minorEastAsia" w:cstheme="minorEastAsia"/>
                <w:color w:val="auto"/>
                <w:sz w:val="21"/>
              </w:rPr>
            </w:pPr>
          </w:p>
        </w:tc>
        <w:tc>
          <w:tcPr>
            <w:tcW w:w="1443" w:type="dxa"/>
            <w:gridSpan w:val="2"/>
            <w:vAlign w:val="top"/>
          </w:tcPr>
          <w:p w14:paraId="25449E2C">
            <w:pPr>
              <w:rPr>
                <w:rFonts w:hint="eastAsia" w:asciiTheme="minorEastAsia" w:hAnsiTheme="minorEastAsia" w:eastAsiaTheme="minorEastAsia" w:cstheme="minorEastAsia"/>
                <w:color w:val="auto"/>
                <w:sz w:val="21"/>
              </w:rPr>
            </w:pPr>
          </w:p>
        </w:tc>
      </w:tr>
      <w:tr w14:paraId="7F1DA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64" w:type="dxa"/>
            <w:vAlign w:val="top"/>
          </w:tcPr>
          <w:p w14:paraId="401CE631">
            <w:pPr>
              <w:pStyle w:val="21"/>
              <w:spacing w:before="198" w:line="241" w:lineRule="auto"/>
              <w:ind w:left="31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w:t>
            </w:r>
          </w:p>
        </w:tc>
        <w:tc>
          <w:tcPr>
            <w:tcW w:w="3636" w:type="dxa"/>
            <w:vAlign w:val="top"/>
          </w:tcPr>
          <w:p w14:paraId="64D323EC">
            <w:pPr>
              <w:pStyle w:val="21"/>
              <w:spacing w:before="176" w:line="219" w:lineRule="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商用密码应用建设</w:t>
            </w:r>
          </w:p>
        </w:tc>
        <w:tc>
          <w:tcPr>
            <w:tcW w:w="3856" w:type="dxa"/>
            <w:tcBorders>
              <w:right w:val="single" w:color="auto" w:sz="4" w:space="0"/>
            </w:tcBorders>
            <w:vAlign w:val="top"/>
          </w:tcPr>
          <w:p w14:paraId="4DF4694D">
            <w:pPr>
              <w:rPr>
                <w:rFonts w:hint="eastAsia" w:asciiTheme="minorEastAsia" w:hAnsiTheme="minorEastAsia" w:eastAsiaTheme="minorEastAsia" w:cstheme="minorEastAsia"/>
                <w:color w:val="auto"/>
                <w:sz w:val="21"/>
              </w:rPr>
            </w:pPr>
          </w:p>
        </w:tc>
        <w:tc>
          <w:tcPr>
            <w:tcW w:w="1443" w:type="dxa"/>
            <w:gridSpan w:val="2"/>
            <w:tcBorders>
              <w:left w:val="single" w:color="auto" w:sz="4" w:space="0"/>
            </w:tcBorders>
            <w:vAlign w:val="top"/>
          </w:tcPr>
          <w:p w14:paraId="1ACE18E6">
            <w:pPr>
              <w:rPr>
                <w:rFonts w:hint="eastAsia" w:asciiTheme="minorEastAsia" w:hAnsiTheme="minorEastAsia" w:eastAsiaTheme="minorEastAsia" w:cstheme="minorEastAsia"/>
                <w:color w:val="auto"/>
                <w:sz w:val="21"/>
              </w:rPr>
            </w:pPr>
          </w:p>
        </w:tc>
      </w:tr>
      <w:tr w14:paraId="27AB5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64" w:type="dxa"/>
            <w:vAlign w:val="top"/>
          </w:tcPr>
          <w:p w14:paraId="30870EDD">
            <w:pPr>
              <w:pStyle w:val="21"/>
              <w:spacing w:before="208"/>
              <w:ind w:left="31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w:t>
            </w:r>
          </w:p>
        </w:tc>
        <w:tc>
          <w:tcPr>
            <w:tcW w:w="3636" w:type="dxa"/>
            <w:vAlign w:val="top"/>
          </w:tcPr>
          <w:p w14:paraId="459D1EB3">
            <w:pPr>
              <w:pStyle w:val="21"/>
              <w:spacing w:before="176" w:line="219" w:lineRule="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安全系统等保二级</w:t>
            </w:r>
          </w:p>
        </w:tc>
        <w:tc>
          <w:tcPr>
            <w:tcW w:w="3861" w:type="dxa"/>
            <w:gridSpan w:val="2"/>
            <w:tcBorders>
              <w:right w:val="single" w:color="auto" w:sz="4" w:space="0"/>
            </w:tcBorders>
            <w:vAlign w:val="top"/>
          </w:tcPr>
          <w:p w14:paraId="6E4D909C">
            <w:pPr>
              <w:rPr>
                <w:rFonts w:hint="eastAsia" w:asciiTheme="minorEastAsia" w:hAnsiTheme="minorEastAsia" w:eastAsiaTheme="minorEastAsia" w:cstheme="minorEastAsia"/>
                <w:color w:val="auto"/>
                <w:sz w:val="21"/>
              </w:rPr>
            </w:pPr>
          </w:p>
        </w:tc>
        <w:tc>
          <w:tcPr>
            <w:tcW w:w="1438" w:type="dxa"/>
            <w:tcBorders>
              <w:left w:val="single" w:color="auto" w:sz="4" w:space="0"/>
            </w:tcBorders>
            <w:vAlign w:val="top"/>
          </w:tcPr>
          <w:p w14:paraId="13660969">
            <w:pPr>
              <w:rPr>
                <w:rFonts w:hint="eastAsia" w:asciiTheme="minorEastAsia" w:hAnsiTheme="minorEastAsia" w:eastAsiaTheme="minorEastAsia" w:cstheme="minorEastAsia"/>
                <w:color w:val="auto"/>
                <w:sz w:val="21"/>
              </w:rPr>
            </w:pPr>
          </w:p>
        </w:tc>
      </w:tr>
      <w:tr w14:paraId="7ADC8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764" w:type="dxa"/>
            <w:vAlign w:val="top"/>
          </w:tcPr>
          <w:p w14:paraId="10B447E3">
            <w:pPr>
              <w:pStyle w:val="21"/>
              <w:spacing w:before="208"/>
              <w:ind w:left="314"/>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4</w:t>
            </w:r>
          </w:p>
        </w:tc>
        <w:tc>
          <w:tcPr>
            <w:tcW w:w="3636" w:type="dxa"/>
            <w:vAlign w:val="top"/>
          </w:tcPr>
          <w:p w14:paraId="6B35EBBB">
            <w:pPr>
              <w:pStyle w:val="21"/>
              <w:spacing w:before="176" w:line="219" w:lineRule="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t>解说系统建设</w:t>
            </w:r>
          </w:p>
        </w:tc>
        <w:tc>
          <w:tcPr>
            <w:tcW w:w="3861" w:type="dxa"/>
            <w:gridSpan w:val="2"/>
            <w:tcBorders>
              <w:right w:val="single" w:color="auto" w:sz="4" w:space="0"/>
            </w:tcBorders>
            <w:vAlign w:val="top"/>
          </w:tcPr>
          <w:p w14:paraId="4DB335C7">
            <w:pPr>
              <w:rPr>
                <w:rFonts w:hint="eastAsia" w:asciiTheme="minorEastAsia" w:hAnsiTheme="minorEastAsia" w:eastAsiaTheme="minorEastAsia" w:cstheme="minorEastAsia"/>
                <w:color w:val="auto"/>
                <w:sz w:val="21"/>
              </w:rPr>
            </w:pPr>
          </w:p>
        </w:tc>
        <w:tc>
          <w:tcPr>
            <w:tcW w:w="1438" w:type="dxa"/>
            <w:tcBorders>
              <w:left w:val="single" w:color="auto" w:sz="4" w:space="0"/>
            </w:tcBorders>
            <w:vAlign w:val="top"/>
          </w:tcPr>
          <w:p w14:paraId="19EB4B5F">
            <w:pPr>
              <w:rPr>
                <w:rFonts w:hint="eastAsia" w:asciiTheme="minorEastAsia" w:hAnsiTheme="minorEastAsia" w:eastAsiaTheme="minorEastAsia" w:cstheme="minorEastAsia"/>
                <w:color w:val="auto"/>
                <w:sz w:val="21"/>
              </w:rPr>
            </w:pPr>
          </w:p>
        </w:tc>
      </w:tr>
      <w:tr w14:paraId="7A55A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4" w:hRule="atLeast"/>
        </w:trPr>
        <w:tc>
          <w:tcPr>
            <w:tcW w:w="9699" w:type="dxa"/>
            <w:gridSpan w:val="5"/>
            <w:vAlign w:val="top"/>
          </w:tcPr>
          <w:p w14:paraId="310C4D59">
            <w:pPr>
              <w:pStyle w:val="21"/>
              <w:spacing w:before="276" w:line="233" w:lineRule="auto"/>
              <w:ind w:left="6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2"/>
              </w:rPr>
              <w:t>投标总报价(包含税费等所有费用):(大写)人</w:t>
            </w:r>
            <w:r>
              <w:rPr>
                <w:rFonts w:hint="eastAsia" w:asciiTheme="minorEastAsia" w:hAnsiTheme="minorEastAsia" w:eastAsiaTheme="minorEastAsia" w:cstheme="minorEastAsia"/>
                <w:color w:val="auto"/>
                <w:spacing w:val="41"/>
              </w:rPr>
              <w:t>民币</w:t>
            </w:r>
            <w:r>
              <w:rPr>
                <w:rFonts w:hint="eastAsia" w:asciiTheme="minorEastAsia" w:hAnsiTheme="minorEastAsia" w:eastAsiaTheme="minorEastAsia" w:cstheme="minorEastAsia"/>
                <w:color w:val="auto"/>
                <w:spacing w:val="41"/>
                <w:lang w:eastAsia="zh-CN"/>
              </w:rPr>
              <w:t>：</w:t>
            </w:r>
            <w:r>
              <w:rPr>
                <w:rFonts w:hint="eastAsia" w:asciiTheme="minorEastAsia" w:hAnsiTheme="minorEastAsia" w:eastAsiaTheme="minorEastAsia" w:cstheme="minorEastAsia"/>
                <w:color w:val="auto"/>
                <w:spacing w:val="2"/>
                <w:u w:val="single"/>
              </w:rPr>
              <w:t xml:space="preserve">                  </w:t>
            </w:r>
            <w:r>
              <w:rPr>
                <w:rFonts w:hint="eastAsia" w:asciiTheme="minorEastAsia" w:hAnsiTheme="minorEastAsia" w:eastAsiaTheme="minorEastAsia" w:cstheme="minorEastAsia"/>
                <w:color w:val="auto"/>
                <w:spacing w:val="2"/>
              </w:rPr>
              <w:t xml:space="preserve"> </w:t>
            </w:r>
            <w:r>
              <w:rPr>
                <w:rFonts w:hint="eastAsia" w:asciiTheme="minorEastAsia" w:hAnsiTheme="minorEastAsia" w:eastAsiaTheme="minorEastAsia" w:cstheme="minorEastAsia"/>
                <w:color w:val="auto"/>
                <w:spacing w:val="41"/>
                <w:position w:val="-2"/>
              </w:rPr>
              <w:t>(小写)¥</w:t>
            </w:r>
            <w:r>
              <w:rPr>
                <w:rFonts w:hint="eastAsia" w:asciiTheme="minorEastAsia" w:hAnsiTheme="minorEastAsia" w:eastAsiaTheme="minorEastAsia" w:cstheme="minorEastAsia"/>
                <w:color w:val="auto"/>
                <w:spacing w:val="3"/>
                <w:position w:val="-2"/>
                <w:u w:val="single" w:color="auto"/>
              </w:rPr>
              <w:t xml:space="preserve">    </w:t>
            </w:r>
          </w:p>
          <w:p w14:paraId="0E6BCB1E">
            <w:pPr>
              <w:pStyle w:val="21"/>
              <w:spacing w:before="93" w:line="219" w:lineRule="auto"/>
              <w:ind w:left="64"/>
              <w:rPr>
                <w:rFonts w:hint="eastAsia" w:eastAsia="宋体"/>
                <w:color w:val="auto"/>
                <w:lang w:val="en-US" w:eastAsia="zh-CN"/>
              </w:rPr>
            </w:pPr>
            <w:r>
              <w:rPr>
                <w:rFonts w:hint="eastAsia"/>
                <w:color w:val="auto"/>
              </w:rPr>
              <w:t>合同履行期限：</w:t>
            </w:r>
            <w:r>
              <w:rPr>
                <w:rFonts w:hint="eastAsia" w:eastAsia="宋体"/>
                <w:color w:val="auto"/>
                <w:lang w:val="en-US" w:eastAsia="zh-CN"/>
              </w:rPr>
              <w:t>施工期为合同签订之日起至2026年6月</w:t>
            </w:r>
            <w:r>
              <w:rPr>
                <w:rFonts w:hint="eastAsia"/>
                <w:color w:val="auto"/>
                <w:lang w:val="en-US" w:eastAsia="zh-CN"/>
              </w:rPr>
              <w:t>30日</w:t>
            </w:r>
            <w:r>
              <w:rPr>
                <w:rFonts w:hint="eastAsia" w:eastAsia="宋体"/>
                <w:color w:val="auto"/>
                <w:lang w:val="en-US" w:eastAsia="zh-CN"/>
              </w:rPr>
              <w:t>止。标段2运维周期2年。</w:t>
            </w:r>
          </w:p>
          <w:p w14:paraId="7EB40192">
            <w:pPr>
              <w:pStyle w:val="21"/>
              <w:spacing w:before="93" w:line="219" w:lineRule="auto"/>
              <w:ind w:left="64"/>
              <w:rPr>
                <w:rFonts w:hint="eastAsia" w:asciiTheme="minorEastAsia" w:hAnsiTheme="minorEastAsia" w:eastAsiaTheme="minorEastAsia" w:cstheme="minorEastAsia"/>
                <w:color w:val="auto"/>
                <w:spacing w:val="-1"/>
                <w:lang w:val="en-US" w:eastAsia="zh-CN"/>
              </w:rPr>
            </w:pPr>
            <w:r>
              <w:rPr>
                <w:rFonts w:hint="eastAsia" w:asciiTheme="minorEastAsia" w:hAnsiTheme="minorEastAsia" w:eastAsiaTheme="minorEastAsia" w:cstheme="minorEastAsia"/>
                <w:color w:val="auto"/>
                <w:spacing w:val="-1"/>
                <w:lang w:val="en-US" w:eastAsia="zh-CN"/>
              </w:rPr>
              <w:t>注：1、投标总报价已含完成合同项目过程中所需的劳务、材料、设备、仪器、运输、协调沟通、咨询、管理、保险、税费、利润、培训等费用，以及合同中约定的所有责任、义务和一般风险等的一切费用。</w:t>
            </w:r>
          </w:p>
          <w:p w14:paraId="7700E11F">
            <w:pPr>
              <w:pStyle w:val="21"/>
              <w:spacing w:before="93" w:line="219" w:lineRule="auto"/>
              <w:ind w:left="64"/>
              <w:rPr>
                <w:rFonts w:hint="default" w:asciiTheme="minorEastAsia" w:hAnsiTheme="minorEastAsia" w:eastAsiaTheme="minorEastAsia" w:cstheme="minorEastAsia"/>
                <w:color w:val="auto"/>
                <w:spacing w:val="-1"/>
                <w:lang w:val="en-US" w:eastAsia="zh-CN"/>
              </w:rPr>
            </w:pPr>
            <w:r>
              <w:rPr>
                <w:rFonts w:hint="eastAsia" w:asciiTheme="minorEastAsia" w:hAnsiTheme="minorEastAsia" w:eastAsiaTheme="minorEastAsia" w:cstheme="minorEastAsia"/>
                <w:color w:val="auto"/>
                <w:spacing w:val="-1"/>
                <w:lang w:val="en-US" w:eastAsia="zh-CN"/>
              </w:rPr>
              <w:t xml:space="preserve">    2、开标一览表附件</w:t>
            </w:r>
            <w:r>
              <w:rPr>
                <w:rFonts w:hint="eastAsia" w:asciiTheme="minorEastAsia" w:hAnsiTheme="minorEastAsia" w:eastAsiaTheme="minorEastAsia" w:cstheme="minorEastAsia"/>
                <w:b w:val="0"/>
                <w:bCs w:val="0"/>
                <w:color w:val="auto"/>
                <w:lang w:val="en-US" w:eastAsia="zh-CN"/>
              </w:rPr>
              <w:t>按第二章采购需求对应标段附件完全响应提供。</w:t>
            </w:r>
          </w:p>
        </w:tc>
      </w:tr>
    </w:tbl>
    <w:p w14:paraId="4DA925D0">
      <w:pPr>
        <w:pStyle w:val="21"/>
        <w:spacing w:before="276" w:line="233" w:lineRule="auto"/>
        <w:ind w:left="64"/>
        <w:rPr>
          <w:rFonts w:hint="eastAsia" w:asciiTheme="minorEastAsia" w:hAnsiTheme="minorEastAsia" w:eastAsiaTheme="minorEastAsia" w:cstheme="minorEastAsia"/>
          <w:color w:val="auto"/>
          <w:spacing w:val="42"/>
        </w:rPr>
      </w:pPr>
      <w:r>
        <w:rPr>
          <w:rFonts w:hint="eastAsia" w:asciiTheme="minorEastAsia" w:hAnsiTheme="minorEastAsia" w:eastAsiaTheme="minorEastAsia" w:cstheme="minorEastAsia"/>
          <w:color w:val="auto"/>
          <w:spacing w:val="42"/>
        </w:rPr>
        <w:t>注：</w:t>
      </w:r>
    </w:p>
    <w:p w14:paraId="057EA3F2">
      <w:pPr>
        <w:pStyle w:val="21"/>
        <w:spacing w:before="276" w:line="233" w:lineRule="auto"/>
        <w:ind w:left="64"/>
        <w:rPr>
          <w:rFonts w:hint="eastAsia" w:asciiTheme="minorEastAsia" w:hAnsiTheme="minorEastAsia" w:eastAsiaTheme="minorEastAsia" w:cstheme="minorEastAsia"/>
          <w:color w:val="auto"/>
          <w:spacing w:val="42"/>
        </w:rPr>
      </w:pPr>
      <w:r>
        <w:rPr>
          <w:rFonts w:hint="eastAsia" w:asciiTheme="minorEastAsia" w:hAnsiTheme="minorEastAsia" w:eastAsiaTheme="minorEastAsia" w:cstheme="minorEastAsia"/>
          <w:color w:val="auto"/>
          <w:spacing w:val="42"/>
        </w:rPr>
        <w:t>1、投标人可视项目情况，可附上报价明细表(格式自拟),并加盖投标人有效公章。</w:t>
      </w:r>
    </w:p>
    <w:p w14:paraId="4CC9C996">
      <w:pPr>
        <w:pStyle w:val="21"/>
        <w:spacing w:before="276" w:line="233" w:lineRule="auto"/>
        <w:ind w:left="64"/>
        <w:rPr>
          <w:rFonts w:hint="eastAsia" w:asciiTheme="minorEastAsia" w:hAnsiTheme="minorEastAsia" w:eastAsiaTheme="minorEastAsia" w:cstheme="minorEastAsia"/>
          <w:color w:val="auto"/>
          <w:spacing w:val="42"/>
        </w:rPr>
      </w:pPr>
      <w:r>
        <w:rPr>
          <w:rFonts w:hint="eastAsia" w:asciiTheme="minorEastAsia" w:hAnsiTheme="minorEastAsia" w:eastAsiaTheme="minorEastAsia" w:cstheme="minorEastAsia"/>
          <w:color w:val="auto"/>
          <w:spacing w:val="42"/>
        </w:rPr>
        <w:t>2、 投标人需按本表格式填写，不得自行更改，也不得留空(备注除外),如有多分标， 按分标分别提供开标一览表，必须加盖投标人有效公章，否则其投标作无效标处理。</w:t>
      </w:r>
    </w:p>
    <w:p w14:paraId="4B5E476B">
      <w:pPr>
        <w:pStyle w:val="21"/>
        <w:spacing w:before="276" w:line="233" w:lineRule="auto"/>
        <w:ind w:left="64"/>
        <w:rPr>
          <w:rFonts w:hint="eastAsia" w:asciiTheme="minorEastAsia" w:hAnsiTheme="minorEastAsia" w:eastAsiaTheme="minorEastAsia" w:cstheme="minorEastAsia"/>
          <w:color w:val="auto"/>
          <w:spacing w:val="42"/>
        </w:rPr>
      </w:pPr>
      <w:r>
        <w:rPr>
          <w:rFonts w:hint="eastAsia" w:asciiTheme="minorEastAsia" w:hAnsiTheme="minorEastAsia" w:eastAsiaTheme="minorEastAsia" w:cstheme="minorEastAsia"/>
          <w:color w:val="auto"/>
          <w:spacing w:val="42"/>
        </w:rPr>
        <w:t>3、本表内容均不能涂改，否则其投标作无效标处理。</w:t>
      </w:r>
    </w:p>
    <w:p w14:paraId="4A9925B9">
      <w:pPr>
        <w:pStyle w:val="21"/>
        <w:spacing w:before="276" w:line="233" w:lineRule="auto"/>
        <w:ind w:left="64"/>
        <w:rPr>
          <w:rFonts w:hint="eastAsia" w:asciiTheme="minorEastAsia" w:hAnsiTheme="minorEastAsia" w:eastAsiaTheme="minorEastAsia" w:cstheme="minorEastAsia"/>
          <w:color w:val="auto"/>
          <w:spacing w:val="42"/>
        </w:rPr>
      </w:pPr>
      <w:r>
        <w:rPr>
          <w:rFonts w:hint="eastAsia" w:asciiTheme="minorEastAsia" w:hAnsiTheme="minorEastAsia" w:eastAsiaTheme="minorEastAsia" w:cstheme="minorEastAsia"/>
          <w:color w:val="auto"/>
          <w:spacing w:val="42"/>
        </w:rPr>
        <w:t>4、特别提示：采购代理机构将对项目名称和项目编号，中标人名称、地址和中标金额， 主要中标标的的名称、服务范围、服务要求、服务时间、服务标准等予以公示。</w:t>
      </w:r>
    </w:p>
    <w:p w14:paraId="0CEFC8C5">
      <w:pPr>
        <w:pStyle w:val="21"/>
        <w:spacing w:before="276" w:line="233" w:lineRule="auto"/>
        <w:ind w:left="64"/>
        <w:rPr>
          <w:rFonts w:hint="eastAsia" w:asciiTheme="minorEastAsia" w:hAnsiTheme="minorEastAsia" w:eastAsiaTheme="minorEastAsia" w:cstheme="minorEastAsia"/>
          <w:color w:val="auto"/>
          <w:spacing w:val="42"/>
        </w:rPr>
      </w:pPr>
      <w:r>
        <w:rPr>
          <w:rFonts w:hint="eastAsia" w:asciiTheme="minorEastAsia" w:hAnsiTheme="minorEastAsia" w:eastAsiaTheme="minorEastAsia" w:cstheme="minorEastAsia"/>
          <w:color w:val="auto"/>
          <w:spacing w:val="42"/>
        </w:rPr>
        <w:t>5、符合招标文件中列明的可享受中小企业扶持政策的投标人，请填写中小企业声明函。 注：投标人提供的中小企业声明函内容不实的，属于提供虚假材料谋取中标、成交，依照《中 华人民共和国政府采购法》等国家有关规定追究相应责任。</w:t>
      </w:r>
    </w:p>
    <w:p w14:paraId="1D8E6B28">
      <w:pPr>
        <w:pStyle w:val="21"/>
        <w:spacing w:before="276" w:line="233" w:lineRule="auto"/>
        <w:ind w:left="64"/>
        <w:rPr>
          <w:rFonts w:hint="eastAsia" w:asciiTheme="minorEastAsia" w:hAnsiTheme="minorEastAsia" w:eastAsiaTheme="minorEastAsia" w:cstheme="minorEastAsia"/>
          <w:color w:val="auto"/>
          <w:spacing w:val="42"/>
        </w:rPr>
      </w:pPr>
    </w:p>
    <w:p w14:paraId="7BC8C322">
      <w:pPr>
        <w:pStyle w:val="21"/>
        <w:spacing w:before="276" w:line="233" w:lineRule="auto"/>
        <w:ind w:left="64" w:firstLine="4864" w:firstLineChars="1600"/>
        <w:rPr>
          <w:rFonts w:hint="eastAsia" w:asciiTheme="minorEastAsia" w:hAnsiTheme="minorEastAsia" w:eastAsiaTheme="minorEastAsia" w:cstheme="minorEastAsia"/>
          <w:color w:val="auto"/>
          <w:spacing w:val="42"/>
        </w:rPr>
      </w:pPr>
      <w:r>
        <w:rPr>
          <w:rFonts w:hint="eastAsia" w:asciiTheme="minorEastAsia" w:hAnsiTheme="minorEastAsia" w:eastAsiaTheme="minorEastAsia" w:cstheme="minorEastAsia"/>
          <w:color w:val="auto"/>
          <w:spacing w:val="42"/>
        </w:rPr>
        <w:t xml:space="preserve">投标人名称(盖公章):                </w:t>
      </w:r>
    </w:p>
    <w:p w14:paraId="60F5D52D">
      <w:pPr>
        <w:pStyle w:val="21"/>
        <w:spacing w:before="276" w:line="233" w:lineRule="auto"/>
        <w:ind w:left="64" w:firstLine="4864" w:firstLineChars="1600"/>
        <w:rPr>
          <w:rFonts w:hint="eastAsia" w:asciiTheme="minorEastAsia" w:hAnsiTheme="minorEastAsia" w:eastAsiaTheme="minorEastAsia" w:cstheme="minorEastAsia"/>
          <w:color w:val="auto"/>
          <w:spacing w:val="42"/>
        </w:rPr>
      </w:pPr>
      <w:r>
        <w:rPr>
          <w:rFonts w:hint="eastAsia" w:asciiTheme="minorEastAsia" w:hAnsiTheme="minorEastAsia" w:eastAsiaTheme="minorEastAsia" w:cstheme="minorEastAsia"/>
          <w:color w:val="auto"/>
          <w:spacing w:val="42"/>
        </w:rPr>
        <w:t>日 期 ：  年  月   日</w:t>
      </w:r>
    </w:p>
    <w:p w14:paraId="3C916857">
      <w:pPr>
        <w:spacing w:before="58" w:line="219" w:lineRule="auto"/>
        <w:ind w:left="59"/>
        <w:rPr>
          <w:rFonts w:hint="eastAsia" w:asciiTheme="minorEastAsia" w:hAnsiTheme="minorEastAsia" w:eastAsiaTheme="minorEastAsia" w:cstheme="minorEastAsia"/>
          <w:b/>
          <w:bCs/>
          <w:color w:val="auto"/>
          <w:spacing w:val="-13"/>
          <w:sz w:val="29"/>
          <w:szCs w:val="29"/>
        </w:rPr>
      </w:pPr>
      <w:r>
        <w:rPr>
          <w:rFonts w:hint="eastAsia" w:asciiTheme="minorEastAsia" w:hAnsiTheme="minorEastAsia" w:eastAsiaTheme="minorEastAsia" w:cstheme="minorEastAsia"/>
          <w:b/>
          <w:bCs/>
          <w:color w:val="auto"/>
          <w:spacing w:val="-13"/>
          <w:sz w:val="29"/>
          <w:szCs w:val="29"/>
          <w:lang w:val="en-US" w:eastAsia="zh-CN"/>
        </w:rPr>
        <w:t>5</w:t>
      </w:r>
      <w:r>
        <w:rPr>
          <w:rFonts w:hint="eastAsia" w:asciiTheme="minorEastAsia" w:hAnsiTheme="minorEastAsia" w:eastAsiaTheme="minorEastAsia" w:cstheme="minorEastAsia"/>
          <w:b/>
          <w:bCs/>
          <w:color w:val="auto"/>
          <w:spacing w:val="-13"/>
          <w:sz w:val="29"/>
          <w:szCs w:val="29"/>
        </w:rPr>
        <w:t>.</w:t>
      </w:r>
      <w:r>
        <w:rPr>
          <w:rFonts w:hint="eastAsia" w:asciiTheme="minorEastAsia" w:hAnsiTheme="minorEastAsia" w:eastAsiaTheme="minorEastAsia" w:cstheme="minorEastAsia"/>
          <w:color w:val="auto"/>
          <w:spacing w:val="-27"/>
          <w:sz w:val="29"/>
          <w:szCs w:val="29"/>
        </w:rPr>
        <w:t xml:space="preserve"> </w:t>
      </w:r>
      <w:r>
        <w:rPr>
          <w:rFonts w:hint="eastAsia" w:asciiTheme="minorEastAsia" w:hAnsiTheme="minorEastAsia" w:eastAsiaTheme="minorEastAsia" w:cstheme="minorEastAsia"/>
          <w:b/>
          <w:bCs/>
          <w:color w:val="auto"/>
          <w:spacing w:val="-13"/>
          <w:sz w:val="29"/>
          <w:szCs w:val="29"/>
        </w:rPr>
        <w:t>开标一览表</w:t>
      </w:r>
      <w:r>
        <w:rPr>
          <w:rFonts w:hint="eastAsia" w:asciiTheme="minorEastAsia" w:hAnsiTheme="minorEastAsia" w:eastAsiaTheme="minorEastAsia" w:cstheme="minorEastAsia"/>
          <w:b/>
          <w:bCs/>
          <w:color w:val="auto"/>
          <w:spacing w:val="-13"/>
          <w:sz w:val="29"/>
          <w:szCs w:val="29"/>
          <w:lang w:val="en-US" w:eastAsia="zh-CN"/>
        </w:rPr>
        <w:t>附件</w:t>
      </w:r>
      <w:r>
        <w:rPr>
          <w:rFonts w:hint="eastAsia" w:asciiTheme="minorEastAsia" w:hAnsiTheme="minorEastAsia" w:eastAsiaTheme="minorEastAsia" w:cstheme="minorEastAsia"/>
          <w:b/>
          <w:bCs/>
          <w:color w:val="auto"/>
          <w:spacing w:val="-13"/>
          <w:sz w:val="29"/>
          <w:szCs w:val="29"/>
        </w:rPr>
        <w:t>：</w:t>
      </w:r>
    </w:p>
    <w:p w14:paraId="393F85D1">
      <w:pPr>
        <w:spacing w:before="58" w:line="219" w:lineRule="auto"/>
        <w:ind w:left="59"/>
        <w:rPr>
          <w:rFonts w:hint="eastAsia" w:asciiTheme="minorEastAsia" w:hAnsiTheme="minorEastAsia" w:eastAsiaTheme="minorEastAsia" w:cstheme="minorEastAsia"/>
          <w:b/>
          <w:bCs/>
          <w:color w:val="auto"/>
          <w:spacing w:val="-13"/>
          <w:sz w:val="29"/>
          <w:szCs w:val="29"/>
          <w:lang w:val="en-US" w:eastAsia="zh-CN"/>
        </w:rPr>
      </w:pPr>
    </w:p>
    <w:p w14:paraId="10DF25EF">
      <w:pPr>
        <w:spacing w:before="58" w:line="219" w:lineRule="auto"/>
        <w:ind w:left="59"/>
        <w:rPr>
          <w:rFonts w:hint="eastAsia" w:asciiTheme="minorEastAsia" w:hAnsiTheme="minorEastAsia" w:eastAsiaTheme="minorEastAsia" w:cstheme="minorEastAsia"/>
          <w:b w:val="0"/>
          <w:bCs w:val="0"/>
          <w:color w:val="auto"/>
          <w:spacing w:val="-13"/>
          <w:sz w:val="29"/>
          <w:szCs w:val="29"/>
        </w:rPr>
      </w:pPr>
      <w:r>
        <w:rPr>
          <w:rFonts w:hint="eastAsia" w:asciiTheme="minorEastAsia" w:hAnsiTheme="minorEastAsia" w:eastAsiaTheme="minorEastAsia" w:cstheme="minorEastAsia"/>
          <w:b w:val="0"/>
          <w:bCs w:val="0"/>
          <w:color w:val="auto"/>
          <w:spacing w:val="-13"/>
          <w:sz w:val="29"/>
          <w:szCs w:val="29"/>
          <w:lang w:val="en-US" w:eastAsia="zh-CN"/>
        </w:rPr>
        <w:t>按第二章采购需求对应标段附件完全响应提供。</w:t>
      </w:r>
    </w:p>
    <w:p w14:paraId="7FB8F6C8">
      <w:pPr>
        <w:pStyle w:val="3"/>
        <w:numPr>
          <w:ilvl w:val="1"/>
          <w:numId w:val="0"/>
        </w:numPr>
        <w:bidi w:val="0"/>
        <w:ind w:leftChars="0"/>
        <w:jc w:val="center"/>
        <w:rPr>
          <w:rFonts w:hint="eastAsia"/>
          <w:color w:val="auto"/>
        </w:rPr>
      </w:pPr>
      <w:r>
        <w:rPr>
          <w:rFonts w:hint="eastAsia"/>
          <w:color w:val="auto"/>
        </w:rPr>
        <w:t>第五节</w:t>
      </w:r>
      <w:r>
        <w:rPr>
          <w:rFonts w:hint="eastAsia"/>
          <w:color w:val="auto"/>
          <w:lang w:val="en-US" w:eastAsia="zh-CN"/>
        </w:rPr>
        <w:t xml:space="preserve"> </w:t>
      </w:r>
      <w:r>
        <w:rPr>
          <w:rFonts w:hint="eastAsia"/>
          <w:color w:val="auto"/>
        </w:rPr>
        <w:t>其他文书、文件格式</w:t>
      </w:r>
    </w:p>
    <w:p w14:paraId="4DEA2189">
      <w:pPr>
        <w:pStyle w:val="10"/>
        <w:spacing w:line="393" w:lineRule="auto"/>
        <w:rPr>
          <w:rFonts w:hint="eastAsia" w:asciiTheme="minorEastAsia" w:hAnsiTheme="minorEastAsia" w:eastAsiaTheme="minorEastAsia" w:cstheme="minorEastAsia"/>
          <w:color w:val="auto"/>
        </w:rPr>
      </w:pPr>
    </w:p>
    <w:p w14:paraId="38EBD555">
      <w:pPr>
        <w:spacing w:before="91" w:line="221" w:lineRule="auto"/>
        <w:ind w:left="4"/>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8"/>
          <w:sz w:val="28"/>
          <w:szCs w:val="28"/>
        </w:rPr>
        <w:t>1.中小企业声明函的格式：</w:t>
      </w:r>
    </w:p>
    <w:p w14:paraId="38AF9BAB">
      <w:pPr>
        <w:pStyle w:val="10"/>
        <w:spacing w:line="284" w:lineRule="auto"/>
        <w:rPr>
          <w:rFonts w:hint="eastAsia" w:asciiTheme="minorEastAsia" w:hAnsiTheme="minorEastAsia" w:eastAsiaTheme="minorEastAsia" w:cstheme="minorEastAsia"/>
          <w:color w:val="auto"/>
        </w:rPr>
      </w:pPr>
    </w:p>
    <w:p w14:paraId="173EE563">
      <w:pPr>
        <w:spacing w:before="91" w:line="219" w:lineRule="auto"/>
        <w:ind w:left="3834"/>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pacing w:val="15"/>
          <w:sz w:val="28"/>
          <w:szCs w:val="28"/>
        </w:rPr>
        <w:t>中小企业声明函</w:t>
      </w:r>
    </w:p>
    <w:p w14:paraId="6543E5AB">
      <w:pPr>
        <w:tabs>
          <w:tab w:val="left" w:pos="9744"/>
        </w:tabs>
        <w:spacing w:before="240" w:line="362" w:lineRule="auto"/>
        <w:ind w:firstLine="419"/>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1"/>
          <w:sz w:val="21"/>
          <w:szCs w:val="21"/>
        </w:rPr>
        <w:t>本公司(联合体)郑重声明，根据《政府采购促进中小企业发展管</w:t>
      </w:r>
      <w:r>
        <w:rPr>
          <w:rFonts w:hint="eastAsia" w:asciiTheme="minorEastAsia" w:hAnsiTheme="minorEastAsia" w:eastAsiaTheme="minorEastAsia" w:cstheme="minorEastAsia"/>
          <w:color w:val="auto"/>
          <w:spacing w:val="10"/>
          <w:sz w:val="21"/>
          <w:szCs w:val="21"/>
        </w:rPr>
        <w:t>理办法》(财库〔2020〕46号)</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14"/>
          <w:sz w:val="21"/>
          <w:szCs w:val="21"/>
        </w:rPr>
        <w:t>的规定，本公司(联合体)参</w:t>
      </w:r>
      <w:r>
        <w:rPr>
          <w:rFonts w:hint="eastAsia" w:asciiTheme="minorEastAsia" w:hAnsiTheme="minorEastAsia" w:eastAsiaTheme="minorEastAsia" w:cstheme="minorEastAsia"/>
          <w:color w:val="auto"/>
          <w:spacing w:val="14"/>
          <w:sz w:val="21"/>
          <w:szCs w:val="21"/>
          <w:u w:val="single" w:color="auto"/>
        </w:rPr>
        <w:t>加(单位名称</w:t>
      </w:r>
      <w:r>
        <w:rPr>
          <w:rFonts w:hint="eastAsia" w:asciiTheme="minorEastAsia" w:hAnsiTheme="minorEastAsia" w:eastAsiaTheme="minorEastAsia" w:cstheme="minorEastAsia"/>
          <w:color w:val="auto"/>
          <w:spacing w:val="13"/>
          <w:sz w:val="21"/>
          <w:szCs w:val="21"/>
          <w:u w:val="single" w:color="auto"/>
        </w:rPr>
        <w:t>)的(项目名称)</w:t>
      </w:r>
      <w:r>
        <w:rPr>
          <w:rFonts w:hint="eastAsia" w:asciiTheme="minorEastAsia" w:hAnsiTheme="minorEastAsia" w:eastAsiaTheme="minorEastAsia" w:cstheme="minorEastAsia"/>
          <w:color w:val="auto"/>
          <w:spacing w:val="13"/>
          <w:sz w:val="21"/>
          <w:szCs w:val="21"/>
        </w:rPr>
        <w:t>采购活动，工程的施工单位全部为符合政策</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pacing w:val="4"/>
          <w:sz w:val="21"/>
          <w:szCs w:val="21"/>
        </w:rPr>
        <w:t>要求的中小企业(或者：服务全部由符合政策要求的中小企业承接)。相关企业(含联合体中的中小企业、</w:t>
      </w:r>
      <w:r>
        <w:rPr>
          <w:rFonts w:hint="eastAsia" w:asciiTheme="minorEastAsia" w:hAnsiTheme="minorEastAsia" w:eastAsiaTheme="minorEastAsia" w:cstheme="minorEastAsia"/>
          <w:color w:val="auto"/>
          <w:spacing w:val="1"/>
          <w:sz w:val="21"/>
          <w:szCs w:val="21"/>
        </w:rPr>
        <w:t xml:space="preserve"> </w:t>
      </w:r>
      <w:r>
        <w:rPr>
          <w:rFonts w:hint="eastAsia" w:asciiTheme="minorEastAsia" w:hAnsiTheme="minorEastAsia" w:eastAsiaTheme="minorEastAsia" w:cstheme="minorEastAsia"/>
          <w:color w:val="auto"/>
          <w:spacing w:val="4"/>
          <w:sz w:val="21"/>
          <w:szCs w:val="21"/>
        </w:rPr>
        <w:t>签订分包意向协议的中小企业)的具体情况如下：</w:t>
      </w:r>
    </w:p>
    <w:p w14:paraId="5A7210A0">
      <w:pPr>
        <w:spacing w:before="1" w:line="270" w:lineRule="auto"/>
        <w:ind w:right="129" w:firstLine="441"/>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iCs/>
          <w:color w:val="auto"/>
          <w:spacing w:val="-7"/>
          <w:sz w:val="22"/>
          <w:szCs w:val="22"/>
        </w:rPr>
        <w:t>1.</w:t>
      </w:r>
      <w:r>
        <w:rPr>
          <w:rFonts w:hint="eastAsia" w:asciiTheme="minorEastAsia" w:hAnsiTheme="minorEastAsia" w:eastAsiaTheme="minorEastAsia" w:cstheme="minorEastAsia"/>
          <w:color w:val="auto"/>
          <w:spacing w:val="-7"/>
          <w:sz w:val="22"/>
          <w:szCs w:val="22"/>
        </w:rPr>
        <w:t xml:space="preserve"> </w:t>
      </w:r>
      <w:r>
        <w:rPr>
          <w:rFonts w:hint="eastAsia" w:asciiTheme="minorEastAsia" w:hAnsiTheme="minorEastAsia" w:eastAsiaTheme="minorEastAsia" w:cstheme="minorEastAsia"/>
          <w:color w:val="auto"/>
          <w:spacing w:val="87"/>
          <w:sz w:val="22"/>
          <w:szCs w:val="22"/>
          <w:u w:val="single" w:color="auto"/>
        </w:rPr>
        <w:t xml:space="preserve"> </w:t>
      </w:r>
      <w:r>
        <w:rPr>
          <w:rFonts w:hint="eastAsia" w:asciiTheme="minorEastAsia" w:hAnsiTheme="minorEastAsia" w:eastAsiaTheme="minorEastAsia" w:cstheme="minorEastAsia"/>
          <w:i/>
          <w:iCs/>
          <w:color w:val="auto"/>
          <w:spacing w:val="-7"/>
          <w:sz w:val="22"/>
          <w:szCs w:val="22"/>
          <w:u w:val="single" w:color="auto"/>
        </w:rPr>
        <w:t>(标的名称)</w:t>
      </w:r>
      <w:r>
        <w:rPr>
          <w:rFonts w:hint="eastAsia" w:asciiTheme="minorEastAsia" w:hAnsiTheme="minorEastAsia" w:eastAsiaTheme="minorEastAsia" w:cstheme="minorEastAsia"/>
          <w:color w:val="auto"/>
          <w:spacing w:val="61"/>
          <w:sz w:val="22"/>
          <w:szCs w:val="22"/>
        </w:rPr>
        <w:t xml:space="preserve"> </w:t>
      </w:r>
      <w:r>
        <w:rPr>
          <w:rFonts w:hint="eastAsia" w:asciiTheme="minorEastAsia" w:hAnsiTheme="minorEastAsia" w:eastAsiaTheme="minorEastAsia" w:cstheme="minorEastAsia"/>
          <w:i/>
          <w:iCs/>
          <w:color w:val="auto"/>
          <w:spacing w:val="-7"/>
          <w:sz w:val="22"/>
          <w:szCs w:val="22"/>
        </w:rPr>
        <w:t>,</w:t>
      </w:r>
      <w:r>
        <w:rPr>
          <w:rFonts w:hint="eastAsia" w:asciiTheme="minorEastAsia" w:hAnsiTheme="minorEastAsia" w:eastAsiaTheme="minorEastAsia" w:cstheme="minorEastAsia"/>
          <w:color w:val="auto"/>
          <w:spacing w:val="-29"/>
          <w:sz w:val="22"/>
          <w:szCs w:val="22"/>
        </w:rPr>
        <w:t xml:space="preserve"> </w:t>
      </w:r>
      <w:r>
        <w:rPr>
          <w:rFonts w:hint="eastAsia" w:asciiTheme="minorEastAsia" w:hAnsiTheme="minorEastAsia" w:eastAsiaTheme="minorEastAsia" w:cstheme="minorEastAsia"/>
          <w:i/>
          <w:iCs/>
          <w:color w:val="auto"/>
          <w:spacing w:val="-7"/>
          <w:sz w:val="22"/>
          <w:szCs w:val="22"/>
        </w:rPr>
        <w:t>属</w:t>
      </w:r>
      <w:r>
        <w:rPr>
          <w:rFonts w:hint="eastAsia" w:asciiTheme="minorEastAsia" w:hAnsiTheme="minorEastAsia" w:eastAsiaTheme="minorEastAsia" w:cstheme="minorEastAsia"/>
          <w:color w:val="auto"/>
          <w:spacing w:val="-55"/>
          <w:sz w:val="22"/>
          <w:szCs w:val="22"/>
        </w:rPr>
        <w:t xml:space="preserve"> </w:t>
      </w:r>
      <w:r>
        <w:rPr>
          <w:rFonts w:hint="eastAsia" w:asciiTheme="minorEastAsia" w:hAnsiTheme="minorEastAsia" w:eastAsiaTheme="minorEastAsia" w:cstheme="minorEastAsia"/>
          <w:i/>
          <w:iCs/>
          <w:color w:val="auto"/>
          <w:spacing w:val="-7"/>
          <w:sz w:val="22"/>
          <w:szCs w:val="22"/>
        </w:rPr>
        <w:t>于</w:t>
      </w:r>
      <w:r>
        <w:rPr>
          <w:rFonts w:hint="eastAsia" w:asciiTheme="minorEastAsia" w:hAnsiTheme="minorEastAsia" w:eastAsiaTheme="minorEastAsia" w:cstheme="minorEastAsia"/>
          <w:color w:val="auto"/>
          <w:spacing w:val="-54"/>
          <w:sz w:val="22"/>
          <w:szCs w:val="22"/>
        </w:rPr>
        <w:t xml:space="preserve"> </w:t>
      </w:r>
      <w:r>
        <w:rPr>
          <w:rFonts w:hint="eastAsia" w:asciiTheme="minorEastAsia" w:hAnsiTheme="minorEastAsia" w:eastAsiaTheme="minorEastAsia" w:cstheme="minorEastAsia"/>
          <w:color w:val="auto"/>
          <w:spacing w:val="-7"/>
          <w:sz w:val="22"/>
          <w:szCs w:val="22"/>
          <w:u w:val="single" w:color="auto"/>
        </w:rPr>
        <w:t xml:space="preserve"> </w:t>
      </w:r>
      <w:r>
        <w:rPr>
          <w:rFonts w:hint="eastAsia" w:asciiTheme="minorEastAsia" w:hAnsiTheme="minorEastAsia" w:eastAsiaTheme="minorEastAsia" w:cstheme="minorEastAsia"/>
          <w:i/>
          <w:iCs/>
          <w:color w:val="auto"/>
          <w:spacing w:val="-7"/>
          <w:sz w:val="22"/>
          <w:szCs w:val="22"/>
          <w:u w:val="single" w:color="auto"/>
        </w:rPr>
        <w:t>(采购文件中明确的所属行业)</w:t>
      </w:r>
      <w:r>
        <w:rPr>
          <w:rFonts w:hint="eastAsia" w:asciiTheme="minorEastAsia" w:hAnsiTheme="minorEastAsia" w:eastAsiaTheme="minorEastAsia" w:cstheme="minorEastAsia"/>
          <w:color w:val="auto"/>
          <w:spacing w:val="-7"/>
          <w:sz w:val="22"/>
          <w:szCs w:val="22"/>
        </w:rPr>
        <w:t xml:space="preserve"> </w:t>
      </w:r>
      <w:r>
        <w:rPr>
          <w:rFonts w:hint="eastAsia" w:asciiTheme="minorEastAsia" w:hAnsiTheme="minorEastAsia" w:eastAsiaTheme="minorEastAsia" w:cstheme="minorEastAsia"/>
          <w:i/>
          <w:iCs/>
          <w:color w:val="auto"/>
          <w:spacing w:val="-7"/>
          <w:sz w:val="22"/>
          <w:szCs w:val="22"/>
        </w:rPr>
        <w:t>;承建(承接)</w:t>
      </w:r>
      <w:r>
        <w:rPr>
          <w:rFonts w:hint="eastAsia" w:asciiTheme="minorEastAsia" w:hAnsiTheme="minorEastAsia" w:eastAsiaTheme="minorEastAsia" w:cstheme="minorEastAsia"/>
          <w:color w:val="auto"/>
          <w:spacing w:val="-62"/>
          <w:sz w:val="22"/>
          <w:szCs w:val="22"/>
        </w:rPr>
        <w:t xml:space="preserve"> </w:t>
      </w:r>
      <w:r>
        <w:rPr>
          <w:rFonts w:hint="eastAsia" w:asciiTheme="minorEastAsia" w:hAnsiTheme="minorEastAsia" w:eastAsiaTheme="minorEastAsia" w:cstheme="minorEastAsia"/>
          <w:color w:val="auto"/>
          <w:spacing w:val="-79"/>
          <w:sz w:val="22"/>
          <w:szCs w:val="22"/>
          <w:u w:val="single" w:color="auto"/>
        </w:rPr>
        <w:t xml:space="preserve"> </w:t>
      </w:r>
      <w:r>
        <w:rPr>
          <w:rFonts w:hint="eastAsia" w:asciiTheme="minorEastAsia" w:hAnsiTheme="minorEastAsia" w:eastAsiaTheme="minorEastAsia" w:cstheme="minorEastAsia"/>
          <w:i/>
          <w:iCs/>
          <w:color w:val="auto"/>
          <w:spacing w:val="-7"/>
          <w:sz w:val="22"/>
          <w:szCs w:val="22"/>
          <w:u w:val="single" w:color="auto"/>
        </w:rPr>
        <w:t>企业</w:t>
      </w:r>
      <w:r>
        <w:rPr>
          <w:rFonts w:hint="eastAsia" w:asciiTheme="minorEastAsia" w:hAnsiTheme="minorEastAsia" w:eastAsiaTheme="minorEastAsia" w:cstheme="minorEastAsia"/>
          <w:color w:val="auto"/>
          <w:spacing w:val="-62"/>
          <w:sz w:val="22"/>
          <w:szCs w:val="22"/>
        </w:rPr>
        <w:t xml:space="preserve"> </w:t>
      </w:r>
      <w:r>
        <w:rPr>
          <w:rFonts w:hint="eastAsia" w:asciiTheme="minorEastAsia" w:hAnsiTheme="minorEastAsia" w:eastAsiaTheme="minorEastAsia" w:cstheme="minorEastAsia"/>
          <w:i/>
          <w:iCs/>
          <w:color w:val="auto"/>
          <w:spacing w:val="-7"/>
          <w:sz w:val="22"/>
          <w:szCs w:val="22"/>
        </w:rPr>
        <w:t>为</w:t>
      </w:r>
      <w:r>
        <w:rPr>
          <w:rFonts w:hint="eastAsia" w:asciiTheme="minorEastAsia" w:hAnsiTheme="minorEastAsia" w:eastAsiaTheme="minorEastAsia" w:cstheme="minorEastAsia"/>
          <w:color w:val="auto"/>
          <w:spacing w:val="-63"/>
          <w:sz w:val="22"/>
          <w:szCs w:val="22"/>
        </w:rPr>
        <w:t xml:space="preserve"> </w:t>
      </w:r>
      <w:r>
        <w:rPr>
          <w:rFonts w:hint="eastAsia" w:asciiTheme="minorEastAsia" w:hAnsiTheme="minorEastAsia" w:eastAsiaTheme="minorEastAsia" w:cstheme="minorEastAsia"/>
          <w:color w:val="auto"/>
          <w:spacing w:val="-26"/>
          <w:sz w:val="22"/>
          <w:szCs w:val="22"/>
          <w:u w:val="single" w:color="auto"/>
        </w:rPr>
        <w:t xml:space="preserve"> </w:t>
      </w:r>
      <w:r>
        <w:rPr>
          <w:rFonts w:hint="eastAsia" w:asciiTheme="minorEastAsia" w:hAnsiTheme="minorEastAsia" w:eastAsiaTheme="minorEastAsia" w:cstheme="minorEastAsia"/>
          <w:i/>
          <w:iCs/>
          <w:color w:val="auto"/>
          <w:spacing w:val="-7"/>
          <w:sz w:val="22"/>
          <w:szCs w:val="22"/>
          <w:u w:val="single" w:color="auto"/>
        </w:rPr>
        <w:t>(企业名称)</w:t>
      </w:r>
      <w:r>
        <w:rPr>
          <w:rFonts w:hint="eastAsia" w:asciiTheme="minorEastAsia" w:hAnsiTheme="minorEastAsia" w:eastAsiaTheme="minorEastAsia" w:cstheme="minorEastAsia"/>
          <w:color w:val="auto"/>
          <w:spacing w:val="-7"/>
          <w:sz w:val="22"/>
          <w:szCs w:val="22"/>
        </w:rPr>
        <w:t xml:space="preserve"> </w:t>
      </w:r>
      <w:r>
        <w:rPr>
          <w:rFonts w:hint="eastAsia" w:asciiTheme="minorEastAsia" w:hAnsiTheme="minorEastAsia" w:eastAsiaTheme="minorEastAsia" w:cstheme="minorEastAsia"/>
          <w:i/>
          <w:iCs/>
          <w:color w:val="auto"/>
          <w:spacing w:val="-7"/>
          <w:sz w:val="22"/>
          <w:szCs w:val="22"/>
        </w:rPr>
        <w:t>,从业</w:t>
      </w:r>
      <w:r>
        <w:rPr>
          <w:rFonts w:hint="eastAsia" w:asciiTheme="minorEastAsia" w:hAnsiTheme="minorEastAsia" w:eastAsiaTheme="minorEastAsia" w:cstheme="minorEastAsia"/>
          <w:color w:val="auto"/>
          <w:sz w:val="22"/>
          <w:szCs w:val="22"/>
        </w:rPr>
        <w:t xml:space="preserve"> </w:t>
      </w:r>
      <w:r>
        <w:rPr>
          <w:rFonts w:hint="eastAsia" w:asciiTheme="minorEastAsia" w:hAnsiTheme="minorEastAsia" w:eastAsiaTheme="minorEastAsia" w:cstheme="minorEastAsia"/>
          <w:color w:val="auto"/>
          <w:spacing w:val="-10"/>
          <w:sz w:val="21"/>
          <w:szCs w:val="21"/>
        </w:rPr>
        <w:t>人员</w:t>
      </w:r>
      <w:r>
        <w:rPr>
          <w:rFonts w:hint="eastAsia" w:asciiTheme="minorEastAsia" w:hAnsiTheme="minorEastAsia" w:eastAsiaTheme="minorEastAsia" w:cstheme="minorEastAsia"/>
          <w:color w:val="auto"/>
          <w:spacing w:val="-84"/>
          <w:sz w:val="21"/>
          <w:szCs w:val="21"/>
        </w:rPr>
        <w:t xml:space="preserve"> </w:t>
      </w:r>
      <w:r>
        <w:rPr>
          <w:rFonts w:hint="eastAsia" w:asciiTheme="minorEastAsia" w:hAnsiTheme="minorEastAsia" w:eastAsiaTheme="minorEastAsia" w:cstheme="minorEastAsia"/>
          <w:color w:val="auto"/>
          <w:spacing w:val="12"/>
          <w:sz w:val="21"/>
          <w:szCs w:val="21"/>
          <w:u w:val="single" w:color="auto"/>
        </w:rPr>
        <w:t xml:space="preserve">    </w:t>
      </w:r>
      <w:r>
        <w:rPr>
          <w:rFonts w:hint="eastAsia" w:asciiTheme="minorEastAsia" w:hAnsiTheme="minorEastAsia" w:eastAsiaTheme="minorEastAsia" w:cstheme="minorEastAsia"/>
          <w:color w:val="auto"/>
          <w:spacing w:val="-83"/>
          <w:sz w:val="21"/>
          <w:szCs w:val="21"/>
        </w:rPr>
        <w:t xml:space="preserve"> </w:t>
      </w:r>
      <w:r>
        <w:rPr>
          <w:rFonts w:hint="eastAsia" w:asciiTheme="minorEastAsia" w:hAnsiTheme="minorEastAsia" w:eastAsiaTheme="minorEastAsia" w:cstheme="minorEastAsia"/>
          <w:color w:val="auto"/>
          <w:spacing w:val="-10"/>
          <w:sz w:val="21"/>
          <w:szCs w:val="21"/>
        </w:rPr>
        <w:t>人，营业收入为</w:t>
      </w:r>
      <w:r>
        <w:rPr>
          <w:rFonts w:hint="eastAsia" w:asciiTheme="minorEastAsia" w:hAnsiTheme="minorEastAsia" w:eastAsiaTheme="minorEastAsia" w:cstheme="minorEastAsia"/>
          <w:color w:val="auto"/>
          <w:spacing w:val="-10"/>
          <w:sz w:val="21"/>
          <w:szCs w:val="21"/>
          <w:u w:val="single" w:color="auto"/>
        </w:rPr>
        <w:t xml:space="preserve">    </w:t>
      </w:r>
      <w:r>
        <w:rPr>
          <w:rFonts w:hint="eastAsia" w:asciiTheme="minorEastAsia" w:hAnsiTheme="minorEastAsia" w:eastAsiaTheme="minorEastAsia" w:cstheme="minorEastAsia"/>
          <w:color w:val="auto"/>
          <w:spacing w:val="-95"/>
          <w:sz w:val="21"/>
          <w:szCs w:val="21"/>
        </w:rPr>
        <w:t xml:space="preserve"> </w:t>
      </w:r>
      <w:r>
        <w:rPr>
          <w:rFonts w:hint="eastAsia" w:asciiTheme="minorEastAsia" w:hAnsiTheme="minorEastAsia" w:eastAsiaTheme="minorEastAsia" w:cstheme="minorEastAsia"/>
          <w:color w:val="auto"/>
          <w:spacing w:val="-10"/>
          <w:sz w:val="21"/>
          <w:szCs w:val="21"/>
        </w:rPr>
        <w:t>万元，资产总额为</w:t>
      </w:r>
      <w:r>
        <w:rPr>
          <w:rFonts w:hint="eastAsia" w:asciiTheme="minorEastAsia" w:hAnsiTheme="minorEastAsia" w:eastAsiaTheme="minorEastAsia" w:cstheme="minorEastAsia"/>
          <w:color w:val="auto"/>
          <w:spacing w:val="-10"/>
          <w:sz w:val="21"/>
          <w:szCs w:val="21"/>
          <w:u w:val="single" w:color="auto"/>
        </w:rPr>
        <w:t xml:space="preserve">     </w:t>
      </w:r>
      <w:r>
        <w:rPr>
          <w:rFonts w:hint="eastAsia" w:asciiTheme="minorEastAsia" w:hAnsiTheme="minorEastAsia" w:eastAsiaTheme="minorEastAsia" w:cstheme="minorEastAsia"/>
          <w:color w:val="auto"/>
          <w:spacing w:val="-51"/>
          <w:sz w:val="21"/>
          <w:szCs w:val="21"/>
        </w:rPr>
        <w:t xml:space="preserve"> </w:t>
      </w:r>
      <w:r>
        <w:rPr>
          <w:rFonts w:hint="eastAsia" w:asciiTheme="minorEastAsia" w:hAnsiTheme="minorEastAsia" w:eastAsiaTheme="minorEastAsia" w:cstheme="minorEastAsia"/>
          <w:i/>
          <w:iCs/>
          <w:color w:val="auto"/>
          <w:spacing w:val="-10"/>
          <w:sz w:val="22"/>
          <w:szCs w:val="22"/>
        </w:rPr>
        <w:t>万元，属于</w:t>
      </w:r>
      <w:r>
        <w:rPr>
          <w:rFonts w:hint="eastAsia" w:asciiTheme="minorEastAsia" w:hAnsiTheme="minorEastAsia" w:eastAsiaTheme="minorEastAsia" w:cstheme="minorEastAsia"/>
          <w:color w:val="auto"/>
          <w:spacing w:val="-35"/>
          <w:sz w:val="22"/>
          <w:szCs w:val="22"/>
        </w:rPr>
        <w:t xml:space="preserve"> </w:t>
      </w:r>
      <w:r>
        <w:rPr>
          <w:rFonts w:hint="eastAsia" w:asciiTheme="minorEastAsia" w:hAnsiTheme="minorEastAsia" w:eastAsiaTheme="minorEastAsia" w:cstheme="minorEastAsia"/>
          <w:color w:val="auto"/>
          <w:spacing w:val="-10"/>
          <w:sz w:val="22"/>
          <w:szCs w:val="22"/>
          <w:u w:val="single" w:color="auto"/>
        </w:rPr>
        <w:t xml:space="preserve"> </w:t>
      </w:r>
      <w:r>
        <w:rPr>
          <w:rFonts w:hint="eastAsia" w:asciiTheme="minorEastAsia" w:hAnsiTheme="minorEastAsia" w:eastAsiaTheme="minorEastAsia" w:cstheme="minorEastAsia"/>
          <w:i/>
          <w:iCs/>
          <w:color w:val="auto"/>
          <w:spacing w:val="-10"/>
          <w:sz w:val="22"/>
          <w:szCs w:val="22"/>
          <w:u w:val="single" w:color="auto"/>
        </w:rPr>
        <w:t>(中型企业、小型企业、微型企业)</w:t>
      </w:r>
      <w:r>
        <w:rPr>
          <w:rFonts w:hint="eastAsia" w:asciiTheme="minorEastAsia" w:hAnsiTheme="minorEastAsia" w:eastAsiaTheme="minorEastAsia" w:cstheme="minorEastAsia"/>
          <w:color w:val="auto"/>
          <w:spacing w:val="-10"/>
          <w:sz w:val="22"/>
          <w:szCs w:val="22"/>
        </w:rPr>
        <w:t xml:space="preserve"> </w:t>
      </w:r>
      <w:r>
        <w:rPr>
          <w:rFonts w:hint="eastAsia" w:asciiTheme="minorEastAsia" w:hAnsiTheme="minorEastAsia" w:eastAsiaTheme="minorEastAsia" w:cstheme="minorEastAsia"/>
          <w:i/>
          <w:iCs/>
          <w:color w:val="auto"/>
          <w:spacing w:val="-10"/>
          <w:sz w:val="22"/>
          <w:szCs w:val="22"/>
        </w:rPr>
        <w:t>;</w:t>
      </w:r>
    </w:p>
    <w:p w14:paraId="7D851C2A">
      <w:pPr>
        <w:spacing w:before="185" w:line="266" w:lineRule="auto"/>
        <w:ind w:right="109" w:firstLine="419"/>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i/>
          <w:iCs/>
          <w:color w:val="auto"/>
          <w:spacing w:val="6"/>
          <w:sz w:val="21"/>
          <w:szCs w:val="21"/>
        </w:rPr>
        <w:t xml:space="preserve">2.    </w:t>
      </w:r>
      <w:r>
        <w:rPr>
          <w:rFonts w:hint="eastAsia" w:asciiTheme="minorEastAsia" w:hAnsiTheme="minorEastAsia" w:eastAsiaTheme="minorEastAsia" w:cstheme="minorEastAsia"/>
          <w:i/>
          <w:iCs/>
          <w:color w:val="auto"/>
          <w:spacing w:val="-25"/>
          <w:sz w:val="22"/>
          <w:szCs w:val="22"/>
          <w:u w:val="single" w:color="auto"/>
        </w:rPr>
        <w:t xml:space="preserve"> </w:t>
      </w:r>
      <w:r>
        <w:rPr>
          <w:rFonts w:hint="eastAsia" w:asciiTheme="minorEastAsia" w:hAnsiTheme="minorEastAsia" w:eastAsiaTheme="minorEastAsia" w:cstheme="minorEastAsia"/>
          <w:i/>
          <w:iCs/>
          <w:color w:val="auto"/>
          <w:spacing w:val="6"/>
          <w:sz w:val="22"/>
          <w:szCs w:val="22"/>
          <w:u w:val="single" w:color="auto"/>
        </w:rPr>
        <w:t>(标的名称)</w:t>
      </w:r>
      <w:r>
        <w:rPr>
          <w:rFonts w:hint="eastAsia" w:asciiTheme="minorEastAsia" w:hAnsiTheme="minorEastAsia" w:eastAsiaTheme="minorEastAsia" w:cstheme="minorEastAsia"/>
          <w:color w:val="auto"/>
          <w:spacing w:val="6"/>
          <w:sz w:val="22"/>
          <w:szCs w:val="22"/>
        </w:rPr>
        <w:t xml:space="preserve"> </w:t>
      </w:r>
      <w:r>
        <w:rPr>
          <w:rFonts w:hint="eastAsia" w:asciiTheme="minorEastAsia" w:hAnsiTheme="minorEastAsia" w:eastAsiaTheme="minorEastAsia" w:cstheme="minorEastAsia"/>
          <w:i/>
          <w:iCs/>
          <w:color w:val="auto"/>
          <w:spacing w:val="6"/>
          <w:sz w:val="22"/>
          <w:szCs w:val="22"/>
        </w:rPr>
        <w:t>,属于</w:t>
      </w:r>
      <w:r>
        <w:rPr>
          <w:rFonts w:hint="eastAsia" w:asciiTheme="minorEastAsia" w:hAnsiTheme="minorEastAsia" w:eastAsiaTheme="minorEastAsia" w:cstheme="minorEastAsia"/>
          <w:color w:val="auto"/>
          <w:spacing w:val="6"/>
          <w:sz w:val="22"/>
          <w:szCs w:val="22"/>
          <w:u w:val="single" w:color="auto"/>
        </w:rPr>
        <w:t xml:space="preserve"> </w:t>
      </w:r>
      <w:r>
        <w:rPr>
          <w:rFonts w:hint="eastAsia" w:asciiTheme="minorEastAsia" w:hAnsiTheme="minorEastAsia" w:eastAsiaTheme="minorEastAsia" w:cstheme="minorEastAsia"/>
          <w:i/>
          <w:iCs/>
          <w:color w:val="auto"/>
          <w:spacing w:val="6"/>
          <w:sz w:val="22"/>
          <w:szCs w:val="22"/>
          <w:u w:val="single" w:color="auto"/>
        </w:rPr>
        <w:t>(采购文件中明确的所属行业)</w:t>
      </w:r>
      <w:r>
        <w:rPr>
          <w:rFonts w:hint="eastAsia" w:asciiTheme="minorEastAsia" w:hAnsiTheme="minorEastAsia" w:eastAsiaTheme="minorEastAsia" w:cstheme="minorEastAsia"/>
          <w:color w:val="auto"/>
          <w:spacing w:val="-24"/>
          <w:sz w:val="22"/>
          <w:szCs w:val="22"/>
        </w:rPr>
        <w:t xml:space="preserve"> </w:t>
      </w:r>
      <w:r>
        <w:rPr>
          <w:rFonts w:hint="eastAsia" w:asciiTheme="minorEastAsia" w:hAnsiTheme="minorEastAsia" w:eastAsiaTheme="minorEastAsia" w:cstheme="minorEastAsia"/>
          <w:i/>
          <w:iCs/>
          <w:color w:val="auto"/>
          <w:spacing w:val="6"/>
          <w:sz w:val="22"/>
          <w:szCs w:val="22"/>
        </w:rPr>
        <w:t>;承建(承接)</w:t>
      </w:r>
      <w:r>
        <w:rPr>
          <w:rFonts w:hint="eastAsia" w:asciiTheme="minorEastAsia" w:hAnsiTheme="minorEastAsia" w:eastAsiaTheme="minorEastAsia" w:cstheme="minorEastAsia"/>
          <w:color w:val="auto"/>
          <w:spacing w:val="-62"/>
          <w:sz w:val="22"/>
          <w:szCs w:val="22"/>
        </w:rPr>
        <w:t xml:space="preserve"> </w:t>
      </w:r>
      <w:r>
        <w:rPr>
          <w:rFonts w:hint="eastAsia" w:asciiTheme="minorEastAsia" w:hAnsiTheme="minorEastAsia" w:eastAsiaTheme="minorEastAsia" w:cstheme="minorEastAsia"/>
          <w:color w:val="auto"/>
          <w:spacing w:val="-79"/>
          <w:sz w:val="22"/>
          <w:szCs w:val="22"/>
          <w:u w:val="single" w:color="auto"/>
        </w:rPr>
        <w:t xml:space="preserve"> </w:t>
      </w:r>
      <w:r>
        <w:rPr>
          <w:rFonts w:hint="eastAsia" w:asciiTheme="minorEastAsia" w:hAnsiTheme="minorEastAsia" w:eastAsiaTheme="minorEastAsia" w:cstheme="minorEastAsia"/>
          <w:i/>
          <w:iCs/>
          <w:color w:val="auto"/>
          <w:spacing w:val="6"/>
          <w:sz w:val="22"/>
          <w:szCs w:val="22"/>
          <w:u w:val="single" w:color="auto"/>
        </w:rPr>
        <w:t>企业</w:t>
      </w:r>
      <w:r>
        <w:rPr>
          <w:rFonts w:hint="eastAsia" w:asciiTheme="minorEastAsia" w:hAnsiTheme="minorEastAsia" w:eastAsiaTheme="minorEastAsia" w:cstheme="minorEastAsia"/>
          <w:color w:val="auto"/>
          <w:spacing w:val="-53"/>
          <w:sz w:val="22"/>
          <w:szCs w:val="22"/>
        </w:rPr>
        <w:t xml:space="preserve"> </w:t>
      </w:r>
      <w:r>
        <w:rPr>
          <w:rFonts w:hint="eastAsia" w:asciiTheme="minorEastAsia" w:hAnsiTheme="minorEastAsia" w:eastAsiaTheme="minorEastAsia" w:cstheme="minorEastAsia"/>
          <w:i/>
          <w:iCs/>
          <w:color w:val="auto"/>
          <w:spacing w:val="5"/>
          <w:sz w:val="22"/>
          <w:szCs w:val="22"/>
        </w:rPr>
        <w:t>为</w:t>
      </w:r>
      <w:r>
        <w:rPr>
          <w:rFonts w:hint="eastAsia" w:asciiTheme="minorEastAsia" w:hAnsiTheme="minorEastAsia" w:eastAsiaTheme="minorEastAsia" w:cstheme="minorEastAsia"/>
          <w:i/>
          <w:iCs/>
          <w:color w:val="auto"/>
          <w:spacing w:val="5"/>
          <w:sz w:val="22"/>
          <w:szCs w:val="22"/>
          <w:u w:val="single" w:color="auto"/>
        </w:rPr>
        <w:t>(企业名称)</w:t>
      </w:r>
      <w:r>
        <w:rPr>
          <w:rFonts w:hint="eastAsia" w:asciiTheme="minorEastAsia" w:hAnsiTheme="minorEastAsia" w:eastAsiaTheme="minorEastAsia" w:cstheme="minorEastAsia"/>
          <w:i/>
          <w:iCs/>
          <w:color w:val="auto"/>
          <w:spacing w:val="5"/>
          <w:sz w:val="22"/>
          <w:szCs w:val="22"/>
        </w:rPr>
        <w:t>,从业</w:t>
      </w:r>
      <w:r>
        <w:rPr>
          <w:rFonts w:hint="eastAsia" w:asciiTheme="minorEastAsia" w:hAnsiTheme="minorEastAsia" w:eastAsiaTheme="minorEastAsia" w:cstheme="minorEastAsia"/>
          <w:color w:val="auto"/>
          <w:sz w:val="22"/>
          <w:szCs w:val="22"/>
        </w:rPr>
        <w:t xml:space="preserve"> </w:t>
      </w:r>
      <w:r>
        <w:rPr>
          <w:rFonts w:hint="eastAsia" w:asciiTheme="minorEastAsia" w:hAnsiTheme="minorEastAsia" w:eastAsiaTheme="minorEastAsia" w:cstheme="minorEastAsia"/>
          <w:color w:val="auto"/>
          <w:spacing w:val="-10"/>
          <w:sz w:val="21"/>
          <w:szCs w:val="21"/>
        </w:rPr>
        <w:t>人员</w:t>
      </w:r>
      <w:r>
        <w:rPr>
          <w:rFonts w:hint="eastAsia" w:asciiTheme="minorEastAsia" w:hAnsiTheme="minorEastAsia" w:eastAsiaTheme="minorEastAsia" w:cstheme="minorEastAsia"/>
          <w:color w:val="auto"/>
          <w:spacing w:val="-91"/>
          <w:sz w:val="21"/>
          <w:szCs w:val="21"/>
        </w:rPr>
        <w:t xml:space="preserve"> </w:t>
      </w:r>
      <w:r>
        <w:rPr>
          <w:rFonts w:hint="eastAsia" w:asciiTheme="minorEastAsia" w:hAnsiTheme="minorEastAsia" w:eastAsiaTheme="minorEastAsia" w:cstheme="minorEastAsia"/>
          <w:color w:val="auto"/>
          <w:spacing w:val="17"/>
          <w:sz w:val="21"/>
          <w:szCs w:val="21"/>
          <w:u w:val="single" w:color="auto"/>
        </w:rPr>
        <w:t xml:space="preserve">    </w:t>
      </w:r>
      <w:r>
        <w:rPr>
          <w:rFonts w:hint="eastAsia" w:asciiTheme="minorEastAsia" w:hAnsiTheme="minorEastAsia" w:eastAsiaTheme="minorEastAsia" w:cstheme="minorEastAsia"/>
          <w:color w:val="auto"/>
          <w:spacing w:val="-10"/>
          <w:sz w:val="21"/>
          <w:szCs w:val="21"/>
        </w:rPr>
        <w:t>人，营业收入为</w:t>
      </w:r>
      <w:r>
        <w:rPr>
          <w:rFonts w:hint="eastAsia" w:asciiTheme="minorEastAsia" w:hAnsiTheme="minorEastAsia" w:eastAsiaTheme="minorEastAsia" w:cstheme="minorEastAsia"/>
          <w:color w:val="auto"/>
          <w:spacing w:val="-93"/>
          <w:sz w:val="21"/>
          <w:szCs w:val="21"/>
        </w:rPr>
        <w:t xml:space="preserve"> </w:t>
      </w:r>
      <w:r>
        <w:rPr>
          <w:rFonts w:hint="eastAsia" w:asciiTheme="minorEastAsia" w:hAnsiTheme="minorEastAsia" w:eastAsiaTheme="minorEastAsia" w:cstheme="minorEastAsia"/>
          <w:color w:val="auto"/>
          <w:spacing w:val="-10"/>
          <w:sz w:val="21"/>
          <w:szCs w:val="21"/>
          <w:u w:val="single" w:color="auto"/>
        </w:rPr>
        <w:t xml:space="preserve">    </w:t>
      </w:r>
      <w:r>
        <w:rPr>
          <w:rFonts w:hint="eastAsia" w:asciiTheme="minorEastAsia" w:hAnsiTheme="minorEastAsia" w:eastAsiaTheme="minorEastAsia" w:cstheme="minorEastAsia"/>
          <w:color w:val="auto"/>
          <w:spacing w:val="-10"/>
          <w:sz w:val="21"/>
          <w:szCs w:val="21"/>
        </w:rPr>
        <w:t>万元，资产总额为</w:t>
      </w:r>
      <w:r>
        <w:rPr>
          <w:rFonts w:hint="eastAsia" w:asciiTheme="minorEastAsia" w:hAnsiTheme="minorEastAsia" w:eastAsiaTheme="minorEastAsia" w:cstheme="minorEastAsia"/>
          <w:color w:val="auto"/>
          <w:spacing w:val="-102"/>
          <w:sz w:val="21"/>
          <w:szCs w:val="21"/>
        </w:rPr>
        <w:t xml:space="preserve"> </w:t>
      </w:r>
      <w:r>
        <w:rPr>
          <w:rFonts w:hint="eastAsia" w:asciiTheme="minorEastAsia" w:hAnsiTheme="minorEastAsia" w:eastAsiaTheme="minorEastAsia" w:cstheme="minorEastAsia"/>
          <w:color w:val="auto"/>
          <w:spacing w:val="10"/>
          <w:sz w:val="21"/>
          <w:szCs w:val="21"/>
          <w:u w:val="single" w:color="auto"/>
        </w:rPr>
        <w:t xml:space="preserve">    </w:t>
      </w:r>
      <w:r>
        <w:rPr>
          <w:rFonts w:hint="eastAsia" w:asciiTheme="minorEastAsia" w:hAnsiTheme="minorEastAsia" w:eastAsiaTheme="minorEastAsia" w:cstheme="minorEastAsia"/>
          <w:color w:val="auto"/>
          <w:spacing w:val="-41"/>
          <w:sz w:val="21"/>
          <w:szCs w:val="21"/>
        </w:rPr>
        <w:t xml:space="preserve"> </w:t>
      </w:r>
      <w:r>
        <w:rPr>
          <w:rFonts w:hint="eastAsia" w:asciiTheme="minorEastAsia" w:hAnsiTheme="minorEastAsia" w:eastAsiaTheme="minorEastAsia" w:cstheme="minorEastAsia"/>
          <w:i/>
          <w:iCs/>
          <w:color w:val="auto"/>
          <w:spacing w:val="-10"/>
          <w:sz w:val="22"/>
          <w:szCs w:val="22"/>
        </w:rPr>
        <w:t>万元，属于</w:t>
      </w:r>
      <w:r>
        <w:rPr>
          <w:rFonts w:hint="eastAsia" w:asciiTheme="minorEastAsia" w:hAnsiTheme="minorEastAsia" w:eastAsiaTheme="minorEastAsia" w:cstheme="minorEastAsia"/>
          <w:color w:val="auto"/>
          <w:spacing w:val="-53"/>
          <w:sz w:val="22"/>
          <w:szCs w:val="22"/>
        </w:rPr>
        <w:t xml:space="preserve"> </w:t>
      </w:r>
      <w:r>
        <w:rPr>
          <w:rFonts w:hint="eastAsia" w:asciiTheme="minorEastAsia" w:hAnsiTheme="minorEastAsia" w:eastAsiaTheme="minorEastAsia" w:cstheme="minorEastAsia"/>
          <w:color w:val="auto"/>
          <w:spacing w:val="10"/>
          <w:sz w:val="22"/>
          <w:szCs w:val="22"/>
          <w:u w:val="single" w:color="auto"/>
        </w:rPr>
        <w:t xml:space="preserve"> </w:t>
      </w:r>
      <w:r>
        <w:rPr>
          <w:rFonts w:hint="eastAsia" w:asciiTheme="minorEastAsia" w:hAnsiTheme="minorEastAsia" w:eastAsiaTheme="minorEastAsia" w:cstheme="minorEastAsia"/>
          <w:i/>
          <w:iCs/>
          <w:color w:val="auto"/>
          <w:spacing w:val="-10"/>
          <w:sz w:val="22"/>
          <w:szCs w:val="22"/>
          <w:u w:val="single" w:color="auto"/>
        </w:rPr>
        <w:t>(中型企业、小型企业、微型企业)</w:t>
      </w:r>
      <w:r>
        <w:rPr>
          <w:rFonts w:hint="eastAsia" w:asciiTheme="minorEastAsia" w:hAnsiTheme="minorEastAsia" w:eastAsiaTheme="minorEastAsia" w:cstheme="minorEastAsia"/>
          <w:color w:val="auto"/>
          <w:spacing w:val="-3"/>
          <w:sz w:val="22"/>
          <w:szCs w:val="22"/>
        </w:rPr>
        <w:t xml:space="preserve"> </w:t>
      </w:r>
      <w:r>
        <w:rPr>
          <w:rFonts w:hint="eastAsia" w:asciiTheme="minorEastAsia" w:hAnsiTheme="minorEastAsia" w:eastAsiaTheme="minorEastAsia" w:cstheme="minorEastAsia"/>
          <w:i/>
          <w:iCs/>
          <w:color w:val="auto"/>
          <w:spacing w:val="-10"/>
          <w:sz w:val="22"/>
          <w:szCs w:val="22"/>
        </w:rPr>
        <w:t>;</w:t>
      </w:r>
    </w:p>
    <w:p w14:paraId="0EBFF5AF">
      <w:pPr>
        <w:pStyle w:val="10"/>
        <w:spacing w:line="254" w:lineRule="auto"/>
        <w:rPr>
          <w:rFonts w:hint="eastAsia" w:asciiTheme="minorEastAsia" w:hAnsiTheme="minorEastAsia" w:eastAsiaTheme="minorEastAsia" w:cstheme="minorEastAsia"/>
          <w:color w:val="auto"/>
        </w:rPr>
      </w:pPr>
    </w:p>
    <w:p w14:paraId="6BCC6988">
      <w:pPr>
        <w:spacing w:before="17" w:line="21" w:lineRule="exact"/>
        <w:ind w:left="519"/>
        <w:rPr>
          <w:rFonts w:hint="eastAsia" w:asciiTheme="minorEastAsia" w:hAnsiTheme="minorEastAsia" w:eastAsiaTheme="minorEastAsia" w:cstheme="minorEastAsia"/>
          <w:color w:val="auto"/>
          <w:sz w:val="5"/>
          <w:szCs w:val="5"/>
        </w:rPr>
      </w:pPr>
      <w:r>
        <w:rPr>
          <w:rFonts w:hint="eastAsia" w:asciiTheme="minorEastAsia" w:hAnsiTheme="minorEastAsia" w:eastAsiaTheme="minorEastAsia" w:cstheme="minorEastAsia"/>
          <w:color w:val="auto"/>
          <w:sz w:val="5"/>
          <w:szCs w:val="5"/>
        </w:rPr>
        <w:t>.</w:t>
      </w:r>
    </w:p>
    <w:p w14:paraId="06205AE5">
      <w:pPr>
        <w:spacing w:before="283" w:line="356" w:lineRule="auto"/>
        <w:ind w:right="75" w:firstLine="41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以上企业，不属于大企业的分支机构，不存在控股股东为大企业的情形，也不存在与大企业的负责人</w:t>
      </w:r>
      <w:r>
        <w:rPr>
          <w:rFonts w:hint="eastAsia" w:asciiTheme="minorEastAsia" w:hAnsiTheme="minorEastAsia" w:eastAsiaTheme="minorEastAsia" w:cstheme="minorEastAsia"/>
          <w:color w:val="auto"/>
          <w:spacing w:val="8"/>
          <w:sz w:val="21"/>
          <w:szCs w:val="21"/>
        </w:rPr>
        <w:t xml:space="preserve"> </w:t>
      </w:r>
      <w:r>
        <w:rPr>
          <w:rFonts w:hint="eastAsia" w:asciiTheme="minorEastAsia" w:hAnsiTheme="minorEastAsia" w:eastAsiaTheme="minorEastAsia" w:cstheme="minorEastAsia"/>
          <w:color w:val="auto"/>
          <w:spacing w:val="3"/>
          <w:sz w:val="21"/>
          <w:szCs w:val="21"/>
        </w:rPr>
        <w:t>为同一人的情形。</w:t>
      </w:r>
    </w:p>
    <w:p w14:paraId="2484E245">
      <w:pPr>
        <w:spacing w:before="1" w:line="212" w:lineRule="auto"/>
        <w:ind w:left="41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本企业对上述声明内容的真实性负责。如有虚假，将依法承担相应责任。</w:t>
      </w:r>
    </w:p>
    <w:p w14:paraId="42C0560F">
      <w:pPr>
        <w:pStyle w:val="10"/>
        <w:spacing w:line="301" w:lineRule="auto"/>
        <w:rPr>
          <w:rFonts w:hint="eastAsia" w:asciiTheme="minorEastAsia" w:hAnsiTheme="minorEastAsia" w:eastAsiaTheme="minorEastAsia" w:cstheme="minorEastAsia"/>
          <w:color w:val="auto"/>
        </w:rPr>
      </w:pPr>
    </w:p>
    <w:p w14:paraId="05D15FC9">
      <w:pPr>
        <w:pStyle w:val="10"/>
        <w:spacing w:line="301" w:lineRule="auto"/>
        <w:rPr>
          <w:rFonts w:hint="eastAsia" w:asciiTheme="minorEastAsia" w:hAnsiTheme="minorEastAsia" w:eastAsiaTheme="minorEastAsia" w:cstheme="minorEastAsia"/>
          <w:color w:val="auto"/>
        </w:rPr>
      </w:pPr>
    </w:p>
    <w:p w14:paraId="5A6E9138">
      <w:pPr>
        <w:pStyle w:val="10"/>
        <w:spacing w:line="301" w:lineRule="auto"/>
        <w:rPr>
          <w:rFonts w:hint="eastAsia" w:asciiTheme="minorEastAsia" w:hAnsiTheme="minorEastAsia" w:eastAsiaTheme="minorEastAsia" w:cstheme="minorEastAsia"/>
          <w:color w:val="auto"/>
        </w:rPr>
      </w:pPr>
    </w:p>
    <w:p w14:paraId="354B4111">
      <w:pPr>
        <w:spacing w:before="69" w:line="222" w:lineRule="auto"/>
        <w:ind w:left="505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6"/>
          <w:sz w:val="21"/>
          <w:szCs w:val="21"/>
        </w:rPr>
        <w:t>投标人名称(盖公章):</w:t>
      </w:r>
    </w:p>
    <w:p w14:paraId="78F9A0FE">
      <w:pPr>
        <w:spacing w:before="229" w:line="223" w:lineRule="auto"/>
        <w:ind w:left="521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日期：</w:t>
      </w:r>
      <w:r>
        <w:rPr>
          <w:rFonts w:hint="eastAsia" w:asciiTheme="minorEastAsia" w:hAnsiTheme="minorEastAsia" w:eastAsiaTheme="minorEastAsia" w:cstheme="minorEastAsia"/>
          <w:color w:val="auto"/>
          <w:spacing w:val="40"/>
          <w:sz w:val="21"/>
          <w:szCs w:val="21"/>
        </w:rPr>
        <w:t xml:space="preserve">  </w:t>
      </w:r>
      <w:r>
        <w:rPr>
          <w:rFonts w:hint="eastAsia" w:asciiTheme="minorEastAsia" w:hAnsiTheme="minorEastAsia" w:eastAsiaTheme="minorEastAsia" w:cstheme="minorEastAsia"/>
          <w:color w:val="auto"/>
          <w:spacing w:val="-4"/>
          <w:sz w:val="21"/>
          <w:szCs w:val="21"/>
        </w:rPr>
        <w:t>年</w:t>
      </w:r>
      <w:r>
        <w:rPr>
          <w:rFonts w:hint="eastAsia" w:asciiTheme="minorEastAsia" w:hAnsiTheme="minorEastAsia" w:eastAsiaTheme="minorEastAsia" w:cstheme="minorEastAsia"/>
          <w:color w:val="auto"/>
          <w:spacing w:val="29"/>
          <w:sz w:val="21"/>
          <w:szCs w:val="21"/>
        </w:rPr>
        <w:t xml:space="preserve">  </w:t>
      </w:r>
      <w:r>
        <w:rPr>
          <w:rFonts w:hint="eastAsia" w:asciiTheme="minorEastAsia" w:hAnsiTheme="minorEastAsia" w:eastAsiaTheme="minorEastAsia" w:cstheme="minorEastAsia"/>
          <w:color w:val="auto"/>
          <w:spacing w:val="-4"/>
          <w:sz w:val="21"/>
          <w:szCs w:val="21"/>
        </w:rPr>
        <w:t>月</w:t>
      </w:r>
      <w:r>
        <w:rPr>
          <w:rFonts w:hint="eastAsia" w:asciiTheme="minorEastAsia" w:hAnsiTheme="minorEastAsia" w:eastAsiaTheme="minorEastAsia" w:cstheme="minorEastAsia"/>
          <w:color w:val="auto"/>
          <w:spacing w:val="6"/>
          <w:sz w:val="21"/>
          <w:szCs w:val="21"/>
        </w:rPr>
        <w:t xml:space="preserve">    </w:t>
      </w:r>
      <w:r>
        <w:rPr>
          <w:rFonts w:hint="eastAsia" w:asciiTheme="minorEastAsia" w:hAnsiTheme="minorEastAsia" w:eastAsiaTheme="minorEastAsia" w:cstheme="minorEastAsia"/>
          <w:color w:val="auto"/>
          <w:spacing w:val="-4"/>
          <w:sz w:val="21"/>
          <w:szCs w:val="21"/>
        </w:rPr>
        <w:t>日</w:t>
      </w:r>
    </w:p>
    <w:p w14:paraId="7B52DD3B">
      <w:pPr>
        <w:pStyle w:val="10"/>
        <w:spacing w:line="266" w:lineRule="auto"/>
        <w:rPr>
          <w:rFonts w:hint="eastAsia" w:asciiTheme="minorEastAsia" w:hAnsiTheme="minorEastAsia" w:eastAsiaTheme="minorEastAsia" w:cstheme="minorEastAsia"/>
          <w:color w:val="auto"/>
        </w:rPr>
      </w:pPr>
    </w:p>
    <w:p w14:paraId="43BB8506">
      <w:pPr>
        <w:pStyle w:val="10"/>
        <w:spacing w:line="266" w:lineRule="auto"/>
        <w:rPr>
          <w:rFonts w:hint="eastAsia" w:asciiTheme="minorEastAsia" w:hAnsiTheme="minorEastAsia" w:eastAsiaTheme="minorEastAsia" w:cstheme="minorEastAsia"/>
          <w:color w:val="auto"/>
        </w:rPr>
      </w:pPr>
    </w:p>
    <w:p w14:paraId="01092D1F">
      <w:pPr>
        <w:spacing w:before="70" w:line="222" w:lineRule="auto"/>
        <w:ind w:left="20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6"/>
          <w:sz w:val="21"/>
          <w:szCs w:val="21"/>
        </w:rPr>
        <w:t>注</w:t>
      </w:r>
      <w:r>
        <w:rPr>
          <w:rFonts w:hint="eastAsia" w:asciiTheme="minorEastAsia" w:hAnsiTheme="minorEastAsia" w:eastAsiaTheme="minorEastAsia" w:cstheme="minorEastAsia"/>
          <w:color w:val="auto"/>
          <w:spacing w:val="-51"/>
          <w:sz w:val="21"/>
          <w:szCs w:val="21"/>
        </w:rPr>
        <w:t xml:space="preserve"> </w:t>
      </w:r>
      <w:r>
        <w:rPr>
          <w:rFonts w:hint="eastAsia" w:asciiTheme="minorEastAsia" w:hAnsiTheme="minorEastAsia" w:eastAsiaTheme="minorEastAsia" w:cstheme="minorEastAsia"/>
          <w:color w:val="auto"/>
          <w:spacing w:val="-6"/>
          <w:sz w:val="21"/>
          <w:szCs w:val="21"/>
        </w:rPr>
        <w:t>：</w:t>
      </w:r>
    </w:p>
    <w:p w14:paraId="08353D33">
      <w:pPr>
        <w:spacing w:before="277" w:line="213" w:lineRule="auto"/>
        <w:ind w:left="31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1.从业人员、营业收入、资产总额填报上一年度数据，无上一年度数据的新成立企业可不填报。</w:t>
      </w:r>
    </w:p>
    <w:p w14:paraId="451E665E">
      <w:pPr>
        <w:spacing w:before="298" w:line="278" w:lineRule="auto"/>
        <w:ind w:right="129" w:firstLine="34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2.请根据自己的真实情况出具《中小企业声明函》。</w:t>
      </w:r>
      <w:r>
        <w:rPr>
          <w:rFonts w:hint="eastAsia" w:asciiTheme="minorEastAsia" w:hAnsiTheme="minorEastAsia" w:eastAsiaTheme="minorEastAsia" w:cstheme="minorEastAsia"/>
          <w:color w:val="auto"/>
          <w:sz w:val="21"/>
          <w:szCs w:val="21"/>
        </w:rPr>
        <w:t xml:space="preserve">依法享受中小企业扶持政策的，采购人或者采购 </w:t>
      </w:r>
      <w:r>
        <w:rPr>
          <w:rFonts w:hint="eastAsia" w:asciiTheme="minorEastAsia" w:hAnsiTheme="minorEastAsia" w:eastAsiaTheme="minorEastAsia" w:cstheme="minorEastAsia"/>
          <w:color w:val="auto"/>
          <w:spacing w:val="3"/>
          <w:sz w:val="21"/>
          <w:szCs w:val="21"/>
        </w:rPr>
        <w:t>代理机构在公告中标结果时，同时公告其《中小企业声明函》,接受社会监督。</w:t>
      </w:r>
    </w:p>
    <w:p w14:paraId="46454F9F">
      <w:pPr>
        <w:spacing w:before="288" w:line="213" w:lineRule="auto"/>
        <w:ind w:left="41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3.本声明函主要供参加政府采购活动的中</w:t>
      </w:r>
      <w:r>
        <w:rPr>
          <w:rFonts w:hint="eastAsia" w:asciiTheme="minorEastAsia" w:hAnsiTheme="minorEastAsia" w:eastAsiaTheme="minorEastAsia" w:cstheme="minorEastAsia"/>
          <w:color w:val="auto"/>
          <w:spacing w:val="1"/>
          <w:sz w:val="21"/>
          <w:szCs w:val="21"/>
        </w:rPr>
        <w:t>小企业填写，非中小企业无需填写。</w:t>
      </w:r>
    </w:p>
    <w:p w14:paraId="01586995">
      <w:pPr>
        <w:spacing w:before="178" w:line="213" w:lineRule="auto"/>
        <w:ind w:left="41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4.小型、微</w:t>
      </w:r>
      <w:r>
        <w:rPr>
          <w:rFonts w:hint="eastAsia" w:asciiTheme="minorEastAsia" w:hAnsiTheme="minorEastAsia" w:eastAsiaTheme="minorEastAsia" w:cstheme="minorEastAsia"/>
          <w:color w:val="auto"/>
          <w:spacing w:val="1"/>
          <w:sz w:val="21"/>
          <w:szCs w:val="21"/>
          <w:u w:val="single" w:color="auto"/>
        </w:rPr>
        <w:t>型企业</w:t>
      </w:r>
      <w:r>
        <w:rPr>
          <w:rFonts w:hint="eastAsia" w:asciiTheme="minorEastAsia" w:hAnsiTheme="minorEastAsia" w:eastAsiaTheme="minorEastAsia" w:cstheme="minorEastAsia"/>
          <w:color w:val="auto"/>
          <w:spacing w:val="1"/>
          <w:sz w:val="21"/>
          <w:szCs w:val="21"/>
        </w:rPr>
        <w:t>提供中</w:t>
      </w:r>
      <w:r>
        <w:rPr>
          <w:rFonts w:hint="eastAsia" w:asciiTheme="minorEastAsia" w:hAnsiTheme="minorEastAsia" w:eastAsiaTheme="minorEastAsia" w:cstheme="minorEastAsia"/>
          <w:color w:val="auto"/>
          <w:spacing w:val="1"/>
          <w:sz w:val="21"/>
          <w:szCs w:val="21"/>
          <w:u w:val="single" w:color="auto"/>
        </w:rPr>
        <w:t>型企业</w:t>
      </w:r>
      <w:r>
        <w:rPr>
          <w:rFonts w:hint="eastAsia" w:asciiTheme="minorEastAsia" w:hAnsiTheme="minorEastAsia" w:eastAsiaTheme="minorEastAsia" w:cstheme="minorEastAsia"/>
          <w:color w:val="auto"/>
          <w:spacing w:val="1"/>
          <w:sz w:val="21"/>
          <w:szCs w:val="21"/>
        </w:rPr>
        <w:t>提供的服务的，视同为中型企业。</w:t>
      </w:r>
    </w:p>
    <w:p w14:paraId="27190CCF">
      <w:pPr>
        <w:spacing w:line="213" w:lineRule="auto"/>
        <w:rPr>
          <w:rFonts w:hint="eastAsia" w:asciiTheme="minorEastAsia" w:hAnsiTheme="minorEastAsia" w:eastAsiaTheme="minorEastAsia" w:cstheme="minorEastAsia"/>
          <w:color w:val="auto"/>
          <w:sz w:val="21"/>
          <w:szCs w:val="21"/>
        </w:rPr>
        <w:sectPr>
          <w:footerReference r:id="rId55" w:type="default"/>
          <w:pgSz w:w="11900" w:h="16830"/>
          <w:pgMar w:top="1250" w:right="1054" w:bottom="991" w:left="1100" w:header="0" w:footer="847" w:gutter="0"/>
          <w:cols w:space="720" w:num="1"/>
        </w:sectPr>
      </w:pPr>
    </w:p>
    <w:p w14:paraId="68A92464">
      <w:pPr>
        <w:spacing w:before="48" w:line="219" w:lineRule="auto"/>
        <w:ind w:left="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30"/>
          <w:sz w:val="24"/>
          <w:szCs w:val="24"/>
        </w:rPr>
        <w:t>2.残疾人福利性单位声明函的格式：</w:t>
      </w:r>
    </w:p>
    <w:p w14:paraId="6CD65EC5">
      <w:pPr>
        <w:pStyle w:val="10"/>
        <w:spacing w:line="292" w:lineRule="auto"/>
        <w:rPr>
          <w:rFonts w:hint="eastAsia" w:asciiTheme="minorEastAsia" w:hAnsiTheme="minorEastAsia" w:eastAsiaTheme="minorEastAsia" w:cstheme="minorEastAsia"/>
          <w:color w:val="auto"/>
        </w:rPr>
      </w:pPr>
    </w:p>
    <w:p w14:paraId="296D27BA">
      <w:pPr>
        <w:pStyle w:val="10"/>
        <w:spacing w:line="293" w:lineRule="auto"/>
        <w:rPr>
          <w:rFonts w:hint="eastAsia" w:asciiTheme="minorEastAsia" w:hAnsiTheme="minorEastAsia" w:eastAsiaTheme="minorEastAsia" w:cstheme="minorEastAsia"/>
          <w:color w:val="auto"/>
        </w:rPr>
      </w:pPr>
    </w:p>
    <w:p w14:paraId="19F081E2">
      <w:pPr>
        <w:spacing w:before="98" w:line="219" w:lineRule="auto"/>
        <w:ind w:left="3164"/>
        <w:rPr>
          <w:rFonts w:hint="eastAsia" w:asciiTheme="minorEastAsia" w:hAnsiTheme="minorEastAsia" w:eastAsiaTheme="minorEastAsia" w:cstheme="minorEastAsia"/>
          <w:color w:val="auto"/>
          <w:sz w:val="30"/>
          <w:szCs w:val="30"/>
        </w:rPr>
      </w:pPr>
      <w:bookmarkStart w:id="15" w:name="bookmark13"/>
      <w:bookmarkEnd w:id="15"/>
      <w:r>
        <w:rPr>
          <w:rFonts w:hint="eastAsia" w:asciiTheme="minorEastAsia" w:hAnsiTheme="minorEastAsia" w:eastAsiaTheme="minorEastAsia" w:cstheme="minorEastAsia"/>
          <w:b/>
          <w:bCs/>
          <w:color w:val="auto"/>
          <w:spacing w:val="-2"/>
          <w:sz w:val="30"/>
          <w:szCs w:val="30"/>
        </w:rPr>
        <w:t>残疾人福利性单位声明函</w:t>
      </w:r>
    </w:p>
    <w:p w14:paraId="3AE8ADAB">
      <w:pPr>
        <w:pStyle w:val="10"/>
        <w:spacing w:line="340" w:lineRule="auto"/>
        <w:rPr>
          <w:rFonts w:hint="eastAsia" w:asciiTheme="minorEastAsia" w:hAnsiTheme="minorEastAsia" w:eastAsiaTheme="minorEastAsia" w:cstheme="minorEastAsia"/>
          <w:color w:val="auto"/>
        </w:rPr>
      </w:pPr>
    </w:p>
    <w:p w14:paraId="76574FE4">
      <w:pPr>
        <w:pStyle w:val="10"/>
        <w:spacing w:line="341" w:lineRule="auto"/>
        <w:rPr>
          <w:rFonts w:hint="eastAsia" w:asciiTheme="minorEastAsia" w:hAnsiTheme="minorEastAsia" w:eastAsiaTheme="minorEastAsia" w:cstheme="minorEastAsia"/>
          <w:color w:val="auto"/>
        </w:rPr>
      </w:pPr>
    </w:p>
    <w:p w14:paraId="274F7236">
      <w:pPr>
        <w:spacing w:before="78" w:line="351" w:lineRule="auto"/>
        <w:ind w:right="74" w:firstLine="45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本单位郑重声明，根据《财政部民政部中国残疾人联合会关于促进残疾人就业政府采</w:t>
      </w:r>
      <w:r>
        <w:rPr>
          <w:rFonts w:hint="eastAsia" w:asciiTheme="minorEastAsia" w:hAnsiTheme="minorEastAsia" w:eastAsiaTheme="minorEastAsia" w:cstheme="minorEastAsia"/>
          <w:color w:val="auto"/>
          <w:spacing w:val="17"/>
          <w:sz w:val="24"/>
          <w:szCs w:val="24"/>
        </w:rPr>
        <w:t xml:space="preserve"> </w:t>
      </w:r>
      <w:r>
        <w:rPr>
          <w:rFonts w:hint="eastAsia" w:asciiTheme="minorEastAsia" w:hAnsiTheme="minorEastAsia" w:eastAsiaTheme="minorEastAsia" w:cstheme="minorEastAsia"/>
          <w:color w:val="auto"/>
          <w:spacing w:val="6"/>
          <w:sz w:val="24"/>
          <w:szCs w:val="24"/>
        </w:rPr>
        <w:t>购政策的通知》(财库〔2017〕141号)的规定，本单位为符合条件的残疾人福利性单位，</w:t>
      </w:r>
    </w:p>
    <w:p w14:paraId="133ABA6F">
      <w:pPr>
        <w:spacing w:before="18" w:line="355"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且本单位参加</w:t>
      </w:r>
      <w:r>
        <w:rPr>
          <w:rFonts w:hint="eastAsia" w:asciiTheme="minorEastAsia" w:hAnsiTheme="minorEastAsia" w:eastAsiaTheme="minorEastAsia" w:cstheme="minorEastAsia"/>
          <w:color w:val="auto"/>
          <w:spacing w:val="-106"/>
          <w:sz w:val="24"/>
          <w:szCs w:val="24"/>
        </w:rPr>
        <w:t xml:space="preserve"> </w:t>
      </w:r>
      <w:r>
        <w:rPr>
          <w:rFonts w:hint="eastAsia" w:asciiTheme="minorEastAsia" w:hAnsiTheme="minorEastAsia" w:eastAsiaTheme="minorEastAsia" w:cstheme="minorEastAsia"/>
          <w:color w:val="auto"/>
          <w:spacing w:val="1"/>
          <w:sz w:val="24"/>
          <w:szCs w:val="24"/>
          <w:u w:val="single" w:color="auto"/>
        </w:rPr>
        <w:t xml:space="preserve">       </w:t>
      </w:r>
      <w:r>
        <w:rPr>
          <w:rFonts w:hint="eastAsia" w:asciiTheme="minorEastAsia" w:hAnsiTheme="minorEastAsia" w:eastAsiaTheme="minorEastAsia" w:cstheme="minorEastAsia"/>
          <w:color w:val="auto"/>
          <w:spacing w:val="-117"/>
          <w:sz w:val="24"/>
          <w:szCs w:val="24"/>
        </w:rPr>
        <w:t xml:space="preserve"> </w:t>
      </w:r>
      <w:r>
        <w:rPr>
          <w:rFonts w:hint="eastAsia" w:asciiTheme="minorEastAsia" w:hAnsiTheme="minorEastAsia" w:eastAsiaTheme="minorEastAsia" w:cstheme="minorEastAsia"/>
          <w:color w:val="auto"/>
          <w:spacing w:val="-2"/>
          <w:sz w:val="24"/>
          <w:szCs w:val="24"/>
        </w:rPr>
        <w:t>单位的</w:t>
      </w:r>
      <w:r>
        <w:rPr>
          <w:rFonts w:hint="eastAsia" w:asciiTheme="minorEastAsia" w:hAnsiTheme="minorEastAsia" w:eastAsiaTheme="minorEastAsia" w:cstheme="minorEastAsia"/>
          <w:color w:val="auto"/>
          <w:spacing w:val="-2"/>
          <w:sz w:val="24"/>
          <w:szCs w:val="24"/>
          <w:u w:val="single" w:color="auto"/>
        </w:rPr>
        <w:t xml:space="preserve">               </w:t>
      </w:r>
      <w:r>
        <w:rPr>
          <w:rFonts w:hint="eastAsia" w:asciiTheme="minorEastAsia" w:hAnsiTheme="minorEastAsia" w:eastAsiaTheme="minorEastAsia" w:cstheme="minorEastAsia"/>
          <w:color w:val="auto"/>
          <w:spacing w:val="-2"/>
          <w:sz w:val="24"/>
          <w:szCs w:val="24"/>
        </w:rPr>
        <w:t>项目采购活动提供本单位制造的货物(</w:t>
      </w:r>
      <w:r>
        <w:rPr>
          <w:rFonts w:hint="eastAsia" w:asciiTheme="minorEastAsia" w:hAnsiTheme="minorEastAsia" w:eastAsiaTheme="minorEastAsia" w:cstheme="minorEastAsia"/>
          <w:color w:val="auto"/>
          <w:spacing w:val="-3"/>
          <w:sz w:val="24"/>
          <w:szCs w:val="24"/>
        </w:rPr>
        <w:t>由本单位</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7"/>
          <w:sz w:val="24"/>
          <w:szCs w:val="24"/>
        </w:rPr>
        <w:t>承担工程/提供服务),或者提供其他残疾人福利性单位制造的货物(不包括使用非残疾人福</w:t>
      </w:r>
      <w:r>
        <w:rPr>
          <w:rFonts w:hint="eastAsia" w:asciiTheme="minorEastAsia" w:hAnsiTheme="minorEastAsia" w:eastAsiaTheme="minorEastAsia" w:cstheme="minorEastAsia"/>
          <w:color w:val="auto"/>
          <w:spacing w:val="6"/>
          <w:sz w:val="24"/>
          <w:szCs w:val="24"/>
        </w:rPr>
        <w:t xml:space="preserve"> </w:t>
      </w:r>
      <w:r>
        <w:rPr>
          <w:rFonts w:hint="eastAsia" w:asciiTheme="minorEastAsia" w:hAnsiTheme="minorEastAsia" w:eastAsiaTheme="minorEastAsia" w:cstheme="minorEastAsia"/>
          <w:color w:val="auto"/>
          <w:spacing w:val="8"/>
          <w:sz w:val="24"/>
          <w:szCs w:val="24"/>
        </w:rPr>
        <w:t>利性单位注册商标的货物)。</w:t>
      </w:r>
    </w:p>
    <w:p w14:paraId="16B8D1BF">
      <w:pPr>
        <w:spacing w:before="24" w:line="213" w:lineRule="auto"/>
        <w:ind w:left="48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本单位对上述声明的真实性负责。如有虚假</w:t>
      </w:r>
      <w:r>
        <w:rPr>
          <w:rFonts w:hint="eastAsia" w:asciiTheme="minorEastAsia" w:hAnsiTheme="minorEastAsia" w:eastAsiaTheme="minorEastAsia" w:cstheme="minorEastAsia"/>
          <w:color w:val="auto"/>
          <w:spacing w:val="-1"/>
          <w:sz w:val="24"/>
          <w:szCs w:val="24"/>
        </w:rPr>
        <w:t>，将依法承担相应责任。</w:t>
      </w:r>
    </w:p>
    <w:p w14:paraId="576E0237">
      <w:pPr>
        <w:pStyle w:val="10"/>
        <w:spacing w:line="257" w:lineRule="auto"/>
        <w:rPr>
          <w:rFonts w:hint="eastAsia" w:asciiTheme="minorEastAsia" w:hAnsiTheme="minorEastAsia" w:eastAsiaTheme="minorEastAsia" w:cstheme="minorEastAsia"/>
          <w:color w:val="auto"/>
        </w:rPr>
      </w:pPr>
    </w:p>
    <w:p w14:paraId="1ED6C36D">
      <w:pPr>
        <w:pStyle w:val="10"/>
        <w:spacing w:line="257" w:lineRule="auto"/>
        <w:rPr>
          <w:rFonts w:hint="eastAsia" w:asciiTheme="minorEastAsia" w:hAnsiTheme="minorEastAsia" w:eastAsiaTheme="minorEastAsia" w:cstheme="minorEastAsia"/>
          <w:color w:val="auto"/>
        </w:rPr>
      </w:pPr>
    </w:p>
    <w:p w14:paraId="7787856C">
      <w:pPr>
        <w:pStyle w:val="10"/>
        <w:spacing w:line="257" w:lineRule="auto"/>
        <w:rPr>
          <w:rFonts w:hint="eastAsia" w:asciiTheme="minorEastAsia" w:hAnsiTheme="minorEastAsia" w:eastAsiaTheme="minorEastAsia" w:cstheme="minorEastAsia"/>
          <w:color w:val="auto"/>
        </w:rPr>
      </w:pPr>
    </w:p>
    <w:p w14:paraId="03313957">
      <w:pPr>
        <w:pStyle w:val="10"/>
        <w:spacing w:line="257" w:lineRule="auto"/>
        <w:rPr>
          <w:rFonts w:hint="eastAsia" w:asciiTheme="minorEastAsia" w:hAnsiTheme="minorEastAsia" w:eastAsiaTheme="minorEastAsia" w:cstheme="minorEastAsia"/>
          <w:color w:val="auto"/>
        </w:rPr>
      </w:pPr>
    </w:p>
    <w:p w14:paraId="0369B1A1">
      <w:pPr>
        <w:pStyle w:val="10"/>
        <w:spacing w:line="258" w:lineRule="auto"/>
        <w:rPr>
          <w:rFonts w:hint="eastAsia" w:asciiTheme="minorEastAsia" w:hAnsiTheme="minorEastAsia" w:eastAsiaTheme="minorEastAsia" w:cstheme="minorEastAsia"/>
          <w:color w:val="auto"/>
        </w:rPr>
      </w:pPr>
    </w:p>
    <w:p w14:paraId="02AA6518">
      <w:pPr>
        <w:spacing w:before="68" w:line="222" w:lineRule="auto"/>
        <w:ind w:left="512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6"/>
          <w:sz w:val="21"/>
          <w:szCs w:val="21"/>
        </w:rPr>
        <w:t>投标人名称(盖公章):</w:t>
      </w:r>
    </w:p>
    <w:p w14:paraId="1DAC5BC6">
      <w:pPr>
        <w:spacing w:before="229" w:line="224" w:lineRule="auto"/>
        <w:ind w:left="5199"/>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日期：</w:t>
      </w:r>
      <w:r>
        <w:rPr>
          <w:rFonts w:hint="eastAsia" w:asciiTheme="minorEastAsia" w:hAnsiTheme="minorEastAsia" w:eastAsiaTheme="minorEastAsia" w:cstheme="minorEastAsia"/>
          <w:color w:val="auto"/>
          <w:spacing w:val="39"/>
          <w:sz w:val="21"/>
          <w:szCs w:val="21"/>
        </w:rPr>
        <w:t xml:space="preserve">  </w:t>
      </w:r>
      <w:r>
        <w:rPr>
          <w:rFonts w:hint="eastAsia" w:asciiTheme="minorEastAsia" w:hAnsiTheme="minorEastAsia" w:eastAsiaTheme="minorEastAsia" w:cstheme="minorEastAsia"/>
          <w:color w:val="auto"/>
          <w:spacing w:val="-2"/>
          <w:sz w:val="21"/>
          <w:szCs w:val="21"/>
        </w:rPr>
        <w:t>年</w:t>
      </w:r>
      <w:r>
        <w:rPr>
          <w:rFonts w:hint="eastAsia" w:asciiTheme="minorEastAsia" w:hAnsiTheme="minorEastAsia" w:eastAsiaTheme="minorEastAsia" w:cstheme="minorEastAsia"/>
          <w:color w:val="auto"/>
          <w:spacing w:val="30"/>
          <w:sz w:val="21"/>
          <w:szCs w:val="21"/>
        </w:rPr>
        <w:t xml:space="preserve">  </w:t>
      </w:r>
      <w:r>
        <w:rPr>
          <w:rFonts w:hint="eastAsia" w:asciiTheme="minorEastAsia" w:hAnsiTheme="minorEastAsia" w:eastAsiaTheme="minorEastAsia" w:cstheme="minorEastAsia"/>
          <w:color w:val="auto"/>
          <w:spacing w:val="-2"/>
          <w:sz w:val="21"/>
          <w:szCs w:val="21"/>
        </w:rPr>
        <w:t>月    日</w:t>
      </w:r>
    </w:p>
    <w:p w14:paraId="7F0125A9">
      <w:pPr>
        <w:pStyle w:val="10"/>
        <w:spacing w:line="285" w:lineRule="auto"/>
        <w:rPr>
          <w:rFonts w:hint="eastAsia" w:asciiTheme="minorEastAsia" w:hAnsiTheme="minorEastAsia" w:eastAsiaTheme="minorEastAsia" w:cstheme="minorEastAsia"/>
          <w:color w:val="auto"/>
        </w:rPr>
      </w:pPr>
    </w:p>
    <w:p w14:paraId="781756BB">
      <w:pPr>
        <w:pStyle w:val="10"/>
        <w:spacing w:line="285" w:lineRule="auto"/>
        <w:rPr>
          <w:rFonts w:hint="eastAsia" w:asciiTheme="minorEastAsia" w:hAnsiTheme="minorEastAsia" w:eastAsiaTheme="minorEastAsia" w:cstheme="minorEastAsia"/>
          <w:color w:val="auto"/>
        </w:rPr>
      </w:pPr>
    </w:p>
    <w:p w14:paraId="13370587">
      <w:pPr>
        <w:pStyle w:val="10"/>
        <w:spacing w:line="285" w:lineRule="auto"/>
        <w:rPr>
          <w:rFonts w:hint="eastAsia" w:asciiTheme="minorEastAsia" w:hAnsiTheme="minorEastAsia" w:eastAsiaTheme="minorEastAsia" w:cstheme="minorEastAsia"/>
          <w:color w:val="auto"/>
        </w:rPr>
      </w:pPr>
    </w:p>
    <w:p w14:paraId="777EDDDE">
      <w:pPr>
        <w:pStyle w:val="10"/>
        <w:spacing w:line="286" w:lineRule="auto"/>
        <w:rPr>
          <w:rFonts w:hint="eastAsia" w:asciiTheme="minorEastAsia" w:hAnsiTheme="minorEastAsia" w:eastAsiaTheme="minorEastAsia" w:cstheme="minorEastAsia"/>
          <w:color w:val="auto"/>
        </w:rPr>
      </w:pPr>
    </w:p>
    <w:p w14:paraId="5EB59910">
      <w:pPr>
        <w:pStyle w:val="10"/>
        <w:spacing w:line="286" w:lineRule="auto"/>
        <w:rPr>
          <w:rFonts w:hint="eastAsia" w:asciiTheme="minorEastAsia" w:hAnsiTheme="minorEastAsia" w:eastAsiaTheme="minorEastAsia" w:cstheme="minorEastAsia"/>
          <w:color w:val="auto"/>
        </w:rPr>
      </w:pPr>
    </w:p>
    <w:p w14:paraId="2DD60B3D">
      <w:pPr>
        <w:spacing w:before="69" w:line="355" w:lineRule="auto"/>
        <w:ind w:right="400" w:firstLine="429"/>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注：请根据自己的真实情况出具《残疾人福利性单位声明函》。依法享受中小企业扶持政策的，</w:t>
      </w:r>
      <w:r>
        <w:rPr>
          <w:rFonts w:hint="eastAsia" w:asciiTheme="minorEastAsia" w:hAnsiTheme="minorEastAsia" w:eastAsiaTheme="minorEastAsia" w:cstheme="minorEastAsia"/>
          <w:color w:val="auto"/>
          <w:spacing w:val="3"/>
          <w:sz w:val="21"/>
          <w:szCs w:val="21"/>
        </w:rPr>
        <w:t xml:space="preserve"> </w:t>
      </w:r>
      <w:r>
        <w:rPr>
          <w:rFonts w:hint="eastAsia" w:asciiTheme="minorEastAsia" w:hAnsiTheme="minorEastAsia" w:eastAsiaTheme="minorEastAsia" w:cstheme="minorEastAsia"/>
          <w:color w:val="auto"/>
          <w:spacing w:val="2"/>
          <w:sz w:val="21"/>
          <w:szCs w:val="21"/>
        </w:rPr>
        <w:t>采购人或者采购代理机构在公告中标结果时，同时公告其《残疾人福利性单位声明函》,接受社会监</w:t>
      </w:r>
      <w:r>
        <w:rPr>
          <w:rFonts w:hint="eastAsia" w:asciiTheme="minorEastAsia" w:hAnsiTheme="minorEastAsia" w:eastAsiaTheme="minorEastAsia" w:cstheme="minorEastAsia"/>
          <w:color w:val="auto"/>
          <w:spacing w:val="13"/>
          <w:sz w:val="21"/>
          <w:szCs w:val="21"/>
        </w:rPr>
        <w:t xml:space="preserve"> </w:t>
      </w:r>
      <w:r>
        <w:rPr>
          <w:rFonts w:hint="eastAsia" w:asciiTheme="minorEastAsia" w:hAnsiTheme="minorEastAsia" w:eastAsiaTheme="minorEastAsia" w:cstheme="minorEastAsia"/>
          <w:color w:val="auto"/>
          <w:spacing w:val="4"/>
          <w:sz w:val="21"/>
          <w:szCs w:val="21"/>
        </w:rPr>
        <w:t>督；根据《关于政府采购支持监狱企业发展有关问题的通知》(财库[2014]68号)的规定，投标人提</w:t>
      </w:r>
      <w:r>
        <w:rPr>
          <w:rFonts w:hint="eastAsia" w:asciiTheme="minorEastAsia" w:hAnsiTheme="minorEastAsia" w:eastAsiaTheme="minorEastAsia" w:cstheme="minorEastAsia"/>
          <w:color w:val="auto"/>
          <w:spacing w:val="15"/>
          <w:sz w:val="21"/>
          <w:szCs w:val="21"/>
        </w:rPr>
        <w:t xml:space="preserve"> </w:t>
      </w:r>
      <w:r>
        <w:rPr>
          <w:rFonts w:hint="eastAsia" w:asciiTheme="minorEastAsia" w:hAnsiTheme="minorEastAsia" w:eastAsiaTheme="minorEastAsia" w:cstheme="minorEastAsia"/>
          <w:color w:val="auto"/>
          <w:spacing w:val="4"/>
          <w:sz w:val="21"/>
          <w:szCs w:val="21"/>
        </w:rPr>
        <w:t>供由省级以</w:t>
      </w:r>
      <w:r>
        <w:rPr>
          <w:rFonts w:hint="eastAsia" w:asciiTheme="minorEastAsia" w:hAnsiTheme="minorEastAsia" w:eastAsiaTheme="minorEastAsia" w:cstheme="minorEastAsia"/>
          <w:color w:val="auto"/>
          <w:spacing w:val="-55"/>
          <w:sz w:val="21"/>
          <w:szCs w:val="21"/>
        </w:rPr>
        <w:t xml:space="preserve"> </w:t>
      </w:r>
      <w:r>
        <w:rPr>
          <w:rFonts w:hint="eastAsia" w:asciiTheme="minorEastAsia" w:hAnsiTheme="minorEastAsia" w:eastAsiaTheme="minorEastAsia" w:cstheme="minorEastAsia"/>
          <w:color w:val="auto"/>
          <w:spacing w:val="4"/>
          <w:sz w:val="21"/>
          <w:szCs w:val="21"/>
          <w:u w:val="single" w:color="auto"/>
        </w:rPr>
        <w:t>上监</w:t>
      </w:r>
      <w:r>
        <w:rPr>
          <w:rFonts w:hint="eastAsia" w:asciiTheme="minorEastAsia" w:hAnsiTheme="minorEastAsia" w:eastAsiaTheme="minorEastAsia" w:cstheme="minorEastAsia"/>
          <w:color w:val="auto"/>
          <w:spacing w:val="4"/>
          <w:sz w:val="21"/>
          <w:szCs w:val="21"/>
        </w:rPr>
        <w:t>狱管理局、戒毒管理局(含新疆牛产建</w:t>
      </w:r>
      <w:r>
        <w:rPr>
          <w:rFonts w:hint="eastAsia" w:asciiTheme="minorEastAsia" w:hAnsiTheme="minorEastAsia" w:eastAsiaTheme="minorEastAsia" w:cstheme="minorEastAsia"/>
          <w:color w:val="auto"/>
          <w:spacing w:val="3"/>
          <w:sz w:val="21"/>
          <w:szCs w:val="21"/>
        </w:rPr>
        <w:t>设兵团)出具的属干</w:t>
      </w:r>
      <w:r>
        <w:rPr>
          <w:rFonts w:hint="eastAsia" w:asciiTheme="minorEastAsia" w:hAnsiTheme="minorEastAsia" w:eastAsiaTheme="minorEastAsia" w:cstheme="minorEastAsia"/>
          <w:color w:val="auto"/>
          <w:spacing w:val="3"/>
          <w:sz w:val="21"/>
          <w:szCs w:val="21"/>
          <w:u w:val="single" w:color="auto"/>
        </w:rPr>
        <w:t>监狱企业证</w:t>
      </w:r>
      <w:r>
        <w:rPr>
          <w:rFonts w:hint="eastAsia" w:asciiTheme="minorEastAsia" w:hAnsiTheme="minorEastAsia" w:eastAsiaTheme="minorEastAsia" w:cstheme="minorEastAsia"/>
          <w:color w:val="auto"/>
          <w:spacing w:val="3"/>
          <w:sz w:val="21"/>
          <w:szCs w:val="21"/>
        </w:rPr>
        <w:t>明文件的，视</w:t>
      </w:r>
      <w:r>
        <w:rPr>
          <w:rFonts w:hint="eastAsia" w:asciiTheme="minorEastAsia" w:hAnsiTheme="minorEastAsia" w:eastAsiaTheme="minorEastAsia" w:cstheme="minorEastAsia"/>
          <w:color w:val="auto"/>
          <w:sz w:val="21"/>
          <w:szCs w:val="21"/>
        </w:rPr>
        <w:t xml:space="preserve"> 同为小型和微型企业。</w:t>
      </w:r>
    </w:p>
    <w:p w14:paraId="2A6DB24B">
      <w:pPr>
        <w:spacing w:line="355" w:lineRule="auto"/>
        <w:rPr>
          <w:rFonts w:hint="eastAsia" w:asciiTheme="minorEastAsia" w:hAnsiTheme="minorEastAsia" w:eastAsiaTheme="minorEastAsia" w:cstheme="minorEastAsia"/>
          <w:color w:val="auto"/>
          <w:sz w:val="21"/>
          <w:szCs w:val="21"/>
        </w:rPr>
        <w:sectPr>
          <w:footerReference r:id="rId56" w:type="default"/>
          <w:pgSz w:w="11900" w:h="16830"/>
          <w:pgMar w:top="1178" w:right="1125" w:bottom="991" w:left="1120" w:header="0" w:footer="847" w:gutter="0"/>
          <w:cols w:space="720" w:num="1"/>
        </w:sectPr>
      </w:pPr>
    </w:p>
    <w:p w14:paraId="39A76A91">
      <w:pPr>
        <w:spacing w:before="55" w:line="219" w:lineRule="auto"/>
        <w:ind w:left="149"/>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pacing w:val="-2"/>
          <w:sz w:val="28"/>
          <w:szCs w:val="28"/>
        </w:rPr>
        <w:t>3. 广西壮族自治区政府采购项目合同验收书的格式：</w:t>
      </w:r>
    </w:p>
    <w:p w14:paraId="2C5B408E">
      <w:pPr>
        <w:pStyle w:val="10"/>
        <w:spacing w:line="343" w:lineRule="auto"/>
        <w:rPr>
          <w:rFonts w:hint="eastAsia" w:asciiTheme="minorEastAsia" w:hAnsiTheme="minorEastAsia" w:eastAsiaTheme="minorEastAsia" w:cstheme="minorEastAsia"/>
          <w:color w:val="auto"/>
        </w:rPr>
      </w:pPr>
    </w:p>
    <w:p w14:paraId="4B940DB0">
      <w:pPr>
        <w:spacing w:before="104" w:line="219" w:lineRule="auto"/>
        <w:ind w:left="1949"/>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pacing w:val="-1"/>
          <w:sz w:val="32"/>
          <w:szCs w:val="32"/>
        </w:rPr>
        <w:t>广西壮族自治区政府采购项目合同验收书</w:t>
      </w:r>
    </w:p>
    <w:p w14:paraId="72B5E4D5">
      <w:pPr>
        <w:pStyle w:val="10"/>
        <w:spacing w:line="445" w:lineRule="auto"/>
        <w:rPr>
          <w:rFonts w:hint="eastAsia" w:asciiTheme="minorEastAsia" w:hAnsiTheme="minorEastAsia" w:eastAsiaTheme="minorEastAsia" w:cstheme="minorEastAsia"/>
          <w:color w:val="auto"/>
        </w:rPr>
      </w:pPr>
    </w:p>
    <w:p w14:paraId="5977EACE">
      <w:pPr>
        <w:spacing w:before="78" w:line="220" w:lineRule="auto"/>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1"/>
          <w:szCs w:val="21"/>
        </w:rPr>
        <w:t>根据政府采购项目(</w:t>
      </w:r>
      <w:r>
        <w:rPr>
          <w:rFonts w:hint="eastAsia" w:asciiTheme="minorEastAsia" w:hAnsiTheme="minorEastAsia" w:eastAsiaTheme="minorEastAsia" w:cstheme="minorEastAsia"/>
          <w:color w:val="auto"/>
          <w:spacing w:val="1"/>
          <w:sz w:val="21"/>
          <w:szCs w:val="21"/>
          <w:u w:val="single" w:color="auto"/>
        </w:rPr>
        <w:t>采购合同编号：</w:t>
      </w:r>
      <w:r>
        <w:rPr>
          <w:rFonts w:hint="eastAsia" w:asciiTheme="minorEastAsia" w:hAnsiTheme="minorEastAsia" w:eastAsiaTheme="minorEastAsia" w:cstheme="minorEastAsia"/>
          <w:color w:val="auto"/>
          <w:spacing w:val="-76"/>
          <w:sz w:val="21"/>
          <w:szCs w:val="21"/>
          <w:u w:val="single" w:color="auto"/>
        </w:rPr>
        <w:t xml:space="preserve"> </w:t>
      </w:r>
      <w:r>
        <w:rPr>
          <w:rFonts w:hint="eastAsia" w:asciiTheme="minorEastAsia" w:hAnsiTheme="minorEastAsia" w:eastAsiaTheme="minorEastAsia" w:cstheme="minorEastAsia"/>
          <w:color w:val="auto"/>
          <w:spacing w:val="-29"/>
          <w:sz w:val="21"/>
          <w:szCs w:val="21"/>
        </w:rPr>
        <w:t xml:space="preserve"> </w:t>
      </w:r>
      <w:r>
        <w:rPr>
          <w:rFonts w:hint="eastAsia" w:asciiTheme="minorEastAsia" w:hAnsiTheme="minorEastAsia" w:eastAsiaTheme="minorEastAsia" w:cstheme="minorEastAsia"/>
          <w:color w:val="auto"/>
          <w:spacing w:val="1"/>
          <w:sz w:val="24"/>
          <w:szCs w:val="24"/>
        </w:rPr>
        <w:t>)的约定，我单位对(</w:t>
      </w:r>
      <w:r>
        <w:rPr>
          <w:rFonts w:hint="eastAsia" w:asciiTheme="minorEastAsia" w:hAnsiTheme="minorEastAsia" w:eastAsiaTheme="minorEastAsia" w:cstheme="minorEastAsia"/>
          <w:color w:val="auto"/>
          <w:spacing w:val="1"/>
          <w:sz w:val="24"/>
          <w:szCs w:val="24"/>
          <w:u w:val="single" w:color="auto"/>
        </w:rPr>
        <w:t>项目名称</w:t>
      </w:r>
      <w:r>
        <w:rPr>
          <w:rFonts w:hint="eastAsia" w:asciiTheme="minorEastAsia" w:hAnsiTheme="minorEastAsia" w:eastAsiaTheme="minorEastAsia" w:cstheme="minorEastAsia"/>
          <w:color w:val="auto"/>
          <w:spacing w:val="1"/>
          <w:sz w:val="24"/>
          <w:szCs w:val="24"/>
        </w:rPr>
        <w:t>)政府采购项目中标(或者</w:t>
      </w:r>
    </w:p>
    <w:p w14:paraId="18CA9B1B">
      <w:pPr>
        <w:spacing w:before="36" w:line="189"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成交)投标人(公司名称)提供的货物(或者工程、服务)进行了验收，验收情况如</w:t>
      </w:r>
      <w:r>
        <w:rPr>
          <w:rFonts w:hint="eastAsia" w:asciiTheme="minorEastAsia" w:hAnsiTheme="minorEastAsia" w:eastAsiaTheme="minorEastAsia" w:cstheme="minorEastAsia"/>
          <w:color w:val="auto"/>
          <w:spacing w:val="-1"/>
          <w:sz w:val="24"/>
          <w:szCs w:val="24"/>
        </w:rPr>
        <w:t>下：</w:t>
      </w:r>
    </w:p>
    <w:tbl>
      <w:tblPr>
        <w:tblStyle w:val="20"/>
        <w:tblW w:w="9378" w:type="dxa"/>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3"/>
        <w:gridCol w:w="1918"/>
        <w:gridCol w:w="779"/>
        <w:gridCol w:w="230"/>
        <w:gridCol w:w="1898"/>
        <w:gridCol w:w="180"/>
        <w:gridCol w:w="669"/>
        <w:gridCol w:w="2361"/>
      </w:tblGrid>
      <w:tr w14:paraId="14AB0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3261" w:type="dxa"/>
            <w:gridSpan w:val="2"/>
            <w:vAlign w:val="top"/>
          </w:tcPr>
          <w:p w14:paraId="31304CA5">
            <w:pPr>
              <w:pStyle w:val="21"/>
              <w:spacing w:before="154" w:line="219" w:lineRule="auto"/>
              <w:ind w:left="106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rPr>
              <w:t>验收方式：</w:t>
            </w:r>
          </w:p>
        </w:tc>
        <w:tc>
          <w:tcPr>
            <w:tcW w:w="6117" w:type="dxa"/>
            <w:gridSpan w:val="6"/>
            <w:vAlign w:val="top"/>
          </w:tcPr>
          <w:p w14:paraId="65FBDFE4">
            <w:pPr>
              <w:pStyle w:val="21"/>
              <w:spacing w:before="154" w:line="219" w:lineRule="auto"/>
              <w:ind w:left="219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□自行验收口委托验收</w:t>
            </w:r>
          </w:p>
        </w:tc>
      </w:tr>
      <w:tr w14:paraId="2A813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343" w:type="dxa"/>
            <w:vAlign w:val="top"/>
          </w:tcPr>
          <w:p w14:paraId="31E923D0">
            <w:pPr>
              <w:pStyle w:val="21"/>
              <w:spacing w:before="221" w:line="221" w:lineRule="auto"/>
              <w:ind w:left="43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序号</w:t>
            </w:r>
          </w:p>
        </w:tc>
        <w:tc>
          <w:tcPr>
            <w:tcW w:w="1918" w:type="dxa"/>
            <w:vAlign w:val="top"/>
          </w:tcPr>
          <w:p w14:paraId="008BEB66">
            <w:pPr>
              <w:pStyle w:val="21"/>
              <w:spacing w:before="223" w:line="221" w:lineRule="auto"/>
              <w:ind w:left="67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名</w:t>
            </w:r>
            <w:r>
              <w:rPr>
                <w:rFonts w:hint="eastAsia" w:asciiTheme="minorEastAsia" w:hAnsiTheme="minorEastAsia" w:eastAsiaTheme="minorEastAsia" w:cstheme="minorEastAsia"/>
                <w:color w:val="auto"/>
                <w:spacing w:val="40"/>
              </w:rPr>
              <w:t xml:space="preserve"> </w:t>
            </w:r>
            <w:r>
              <w:rPr>
                <w:rFonts w:hint="eastAsia" w:asciiTheme="minorEastAsia" w:hAnsiTheme="minorEastAsia" w:eastAsiaTheme="minorEastAsia" w:cstheme="minorEastAsia"/>
                <w:color w:val="auto"/>
                <w:spacing w:val="-6"/>
              </w:rPr>
              <w:t>称</w:t>
            </w:r>
          </w:p>
        </w:tc>
        <w:tc>
          <w:tcPr>
            <w:tcW w:w="2907" w:type="dxa"/>
            <w:gridSpan w:val="3"/>
            <w:vAlign w:val="top"/>
          </w:tcPr>
          <w:p w14:paraId="596C0BC5">
            <w:pPr>
              <w:pStyle w:val="21"/>
              <w:spacing w:before="88" w:line="219" w:lineRule="auto"/>
              <w:ind w:left="1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货物型号规格、标准及配置等</w:t>
            </w:r>
          </w:p>
          <w:p w14:paraId="7A2C0940">
            <w:pPr>
              <w:pStyle w:val="21"/>
              <w:spacing w:before="60" w:line="192" w:lineRule="auto"/>
              <w:ind w:left="34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
              </w:rPr>
              <w:t>(或者服务内容、标准)</w:t>
            </w:r>
          </w:p>
        </w:tc>
        <w:tc>
          <w:tcPr>
            <w:tcW w:w="849" w:type="dxa"/>
            <w:gridSpan w:val="2"/>
            <w:vAlign w:val="top"/>
          </w:tcPr>
          <w:p w14:paraId="391C7721">
            <w:pPr>
              <w:pStyle w:val="21"/>
              <w:spacing w:before="220" w:line="219" w:lineRule="auto"/>
              <w:ind w:left="156"/>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数量</w:t>
            </w:r>
          </w:p>
        </w:tc>
        <w:tc>
          <w:tcPr>
            <w:tcW w:w="2361" w:type="dxa"/>
            <w:vAlign w:val="top"/>
          </w:tcPr>
          <w:p w14:paraId="466E7B7E">
            <w:pPr>
              <w:pStyle w:val="21"/>
              <w:spacing w:before="220" w:line="219" w:lineRule="auto"/>
              <w:ind w:left="888"/>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金</w:t>
            </w:r>
            <w:r>
              <w:rPr>
                <w:rFonts w:hint="eastAsia" w:asciiTheme="minorEastAsia" w:hAnsiTheme="minorEastAsia" w:eastAsiaTheme="minorEastAsia" w:cstheme="minorEastAsia"/>
                <w:color w:val="auto"/>
                <w:spacing w:val="58"/>
              </w:rPr>
              <w:t xml:space="preserve"> </w:t>
            </w:r>
            <w:r>
              <w:rPr>
                <w:rFonts w:hint="eastAsia" w:asciiTheme="minorEastAsia" w:hAnsiTheme="minorEastAsia" w:eastAsiaTheme="minorEastAsia" w:cstheme="minorEastAsia"/>
                <w:color w:val="auto"/>
                <w:spacing w:val="-6"/>
              </w:rPr>
              <w:t>额</w:t>
            </w:r>
          </w:p>
        </w:tc>
      </w:tr>
      <w:tr w14:paraId="1F75B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343" w:type="dxa"/>
            <w:vAlign w:val="top"/>
          </w:tcPr>
          <w:p w14:paraId="705C5F23">
            <w:pPr>
              <w:rPr>
                <w:rFonts w:hint="eastAsia" w:asciiTheme="minorEastAsia" w:hAnsiTheme="minorEastAsia" w:eastAsiaTheme="minorEastAsia" w:cstheme="minorEastAsia"/>
                <w:color w:val="auto"/>
                <w:sz w:val="21"/>
              </w:rPr>
            </w:pPr>
          </w:p>
        </w:tc>
        <w:tc>
          <w:tcPr>
            <w:tcW w:w="1918" w:type="dxa"/>
            <w:vAlign w:val="top"/>
          </w:tcPr>
          <w:p w14:paraId="36B8284D">
            <w:pPr>
              <w:rPr>
                <w:rFonts w:hint="eastAsia" w:asciiTheme="minorEastAsia" w:hAnsiTheme="minorEastAsia" w:eastAsiaTheme="minorEastAsia" w:cstheme="minorEastAsia"/>
                <w:color w:val="auto"/>
                <w:sz w:val="21"/>
              </w:rPr>
            </w:pPr>
          </w:p>
        </w:tc>
        <w:tc>
          <w:tcPr>
            <w:tcW w:w="2907" w:type="dxa"/>
            <w:gridSpan w:val="3"/>
            <w:vAlign w:val="top"/>
          </w:tcPr>
          <w:p w14:paraId="290402A9">
            <w:pPr>
              <w:rPr>
                <w:rFonts w:hint="eastAsia" w:asciiTheme="minorEastAsia" w:hAnsiTheme="minorEastAsia" w:eastAsiaTheme="minorEastAsia" w:cstheme="minorEastAsia"/>
                <w:color w:val="auto"/>
                <w:sz w:val="21"/>
              </w:rPr>
            </w:pPr>
          </w:p>
        </w:tc>
        <w:tc>
          <w:tcPr>
            <w:tcW w:w="849" w:type="dxa"/>
            <w:gridSpan w:val="2"/>
            <w:vAlign w:val="top"/>
          </w:tcPr>
          <w:p w14:paraId="3B3AC499">
            <w:pPr>
              <w:rPr>
                <w:rFonts w:hint="eastAsia" w:asciiTheme="minorEastAsia" w:hAnsiTheme="minorEastAsia" w:eastAsiaTheme="minorEastAsia" w:cstheme="minorEastAsia"/>
                <w:color w:val="auto"/>
                <w:sz w:val="21"/>
              </w:rPr>
            </w:pPr>
          </w:p>
        </w:tc>
        <w:tc>
          <w:tcPr>
            <w:tcW w:w="2361" w:type="dxa"/>
            <w:vAlign w:val="top"/>
          </w:tcPr>
          <w:p w14:paraId="3D59B1DA">
            <w:pPr>
              <w:rPr>
                <w:rFonts w:hint="eastAsia" w:asciiTheme="minorEastAsia" w:hAnsiTheme="minorEastAsia" w:eastAsiaTheme="minorEastAsia" w:cstheme="minorEastAsia"/>
                <w:color w:val="auto"/>
                <w:sz w:val="21"/>
              </w:rPr>
            </w:pPr>
          </w:p>
        </w:tc>
      </w:tr>
      <w:tr w14:paraId="552F9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343" w:type="dxa"/>
            <w:vAlign w:val="top"/>
          </w:tcPr>
          <w:p w14:paraId="3BBC4BC0">
            <w:pPr>
              <w:rPr>
                <w:rFonts w:hint="eastAsia" w:asciiTheme="minorEastAsia" w:hAnsiTheme="minorEastAsia" w:eastAsiaTheme="minorEastAsia" w:cstheme="minorEastAsia"/>
                <w:color w:val="auto"/>
                <w:sz w:val="21"/>
              </w:rPr>
            </w:pPr>
          </w:p>
        </w:tc>
        <w:tc>
          <w:tcPr>
            <w:tcW w:w="1918" w:type="dxa"/>
            <w:vAlign w:val="top"/>
          </w:tcPr>
          <w:p w14:paraId="152724E6">
            <w:pPr>
              <w:rPr>
                <w:rFonts w:hint="eastAsia" w:asciiTheme="minorEastAsia" w:hAnsiTheme="minorEastAsia" w:eastAsiaTheme="minorEastAsia" w:cstheme="minorEastAsia"/>
                <w:color w:val="auto"/>
                <w:sz w:val="21"/>
              </w:rPr>
            </w:pPr>
          </w:p>
        </w:tc>
        <w:tc>
          <w:tcPr>
            <w:tcW w:w="2907" w:type="dxa"/>
            <w:gridSpan w:val="3"/>
            <w:vAlign w:val="top"/>
          </w:tcPr>
          <w:p w14:paraId="0B67B98C">
            <w:pPr>
              <w:rPr>
                <w:rFonts w:hint="eastAsia" w:asciiTheme="minorEastAsia" w:hAnsiTheme="minorEastAsia" w:eastAsiaTheme="minorEastAsia" w:cstheme="minorEastAsia"/>
                <w:color w:val="auto"/>
                <w:sz w:val="21"/>
              </w:rPr>
            </w:pPr>
          </w:p>
        </w:tc>
        <w:tc>
          <w:tcPr>
            <w:tcW w:w="849" w:type="dxa"/>
            <w:gridSpan w:val="2"/>
            <w:vAlign w:val="top"/>
          </w:tcPr>
          <w:p w14:paraId="45C57DE8">
            <w:pPr>
              <w:rPr>
                <w:rFonts w:hint="eastAsia" w:asciiTheme="minorEastAsia" w:hAnsiTheme="minorEastAsia" w:eastAsiaTheme="minorEastAsia" w:cstheme="minorEastAsia"/>
                <w:color w:val="auto"/>
                <w:sz w:val="21"/>
              </w:rPr>
            </w:pPr>
          </w:p>
        </w:tc>
        <w:tc>
          <w:tcPr>
            <w:tcW w:w="2361" w:type="dxa"/>
            <w:vAlign w:val="top"/>
          </w:tcPr>
          <w:p w14:paraId="66DCFFF2">
            <w:pPr>
              <w:rPr>
                <w:rFonts w:hint="eastAsia" w:asciiTheme="minorEastAsia" w:hAnsiTheme="minorEastAsia" w:eastAsiaTheme="minorEastAsia" w:cstheme="minorEastAsia"/>
                <w:color w:val="auto"/>
                <w:sz w:val="21"/>
              </w:rPr>
            </w:pPr>
          </w:p>
        </w:tc>
      </w:tr>
      <w:tr w14:paraId="393DD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343" w:type="dxa"/>
            <w:vAlign w:val="top"/>
          </w:tcPr>
          <w:p w14:paraId="7D4623A2">
            <w:pPr>
              <w:rPr>
                <w:rFonts w:hint="eastAsia" w:asciiTheme="minorEastAsia" w:hAnsiTheme="minorEastAsia" w:eastAsiaTheme="minorEastAsia" w:cstheme="minorEastAsia"/>
                <w:color w:val="auto"/>
                <w:sz w:val="21"/>
              </w:rPr>
            </w:pPr>
          </w:p>
        </w:tc>
        <w:tc>
          <w:tcPr>
            <w:tcW w:w="1918" w:type="dxa"/>
            <w:vAlign w:val="top"/>
          </w:tcPr>
          <w:p w14:paraId="23BD8A01">
            <w:pPr>
              <w:rPr>
                <w:rFonts w:hint="eastAsia" w:asciiTheme="minorEastAsia" w:hAnsiTheme="minorEastAsia" w:eastAsiaTheme="minorEastAsia" w:cstheme="minorEastAsia"/>
                <w:color w:val="auto"/>
                <w:sz w:val="21"/>
              </w:rPr>
            </w:pPr>
          </w:p>
        </w:tc>
        <w:tc>
          <w:tcPr>
            <w:tcW w:w="2907" w:type="dxa"/>
            <w:gridSpan w:val="3"/>
            <w:vAlign w:val="top"/>
          </w:tcPr>
          <w:p w14:paraId="257C7F25">
            <w:pPr>
              <w:rPr>
                <w:rFonts w:hint="eastAsia" w:asciiTheme="minorEastAsia" w:hAnsiTheme="minorEastAsia" w:eastAsiaTheme="minorEastAsia" w:cstheme="minorEastAsia"/>
                <w:color w:val="auto"/>
                <w:sz w:val="21"/>
              </w:rPr>
            </w:pPr>
          </w:p>
        </w:tc>
        <w:tc>
          <w:tcPr>
            <w:tcW w:w="849" w:type="dxa"/>
            <w:gridSpan w:val="2"/>
            <w:vAlign w:val="top"/>
          </w:tcPr>
          <w:p w14:paraId="65F7E162">
            <w:pPr>
              <w:rPr>
                <w:rFonts w:hint="eastAsia" w:asciiTheme="minorEastAsia" w:hAnsiTheme="minorEastAsia" w:eastAsiaTheme="minorEastAsia" w:cstheme="minorEastAsia"/>
                <w:color w:val="auto"/>
                <w:sz w:val="21"/>
              </w:rPr>
            </w:pPr>
          </w:p>
        </w:tc>
        <w:tc>
          <w:tcPr>
            <w:tcW w:w="2361" w:type="dxa"/>
            <w:vAlign w:val="top"/>
          </w:tcPr>
          <w:p w14:paraId="3C368E36">
            <w:pPr>
              <w:rPr>
                <w:rFonts w:hint="eastAsia" w:asciiTheme="minorEastAsia" w:hAnsiTheme="minorEastAsia" w:eastAsiaTheme="minorEastAsia" w:cstheme="minorEastAsia"/>
                <w:color w:val="auto"/>
                <w:sz w:val="21"/>
              </w:rPr>
            </w:pPr>
          </w:p>
        </w:tc>
      </w:tr>
      <w:tr w14:paraId="7D0B5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6168" w:type="dxa"/>
            <w:gridSpan w:val="5"/>
            <w:vAlign w:val="top"/>
          </w:tcPr>
          <w:p w14:paraId="3B51CFBD">
            <w:pPr>
              <w:pStyle w:val="21"/>
              <w:spacing w:before="153" w:line="221" w:lineRule="auto"/>
              <w:ind w:left="278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合</w:t>
            </w:r>
            <w:r>
              <w:rPr>
                <w:rFonts w:hint="eastAsia" w:asciiTheme="minorEastAsia" w:hAnsiTheme="minorEastAsia" w:eastAsiaTheme="minorEastAsia" w:cstheme="minorEastAsia"/>
                <w:color w:val="auto"/>
                <w:spacing w:val="57"/>
              </w:rPr>
              <w:t xml:space="preserve"> </w:t>
            </w:r>
            <w:r>
              <w:rPr>
                <w:rFonts w:hint="eastAsia" w:asciiTheme="minorEastAsia" w:hAnsiTheme="minorEastAsia" w:eastAsiaTheme="minorEastAsia" w:cstheme="minorEastAsia"/>
                <w:color w:val="auto"/>
                <w:spacing w:val="-5"/>
              </w:rPr>
              <w:t>计</w:t>
            </w:r>
          </w:p>
        </w:tc>
        <w:tc>
          <w:tcPr>
            <w:tcW w:w="849" w:type="dxa"/>
            <w:gridSpan w:val="2"/>
            <w:vAlign w:val="top"/>
          </w:tcPr>
          <w:p w14:paraId="1230BA8B">
            <w:pPr>
              <w:rPr>
                <w:rFonts w:hint="eastAsia" w:asciiTheme="minorEastAsia" w:hAnsiTheme="minorEastAsia" w:eastAsiaTheme="minorEastAsia" w:cstheme="minorEastAsia"/>
                <w:color w:val="auto"/>
                <w:sz w:val="21"/>
              </w:rPr>
            </w:pPr>
          </w:p>
        </w:tc>
        <w:tc>
          <w:tcPr>
            <w:tcW w:w="2361" w:type="dxa"/>
            <w:vAlign w:val="top"/>
          </w:tcPr>
          <w:p w14:paraId="3E7563F3">
            <w:pPr>
              <w:rPr>
                <w:rFonts w:hint="eastAsia" w:asciiTheme="minorEastAsia" w:hAnsiTheme="minorEastAsia" w:eastAsiaTheme="minorEastAsia" w:cstheme="minorEastAsia"/>
                <w:color w:val="auto"/>
                <w:sz w:val="21"/>
              </w:rPr>
            </w:pPr>
          </w:p>
        </w:tc>
      </w:tr>
      <w:tr w14:paraId="40BDD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9378" w:type="dxa"/>
            <w:gridSpan w:val="8"/>
            <w:vAlign w:val="top"/>
          </w:tcPr>
          <w:p w14:paraId="5DF2C2C7">
            <w:pPr>
              <w:pStyle w:val="21"/>
              <w:spacing w:before="212" w:line="219" w:lineRule="auto"/>
              <w:ind w:left="17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43"/>
              </w:rPr>
              <w:t>合计大写金额</w:t>
            </w:r>
            <w:r>
              <w:rPr>
                <w:rFonts w:hint="eastAsia" w:asciiTheme="minorEastAsia" w:hAnsiTheme="minorEastAsia" w:eastAsiaTheme="minorEastAsia" w:cstheme="minorEastAsia"/>
                <w:color w:val="auto"/>
                <w:spacing w:val="-25"/>
              </w:rPr>
              <w:t xml:space="preserve"> </w:t>
            </w:r>
            <w:r>
              <w:rPr>
                <w:rFonts w:hint="eastAsia" w:asciiTheme="minorEastAsia" w:hAnsiTheme="minorEastAsia" w:eastAsiaTheme="minorEastAsia" w:cstheme="minorEastAsia"/>
                <w:color w:val="auto"/>
                <w:spacing w:val="43"/>
              </w:rPr>
              <w:t>：</w:t>
            </w:r>
            <w:r>
              <w:rPr>
                <w:rFonts w:hint="eastAsia" w:asciiTheme="minorEastAsia" w:hAnsiTheme="minorEastAsia" w:eastAsiaTheme="minorEastAsia" w:cstheme="minorEastAsia"/>
                <w:color w:val="auto"/>
                <w:spacing w:val="-45"/>
              </w:rPr>
              <w:t xml:space="preserve"> </w:t>
            </w:r>
            <w:r>
              <w:rPr>
                <w:rFonts w:hint="eastAsia" w:asciiTheme="minorEastAsia" w:hAnsiTheme="minorEastAsia" w:eastAsiaTheme="minorEastAsia" w:cstheme="minorEastAsia"/>
                <w:color w:val="auto"/>
                <w:spacing w:val="43"/>
              </w:rPr>
              <w:t>亿仟佰拾万仟佰拾元</w:t>
            </w:r>
          </w:p>
        </w:tc>
      </w:tr>
      <w:tr w14:paraId="79B74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343" w:type="dxa"/>
            <w:vAlign w:val="top"/>
          </w:tcPr>
          <w:p w14:paraId="26546926">
            <w:pPr>
              <w:pStyle w:val="21"/>
              <w:spacing w:before="221" w:line="219" w:lineRule="auto"/>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rPr>
              <w:t>实际供货日期</w:t>
            </w:r>
          </w:p>
        </w:tc>
        <w:tc>
          <w:tcPr>
            <w:tcW w:w="2697" w:type="dxa"/>
            <w:gridSpan w:val="2"/>
            <w:vAlign w:val="top"/>
          </w:tcPr>
          <w:p w14:paraId="49A94E35">
            <w:pPr>
              <w:rPr>
                <w:rFonts w:hint="eastAsia" w:asciiTheme="minorEastAsia" w:hAnsiTheme="minorEastAsia" w:eastAsiaTheme="minorEastAsia" w:cstheme="minorEastAsia"/>
                <w:color w:val="auto"/>
                <w:sz w:val="21"/>
              </w:rPr>
            </w:pPr>
          </w:p>
        </w:tc>
        <w:tc>
          <w:tcPr>
            <w:tcW w:w="2308" w:type="dxa"/>
            <w:gridSpan w:val="3"/>
            <w:vAlign w:val="top"/>
          </w:tcPr>
          <w:p w14:paraId="51E904BC">
            <w:pPr>
              <w:pStyle w:val="21"/>
              <w:spacing w:before="221" w:line="219" w:lineRule="auto"/>
              <w:ind w:left="31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rPr>
              <w:t>合同交货验收日期</w:t>
            </w:r>
          </w:p>
        </w:tc>
        <w:tc>
          <w:tcPr>
            <w:tcW w:w="3030" w:type="dxa"/>
            <w:gridSpan w:val="2"/>
            <w:vAlign w:val="top"/>
          </w:tcPr>
          <w:p w14:paraId="3A75AD41">
            <w:pPr>
              <w:rPr>
                <w:rFonts w:hint="eastAsia" w:asciiTheme="minorEastAsia" w:hAnsiTheme="minorEastAsia" w:eastAsiaTheme="minorEastAsia" w:cstheme="minorEastAsia"/>
                <w:color w:val="auto"/>
                <w:sz w:val="21"/>
              </w:rPr>
            </w:pPr>
          </w:p>
        </w:tc>
      </w:tr>
      <w:tr w14:paraId="4C568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343" w:type="dxa"/>
            <w:vAlign w:val="top"/>
          </w:tcPr>
          <w:p w14:paraId="4CBE12BD">
            <w:pPr>
              <w:rPr>
                <w:rFonts w:hint="eastAsia" w:asciiTheme="minorEastAsia" w:hAnsiTheme="minorEastAsia" w:eastAsiaTheme="minorEastAsia" w:cstheme="minorEastAsia"/>
                <w:color w:val="auto"/>
                <w:sz w:val="21"/>
              </w:rPr>
            </w:pPr>
          </w:p>
        </w:tc>
        <w:tc>
          <w:tcPr>
            <w:tcW w:w="2697" w:type="dxa"/>
            <w:gridSpan w:val="2"/>
            <w:vAlign w:val="top"/>
          </w:tcPr>
          <w:p w14:paraId="2CE1855B">
            <w:pPr>
              <w:rPr>
                <w:rFonts w:hint="eastAsia" w:asciiTheme="minorEastAsia" w:hAnsiTheme="minorEastAsia" w:eastAsiaTheme="minorEastAsia" w:cstheme="minorEastAsia"/>
                <w:color w:val="auto"/>
                <w:sz w:val="21"/>
              </w:rPr>
            </w:pPr>
          </w:p>
        </w:tc>
        <w:tc>
          <w:tcPr>
            <w:tcW w:w="2308" w:type="dxa"/>
            <w:gridSpan w:val="3"/>
            <w:vAlign w:val="top"/>
          </w:tcPr>
          <w:p w14:paraId="6C93C6AA">
            <w:pPr>
              <w:rPr>
                <w:rFonts w:hint="eastAsia" w:asciiTheme="minorEastAsia" w:hAnsiTheme="minorEastAsia" w:eastAsiaTheme="minorEastAsia" w:cstheme="minorEastAsia"/>
                <w:color w:val="auto"/>
                <w:sz w:val="21"/>
              </w:rPr>
            </w:pPr>
          </w:p>
        </w:tc>
        <w:tc>
          <w:tcPr>
            <w:tcW w:w="3030" w:type="dxa"/>
            <w:gridSpan w:val="2"/>
            <w:vAlign w:val="top"/>
          </w:tcPr>
          <w:p w14:paraId="129505B9">
            <w:pPr>
              <w:rPr>
                <w:rFonts w:hint="eastAsia" w:asciiTheme="minorEastAsia" w:hAnsiTheme="minorEastAsia" w:eastAsiaTheme="minorEastAsia" w:cstheme="minorEastAsia"/>
                <w:color w:val="auto"/>
                <w:sz w:val="21"/>
              </w:rPr>
            </w:pPr>
          </w:p>
        </w:tc>
      </w:tr>
      <w:tr w14:paraId="1FED9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1343" w:type="dxa"/>
            <w:vAlign w:val="top"/>
          </w:tcPr>
          <w:p w14:paraId="4CD9CD4C">
            <w:pPr>
              <w:pStyle w:val="21"/>
              <w:spacing w:before="214" w:line="280" w:lineRule="auto"/>
              <w:ind w:left="54" w:right="137" w:firstLine="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验收具体内</w:t>
            </w:r>
            <w:r>
              <w:rPr>
                <w:rFonts w:hint="eastAsia" w:asciiTheme="minorEastAsia" w:hAnsiTheme="minorEastAsia" w:eastAsiaTheme="minorEastAsia" w:cstheme="minorEastAsia"/>
                <w:color w:val="auto"/>
              </w:rPr>
              <w:t xml:space="preserve"> 容</w:t>
            </w:r>
          </w:p>
        </w:tc>
        <w:tc>
          <w:tcPr>
            <w:tcW w:w="8035" w:type="dxa"/>
            <w:gridSpan w:val="7"/>
            <w:vAlign w:val="top"/>
          </w:tcPr>
          <w:p w14:paraId="16E70D7B">
            <w:pPr>
              <w:pStyle w:val="21"/>
              <w:spacing w:before="73" w:line="242" w:lineRule="auto"/>
              <w:ind w:left="62" w:firstLine="99"/>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5"/>
              </w:rPr>
              <w:t>(应按采购合同、采购文件、投标文件及验收方案等进行验收；并核对中标或者成交</w:t>
            </w:r>
            <w:r>
              <w:rPr>
                <w:rFonts w:hint="eastAsia" w:asciiTheme="minorEastAsia" w:hAnsiTheme="minorEastAsia" w:eastAsiaTheme="minorEastAsia" w:cstheme="minorEastAsia"/>
                <w:color w:val="auto"/>
                <w:spacing w:val="2"/>
              </w:rPr>
              <w:t xml:space="preserve"> </w:t>
            </w:r>
            <w:r>
              <w:rPr>
                <w:rFonts w:hint="eastAsia" w:asciiTheme="minorEastAsia" w:hAnsiTheme="minorEastAsia" w:eastAsiaTheme="minorEastAsia" w:cstheme="minorEastAsia"/>
                <w:color w:val="auto"/>
                <w:spacing w:val="-5"/>
              </w:rPr>
              <w:t>投标人在安装调试等方面是否违反合同约定或者服务规范要求、提供的质量保证证明</w:t>
            </w:r>
            <w:r>
              <w:rPr>
                <w:rFonts w:hint="eastAsia" w:asciiTheme="minorEastAsia" w:hAnsiTheme="minorEastAsia" w:eastAsiaTheme="minorEastAsia" w:cstheme="minorEastAsia"/>
                <w:color w:val="auto"/>
                <w:spacing w:val="6"/>
              </w:rPr>
              <w:t xml:space="preserve"> </w:t>
            </w:r>
            <w:r>
              <w:rPr>
                <w:rFonts w:hint="eastAsia" w:asciiTheme="minorEastAsia" w:hAnsiTheme="minorEastAsia" w:eastAsiaTheme="minorEastAsia" w:cstheme="minorEastAsia"/>
                <w:color w:val="auto"/>
                <w:spacing w:val="2"/>
              </w:rPr>
              <w:t>材料是否齐全、应有的配件及附件是否达到</w:t>
            </w:r>
            <w:r>
              <w:rPr>
                <w:rFonts w:hint="eastAsia" w:asciiTheme="minorEastAsia" w:hAnsiTheme="minorEastAsia" w:eastAsiaTheme="minorEastAsia" w:cstheme="minorEastAsia"/>
                <w:color w:val="auto"/>
                <w:spacing w:val="1"/>
              </w:rPr>
              <w:t>合同约定等。可附件)</w:t>
            </w:r>
          </w:p>
        </w:tc>
      </w:tr>
      <w:tr w14:paraId="58F35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9" w:hRule="atLeast"/>
        </w:trPr>
        <w:tc>
          <w:tcPr>
            <w:tcW w:w="1343" w:type="dxa"/>
            <w:vMerge w:val="restart"/>
            <w:tcBorders>
              <w:bottom w:val="nil"/>
            </w:tcBorders>
            <w:vAlign w:val="top"/>
          </w:tcPr>
          <w:p w14:paraId="58B09307">
            <w:pPr>
              <w:spacing w:line="262" w:lineRule="auto"/>
              <w:rPr>
                <w:rFonts w:hint="eastAsia" w:asciiTheme="minorEastAsia" w:hAnsiTheme="minorEastAsia" w:eastAsiaTheme="minorEastAsia" w:cstheme="minorEastAsia"/>
                <w:color w:val="auto"/>
                <w:sz w:val="21"/>
              </w:rPr>
            </w:pPr>
          </w:p>
          <w:p w14:paraId="0556E61D">
            <w:pPr>
              <w:spacing w:line="262" w:lineRule="auto"/>
              <w:rPr>
                <w:rFonts w:hint="eastAsia" w:asciiTheme="minorEastAsia" w:hAnsiTheme="minorEastAsia" w:eastAsiaTheme="minorEastAsia" w:cstheme="minorEastAsia"/>
                <w:color w:val="auto"/>
                <w:sz w:val="21"/>
              </w:rPr>
            </w:pPr>
          </w:p>
          <w:p w14:paraId="605E399C">
            <w:pPr>
              <w:spacing w:line="263" w:lineRule="auto"/>
              <w:rPr>
                <w:rFonts w:hint="eastAsia" w:asciiTheme="minorEastAsia" w:hAnsiTheme="minorEastAsia" w:eastAsiaTheme="minorEastAsia" w:cstheme="minorEastAsia"/>
                <w:color w:val="auto"/>
                <w:sz w:val="21"/>
              </w:rPr>
            </w:pPr>
          </w:p>
          <w:p w14:paraId="48EEC6FD">
            <w:pPr>
              <w:pStyle w:val="21"/>
              <w:spacing w:before="72" w:line="254" w:lineRule="auto"/>
              <w:ind w:left="54" w:right="16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验收小组意</w:t>
            </w:r>
            <w:r>
              <w:rPr>
                <w:rFonts w:hint="eastAsia" w:asciiTheme="minorEastAsia" w:hAnsiTheme="minorEastAsia" w:eastAsiaTheme="minorEastAsia" w:cstheme="minorEastAsia"/>
                <w:color w:val="auto"/>
                <w:spacing w:val="3"/>
              </w:rPr>
              <w:t xml:space="preserve"> </w:t>
            </w:r>
            <w:r>
              <w:rPr>
                <w:rFonts w:hint="eastAsia" w:asciiTheme="minorEastAsia" w:hAnsiTheme="minorEastAsia" w:eastAsiaTheme="minorEastAsia" w:cstheme="minorEastAsia"/>
                <w:color w:val="auto"/>
              </w:rPr>
              <w:t>见</w:t>
            </w:r>
          </w:p>
        </w:tc>
        <w:tc>
          <w:tcPr>
            <w:tcW w:w="8035" w:type="dxa"/>
            <w:gridSpan w:val="7"/>
            <w:vAlign w:val="top"/>
          </w:tcPr>
          <w:p w14:paraId="4E3EF7B0">
            <w:pPr>
              <w:spacing w:line="470" w:lineRule="auto"/>
              <w:rPr>
                <w:rFonts w:hint="eastAsia" w:asciiTheme="minorEastAsia" w:hAnsiTheme="minorEastAsia" w:eastAsiaTheme="minorEastAsia" w:cstheme="minorEastAsia"/>
                <w:color w:val="auto"/>
                <w:sz w:val="21"/>
              </w:rPr>
            </w:pPr>
          </w:p>
          <w:p w14:paraId="1773C70F">
            <w:pPr>
              <w:pStyle w:val="21"/>
              <w:spacing w:before="72" w:line="219" w:lineRule="auto"/>
              <w:ind w:left="7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验收结论性意见：</w:t>
            </w:r>
          </w:p>
        </w:tc>
      </w:tr>
      <w:tr w14:paraId="75ACF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343" w:type="dxa"/>
            <w:vMerge w:val="continue"/>
            <w:tcBorders>
              <w:top w:val="nil"/>
            </w:tcBorders>
            <w:vAlign w:val="top"/>
          </w:tcPr>
          <w:p w14:paraId="4D87995D">
            <w:pPr>
              <w:rPr>
                <w:rFonts w:hint="eastAsia" w:asciiTheme="minorEastAsia" w:hAnsiTheme="minorEastAsia" w:eastAsiaTheme="minorEastAsia" w:cstheme="minorEastAsia"/>
                <w:color w:val="auto"/>
                <w:sz w:val="21"/>
              </w:rPr>
            </w:pPr>
          </w:p>
        </w:tc>
        <w:tc>
          <w:tcPr>
            <w:tcW w:w="8035" w:type="dxa"/>
            <w:gridSpan w:val="7"/>
            <w:vAlign w:val="top"/>
          </w:tcPr>
          <w:p w14:paraId="058314D6">
            <w:pPr>
              <w:pStyle w:val="21"/>
              <w:spacing w:before="86" w:line="219" w:lineRule="auto"/>
              <w:ind w:left="7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有异议的意见和说明理由：</w:t>
            </w:r>
          </w:p>
          <w:p w14:paraId="1E2505A1">
            <w:pPr>
              <w:pStyle w:val="21"/>
              <w:spacing w:before="309" w:line="219" w:lineRule="auto"/>
              <w:ind w:left="7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签字：</w:t>
            </w:r>
          </w:p>
        </w:tc>
      </w:tr>
      <w:tr w14:paraId="0DBE3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378" w:type="dxa"/>
            <w:gridSpan w:val="8"/>
            <w:vAlign w:val="top"/>
          </w:tcPr>
          <w:p w14:paraId="735E56DC">
            <w:pPr>
              <w:pStyle w:val="21"/>
              <w:spacing w:before="157" w:line="219" w:lineRule="auto"/>
              <w:ind w:left="17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rPr>
              <w:t>验收小组成员签字：</w:t>
            </w:r>
          </w:p>
        </w:tc>
      </w:tr>
      <w:tr w14:paraId="2A222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9378" w:type="dxa"/>
            <w:gridSpan w:val="8"/>
            <w:vAlign w:val="top"/>
          </w:tcPr>
          <w:p w14:paraId="33F2E019">
            <w:pPr>
              <w:pStyle w:val="21"/>
              <w:spacing w:before="67" w:line="219" w:lineRule="auto"/>
              <w:ind w:left="17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监督人员或者其他相关人员签字：</w:t>
            </w:r>
          </w:p>
          <w:p w14:paraId="7DF1258A">
            <w:pPr>
              <w:spacing w:line="254" w:lineRule="auto"/>
              <w:rPr>
                <w:rFonts w:hint="eastAsia" w:asciiTheme="minorEastAsia" w:hAnsiTheme="minorEastAsia" w:eastAsiaTheme="minorEastAsia" w:cstheme="minorEastAsia"/>
                <w:color w:val="auto"/>
                <w:sz w:val="21"/>
              </w:rPr>
            </w:pPr>
          </w:p>
          <w:p w14:paraId="6A4B1C21">
            <w:pPr>
              <w:pStyle w:val="21"/>
              <w:spacing w:before="71" w:line="219" w:lineRule="auto"/>
              <w:ind w:left="17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或者受邀机构的意见(盖章):</w:t>
            </w:r>
          </w:p>
        </w:tc>
      </w:tr>
      <w:tr w14:paraId="01EA4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4" w:hRule="atLeast"/>
        </w:trPr>
        <w:tc>
          <w:tcPr>
            <w:tcW w:w="4270" w:type="dxa"/>
            <w:gridSpan w:val="4"/>
            <w:vAlign w:val="top"/>
          </w:tcPr>
          <w:p w14:paraId="6C50DBFD">
            <w:pPr>
              <w:pStyle w:val="21"/>
              <w:spacing w:before="66" w:line="219" w:lineRule="auto"/>
              <w:jc w:val="righ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6"/>
              </w:rPr>
              <w:t>中标或者</w:t>
            </w:r>
            <w:r>
              <w:rPr>
                <w:rFonts w:hint="eastAsia" w:asciiTheme="minorEastAsia" w:hAnsiTheme="minorEastAsia" w:eastAsiaTheme="minorEastAsia" w:cstheme="minorEastAsia"/>
                <w:color w:val="auto"/>
                <w:spacing w:val="-6"/>
                <w:lang w:eastAsia="zh-CN"/>
              </w:rPr>
              <w:t>中标供应商</w:t>
            </w:r>
            <w:r>
              <w:rPr>
                <w:rFonts w:hint="eastAsia" w:asciiTheme="minorEastAsia" w:hAnsiTheme="minorEastAsia" w:eastAsiaTheme="minorEastAsia" w:cstheme="minorEastAsia"/>
                <w:color w:val="auto"/>
                <w:spacing w:val="-6"/>
              </w:rPr>
              <w:t>负责人签字或者盖章：</w:t>
            </w:r>
          </w:p>
          <w:p w14:paraId="4A39ABE5">
            <w:pPr>
              <w:spacing w:line="270" w:lineRule="auto"/>
              <w:rPr>
                <w:rFonts w:hint="eastAsia" w:asciiTheme="minorEastAsia" w:hAnsiTheme="minorEastAsia" w:eastAsiaTheme="minorEastAsia" w:cstheme="minorEastAsia"/>
                <w:color w:val="auto"/>
                <w:sz w:val="21"/>
              </w:rPr>
            </w:pPr>
          </w:p>
          <w:p w14:paraId="51C3E753">
            <w:pPr>
              <w:pStyle w:val="21"/>
              <w:spacing w:before="71" w:line="221" w:lineRule="auto"/>
              <w:ind w:left="6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联系电话：</w:t>
            </w:r>
          </w:p>
          <w:p w14:paraId="03128EBA">
            <w:pPr>
              <w:spacing w:line="260" w:lineRule="auto"/>
              <w:rPr>
                <w:rFonts w:hint="eastAsia" w:asciiTheme="minorEastAsia" w:hAnsiTheme="minorEastAsia" w:eastAsiaTheme="minorEastAsia" w:cstheme="minorEastAsia"/>
                <w:color w:val="auto"/>
                <w:sz w:val="21"/>
              </w:rPr>
            </w:pPr>
          </w:p>
          <w:p w14:paraId="69950D20">
            <w:pPr>
              <w:pStyle w:val="21"/>
              <w:spacing w:before="72" w:line="219" w:lineRule="auto"/>
              <w:ind w:left="282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年</w:t>
            </w:r>
            <w:r>
              <w:rPr>
                <w:rFonts w:hint="eastAsia" w:asciiTheme="minorEastAsia" w:hAnsiTheme="minorEastAsia" w:eastAsiaTheme="minorEastAsia" w:cstheme="minorEastAsia"/>
                <w:color w:val="auto"/>
                <w:spacing w:val="47"/>
              </w:rPr>
              <w:t xml:space="preserve"> </w:t>
            </w:r>
            <w:r>
              <w:rPr>
                <w:rFonts w:hint="eastAsia" w:asciiTheme="minorEastAsia" w:hAnsiTheme="minorEastAsia" w:eastAsiaTheme="minorEastAsia" w:cstheme="minorEastAsia"/>
                <w:color w:val="auto"/>
                <w:spacing w:val="-3"/>
              </w:rPr>
              <w:t>月日</w:t>
            </w:r>
          </w:p>
        </w:tc>
        <w:tc>
          <w:tcPr>
            <w:tcW w:w="5108" w:type="dxa"/>
            <w:gridSpan w:val="4"/>
            <w:vAlign w:val="top"/>
          </w:tcPr>
          <w:p w14:paraId="3A092D41">
            <w:pPr>
              <w:pStyle w:val="21"/>
              <w:spacing w:before="96" w:line="219" w:lineRule="auto"/>
              <w:ind w:left="1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2"/>
              </w:rPr>
              <w:t>采购人或者受托机构的意见(盖章):</w:t>
            </w:r>
          </w:p>
          <w:p w14:paraId="4415A1CE">
            <w:pPr>
              <w:rPr>
                <w:rFonts w:hint="eastAsia" w:asciiTheme="minorEastAsia" w:hAnsiTheme="minorEastAsia" w:eastAsiaTheme="minorEastAsia" w:cstheme="minorEastAsia"/>
                <w:color w:val="auto"/>
                <w:sz w:val="21"/>
              </w:rPr>
            </w:pPr>
          </w:p>
          <w:p w14:paraId="101CEE5A">
            <w:pPr>
              <w:pStyle w:val="21"/>
              <w:spacing w:before="71" w:line="221" w:lineRule="auto"/>
              <w:ind w:left="1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1"/>
              </w:rPr>
              <w:t>联系电话：</w:t>
            </w:r>
          </w:p>
          <w:p w14:paraId="7A5859EB">
            <w:pPr>
              <w:spacing w:line="260" w:lineRule="auto"/>
              <w:rPr>
                <w:rFonts w:hint="eastAsia" w:asciiTheme="minorEastAsia" w:hAnsiTheme="minorEastAsia" w:eastAsiaTheme="minorEastAsia" w:cstheme="minorEastAsia"/>
                <w:color w:val="auto"/>
                <w:sz w:val="21"/>
              </w:rPr>
            </w:pPr>
          </w:p>
          <w:p w14:paraId="54F9082E">
            <w:pPr>
              <w:pStyle w:val="21"/>
              <w:spacing w:before="72" w:line="219" w:lineRule="auto"/>
              <w:ind w:left="249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pacing w:val="-3"/>
              </w:rPr>
              <w:t>年</w:t>
            </w:r>
            <w:r>
              <w:rPr>
                <w:rFonts w:hint="eastAsia" w:asciiTheme="minorEastAsia" w:hAnsiTheme="minorEastAsia" w:eastAsiaTheme="minorEastAsia" w:cstheme="minorEastAsia"/>
                <w:color w:val="auto"/>
                <w:spacing w:val="47"/>
              </w:rPr>
              <w:t xml:space="preserve"> </w:t>
            </w:r>
            <w:r>
              <w:rPr>
                <w:rFonts w:hint="eastAsia" w:asciiTheme="minorEastAsia" w:hAnsiTheme="minorEastAsia" w:eastAsiaTheme="minorEastAsia" w:cstheme="minorEastAsia"/>
                <w:color w:val="auto"/>
                <w:spacing w:val="-3"/>
              </w:rPr>
              <w:t>月日</w:t>
            </w:r>
          </w:p>
        </w:tc>
      </w:tr>
    </w:tbl>
    <w:p w14:paraId="596BCAE1">
      <w:pPr>
        <w:pStyle w:val="10"/>
        <w:rPr>
          <w:rFonts w:hint="eastAsia" w:asciiTheme="minorEastAsia" w:hAnsiTheme="minorEastAsia" w:eastAsiaTheme="minorEastAsia" w:cstheme="minorEastAsia"/>
          <w:color w:val="auto"/>
        </w:rPr>
      </w:pPr>
    </w:p>
    <w:p w14:paraId="0B48DEC1">
      <w:pPr>
        <w:rPr>
          <w:rFonts w:hint="eastAsia" w:asciiTheme="minorEastAsia" w:hAnsiTheme="minorEastAsia" w:eastAsiaTheme="minorEastAsia" w:cstheme="minorEastAsia"/>
          <w:color w:val="auto"/>
        </w:rPr>
        <w:sectPr>
          <w:footerReference r:id="rId57" w:type="default"/>
          <w:pgSz w:w="11900" w:h="16830"/>
          <w:pgMar w:top="1134" w:right="1136" w:bottom="1191" w:left="1120" w:header="0" w:footer="1047" w:gutter="0"/>
          <w:cols w:space="720" w:num="1"/>
        </w:sectPr>
      </w:pPr>
    </w:p>
    <w:p w14:paraId="608A383B">
      <w:pPr>
        <w:pStyle w:val="2"/>
        <w:bidi w:val="0"/>
        <w:spacing w:line="240" w:lineRule="auto"/>
        <w:rPr>
          <w:rFonts w:hint="eastAsia"/>
          <w:color w:val="auto"/>
        </w:rPr>
      </w:pPr>
      <w:bookmarkStart w:id="16" w:name="_Toc25779"/>
      <w:r>
        <w:rPr>
          <w:rFonts w:hint="eastAsia"/>
          <w:color w:val="auto"/>
        </w:rPr>
        <w:t>第七章</w:t>
      </w:r>
      <w:r>
        <w:rPr>
          <w:rFonts w:hint="eastAsia"/>
          <w:color w:val="auto"/>
          <w:lang w:val="en-US" w:eastAsia="zh-CN"/>
        </w:rPr>
        <w:t xml:space="preserve"> </w:t>
      </w:r>
      <w:r>
        <w:rPr>
          <w:rFonts w:hint="eastAsia"/>
          <w:color w:val="auto"/>
        </w:rPr>
        <w:t>质疑、投诉材料格式</w:t>
      </w:r>
      <w:bookmarkEnd w:id="16"/>
    </w:p>
    <w:p w14:paraId="5DBEA8A8">
      <w:pPr>
        <w:spacing w:line="219" w:lineRule="auto"/>
        <w:rPr>
          <w:rFonts w:hint="eastAsia" w:asciiTheme="minorEastAsia" w:hAnsiTheme="minorEastAsia" w:eastAsiaTheme="minorEastAsia" w:cstheme="minorEastAsia"/>
          <w:color w:val="auto"/>
          <w:sz w:val="37"/>
          <w:szCs w:val="37"/>
        </w:rPr>
        <w:sectPr>
          <w:footerReference r:id="rId58" w:type="default"/>
          <w:pgSz w:w="11900" w:h="16830"/>
          <w:pgMar w:top="1430" w:right="1785" w:bottom="991" w:left="1785" w:header="0" w:footer="847" w:gutter="0"/>
          <w:cols w:space="720" w:num="1"/>
        </w:sectPr>
      </w:pPr>
    </w:p>
    <w:p w14:paraId="7764D51E">
      <w:pPr>
        <w:pStyle w:val="3"/>
        <w:numPr>
          <w:ilvl w:val="1"/>
          <w:numId w:val="0"/>
        </w:numPr>
        <w:bidi w:val="0"/>
        <w:ind w:leftChars="0"/>
        <w:jc w:val="center"/>
        <w:rPr>
          <w:rFonts w:hint="eastAsia"/>
          <w:color w:val="auto"/>
        </w:rPr>
      </w:pPr>
      <w:r>
        <w:rPr>
          <w:rFonts w:hint="eastAsia"/>
          <w:color w:val="auto"/>
        </w:rPr>
        <w:t>第 一 节</w:t>
      </w:r>
      <w:r>
        <w:rPr>
          <w:rFonts w:hint="eastAsia"/>
          <w:color w:val="auto"/>
          <w:lang w:val="en-US" w:eastAsia="zh-CN"/>
        </w:rPr>
        <w:t xml:space="preserve"> </w:t>
      </w:r>
      <w:r>
        <w:rPr>
          <w:rFonts w:hint="eastAsia"/>
          <w:color w:val="auto"/>
        </w:rPr>
        <w:t>质疑函(格式)</w:t>
      </w:r>
    </w:p>
    <w:p w14:paraId="399829A9">
      <w:pPr>
        <w:pStyle w:val="10"/>
        <w:spacing w:line="258" w:lineRule="auto"/>
        <w:rPr>
          <w:rFonts w:hint="eastAsia" w:asciiTheme="minorEastAsia" w:hAnsiTheme="minorEastAsia" w:eastAsiaTheme="minorEastAsia" w:cstheme="minorEastAsia"/>
          <w:color w:val="auto"/>
        </w:rPr>
      </w:pPr>
    </w:p>
    <w:p w14:paraId="6063D5AB">
      <w:pPr>
        <w:spacing w:before="101" w:line="223" w:lineRule="auto"/>
        <w:ind w:left="4384"/>
        <w:rPr>
          <w:rFonts w:hint="eastAsia" w:asciiTheme="minorEastAsia" w:hAnsiTheme="minorEastAsia" w:eastAsiaTheme="minorEastAsia" w:cstheme="minorEastAsia"/>
          <w:color w:val="auto"/>
          <w:sz w:val="31"/>
          <w:szCs w:val="31"/>
        </w:rPr>
      </w:pPr>
      <w:r>
        <w:rPr>
          <w:rFonts w:hint="eastAsia" w:asciiTheme="minorEastAsia" w:hAnsiTheme="minorEastAsia" w:eastAsiaTheme="minorEastAsia" w:cstheme="minorEastAsia"/>
          <w:b/>
          <w:bCs/>
          <w:color w:val="auto"/>
          <w:spacing w:val="2"/>
          <w:sz w:val="31"/>
          <w:szCs w:val="31"/>
        </w:rPr>
        <w:t>质疑函</w:t>
      </w:r>
    </w:p>
    <w:p w14:paraId="12D0F144">
      <w:pPr>
        <w:spacing w:before="236" w:line="221"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一</w:t>
      </w:r>
      <w:r>
        <w:rPr>
          <w:rFonts w:hint="eastAsia" w:asciiTheme="minorEastAsia" w:hAnsiTheme="minorEastAsia" w:eastAsiaTheme="minorEastAsia" w:cstheme="minorEastAsia"/>
          <w:color w:val="auto"/>
          <w:spacing w:val="-57"/>
          <w:sz w:val="24"/>
          <w:szCs w:val="24"/>
        </w:rPr>
        <w:t xml:space="preserve"> </w:t>
      </w:r>
      <w:r>
        <w:rPr>
          <w:rFonts w:hint="eastAsia" w:asciiTheme="minorEastAsia" w:hAnsiTheme="minorEastAsia" w:eastAsiaTheme="minorEastAsia" w:cstheme="minorEastAsia"/>
          <w:color w:val="auto"/>
          <w:spacing w:val="-4"/>
          <w:sz w:val="24"/>
          <w:szCs w:val="24"/>
        </w:rPr>
        <w:t>、质疑供应商基本信息</w:t>
      </w:r>
    </w:p>
    <w:p w14:paraId="0E29C8FD">
      <w:pPr>
        <w:spacing w:before="256" w:line="217"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7"/>
          <w:sz w:val="21"/>
          <w:szCs w:val="21"/>
        </w:rPr>
        <w:t>质</w:t>
      </w:r>
      <w:r>
        <w:rPr>
          <w:rFonts w:hint="eastAsia" w:asciiTheme="minorEastAsia" w:hAnsiTheme="minorEastAsia" w:eastAsiaTheme="minorEastAsia" w:cstheme="minorEastAsia"/>
          <w:color w:val="auto"/>
          <w:spacing w:val="-37"/>
          <w:sz w:val="21"/>
          <w:szCs w:val="21"/>
        </w:rPr>
        <w:t xml:space="preserve"> </w:t>
      </w:r>
      <w:r>
        <w:rPr>
          <w:rFonts w:hint="eastAsia" w:asciiTheme="minorEastAsia" w:hAnsiTheme="minorEastAsia" w:eastAsiaTheme="minorEastAsia" w:cstheme="minorEastAsia"/>
          <w:color w:val="auto"/>
          <w:spacing w:val="-17"/>
          <w:sz w:val="21"/>
          <w:szCs w:val="21"/>
        </w:rPr>
        <w:t>疑</w:t>
      </w:r>
      <w:r>
        <w:rPr>
          <w:rFonts w:hint="eastAsia" w:asciiTheme="minorEastAsia" w:hAnsiTheme="minorEastAsia" w:eastAsiaTheme="minorEastAsia" w:cstheme="minorEastAsia"/>
          <w:color w:val="auto"/>
          <w:spacing w:val="-45"/>
          <w:sz w:val="21"/>
          <w:szCs w:val="21"/>
        </w:rPr>
        <w:t xml:space="preserve"> </w:t>
      </w:r>
      <w:r>
        <w:rPr>
          <w:rFonts w:hint="eastAsia" w:asciiTheme="minorEastAsia" w:hAnsiTheme="minorEastAsia" w:eastAsiaTheme="minorEastAsia" w:cstheme="minorEastAsia"/>
          <w:color w:val="auto"/>
          <w:spacing w:val="-17"/>
          <w:sz w:val="21"/>
          <w:szCs w:val="21"/>
        </w:rPr>
        <w:t>供</w:t>
      </w:r>
      <w:r>
        <w:rPr>
          <w:rFonts w:hint="eastAsia" w:asciiTheme="minorEastAsia" w:hAnsiTheme="minorEastAsia" w:eastAsiaTheme="minorEastAsia" w:cstheme="minorEastAsia"/>
          <w:color w:val="auto"/>
          <w:spacing w:val="-42"/>
          <w:sz w:val="21"/>
          <w:szCs w:val="21"/>
        </w:rPr>
        <w:t xml:space="preserve"> </w:t>
      </w:r>
      <w:r>
        <w:rPr>
          <w:rFonts w:hint="eastAsia" w:asciiTheme="minorEastAsia" w:hAnsiTheme="minorEastAsia" w:eastAsiaTheme="minorEastAsia" w:cstheme="minorEastAsia"/>
          <w:color w:val="auto"/>
          <w:spacing w:val="-17"/>
          <w:sz w:val="21"/>
          <w:szCs w:val="21"/>
        </w:rPr>
        <w:t>应</w:t>
      </w:r>
      <w:r>
        <w:rPr>
          <w:rFonts w:hint="eastAsia" w:asciiTheme="minorEastAsia" w:hAnsiTheme="minorEastAsia" w:eastAsiaTheme="minorEastAsia" w:cstheme="minorEastAsia"/>
          <w:color w:val="auto"/>
          <w:spacing w:val="-37"/>
          <w:sz w:val="21"/>
          <w:szCs w:val="21"/>
        </w:rPr>
        <w:t xml:space="preserve"> </w:t>
      </w:r>
      <w:r>
        <w:rPr>
          <w:rFonts w:hint="eastAsia" w:asciiTheme="minorEastAsia" w:hAnsiTheme="minorEastAsia" w:eastAsiaTheme="minorEastAsia" w:cstheme="minorEastAsia"/>
          <w:color w:val="auto"/>
          <w:spacing w:val="-17"/>
          <w:sz w:val="21"/>
          <w:szCs w:val="21"/>
        </w:rPr>
        <w:t>商</w:t>
      </w:r>
      <w:r>
        <w:rPr>
          <w:rFonts w:hint="eastAsia" w:asciiTheme="minorEastAsia" w:hAnsiTheme="minorEastAsia" w:eastAsiaTheme="minorEastAsia" w:cstheme="minorEastAsia"/>
          <w:color w:val="auto"/>
          <w:spacing w:val="-51"/>
          <w:sz w:val="21"/>
          <w:szCs w:val="21"/>
        </w:rPr>
        <w:t xml:space="preserve"> </w:t>
      </w:r>
      <w:r>
        <w:rPr>
          <w:rFonts w:hint="eastAsia" w:asciiTheme="minorEastAsia" w:hAnsiTheme="minorEastAsia" w:eastAsiaTheme="minorEastAsia" w:cstheme="minorEastAsia"/>
          <w:color w:val="auto"/>
          <w:spacing w:val="-17"/>
          <w:sz w:val="21"/>
          <w:szCs w:val="21"/>
        </w:rPr>
        <w:t>：</w:t>
      </w:r>
      <w:r>
        <w:rPr>
          <w:rFonts w:hint="eastAsia" w:asciiTheme="minorEastAsia" w:hAnsiTheme="minorEastAsia" w:eastAsiaTheme="minorEastAsia" w:cstheme="minorEastAsia"/>
          <w:color w:val="auto"/>
          <w:spacing w:val="-52"/>
          <w:sz w:val="21"/>
          <w:szCs w:val="21"/>
        </w:rPr>
        <w:t xml:space="preserve"> </w:t>
      </w:r>
      <w:r>
        <w:rPr>
          <w:rFonts w:hint="eastAsia" w:asciiTheme="minorEastAsia" w:hAnsiTheme="minorEastAsia" w:eastAsiaTheme="minorEastAsia" w:cstheme="minorEastAsia"/>
          <w:color w:val="auto"/>
          <w:spacing w:val="-17"/>
          <w:sz w:val="21"/>
          <w:szCs w:val="21"/>
        </w:rPr>
        <w:t>_</w:t>
      </w:r>
      <w:r>
        <w:rPr>
          <w:rFonts w:hint="eastAsia" w:asciiTheme="minorEastAsia" w:hAnsiTheme="minorEastAsia" w:eastAsiaTheme="minorEastAsia" w:cstheme="minorEastAsia"/>
          <w:color w:val="auto"/>
          <w:spacing w:val="-33"/>
          <w:sz w:val="21"/>
          <w:szCs w:val="21"/>
        </w:rPr>
        <w:t xml:space="preserve"> </w:t>
      </w:r>
      <w:r>
        <w:rPr>
          <w:rFonts w:hint="eastAsia" w:asciiTheme="minorEastAsia" w:hAnsiTheme="minorEastAsia" w:eastAsiaTheme="minorEastAsia" w:cstheme="minorEastAsia"/>
          <w:color w:val="auto"/>
          <w:spacing w:val="-17"/>
          <w:sz w:val="21"/>
          <w:szCs w:val="21"/>
        </w:rPr>
        <w:t>…</w:t>
      </w:r>
      <w:r>
        <w:rPr>
          <w:rFonts w:hint="eastAsia" w:asciiTheme="minorEastAsia" w:hAnsiTheme="minorEastAsia" w:eastAsiaTheme="minorEastAsia" w:cstheme="minorEastAsia"/>
          <w:color w:val="auto"/>
          <w:spacing w:val="-32"/>
          <w:sz w:val="21"/>
          <w:szCs w:val="21"/>
        </w:rPr>
        <w:t xml:space="preserve"> </w:t>
      </w:r>
      <w:r>
        <w:rPr>
          <w:rFonts w:hint="eastAsia" w:asciiTheme="minorEastAsia" w:hAnsiTheme="minorEastAsia" w:eastAsiaTheme="minorEastAsia" w:cstheme="minorEastAsia"/>
          <w:color w:val="auto"/>
          <w:spacing w:val="-17"/>
          <w:sz w:val="21"/>
          <w:szCs w:val="21"/>
        </w:rPr>
        <w:t>…</w:t>
      </w:r>
      <w:r>
        <w:rPr>
          <w:rFonts w:hint="eastAsia" w:asciiTheme="minorEastAsia" w:hAnsiTheme="minorEastAsia" w:eastAsiaTheme="minorEastAsia" w:cstheme="minorEastAsia"/>
          <w:color w:val="auto"/>
          <w:spacing w:val="-32"/>
          <w:sz w:val="21"/>
          <w:szCs w:val="21"/>
        </w:rPr>
        <w:t xml:space="preserve"> </w:t>
      </w:r>
      <w:r>
        <w:rPr>
          <w:rFonts w:hint="eastAsia" w:asciiTheme="minorEastAsia" w:hAnsiTheme="minorEastAsia" w:eastAsiaTheme="minorEastAsia" w:cstheme="minorEastAsia"/>
          <w:color w:val="auto"/>
          <w:spacing w:val="-17"/>
          <w:sz w:val="21"/>
          <w:szCs w:val="21"/>
        </w:rPr>
        <w:t>…             ……………………</w:t>
      </w:r>
    </w:p>
    <w:p w14:paraId="3711E79E">
      <w:pPr>
        <w:spacing w:before="183" w:line="217"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4"/>
          <w:sz w:val="21"/>
          <w:szCs w:val="21"/>
        </w:rPr>
        <w:t>地址：_</w:t>
      </w:r>
      <w:r>
        <w:rPr>
          <w:rFonts w:hint="eastAsia" w:asciiTheme="minorEastAsia" w:hAnsiTheme="minorEastAsia" w:eastAsiaTheme="minorEastAsia" w:cstheme="minorEastAsia"/>
          <w:color w:val="auto"/>
          <w:spacing w:val="-58"/>
          <w:sz w:val="21"/>
          <w:szCs w:val="21"/>
        </w:rPr>
        <w:t xml:space="preserve"> </w:t>
      </w:r>
      <w:r>
        <w:rPr>
          <w:rFonts w:hint="eastAsia" w:asciiTheme="minorEastAsia" w:hAnsiTheme="minorEastAsia" w:eastAsiaTheme="minorEastAsia" w:cstheme="minorEastAsia"/>
          <w:color w:val="auto"/>
          <w:spacing w:val="-4"/>
          <w:sz w:val="21"/>
          <w:szCs w:val="21"/>
        </w:rPr>
        <w:t>…………………………………</w:t>
      </w:r>
      <w:r>
        <w:rPr>
          <w:rFonts w:hint="eastAsia" w:asciiTheme="minorEastAsia" w:hAnsiTheme="minorEastAsia" w:eastAsiaTheme="minorEastAsia" w:cstheme="minorEastAsia"/>
          <w:color w:val="auto"/>
          <w:spacing w:val="-96"/>
          <w:sz w:val="21"/>
          <w:szCs w:val="21"/>
        </w:rPr>
        <w:t xml:space="preserve"> </w:t>
      </w:r>
      <w:r>
        <w:rPr>
          <w:rFonts w:hint="eastAsia" w:asciiTheme="minorEastAsia" w:hAnsiTheme="minorEastAsia" w:eastAsiaTheme="minorEastAsia" w:cstheme="minorEastAsia"/>
          <w:color w:val="auto"/>
          <w:spacing w:val="4"/>
          <w:sz w:val="21"/>
          <w:szCs w:val="21"/>
          <w:u w:val="dotted" w:color="auto"/>
        </w:rPr>
        <w:t xml:space="preserve">  </w:t>
      </w:r>
      <w:r>
        <w:rPr>
          <w:rFonts w:hint="eastAsia" w:asciiTheme="minorEastAsia" w:hAnsiTheme="minorEastAsia" w:eastAsiaTheme="minorEastAsia" w:cstheme="minorEastAsia"/>
          <w:color w:val="auto"/>
          <w:spacing w:val="-93"/>
          <w:sz w:val="21"/>
          <w:szCs w:val="21"/>
        </w:rPr>
        <w:t xml:space="preserve"> </w:t>
      </w:r>
      <w:r>
        <w:rPr>
          <w:rFonts w:hint="eastAsia" w:asciiTheme="minorEastAsia" w:hAnsiTheme="minorEastAsia" w:eastAsiaTheme="minorEastAsia" w:cstheme="minorEastAsia"/>
          <w:b/>
          <w:bCs/>
          <w:color w:val="auto"/>
          <w:spacing w:val="-4"/>
          <w:sz w:val="21"/>
          <w:szCs w:val="21"/>
        </w:rPr>
        <w:t>邮</w:t>
      </w:r>
      <w:r>
        <w:rPr>
          <w:rFonts w:hint="eastAsia" w:asciiTheme="minorEastAsia" w:hAnsiTheme="minorEastAsia" w:eastAsiaTheme="minorEastAsia" w:cstheme="minorEastAsia"/>
          <w:color w:val="auto"/>
          <w:spacing w:val="-45"/>
          <w:sz w:val="21"/>
          <w:szCs w:val="21"/>
        </w:rPr>
        <w:t xml:space="preserve"> </w:t>
      </w:r>
      <w:r>
        <w:rPr>
          <w:rFonts w:hint="eastAsia" w:asciiTheme="minorEastAsia" w:hAnsiTheme="minorEastAsia" w:eastAsiaTheme="minorEastAsia" w:cstheme="minorEastAsia"/>
          <w:b/>
          <w:bCs/>
          <w:color w:val="auto"/>
          <w:spacing w:val="-4"/>
          <w:sz w:val="21"/>
          <w:szCs w:val="21"/>
        </w:rPr>
        <w:t>编</w:t>
      </w:r>
      <w:r>
        <w:rPr>
          <w:rFonts w:hint="eastAsia" w:asciiTheme="minorEastAsia" w:hAnsiTheme="minorEastAsia" w:eastAsiaTheme="minorEastAsia" w:cstheme="minorEastAsia"/>
          <w:color w:val="auto"/>
          <w:spacing w:val="-52"/>
          <w:sz w:val="21"/>
          <w:szCs w:val="21"/>
        </w:rPr>
        <w:t xml:space="preserve"> </w:t>
      </w:r>
      <w:r>
        <w:rPr>
          <w:rFonts w:hint="eastAsia" w:asciiTheme="minorEastAsia" w:hAnsiTheme="minorEastAsia" w:eastAsiaTheme="minorEastAsia" w:cstheme="minorEastAsia"/>
          <w:b/>
          <w:bCs/>
          <w:color w:val="auto"/>
          <w:spacing w:val="-4"/>
          <w:sz w:val="21"/>
          <w:szCs w:val="21"/>
        </w:rPr>
        <w:t>：</w:t>
      </w:r>
      <w:r>
        <w:rPr>
          <w:rFonts w:hint="eastAsia" w:asciiTheme="minorEastAsia" w:hAnsiTheme="minorEastAsia" w:eastAsiaTheme="minorEastAsia" w:cstheme="minorEastAsia"/>
          <w:color w:val="auto"/>
          <w:spacing w:val="-31"/>
          <w:w w:val="82"/>
          <w:sz w:val="21"/>
          <w:szCs w:val="21"/>
        </w:rPr>
        <w:t>……………………………………………………</w:t>
      </w:r>
    </w:p>
    <w:p w14:paraId="060D41EB">
      <w:pPr>
        <w:spacing w:before="203" w:line="217"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5"/>
          <w:sz w:val="24"/>
          <w:szCs w:val="24"/>
        </w:rPr>
        <w:t>联系人：…………</w:t>
      </w:r>
      <w:r>
        <w:rPr>
          <w:rFonts w:hint="eastAsia" w:asciiTheme="minorEastAsia" w:hAnsiTheme="minorEastAsia" w:eastAsiaTheme="minorEastAsia" w:cstheme="minorEastAsia"/>
          <w:color w:val="auto"/>
          <w:spacing w:val="30"/>
          <w:sz w:val="24"/>
          <w:szCs w:val="24"/>
        </w:rPr>
        <w:t xml:space="preserve">  </w:t>
      </w:r>
      <w:r>
        <w:rPr>
          <w:rFonts w:hint="eastAsia" w:asciiTheme="minorEastAsia" w:hAnsiTheme="minorEastAsia" w:eastAsiaTheme="minorEastAsia" w:cstheme="minorEastAsia"/>
          <w:color w:val="auto"/>
          <w:spacing w:val="-25"/>
          <w:sz w:val="24"/>
          <w:szCs w:val="24"/>
        </w:rPr>
        <w:t>…</w:t>
      </w:r>
      <w:r>
        <w:rPr>
          <w:rFonts w:hint="eastAsia" w:asciiTheme="minorEastAsia" w:hAnsiTheme="minorEastAsia" w:eastAsiaTheme="minorEastAsia" w:cstheme="minorEastAsia"/>
          <w:color w:val="auto"/>
          <w:spacing w:val="-48"/>
          <w:sz w:val="24"/>
          <w:szCs w:val="24"/>
        </w:rPr>
        <w:t xml:space="preserve"> </w:t>
      </w:r>
      <w:r>
        <w:rPr>
          <w:rFonts w:hint="eastAsia" w:asciiTheme="minorEastAsia" w:hAnsiTheme="minorEastAsia" w:eastAsiaTheme="minorEastAsia" w:cstheme="minorEastAsia"/>
          <w:color w:val="auto"/>
          <w:spacing w:val="-25"/>
          <w:sz w:val="24"/>
          <w:szCs w:val="24"/>
        </w:rPr>
        <w:t>…</w:t>
      </w:r>
      <w:r>
        <w:rPr>
          <w:rFonts w:hint="eastAsia" w:asciiTheme="minorEastAsia" w:hAnsiTheme="minorEastAsia" w:eastAsiaTheme="minorEastAsia" w:cstheme="minorEastAsia"/>
          <w:color w:val="auto"/>
          <w:spacing w:val="-49"/>
          <w:sz w:val="24"/>
          <w:szCs w:val="24"/>
        </w:rPr>
        <w:t xml:space="preserve"> </w:t>
      </w:r>
      <w:r>
        <w:rPr>
          <w:rFonts w:hint="eastAsia" w:asciiTheme="minorEastAsia" w:hAnsiTheme="minorEastAsia" w:eastAsiaTheme="minorEastAsia" w:cstheme="minorEastAsia"/>
          <w:color w:val="auto"/>
          <w:spacing w:val="-25"/>
          <w:sz w:val="24"/>
          <w:szCs w:val="24"/>
        </w:rPr>
        <w:t>…</w:t>
      </w:r>
      <w:r>
        <w:rPr>
          <w:rFonts w:hint="eastAsia" w:asciiTheme="minorEastAsia" w:hAnsiTheme="minorEastAsia" w:eastAsiaTheme="minorEastAsia" w:cstheme="minorEastAsia"/>
          <w:color w:val="auto"/>
          <w:spacing w:val="-49"/>
          <w:sz w:val="24"/>
          <w:szCs w:val="24"/>
        </w:rPr>
        <w:t xml:space="preserve"> </w:t>
      </w:r>
      <w:r>
        <w:rPr>
          <w:rFonts w:hint="eastAsia" w:asciiTheme="minorEastAsia" w:hAnsiTheme="minorEastAsia" w:eastAsiaTheme="minorEastAsia" w:cstheme="minorEastAsia"/>
          <w:color w:val="auto"/>
          <w:spacing w:val="-25"/>
          <w:sz w:val="24"/>
          <w:szCs w:val="24"/>
        </w:rPr>
        <w:t>…</w:t>
      </w:r>
      <w:r>
        <w:rPr>
          <w:rFonts w:hint="eastAsia" w:asciiTheme="minorEastAsia" w:hAnsiTheme="minorEastAsia" w:eastAsiaTheme="minorEastAsia" w:cstheme="minorEastAsia"/>
          <w:color w:val="auto"/>
          <w:spacing w:val="-48"/>
          <w:sz w:val="24"/>
          <w:szCs w:val="24"/>
        </w:rPr>
        <w:t xml:space="preserve"> </w:t>
      </w:r>
      <w:r>
        <w:rPr>
          <w:rFonts w:hint="eastAsia" w:asciiTheme="minorEastAsia" w:hAnsiTheme="minorEastAsia" w:eastAsiaTheme="minorEastAsia" w:cstheme="minorEastAsia"/>
          <w:color w:val="auto"/>
          <w:spacing w:val="-25"/>
          <w:sz w:val="24"/>
          <w:szCs w:val="24"/>
        </w:rPr>
        <w:t>…</w:t>
      </w:r>
      <w:r>
        <w:rPr>
          <w:rFonts w:hint="eastAsia" w:asciiTheme="minorEastAsia" w:hAnsiTheme="minorEastAsia" w:eastAsiaTheme="minorEastAsia" w:cstheme="minorEastAsia"/>
          <w:color w:val="auto"/>
          <w:spacing w:val="-72"/>
          <w:sz w:val="24"/>
          <w:szCs w:val="24"/>
        </w:rPr>
        <w:t xml:space="preserve"> </w:t>
      </w:r>
      <w:r>
        <w:rPr>
          <w:rFonts w:hint="eastAsia" w:asciiTheme="minorEastAsia" w:hAnsiTheme="minorEastAsia" w:eastAsiaTheme="minorEastAsia" w:cstheme="minorEastAsia"/>
          <w:color w:val="auto"/>
          <w:spacing w:val="-25"/>
          <w:sz w:val="24"/>
          <w:szCs w:val="24"/>
        </w:rPr>
        <w:t>_</w:t>
      </w:r>
      <w:r>
        <w:rPr>
          <w:rFonts w:hint="eastAsia" w:asciiTheme="minorEastAsia" w:hAnsiTheme="minorEastAsia" w:eastAsiaTheme="minorEastAsia" w:cstheme="minorEastAsia"/>
          <w:color w:val="auto"/>
          <w:spacing w:val="-61"/>
          <w:sz w:val="24"/>
          <w:szCs w:val="24"/>
        </w:rPr>
        <w:t xml:space="preserve"> </w:t>
      </w:r>
      <w:r>
        <w:rPr>
          <w:rFonts w:hint="eastAsia" w:asciiTheme="minorEastAsia" w:hAnsiTheme="minorEastAsia" w:eastAsiaTheme="minorEastAsia" w:cstheme="minorEastAsia"/>
          <w:color w:val="auto"/>
          <w:spacing w:val="-25"/>
          <w:sz w:val="24"/>
          <w:szCs w:val="24"/>
        </w:rPr>
        <w:t>联系电话：</w:t>
      </w:r>
      <w:r>
        <w:rPr>
          <w:rFonts w:hint="eastAsia" w:asciiTheme="minorEastAsia" w:hAnsiTheme="minorEastAsia" w:eastAsiaTheme="minorEastAsia" w:cstheme="minorEastAsia"/>
          <w:color w:val="auto"/>
          <w:spacing w:val="10"/>
          <w:sz w:val="24"/>
          <w:szCs w:val="24"/>
        </w:rPr>
        <w:t xml:space="preserve">  </w:t>
      </w:r>
      <w:r>
        <w:rPr>
          <w:rFonts w:hint="eastAsia" w:asciiTheme="minorEastAsia" w:hAnsiTheme="minorEastAsia" w:eastAsiaTheme="minorEastAsia" w:cstheme="minorEastAsia"/>
          <w:color w:val="auto"/>
          <w:sz w:val="24"/>
          <w:szCs w:val="24"/>
          <w:u w:val="dotted" w:color="auto"/>
        </w:rPr>
        <w:t xml:space="preserve">              </w:t>
      </w:r>
    </w:p>
    <w:p w14:paraId="4F19E09F">
      <w:pPr>
        <w:spacing w:before="207" w:line="217"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2"/>
          <w:w w:val="94"/>
          <w:sz w:val="24"/>
          <w:szCs w:val="24"/>
        </w:rPr>
        <w:t>授</w:t>
      </w:r>
      <w:r>
        <w:rPr>
          <w:rFonts w:hint="eastAsia" w:asciiTheme="minorEastAsia" w:hAnsiTheme="minorEastAsia" w:eastAsiaTheme="minorEastAsia" w:cstheme="minorEastAsia"/>
          <w:color w:val="auto"/>
          <w:spacing w:val="-33"/>
          <w:sz w:val="24"/>
          <w:szCs w:val="24"/>
        </w:rPr>
        <w:t xml:space="preserve"> </w:t>
      </w:r>
      <w:r>
        <w:rPr>
          <w:rFonts w:hint="eastAsia" w:asciiTheme="minorEastAsia" w:hAnsiTheme="minorEastAsia" w:eastAsiaTheme="minorEastAsia" w:cstheme="minorEastAsia"/>
          <w:color w:val="auto"/>
          <w:spacing w:val="-32"/>
          <w:w w:val="94"/>
          <w:sz w:val="24"/>
          <w:szCs w:val="24"/>
        </w:rPr>
        <w:t>权</w:t>
      </w:r>
      <w:r>
        <w:rPr>
          <w:rFonts w:hint="eastAsia" w:asciiTheme="minorEastAsia" w:hAnsiTheme="minorEastAsia" w:eastAsiaTheme="minorEastAsia" w:cstheme="minorEastAsia"/>
          <w:color w:val="auto"/>
          <w:spacing w:val="-44"/>
          <w:sz w:val="24"/>
          <w:szCs w:val="24"/>
        </w:rPr>
        <w:t xml:space="preserve"> </w:t>
      </w:r>
      <w:r>
        <w:rPr>
          <w:rFonts w:hint="eastAsia" w:asciiTheme="minorEastAsia" w:hAnsiTheme="minorEastAsia" w:eastAsiaTheme="minorEastAsia" w:cstheme="minorEastAsia"/>
          <w:color w:val="auto"/>
          <w:spacing w:val="-32"/>
          <w:w w:val="94"/>
          <w:sz w:val="24"/>
          <w:szCs w:val="24"/>
        </w:rPr>
        <w:t>代</w:t>
      </w:r>
      <w:r>
        <w:rPr>
          <w:rFonts w:hint="eastAsia" w:asciiTheme="minorEastAsia" w:hAnsiTheme="minorEastAsia" w:eastAsiaTheme="minorEastAsia" w:cstheme="minorEastAsia"/>
          <w:color w:val="auto"/>
          <w:spacing w:val="-40"/>
          <w:sz w:val="24"/>
          <w:szCs w:val="24"/>
        </w:rPr>
        <w:t xml:space="preserve"> </w:t>
      </w:r>
      <w:r>
        <w:rPr>
          <w:rFonts w:hint="eastAsia" w:asciiTheme="minorEastAsia" w:hAnsiTheme="minorEastAsia" w:eastAsiaTheme="minorEastAsia" w:cstheme="minorEastAsia"/>
          <w:color w:val="auto"/>
          <w:spacing w:val="-32"/>
          <w:w w:val="94"/>
          <w:sz w:val="24"/>
          <w:szCs w:val="24"/>
        </w:rPr>
        <w:t>表</w:t>
      </w:r>
      <w:r>
        <w:rPr>
          <w:rFonts w:hint="eastAsia" w:asciiTheme="minorEastAsia" w:hAnsiTheme="minorEastAsia" w:eastAsiaTheme="minorEastAsia" w:cstheme="minorEastAsia"/>
          <w:color w:val="auto"/>
          <w:spacing w:val="-52"/>
          <w:sz w:val="24"/>
          <w:szCs w:val="24"/>
        </w:rPr>
        <w:t xml:space="preserve"> </w:t>
      </w:r>
      <w:r>
        <w:rPr>
          <w:rFonts w:hint="eastAsia" w:asciiTheme="minorEastAsia" w:hAnsiTheme="minorEastAsia" w:eastAsiaTheme="minorEastAsia" w:cstheme="minorEastAsia"/>
          <w:color w:val="auto"/>
          <w:spacing w:val="-32"/>
          <w:w w:val="94"/>
          <w:sz w:val="24"/>
          <w:szCs w:val="24"/>
        </w:rPr>
        <w:t>：</w:t>
      </w:r>
      <w:r>
        <w:rPr>
          <w:rFonts w:hint="eastAsia" w:asciiTheme="minorEastAsia" w:hAnsiTheme="minorEastAsia" w:eastAsiaTheme="minorEastAsia" w:cstheme="minorEastAsia"/>
          <w:color w:val="auto"/>
          <w:spacing w:val="-53"/>
          <w:sz w:val="24"/>
          <w:szCs w:val="24"/>
        </w:rPr>
        <w:t xml:space="preserve"> </w:t>
      </w:r>
      <w:r>
        <w:rPr>
          <w:rFonts w:hint="eastAsia" w:asciiTheme="minorEastAsia" w:hAnsiTheme="minorEastAsia" w:eastAsiaTheme="minorEastAsia" w:cstheme="minorEastAsia"/>
          <w:color w:val="auto"/>
          <w:spacing w:val="-32"/>
          <w:w w:val="94"/>
          <w:sz w:val="24"/>
          <w:szCs w:val="24"/>
        </w:rPr>
        <w:t>_</w:t>
      </w:r>
      <w:r>
        <w:rPr>
          <w:rFonts w:hint="eastAsia" w:asciiTheme="minorEastAsia" w:hAnsiTheme="minorEastAsia" w:eastAsiaTheme="minorEastAsia" w:cstheme="minorEastAsia"/>
          <w:color w:val="auto"/>
          <w:spacing w:val="-31"/>
          <w:sz w:val="24"/>
          <w:szCs w:val="24"/>
        </w:rPr>
        <w:t xml:space="preserve"> </w:t>
      </w:r>
      <w:r>
        <w:rPr>
          <w:rFonts w:hint="eastAsia" w:asciiTheme="minorEastAsia" w:hAnsiTheme="minorEastAsia" w:eastAsiaTheme="minorEastAsia" w:cstheme="minorEastAsia"/>
          <w:color w:val="auto"/>
          <w:spacing w:val="-32"/>
          <w:w w:val="94"/>
          <w:sz w:val="24"/>
          <w:szCs w:val="24"/>
        </w:rPr>
        <w:t>…</w:t>
      </w:r>
      <w:r>
        <w:rPr>
          <w:rFonts w:hint="eastAsia" w:asciiTheme="minorEastAsia" w:hAnsiTheme="minorEastAsia" w:eastAsiaTheme="minorEastAsia" w:cstheme="minorEastAsia"/>
          <w:color w:val="auto"/>
          <w:spacing w:val="10"/>
          <w:sz w:val="24"/>
          <w:szCs w:val="24"/>
        </w:rPr>
        <w:t xml:space="preserve">          </w:t>
      </w:r>
      <w:r>
        <w:rPr>
          <w:rFonts w:hint="eastAsia" w:asciiTheme="minorEastAsia" w:hAnsiTheme="minorEastAsia" w:eastAsiaTheme="minorEastAsia" w:cstheme="minorEastAsia"/>
          <w:color w:val="auto"/>
          <w:spacing w:val="-32"/>
          <w:w w:val="94"/>
          <w:sz w:val="24"/>
          <w:szCs w:val="24"/>
        </w:rPr>
        <w:t>………</w:t>
      </w:r>
      <w:r>
        <w:rPr>
          <w:rFonts w:hint="eastAsia" w:asciiTheme="minorEastAsia" w:hAnsiTheme="minorEastAsia" w:eastAsiaTheme="minorEastAsia" w:cstheme="minorEastAsia"/>
          <w:color w:val="auto"/>
          <w:spacing w:val="9"/>
          <w:sz w:val="24"/>
          <w:szCs w:val="24"/>
        </w:rPr>
        <w:t xml:space="preserve">     </w:t>
      </w:r>
      <w:r>
        <w:rPr>
          <w:rFonts w:hint="eastAsia" w:asciiTheme="minorEastAsia" w:hAnsiTheme="minorEastAsia" w:eastAsiaTheme="minorEastAsia" w:cstheme="minorEastAsia"/>
          <w:color w:val="auto"/>
          <w:spacing w:val="-32"/>
          <w:w w:val="94"/>
          <w:sz w:val="24"/>
          <w:szCs w:val="24"/>
        </w:rPr>
        <w:t>…</w:t>
      </w:r>
    </w:p>
    <w:p w14:paraId="1E588E0B">
      <w:pPr>
        <w:spacing w:before="184" w:line="222"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3"/>
          <w:sz w:val="21"/>
          <w:szCs w:val="21"/>
        </w:rPr>
        <w:t>联系电话： …</w:t>
      </w:r>
      <w:r>
        <w:rPr>
          <w:rFonts w:hint="eastAsia" w:asciiTheme="minorEastAsia" w:hAnsiTheme="minorEastAsia" w:eastAsiaTheme="minorEastAsia" w:cstheme="minorEastAsia"/>
          <w:color w:val="auto"/>
          <w:spacing w:val="-62"/>
          <w:sz w:val="21"/>
          <w:szCs w:val="21"/>
        </w:rPr>
        <w:t xml:space="preserve"> </w:t>
      </w:r>
      <w:r>
        <w:rPr>
          <w:rFonts w:hint="eastAsia" w:asciiTheme="minorEastAsia" w:hAnsiTheme="minorEastAsia" w:eastAsiaTheme="minorEastAsia" w:cstheme="minorEastAsia"/>
          <w:color w:val="auto"/>
          <w:spacing w:val="13"/>
          <w:sz w:val="21"/>
          <w:szCs w:val="21"/>
        </w:rPr>
        <w:t>.</w:t>
      </w:r>
      <w:r>
        <w:rPr>
          <w:rFonts w:hint="eastAsia" w:asciiTheme="minorEastAsia" w:hAnsiTheme="minorEastAsia" w:eastAsiaTheme="minorEastAsia" w:cstheme="minorEastAsia"/>
          <w:color w:val="auto"/>
          <w:spacing w:val="-64"/>
          <w:sz w:val="21"/>
          <w:szCs w:val="21"/>
        </w:rPr>
        <w:t xml:space="preserve"> </w:t>
      </w:r>
      <w:r>
        <w:rPr>
          <w:rFonts w:hint="eastAsia" w:asciiTheme="minorEastAsia" w:hAnsiTheme="minorEastAsia" w:eastAsiaTheme="minorEastAsia" w:cstheme="minorEastAsia"/>
          <w:color w:val="auto"/>
          <w:spacing w:val="13"/>
          <w:sz w:val="21"/>
          <w:szCs w:val="21"/>
        </w:rPr>
        <w:t>………………………………………………………</w:t>
      </w:r>
    </w:p>
    <w:p w14:paraId="61E78DAC">
      <w:pPr>
        <w:spacing w:before="201" w:line="217"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8"/>
          <w:sz w:val="21"/>
          <w:szCs w:val="21"/>
        </w:rPr>
        <w:t>地址：_………………………………………</w:t>
      </w:r>
      <w:r>
        <w:rPr>
          <w:rFonts w:hint="eastAsia" w:asciiTheme="minorEastAsia" w:hAnsiTheme="minorEastAsia" w:eastAsiaTheme="minorEastAsia" w:cstheme="minorEastAsia"/>
          <w:b/>
          <w:bCs/>
          <w:color w:val="auto"/>
          <w:spacing w:val="-28"/>
          <w:sz w:val="21"/>
          <w:szCs w:val="21"/>
        </w:rPr>
        <w:t>邮编：</w:t>
      </w:r>
      <w:r>
        <w:rPr>
          <w:rFonts w:hint="eastAsia" w:asciiTheme="minorEastAsia" w:hAnsiTheme="minorEastAsia" w:eastAsiaTheme="minorEastAsia" w:cstheme="minorEastAsia"/>
          <w:color w:val="auto"/>
          <w:spacing w:val="46"/>
          <w:sz w:val="21"/>
          <w:szCs w:val="21"/>
        </w:rPr>
        <w:t xml:space="preserve"> </w:t>
      </w:r>
      <w:r>
        <w:rPr>
          <w:rFonts w:hint="eastAsia" w:asciiTheme="minorEastAsia" w:hAnsiTheme="minorEastAsia" w:eastAsiaTheme="minorEastAsia" w:cstheme="minorEastAsia"/>
          <w:color w:val="auto"/>
          <w:spacing w:val="-28"/>
          <w:sz w:val="21"/>
          <w:szCs w:val="21"/>
        </w:rPr>
        <w:t>….…………………………………………</w:t>
      </w:r>
    </w:p>
    <w:p w14:paraId="33E08E06">
      <w:pPr>
        <w:spacing w:before="180" w:line="221"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二</w:t>
      </w:r>
      <w:r>
        <w:rPr>
          <w:rFonts w:hint="eastAsia" w:asciiTheme="minorEastAsia" w:hAnsiTheme="minorEastAsia" w:eastAsiaTheme="minorEastAsia" w:cstheme="minorEastAsia"/>
          <w:color w:val="auto"/>
          <w:spacing w:val="-62"/>
          <w:sz w:val="24"/>
          <w:szCs w:val="24"/>
        </w:rPr>
        <w:t xml:space="preserve"> </w:t>
      </w:r>
      <w:r>
        <w:rPr>
          <w:rFonts w:hint="eastAsia" w:asciiTheme="minorEastAsia" w:hAnsiTheme="minorEastAsia" w:eastAsiaTheme="minorEastAsia" w:cstheme="minorEastAsia"/>
          <w:color w:val="auto"/>
          <w:spacing w:val="-5"/>
          <w:sz w:val="24"/>
          <w:szCs w:val="24"/>
        </w:rPr>
        <w:t>、质疑项目基本情况</w:t>
      </w:r>
    </w:p>
    <w:p w14:paraId="0F4B009F">
      <w:pPr>
        <w:spacing w:before="252" w:line="221"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质疑项目的名称：……………………………………………</w:t>
      </w:r>
    </w:p>
    <w:p w14:paraId="103E2A35">
      <w:pPr>
        <w:spacing w:before="181" w:line="232"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0"/>
          <w:sz w:val="21"/>
          <w:szCs w:val="21"/>
        </w:rPr>
        <w:t>质疑项目的编号：</w:t>
      </w:r>
      <w:r>
        <w:rPr>
          <w:rFonts w:hint="eastAsia" w:asciiTheme="minorEastAsia" w:hAnsiTheme="minorEastAsia" w:eastAsiaTheme="minorEastAsia" w:cstheme="minorEastAsia"/>
          <w:color w:val="auto"/>
          <w:spacing w:val="91"/>
          <w:sz w:val="21"/>
          <w:szCs w:val="21"/>
          <w:u w:val="dotted" w:color="auto"/>
        </w:rPr>
        <w:t xml:space="preserve"> </w:t>
      </w:r>
      <w:r>
        <w:rPr>
          <w:rFonts w:hint="eastAsia" w:asciiTheme="minorEastAsia" w:hAnsiTheme="minorEastAsia" w:eastAsiaTheme="minorEastAsia" w:cstheme="minorEastAsia"/>
          <w:color w:val="auto"/>
          <w:spacing w:val="-87"/>
          <w:sz w:val="21"/>
          <w:szCs w:val="21"/>
        </w:rPr>
        <w:t xml:space="preserve"> </w:t>
      </w:r>
      <w:r>
        <w:rPr>
          <w:rFonts w:hint="eastAsia" w:asciiTheme="minorEastAsia" w:hAnsiTheme="minorEastAsia" w:eastAsiaTheme="minorEastAsia" w:cstheme="minorEastAsia"/>
          <w:color w:val="auto"/>
          <w:spacing w:val="-20"/>
          <w:sz w:val="21"/>
          <w:szCs w:val="21"/>
        </w:rPr>
        <w:t>………………………………………………包号：</w:t>
      </w:r>
    </w:p>
    <w:p w14:paraId="1A4B8804">
      <w:pPr>
        <w:spacing w:before="185" w:line="422" w:lineRule="auto"/>
        <w:ind w:right="622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采购人名称：</w:t>
      </w:r>
      <w:r>
        <w:rPr>
          <w:rFonts w:hint="eastAsia" w:asciiTheme="minorEastAsia" w:hAnsiTheme="minorEastAsia" w:eastAsiaTheme="minorEastAsia" w:cstheme="minorEastAsia"/>
          <w:color w:val="auto"/>
          <w:spacing w:val="11"/>
          <w:sz w:val="21"/>
          <w:szCs w:val="21"/>
        </w:rPr>
        <w:t xml:space="preserve">  </w:t>
      </w:r>
      <w:r>
        <w:rPr>
          <w:rFonts w:hint="eastAsia" w:asciiTheme="minorEastAsia" w:hAnsiTheme="minorEastAsia" w:eastAsiaTheme="minorEastAsia" w:cstheme="minorEastAsia"/>
          <w:color w:val="auto"/>
          <w:spacing w:val="1"/>
          <w:sz w:val="21"/>
          <w:szCs w:val="21"/>
          <w:u w:val="dotted" w:color="auto"/>
        </w:rPr>
        <w:t xml:space="preserve">            </w:t>
      </w:r>
      <w:r>
        <w:rPr>
          <w:rFonts w:hint="eastAsia" w:asciiTheme="minorEastAsia" w:hAnsiTheme="minorEastAsia" w:eastAsiaTheme="minorEastAsia" w:cstheme="minorEastAsia"/>
          <w:color w:val="auto"/>
          <w:spacing w:val="7"/>
          <w:sz w:val="21"/>
          <w:szCs w:val="21"/>
        </w:rPr>
        <w:t xml:space="preserve"> </w:t>
      </w:r>
      <w:r>
        <w:rPr>
          <w:rFonts w:hint="eastAsia" w:asciiTheme="minorEastAsia" w:hAnsiTheme="minorEastAsia" w:eastAsiaTheme="minorEastAsia" w:cstheme="minorEastAsia"/>
          <w:color w:val="auto"/>
          <w:spacing w:val="18"/>
          <w:sz w:val="21"/>
          <w:szCs w:val="21"/>
        </w:rPr>
        <w:t>质疑事项：</w:t>
      </w:r>
    </w:p>
    <w:p w14:paraId="1DE6BEBE">
      <w:pPr>
        <w:spacing w:before="9" w:line="221"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□采购文件</w:t>
      </w:r>
      <w:r>
        <w:rPr>
          <w:rFonts w:hint="eastAsia" w:asciiTheme="minorEastAsia" w:hAnsiTheme="minorEastAsia" w:eastAsiaTheme="minorEastAsia" w:cstheme="minorEastAsia"/>
          <w:color w:val="auto"/>
          <w:spacing w:val="25"/>
          <w:sz w:val="21"/>
          <w:szCs w:val="21"/>
        </w:rPr>
        <w:t xml:space="preserve">   </w:t>
      </w:r>
      <w:r>
        <w:rPr>
          <w:rFonts w:hint="eastAsia" w:asciiTheme="minorEastAsia" w:hAnsiTheme="minorEastAsia" w:eastAsiaTheme="minorEastAsia" w:cstheme="minorEastAsia"/>
          <w:color w:val="auto"/>
          <w:spacing w:val="1"/>
          <w:sz w:val="21"/>
          <w:szCs w:val="21"/>
        </w:rPr>
        <w:t>采购文件获取日期：……………</w:t>
      </w:r>
      <w:r>
        <w:rPr>
          <w:rFonts w:hint="eastAsia" w:asciiTheme="minorEastAsia" w:hAnsiTheme="minorEastAsia" w:eastAsiaTheme="minorEastAsia" w:cstheme="minorEastAsia"/>
          <w:color w:val="auto"/>
          <w:spacing w:val="25"/>
          <w:sz w:val="21"/>
          <w:szCs w:val="21"/>
        </w:rPr>
        <w:t xml:space="preserve">   </w:t>
      </w:r>
      <w:r>
        <w:rPr>
          <w:rFonts w:hint="eastAsia" w:asciiTheme="minorEastAsia" w:hAnsiTheme="minorEastAsia" w:eastAsiaTheme="minorEastAsia" w:cstheme="minorEastAsia"/>
          <w:color w:val="auto"/>
          <w:spacing w:val="1"/>
          <w:sz w:val="21"/>
          <w:szCs w:val="21"/>
        </w:rPr>
        <w:t>…………</w:t>
      </w:r>
    </w:p>
    <w:p w14:paraId="7A031C2F">
      <w:pPr>
        <w:spacing w:before="160" w:line="222"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□采购过程</w:t>
      </w:r>
    </w:p>
    <w:p w14:paraId="236D47B9">
      <w:pPr>
        <w:spacing w:before="184" w:line="224"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□中标结果</w:t>
      </w:r>
    </w:p>
    <w:p w14:paraId="5CCB4F63">
      <w:pPr>
        <w:spacing w:before="165" w:line="221"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三</w:t>
      </w:r>
      <w:r>
        <w:rPr>
          <w:rFonts w:hint="eastAsia" w:asciiTheme="minorEastAsia" w:hAnsiTheme="minorEastAsia" w:eastAsiaTheme="minorEastAsia" w:cstheme="minorEastAsia"/>
          <w:color w:val="auto"/>
          <w:spacing w:val="-60"/>
          <w:sz w:val="24"/>
          <w:szCs w:val="24"/>
        </w:rPr>
        <w:t xml:space="preserve"> </w:t>
      </w:r>
      <w:r>
        <w:rPr>
          <w:rFonts w:hint="eastAsia" w:asciiTheme="minorEastAsia" w:hAnsiTheme="minorEastAsia" w:eastAsiaTheme="minorEastAsia" w:cstheme="minorEastAsia"/>
          <w:color w:val="auto"/>
          <w:spacing w:val="-5"/>
          <w:sz w:val="24"/>
          <w:szCs w:val="24"/>
        </w:rPr>
        <w:t>、质疑事项具体内容</w:t>
      </w:r>
    </w:p>
    <w:p w14:paraId="6BFE0413">
      <w:pPr>
        <w:spacing w:before="223" w:line="221"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质疑事项1:</w:t>
      </w:r>
      <w:r>
        <w:rPr>
          <w:rFonts w:hint="eastAsia" w:asciiTheme="minorEastAsia" w:hAnsiTheme="minorEastAsia" w:eastAsiaTheme="minorEastAsia" w:cstheme="minorEastAsia"/>
          <w:color w:val="auto"/>
          <w:spacing w:val="-74"/>
          <w:sz w:val="24"/>
          <w:szCs w:val="24"/>
        </w:rPr>
        <w:t xml:space="preserve"> </w:t>
      </w:r>
      <w:r>
        <w:rPr>
          <w:rFonts w:hint="eastAsia" w:asciiTheme="minorEastAsia" w:hAnsiTheme="minorEastAsia" w:eastAsiaTheme="minorEastAsia" w:cstheme="minorEastAsia"/>
          <w:color w:val="auto"/>
          <w:spacing w:val="-4"/>
          <w:sz w:val="24"/>
          <w:szCs w:val="24"/>
        </w:rPr>
        <w:t>………</w:t>
      </w:r>
      <w:r>
        <w:rPr>
          <w:rFonts w:hint="eastAsia" w:asciiTheme="minorEastAsia" w:hAnsiTheme="minorEastAsia" w:eastAsiaTheme="minorEastAsia" w:cstheme="minorEastAsia"/>
          <w:color w:val="auto"/>
          <w:spacing w:val="9"/>
          <w:sz w:val="24"/>
          <w:szCs w:val="24"/>
        </w:rPr>
        <w:t xml:space="preserve">     </w:t>
      </w:r>
      <w:r>
        <w:rPr>
          <w:rFonts w:hint="eastAsia" w:asciiTheme="minorEastAsia" w:hAnsiTheme="minorEastAsia" w:eastAsiaTheme="minorEastAsia" w:cstheme="minorEastAsia"/>
          <w:color w:val="auto"/>
          <w:spacing w:val="-4"/>
          <w:sz w:val="24"/>
          <w:szCs w:val="24"/>
        </w:rPr>
        <w:t>……………</w:t>
      </w:r>
      <w:r>
        <w:rPr>
          <w:rFonts w:hint="eastAsia" w:asciiTheme="minorEastAsia" w:hAnsiTheme="minorEastAsia" w:eastAsiaTheme="minorEastAsia" w:cstheme="minorEastAsia"/>
          <w:color w:val="auto"/>
          <w:spacing w:val="8"/>
          <w:sz w:val="24"/>
          <w:szCs w:val="24"/>
        </w:rPr>
        <w:t xml:space="preserve">          </w:t>
      </w:r>
      <w:r>
        <w:rPr>
          <w:rFonts w:hint="eastAsia" w:asciiTheme="minorEastAsia" w:hAnsiTheme="minorEastAsia" w:eastAsiaTheme="minorEastAsia" w:cstheme="minorEastAsia"/>
          <w:color w:val="auto"/>
          <w:spacing w:val="-4"/>
          <w:sz w:val="24"/>
          <w:szCs w:val="24"/>
        </w:rPr>
        <w:t>…     ……</w:t>
      </w:r>
    </w:p>
    <w:p w14:paraId="0C869B11">
      <w:pPr>
        <w:spacing w:before="202" w:line="222"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0"/>
          <w:sz w:val="21"/>
          <w:szCs w:val="21"/>
        </w:rPr>
        <w:t>事实依据：</w:t>
      </w:r>
      <w:r>
        <w:rPr>
          <w:rFonts w:hint="eastAsia" w:asciiTheme="minorEastAsia" w:hAnsiTheme="minorEastAsia" w:eastAsiaTheme="minorEastAsia" w:cstheme="minorEastAsia"/>
          <w:color w:val="auto"/>
          <w:spacing w:val="-38"/>
          <w:sz w:val="21"/>
          <w:szCs w:val="21"/>
        </w:rPr>
        <w:t xml:space="preserve"> </w:t>
      </w:r>
      <w:r>
        <w:rPr>
          <w:rFonts w:hint="eastAsia" w:asciiTheme="minorEastAsia" w:hAnsiTheme="minorEastAsia" w:eastAsiaTheme="minorEastAsia" w:cstheme="minorEastAsia"/>
          <w:color w:val="auto"/>
          <w:spacing w:val="10"/>
          <w:sz w:val="21"/>
          <w:szCs w:val="21"/>
        </w:rPr>
        <w:t>..………………………………………</w:t>
      </w:r>
      <w:r>
        <w:rPr>
          <w:rFonts w:hint="eastAsia" w:asciiTheme="minorEastAsia" w:hAnsiTheme="minorEastAsia" w:eastAsiaTheme="minorEastAsia" w:cstheme="minorEastAsia"/>
          <w:color w:val="auto"/>
          <w:spacing w:val="9"/>
          <w:sz w:val="21"/>
          <w:szCs w:val="21"/>
        </w:rPr>
        <w:t>…………………</w:t>
      </w:r>
    </w:p>
    <w:p w14:paraId="2DFD3976">
      <w:pPr>
        <w:pStyle w:val="10"/>
        <w:spacing w:line="389" w:lineRule="auto"/>
        <w:rPr>
          <w:rFonts w:hint="eastAsia" w:asciiTheme="minorEastAsia" w:hAnsiTheme="minorEastAsia" w:eastAsiaTheme="minorEastAsia" w:cstheme="minorEastAsia"/>
          <w:color w:val="auto"/>
        </w:rPr>
      </w:pPr>
    </w:p>
    <w:p w14:paraId="5C69D762">
      <w:pPr>
        <w:spacing w:before="13" w:line="28" w:lineRule="exact"/>
        <w:ind w:left="1219"/>
        <w:rPr>
          <w:rFonts w:hint="eastAsia" w:asciiTheme="minorEastAsia" w:hAnsiTheme="minorEastAsia" w:eastAsiaTheme="minorEastAsia" w:cstheme="minorEastAsia"/>
          <w:color w:val="auto"/>
          <w:sz w:val="4"/>
          <w:szCs w:val="4"/>
        </w:rPr>
      </w:pPr>
      <w:r>
        <w:rPr>
          <w:rFonts w:hint="eastAsia" w:asciiTheme="minorEastAsia" w:hAnsiTheme="minorEastAsia" w:eastAsiaTheme="minorEastAsia" w:cstheme="minorEastAsia"/>
          <w:color w:val="auto"/>
          <w:position w:val="-1"/>
          <w:sz w:val="4"/>
          <w:szCs w:val="4"/>
        </w:rPr>
        <w:t>--------------------------------------------------------------------------------------</w:t>
      </w:r>
      <w:r>
        <w:rPr>
          <w:rFonts w:hint="eastAsia" w:asciiTheme="minorEastAsia" w:hAnsiTheme="minorEastAsia" w:eastAsiaTheme="minorEastAsia" w:cstheme="minorEastAsia"/>
          <w:color w:val="auto"/>
          <w:spacing w:val="-1"/>
          <w:position w:val="-1"/>
          <w:sz w:val="4"/>
          <w:szCs w:val="4"/>
        </w:rPr>
        <w:t>---</w:t>
      </w:r>
    </w:p>
    <w:p w14:paraId="46699D3B">
      <w:pPr>
        <w:spacing w:before="206" w:line="361" w:lineRule="exact"/>
        <w:rPr>
          <w:rFonts w:hint="eastAsia" w:asciiTheme="minorEastAsia" w:hAnsiTheme="minorEastAsia" w:eastAsiaTheme="minorEastAsia" w:cstheme="minorEastAsia"/>
          <w:color w:val="auto"/>
          <w:sz w:val="11"/>
          <w:szCs w:val="11"/>
        </w:rPr>
      </w:pPr>
      <w:r>
        <w:rPr>
          <w:rFonts w:hint="eastAsia" w:asciiTheme="minorEastAsia" w:hAnsiTheme="minorEastAsia" w:eastAsiaTheme="minorEastAsia" w:cstheme="minorEastAsia"/>
          <w:color w:val="auto"/>
          <w:spacing w:val="1"/>
          <w:position w:val="5"/>
          <w:sz w:val="21"/>
          <w:szCs w:val="21"/>
        </w:rPr>
        <w:t>法律依据：</w:t>
      </w:r>
      <w:r>
        <w:rPr>
          <w:rFonts w:hint="eastAsia" w:asciiTheme="minorEastAsia" w:hAnsiTheme="minorEastAsia" w:eastAsiaTheme="minorEastAsia" w:cstheme="minorEastAsia"/>
          <w:color w:val="auto"/>
          <w:spacing w:val="35"/>
          <w:position w:val="5"/>
          <w:sz w:val="21"/>
          <w:szCs w:val="21"/>
        </w:rPr>
        <w:t xml:space="preserve"> </w:t>
      </w:r>
      <w:r>
        <w:rPr>
          <w:rFonts w:hint="eastAsia" w:asciiTheme="minorEastAsia" w:hAnsiTheme="minorEastAsia" w:eastAsiaTheme="minorEastAsia" w:cstheme="minorEastAsia"/>
          <w:color w:val="auto"/>
          <w:spacing w:val="1"/>
          <w:position w:val="-4"/>
          <w:sz w:val="11"/>
          <w:szCs w:val="11"/>
        </w:rPr>
        <w:t xml:space="preserve">…                      </w:t>
      </w:r>
      <w:r>
        <w:rPr>
          <w:rFonts w:hint="eastAsia" w:asciiTheme="minorEastAsia" w:hAnsiTheme="minorEastAsia" w:eastAsiaTheme="minorEastAsia" w:cstheme="minorEastAsia"/>
          <w:color w:val="auto"/>
          <w:position w:val="-4"/>
          <w:sz w:val="11"/>
          <w:szCs w:val="11"/>
        </w:rPr>
        <w:t xml:space="preserve">                                                                …</w:t>
      </w:r>
    </w:p>
    <w:p w14:paraId="0D48CDD7">
      <w:pPr>
        <w:pStyle w:val="10"/>
        <w:spacing w:line="320" w:lineRule="auto"/>
        <w:rPr>
          <w:rFonts w:hint="eastAsia" w:asciiTheme="minorEastAsia" w:hAnsiTheme="minorEastAsia" w:eastAsiaTheme="minorEastAsia" w:cstheme="minorEastAsia"/>
          <w:color w:val="auto"/>
        </w:rPr>
      </w:pPr>
    </w:p>
    <w:p w14:paraId="083AEA58">
      <w:pPr>
        <w:spacing w:before="14" w:line="27" w:lineRule="exact"/>
        <w:ind w:left="5969"/>
        <w:rPr>
          <w:rFonts w:hint="eastAsia" w:asciiTheme="minorEastAsia" w:hAnsiTheme="minorEastAsia" w:eastAsiaTheme="minorEastAsia" w:cstheme="minorEastAsia"/>
          <w:color w:val="auto"/>
          <w:sz w:val="4"/>
          <w:szCs w:val="4"/>
        </w:rPr>
      </w:pPr>
      <w:r>
        <w:rPr>
          <w:rFonts w:hint="eastAsia" w:asciiTheme="minorEastAsia" w:hAnsiTheme="minorEastAsia" w:eastAsiaTheme="minorEastAsia" w:cstheme="minorEastAsia"/>
          <w:color w:val="auto"/>
          <w:spacing w:val="-1"/>
          <w:position w:val="-1"/>
          <w:sz w:val="4"/>
          <w:szCs w:val="4"/>
        </w:rPr>
        <w:t>------</w:t>
      </w:r>
    </w:p>
    <w:p w14:paraId="25D72D71">
      <w:pPr>
        <w:spacing w:before="206" w:line="221"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4"/>
          <w:sz w:val="24"/>
          <w:szCs w:val="24"/>
        </w:rPr>
        <w:t>质疑事项2</w:t>
      </w:r>
    </w:p>
    <w:p w14:paraId="714F2388">
      <w:pPr>
        <w:spacing w:before="235" w:line="60" w:lineRule="exact"/>
        <w:ind w:firstLine="1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position w:val="-1"/>
        </w:rPr>
        <w:drawing>
          <wp:inline distT="0" distB="0" distL="0" distR="0">
            <wp:extent cx="291465" cy="3746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67"/>
                    <a:stretch>
                      <a:fillRect/>
                    </a:stretch>
                  </pic:blipFill>
                  <pic:spPr>
                    <a:xfrm>
                      <a:off x="0" y="0"/>
                      <a:ext cx="292058" cy="38045"/>
                    </a:xfrm>
                    <a:prstGeom prst="rect">
                      <a:avLst/>
                    </a:prstGeom>
                  </pic:spPr>
                </pic:pic>
              </a:graphicData>
            </a:graphic>
          </wp:inline>
        </w:drawing>
      </w:r>
    </w:p>
    <w:p w14:paraId="4BADDE8F">
      <w:pPr>
        <w:pStyle w:val="10"/>
        <w:spacing w:line="295" w:lineRule="auto"/>
        <w:rPr>
          <w:rFonts w:hint="eastAsia" w:asciiTheme="minorEastAsia" w:hAnsiTheme="minorEastAsia" w:eastAsiaTheme="minorEastAsia" w:cstheme="minorEastAsia"/>
          <w:color w:val="auto"/>
        </w:rPr>
      </w:pPr>
    </w:p>
    <w:p w14:paraId="18474444">
      <w:pPr>
        <w:spacing w:before="69" w:line="414" w:lineRule="auto"/>
        <w:ind w:right="555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1"/>
          <w:sz w:val="21"/>
          <w:szCs w:val="21"/>
        </w:rPr>
        <w:t>四 、与质疑事项相关的质疑请求</w:t>
      </w:r>
      <w:r>
        <w:rPr>
          <w:rFonts w:hint="eastAsia" w:asciiTheme="minorEastAsia" w:hAnsiTheme="minorEastAsia" w:eastAsiaTheme="minorEastAsia" w:cstheme="minorEastAsia"/>
          <w:color w:val="auto"/>
          <w:spacing w:val="10"/>
          <w:sz w:val="21"/>
          <w:szCs w:val="21"/>
        </w:rPr>
        <w:t xml:space="preserve"> </w:t>
      </w:r>
      <w:r>
        <w:rPr>
          <w:rFonts w:hint="eastAsia" w:asciiTheme="minorEastAsia" w:hAnsiTheme="minorEastAsia" w:eastAsiaTheme="minorEastAsia" w:cstheme="minorEastAsia"/>
          <w:color w:val="auto"/>
          <w:spacing w:val="3"/>
          <w:sz w:val="21"/>
          <w:szCs w:val="21"/>
        </w:rPr>
        <w:t>请求：</w:t>
      </w:r>
      <w:r>
        <w:rPr>
          <w:rFonts w:hint="eastAsia" w:asciiTheme="minorEastAsia" w:hAnsiTheme="minorEastAsia" w:eastAsiaTheme="minorEastAsia" w:cstheme="minorEastAsia"/>
          <w:color w:val="auto"/>
          <w:spacing w:val="-62"/>
          <w:sz w:val="21"/>
          <w:szCs w:val="21"/>
        </w:rPr>
        <w:t xml:space="preserve"> </w:t>
      </w:r>
      <w:r>
        <w:rPr>
          <w:rFonts w:hint="eastAsia" w:asciiTheme="minorEastAsia" w:hAnsiTheme="minorEastAsia" w:eastAsiaTheme="minorEastAsia" w:cstheme="minorEastAsia"/>
          <w:color w:val="auto"/>
          <w:spacing w:val="3"/>
          <w:sz w:val="21"/>
          <w:szCs w:val="21"/>
        </w:rPr>
        <w:t>…………………………………</w:t>
      </w:r>
    </w:p>
    <w:p w14:paraId="62A0A7F8">
      <w:pPr>
        <w:spacing w:line="221"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1"/>
          <w:sz w:val="21"/>
          <w:szCs w:val="21"/>
        </w:rPr>
        <w:t>签字(签章):</w:t>
      </w:r>
      <w:r>
        <w:rPr>
          <w:rFonts w:hint="eastAsia" w:asciiTheme="minorEastAsia" w:hAnsiTheme="minorEastAsia" w:eastAsiaTheme="minorEastAsia" w:cstheme="minorEastAsia"/>
          <w:color w:val="auto"/>
          <w:spacing w:val="4"/>
          <w:sz w:val="21"/>
          <w:szCs w:val="21"/>
        </w:rPr>
        <w:t xml:space="preserve">                      </w:t>
      </w:r>
      <w:r>
        <w:rPr>
          <w:rFonts w:hint="eastAsia" w:asciiTheme="minorEastAsia" w:hAnsiTheme="minorEastAsia" w:eastAsiaTheme="minorEastAsia" w:cstheme="minorEastAsia"/>
          <w:color w:val="auto"/>
          <w:spacing w:val="21"/>
          <w:sz w:val="21"/>
          <w:szCs w:val="21"/>
        </w:rPr>
        <w:t>公章：</w:t>
      </w:r>
    </w:p>
    <w:p w14:paraId="0BA6FF7B">
      <w:pPr>
        <w:spacing w:before="200" w:line="224"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1"/>
          <w:sz w:val="21"/>
          <w:szCs w:val="21"/>
        </w:rPr>
        <w:t>日期：</w:t>
      </w:r>
    </w:p>
    <w:p w14:paraId="49C378E8">
      <w:pPr>
        <w:spacing w:line="224" w:lineRule="auto"/>
        <w:rPr>
          <w:rFonts w:hint="eastAsia" w:asciiTheme="minorEastAsia" w:hAnsiTheme="minorEastAsia" w:eastAsiaTheme="minorEastAsia" w:cstheme="minorEastAsia"/>
          <w:color w:val="auto"/>
          <w:sz w:val="21"/>
          <w:szCs w:val="21"/>
        </w:rPr>
        <w:sectPr>
          <w:footerReference r:id="rId59" w:type="default"/>
          <w:pgSz w:w="11900" w:h="16830"/>
          <w:pgMar w:top="1402" w:right="1785" w:bottom="991" w:left="1110" w:header="0" w:footer="847" w:gutter="0"/>
          <w:cols w:space="720" w:num="1"/>
        </w:sectPr>
      </w:pPr>
    </w:p>
    <w:p w14:paraId="4DC8FC5D">
      <w:pPr>
        <w:spacing w:before="46" w:line="221" w:lineRule="auto"/>
        <w:ind w:left="483"/>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b/>
          <w:bCs/>
          <w:color w:val="auto"/>
          <w:spacing w:val="2"/>
          <w:sz w:val="23"/>
          <w:szCs w:val="23"/>
        </w:rPr>
        <w:t>质疑函制作说明：</w:t>
      </w:r>
    </w:p>
    <w:p w14:paraId="350EC312">
      <w:pPr>
        <w:spacing w:before="168" w:line="213" w:lineRule="auto"/>
        <w:ind w:left="479"/>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8"/>
          <w:sz w:val="23"/>
          <w:szCs w:val="23"/>
        </w:rPr>
        <w:t>1.供应商提出质疑时，应提交质疑函和必要的证明材料。</w:t>
      </w:r>
    </w:p>
    <w:p w14:paraId="3623C049">
      <w:pPr>
        <w:spacing w:before="204" w:line="323" w:lineRule="auto"/>
        <w:ind w:firstLine="479"/>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6"/>
          <w:sz w:val="23"/>
          <w:szCs w:val="23"/>
        </w:rPr>
        <w:t>2.质疑供应商若委托代理人进行质疑的，质疑函应按要求列明“授权代表”的有关内容，</w:t>
      </w:r>
      <w:r>
        <w:rPr>
          <w:rFonts w:hint="eastAsia" w:asciiTheme="minorEastAsia" w:hAnsiTheme="minorEastAsia" w:eastAsiaTheme="minorEastAsia" w:cstheme="minorEastAsia"/>
          <w:color w:val="auto"/>
          <w:spacing w:val="14"/>
          <w:sz w:val="23"/>
          <w:szCs w:val="23"/>
        </w:rPr>
        <w:t xml:space="preserve"> </w:t>
      </w:r>
      <w:r>
        <w:rPr>
          <w:rFonts w:hint="eastAsia" w:asciiTheme="minorEastAsia" w:hAnsiTheme="minorEastAsia" w:eastAsiaTheme="minorEastAsia" w:cstheme="minorEastAsia"/>
          <w:color w:val="auto"/>
          <w:spacing w:val="8"/>
          <w:sz w:val="23"/>
          <w:szCs w:val="23"/>
        </w:rPr>
        <w:t>并在附件中提交由质疑供应商签署的授权委托书。授权委托书</w:t>
      </w:r>
      <w:r>
        <w:rPr>
          <w:rFonts w:hint="eastAsia" w:asciiTheme="minorEastAsia" w:hAnsiTheme="minorEastAsia" w:eastAsiaTheme="minorEastAsia" w:cstheme="minorEastAsia"/>
          <w:color w:val="auto"/>
          <w:spacing w:val="7"/>
          <w:sz w:val="23"/>
          <w:szCs w:val="23"/>
        </w:rPr>
        <w:t>应载明代理人的姓名或者名称、</w:t>
      </w:r>
      <w:r>
        <w:rPr>
          <w:rFonts w:hint="eastAsia" w:asciiTheme="minorEastAsia" w:hAnsiTheme="minorEastAsia" w:eastAsiaTheme="minorEastAsia" w:cstheme="minorEastAsia"/>
          <w:color w:val="auto"/>
          <w:sz w:val="23"/>
          <w:szCs w:val="23"/>
        </w:rPr>
        <w:t xml:space="preserve"> </w:t>
      </w:r>
      <w:r>
        <w:rPr>
          <w:rFonts w:hint="eastAsia" w:asciiTheme="minorEastAsia" w:hAnsiTheme="minorEastAsia" w:eastAsiaTheme="minorEastAsia" w:cstheme="minorEastAsia"/>
          <w:color w:val="auto"/>
          <w:spacing w:val="9"/>
          <w:sz w:val="23"/>
          <w:szCs w:val="23"/>
        </w:rPr>
        <w:t>代理事项、具体权限、期限和相关事项。</w:t>
      </w:r>
    </w:p>
    <w:p w14:paraId="4005A51E">
      <w:pPr>
        <w:spacing w:before="193" w:line="213" w:lineRule="auto"/>
        <w:ind w:left="479"/>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9"/>
          <w:sz w:val="23"/>
          <w:szCs w:val="23"/>
        </w:rPr>
        <w:t>3.质疑供应商若对项目的某一分包进行质疑，质疑函中应列明具体分</w:t>
      </w:r>
      <w:r>
        <w:rPr>
          <w:rFonts w:hint="eastAsia" w:asciiTheme="minorEastAsia" w:hAnsiTheme="minorEastAsia" w:eastAsiaTheme="minorEastAsia" w:cstheme="minorEastAsia"/>
          <w:color w:val="auto"/>
          <w:spacing w:val="8"/>
          <w:sz w:val="23"/>
          <w:szCs w:val="23"/>
        </w:rPr>
        <w:t>包号。</w:t>
      </w:r>
    </w:p>
    <w:p w14:paraId="258513C3">
      <w:pPr>
        <w:spacing w:before="204" w:line="213" w:lineRule="auto"/>
        <w:ind w:left="479"/>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9"/>
          <w:sz w:val="23"/>
          <w:szCs w:val="23"/>
        </w:rPr>
        <w:t>4.质疑函的质疑事项应具体、明确，并有必要的事实依据和法律依据。</w:t>
      </w:r>
    </w:p>
    <w:p w14:paraId="62AE9FD4">
      <w:pPr>
        <w:spacing w:before="214" w:line="221" w:lineRule="auto"/>
        <w:ind w:left="479"/>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8"/>
          <w:sz w:val="23"/>
          <w:szCs w:val="23"/>
        </w:rPr>
        <w:t>5.质疑函的质疑请求应与质疑事项相关。</w:t>
      </w:r>
    </w:p>
    <w:p w14:paraId="1EBEDD25">
      <w:pPr>
        <w:spacing w:before="175" w:line="295" w:lineRule="auto"/>
        <w:ind w:right="190" w:firstLine="479"/>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9"/>
          <w:sz w:val="23"/>
          <w:szCs w:val="23"/>
        </w:rPr>
        <w:t>6.质疑供应商为自然人的，质疑函应由本人签</w:t>
      </w:r>
      <w:r>
        <w:rPr>
          <w:rFonts w:hint="eastAsia" w:asciiTheme="minorEastAsia" w:hAnsiTheme="minorEastAsia" w:eastAsiaTheme="minorEastAsia" w:cstheme="minorEastAsia"/>
          <w:color w:val="auto"/>
          <w:spacing w:val="8"/>
          <w:sz w:val="23"/>
          <w:szCs w:val="23"/>
        </w:rPr>
        <w:t>字；质疑供应商为法人或者其他组织的，</w:t>
      </w:r>
      <w:r>
        <w:rPr>
          <w:rFonts w:hint="eastAsia" w:asciiTheme="minorEastAsia" w:hAnsiTheme="minorEastAsia" w:eastAsiaTheme="minorEastAsia" w:cstheme="minorEastAsia"/>
          <w:color w:val="auto"/>
          <w:sz w:val="23"/>
          <w:szCs w:val="23"/>
        </w:rPr>
        <w:t xml:space="preserve"> </w:t>
      </w:r>
      <w:r>
        <w:rPr>
          <w:rFonts w:hint="eastAsia" w:asciiTheme="minorEastAsia" w:hAnsiTheme="minorEastAsia" w:eastAsiaTheme="minorEastAsia" w:cstheme="minorEastAsia"/>
          <w:color w:val="auto"/>
          <w:spacing w:val="10"/>
          <w:sz w:val="23"/>
          <w:szCs w:val="23"/>
        </w:rPr>
        <w:t>质疑函应由法定代表人、主要负责人，或者其授权代表签字或者盖章</w:t>
      </w:r>
      <w:r>
        <w:rPr>
          <w:rFonts w:hint="eastAsia" w:asciiTheme="minorEastAsia" w:hAnsiTheme="minorEastAsia" w:eastAsiaTheme="minorEastAsia" w:cstheme="minorEastAsia"/>
          <w:color w:val="auto"/>
          <w:spacing w:val="9"/>
          <w:sz w:val="23"/>
          <w:szCs w:val="23"/>
        </w:rPr>
        <w:t>，并加盖公章。</w:t>
      </w:r>
    </w:p>
    <w:p w14:paraId="256B2E8C">
      <w:pPr>
        <w:spacing w:line="295" w:lineRule="auto"/>
        <w:rPr>
          <w:rFonts w:hint="eastAsia" w:asciiTheme="minorEastAsia" w:hAnsiTheme="minorEastAsia" w:eastAsiaTheme="minorEastAsia" w:cstheme="minorEastAsia"/>
          <w:color w:val="auto"/>
          <w:sz w:val="23"/>
          <w:szCs w:val="23"/>
        </w:rPr>
        <w:sectPr>
          <w:footerReference r:id="rId60" w:type="default"/>
          <w:pgSz w:w="11900" w:h="16830"/>
          <w:pgMar w:top="1137" w:right="1034" w:bottom="1191" w:left="1120" w:header="0" w:footer="1047" w:gutter="0"/>
          <w:cols w:space="720" w:num="1"/>
        </w:sectPr>
      </w:pPr>
    </w:p>
    <w:p w14:paraId="600DC407">
      <w:pPr>
        <w:pStyle w:val="3"/>
        <w:numPr>
          <w:ilvl w:val="1"/>
          <w:numId w:val="0"/>
        </w:numPr>
        <w:bidi w:val="0"/>
        <w:ind w:leftChars="0"/>
        <w:jc w:val="center"/>
        <w:rPr>
          <w:rFonts w:hint="eastAsia"/>
          <w:color w:val="auto"/>
        </w:rPr>
      </w:pPr>
      <w:r>
        <w:rPr>
          <w:rFonts w:hint="eastAsia"/>
          <w:color w:val="auto"/>
        </w:rPr>
        <w:t>第二节</w:t>
      </w:r>
      <w:r>
        <w:rPr>
          <w:rFonts w:hint="eastAsia"/>
          <w:color w:val="auto"/>
          <w:lang w:val="en-US" w:eastAsia="zh-CN"/>
        </w:rPr>
        <w:t xml:space="preserve"> </w:t>
      </w:r>
      <w:r>
        <w:rPr>
          <w:rFonts w:hint="eastAsia"/>
          <w:color w:val="auto"/>
        </w:rPr>
        <w:t>投诉书(格式)</w:t>
      </w:r>
    </w:p>
    <w:p w14:paraId="750293F8">
      <w:pPr>
        <w:pStyle w:val="10"/>
        <w:rPr>
          <w:rFonts w:hint="eastAsia" w:asciiTheme="minorEastAsia" w:hAnsiTheme="minorEastAsia" w:eastAsiaTheme="minorEastAsia" w:cstheme="minorEastAsia"/>
          <w:color w:val="auto"/>
        </w:rPr>
      </w:pPr>
    </w:p>
    <w:p w14:paraId="7764CC2B">
      <w:pPr>
        <w:pStyle w:val="10"/>
        <w:spacing w:line="241" w:lineRule="auto"/>
        <w:rPr>
          <w:rFonts w:hint="eastAsia" w:asciiTheme="minorEastAsia" w:hAnsiTheme="minorEastAsia" w:eastAsiaTheme="minorEastAsia" w:cstheme="minorEastAsia"/>
          <w:color w:val="auto"/>
        </w:rPr>
      </w:pPr>
    </w:p>
    <w:p w14:paraId="6825E1DF">
      <w:pPr>
        <w:spacing w:before="104" w:line="220" w:lineRule="auto"/>
        <w:ind w:left="3704"/>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bCs/>
          <w:color w:val="auto"/>
          <w:spacing w:val="4"/>
          <w:sz w:val="32"/>
          <w:szCs w:val="32"/>
        </w:rPr>
        <w:t>投诉书</w:t>
      </w:r>
    </w:p>
    <w:p w14:paraId="46E4551F">
      <w:pPr>
        <w:pStyle w:val="10"/>
        <w:spacing w:line="343" w:lineRule="auto"/>
        <w:rPr>
          <w:rFonts w:hint="eastAsia" w:asciiTheme="minorEastAsia" w:hAnsiTheme="minorEastAsia" w:eastAsiaTheme="minorEastAsia" w:cstheme="minorEastAsia"/>
          <w:color w:val="auto"/>
        </w:rPr>
      </w:pPr>
    </w:p>
    <w:p w14:paraId="1471786B">
      <w:pPr>
        <w:spacing w:before="75" w:line="220" w:lineRule="auto"/>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4"/>
          <w:sz w:val="23"/>
          <w:szCs w:val="23"/>
        </w:rPr>
        <w:t>一</w:t>
      </w:r>
      <w:r>
        <w:rPr>
          <w:rFonts w:hint="eastAsia" w:asciiTheme="minorEastAsia" w:hAnsiTheme="minorEastAsia" w:eastAsiaTheme="minorEastAsia" w:cstheme="minorEastAsia"/>
          <w:color w:val="auto"/>
          <w:spacing w:val="-25"/>
          <w:sz w:val="23"/>
          <w:szCs w:val="23"/>
        </w:rPr>
        <w:t xml:space="preserve"> </w:t>
      </w:r>
      <w:r>
        <w:rPr>
          <w:rFonts w:hint="eastAsia" w:asciiTheme="minorEastAsia" w:hAnsiTheme="minorEastAsia" w:eastAsiaTheme="minorEastAsia" w:cstheme="minorEastAsia"/>
          <w:color w:val="auto"/>
          <w:spacing w:val="4"/>
          <w:sz w:val="23"/>
          <w:szCs w:val="23"/>
        </w:rPr>
        <w:t>、投诉相关主体基本情况</w:t>
      </w:r>
    </w:p>
    <w:p w14:paraId="70B9F434">
      <w:pPr>
        <w:spacing w:before="264" w:line="220" w:lineRule="auto"/>
        <w:rPr>
          <w:rFonts w:hint="eastAsia" w:asciiTheme="minorEastAsia" w:hAnsiTheme="minorEastAsia" w:eastAsiaTheme="minorEastAsia" w:cstheme="minorEastAsia"/>
          <w:color w:val="auto"/>
          <w:sz w:val="19"/>
          <w:szCs w:val="19"/>
        </w:rPr>
      </w:pPr>
      <w:r>
        <w:rPr>
          <w:rFonts w:hint="eastAsia" w:asciiTheme="minorEastAsia" w:hAnsiTheme="minorEastAsia" w:eastAsiaTheme="minorEastAsia" w:cstheme="minorEastAsia"/>
          <w:color w:val="auto"/>
          <w:spacing w:val="-14"/>
          <w:sz w:val="19"/>
          <w:szCs w:val="19"/>
        </w:rPr>
        <w:t>投诉人： …</w:t>
      </w:r>
      <w:r>
        <w:rPr>
          <w:rFonts w:hint="eastAsia" w:asciiTheme="minorEastAsia" w:hAnsiTheme="minorEastAsia" w:eastAsiaTheme="minorEastAsia" w:cstheme="minorEastAsia"/>
          <w:color w:val="auto"/>
          <w:spacing w:val="-53"/>
          <w:sz w:val="19"/>
          <w:szCs w:val="19"/>
        </w:rPr>
        <w:t xml:space="preserve"> </w:t>
      </w:r>
      <w:r>
        <w:rPr>
          <w:rFonts w:hint="eastAsia" w:asciiTheme="minorEastAsia" w:hAnsiTheme="minorEastAsia" w:eastAsiaTheme="minorEastAsia" w:cstheme="minorEastAsia"/>
          <w:color w:val="auto"/>
          <w:spacing w:val="-14"/>
          <w:sz w:val="19"/>
          <w:szCs w:val="19"/>
        </w:rPr>
        <w:t>…</w:t>
      </w:r>
      <w:r>
        <w:rPr>
          <w:rFonts w:hint="eastAsia" w:asciiTheme="minorEastAsia" w:hAnsiTheme="minorEastAsia" w:eastAsiaTheme="minorEastAsia" w:cstheme="minorEastAsia"/>
          <w:color w:val="auto"/>
          <w:spacing w:val="-54"/>
          <w:sz w:val="19"/>
          <w:szCs w:val="19"/>
        </w:rPr>
        <w:t xml:space="preserve"> </w:t>
      </w:r>
      <w:r>
        <w:rPr>
          <w:rFonts w:hint="eastAsia" w:asciiTheme="minorEastAsia" w:hAnsiTheme="minorEastAsia" w:eastAsiaTheme="minorEastAsia" w:cstheme="minorEastAsia"/>
          <w:color w:val="auto"/>
          <w:spacing w:val="-14"/>
          <w:sz w:val="19"/>
          <w:szCs w:val="19"/>
        </w:rPr>
        <w:t>…</w:t>
      </w:r>
      <w:r>
        <w:rPr>
          <w:rFonts w:hint="eastAsia" w:asciiTheme="minorEastAsia" w:hAnsiTheme="minorEastAsia" w:eastAsiaTheme="minorEastAsia" w:cstheme="minorEastAsia"/>
          <w:color w:val="auto"/>
          <w:spacing w:val="-54"/>
          <w:sz w:val="19"/>
          <w:szCs w:val="19"/>
        </w:rPr>
        <w:t xml:space="preserve"> </w:t>
      </w:r>
      <w:r>
        <w:rPr>
          <w:rFonts w:hint="eastAsia" w:asciiTheme="minorEastAsia" w:hAnsiTheme="minorEastAsia" w:eastAsiaTheme="minorEastAsia" w:cstheme="minorEastAsia"/>
          <w:color w:val="auto"/>
          <w:spacing w:val="-14"/>
          <w:sz w:val="19"/>
          <w:szCs w:val="19"/>
        </w:rPr>
        <w:t>…</w:t>
      </w:r>
      <w:r>
        <w:rPr>
          <w:rFonts w:hint="eastAsia" w:asciiTheme="minorEastAsia" w:hAnsiTheme="minorEastAsia" w:eastAsiaTheme="minorEastAsia" w:cstheme="minorEastAsia"/>
          <w:color w:val="auto"/>
          <w:spacing w:val="-53"/>
          <w:sz w:val="19"/>
          <w:szCs w:val="19"/>
        </w:rPr>
        <w:t xml:space="preserve"> </w:t>
      </w:r>
      <w:r>
        <w:rPr>
          <w:rFonts w:hint="eastAsia" w:asciiTheme="minorEastAsia" w:hAnsiTheme="minorEastAsia" w:eastAsiaTheme="minorEastAsia" w:cstheme="minorEastAsia"/>
          <w:color w:val="auto"/>
          <w:spacing w:val="-14"/>
          <w:sz w:val="19"/>
          <w:szCs w:val="19"/>
        </w:rPr>
        <w:t>…</w:t>
      </w:r>
      <w:r>
        <w:rPr>
          <w:rFonts w:hint="eastAsia" w:asciiTheme="minorEastAsia" w:hAnsiTheme="minorEastAsia" w:eastAsiaTheme="minorEastAsia" w:cstheme="minorEastAsia"/>
          <w:color w:val="auto"/>
          <w:spacing w:val="-54"/>
          <w:sz w:val="19"/>
          <w:szCs w:val="19"/>
        </w:rPr>
        <w:t xml:space="preserve"> </w:t>
      </w:r>
      <w:r>
        <w:rPr>
          <w:rFonts w:hint="eastAsia" w:asciiTheme="minorEastAsia" w:hAnsiTheme="minorEastAsia" w:eastAsiaTheme="minorEastAsia" w:cstheme="minorEastAsia"/>
          <w:color w:val="auto"/>
          <w:spacing w:val="-14"/>
          <w:sz w:val="19"/>
          <w:szCs w:val="19"/>
        </w:rPr>
        <w:t>…</w:t>
      </w:r>
      <w:r>
        <w:rPr>
          <w:rFonts w:hint="eastAsia" w:asciiTheme="minorEastAsia" w:hAnsiTheme="minorEastAsia" w:eastAsiaTheme="minorEastAsia" w:cstheme="minorEastAsia"/>
          <w:color w:val="auto"/>
          <w:spacing w:val="-54"/>
          <w:sz w:val="19"/>
          <w:szCs w:val="19"/>
        </w:rPr>
        <w:t xml:space="preserve"> </w:t>
      </w:r>
      <w:r>
        <w:rPr>
          <w:rFonts w:hint="eastAsia" w:asciiTheme="minorEastAsia" w:hAnsiTheme="minorEastAsia" w:eastAsiaTheme="minorEastAsia" w:cstheme="minorEastAsia"/>
          <w:color w:val="auto"/>
          <w:spacing w:val="-14"/>
          <w:sz w:val="19"/>
          <w:szCs w:val="19"/>
        </w:rPr>
        <w:t>…</w:t>
      </w:r>
      <w:r>
        <w:rPr>
          <w:rFonts w:hint="eastAsia" w:asciiTheme="minorEastAsia" w:hAnsiTheme="minorEastAsia" w:eastAsiaTheme="minorEastAsia" w:cstheme="minorEastAsia"/>
          <w:color w:val="auto"/>
          <w:spacing w:val="-53"/>
          <w:sz w:val="19"/>
          <w:szCs w:val="19"/>
        </w:rPr>
        <w:t xml:space="preserve"> </w:t>
      </w:r>
      <w:r>
        <w:rPr>
          <w:rFonts w:hint="eastAsia" w:asciiTheme="minorEastAsia" w:hAnsiTheme="minorEastAsia" w:eastAsiaTheme="minorEastAsia" w:cstheme="minorEastAsia"/>
          <w:color w:val="auto"/>
          <w:spacing w:val="-14"/>
          <w:sz w:val="19"/>
          <w:szCs w:val="19"/>
        </w:rPr>
        <w:t>…</w:t>
      </w:r>
      <w:r>
        <w:rPr>
          <w:rFonts w:hint="eastAsia" w:asciiTheme="minorEastAsia" w:hAnsiTheme="minorEastAsia" w:eastAsiaTheme="minorEastAsia" w:cstheme="minorEastAsia"/>
          <w:color w:val="auto"/>
          <w:spacing w:val="-54"/>
          <w:sz w:val="19"/>
          <w:szCs w:val="19"/>
        </w:rPr>
        <w:t xml:space="preserve"> </w:t>
      </w:r>
      <w:r>
        <w:rPr>
          <w:rFonts w:hint="eastAsia" w:asciiTheme="minorEastAsia" w:hAnsiTheme="minorEastAsia" w:eastAsiaTheme="minorEastAsia" w:cstheme="minorEastAsia"/>
          <w:color w:val="auto"/>
          <w:spacing w:val="-14"/>
          <w:sz w:val="19"/>
          <w:szCs w:val="19"/>
        </w:rPr>
        <w:t>…</w:t>
      </w:r>
      <w:r>
        <w:rPr>
          <w:rFonts w:hint="eastAsia" w:asciiTheme="minorEastAsia" w:hAnsiTheme="minorEastAsia" w:eastAsiaTheme="minorEastAsia" w:cstheme="minorEastAsia"/>
          <w:color w:val="auto"/>
          <w:spacing w:val="-53"/>
          <w:sz w:val="19"/>
          <w:szCs w:val="19"/>
        </w:rPr>
        <w:t xml:space="preserve"> </w:t>
      </w:r>
      <w:r>
        <w:rPr>
          <w:rFonts w:hint="eastAsia" w:asciiTheme="minorEastAsia" w:hAnsiTheme="minorEastAsia" w:eastAsiaTheme="minorEastAsia" w:cstheme="minorEastAsia"/>
          <w:color w:val="auto"/>
          <w:spacing w:val="-14"/>
          <w:sz w:val="19"/>
          <w:szCs w:val="19"/>
        </w:rPr>
        <w:t>…</w:t>
      </w:r>
      <w:r>
        <w:rPr>
          <w:rFonts w:hint="eastAsia" w:asciiTheme="minorEastAsia" w:hAnsiTheme="minorEastAsia" w:eastAsiaTheme="minorEastAsia" w:cstheme="minorEastAsia"/>
          <w:color w:val="auto"/>
          <w:spacing w:val="-54"/>
          <w:sz w:val="19"/>
          <w:szCs w:val="19"/>
        </w:rPr>
        <w:t xml:space="preserve"> </w:t>
      </w:r>
      <w:r>
        <w:rPr>
          <w:rFonts w:hint="eastAsia" w:asciiTheme="minorEastAsia" w:hAnsiTheme="minorEastAsia" w:eastAsiaTheme="minorEastAsia" w:cstheme="minorEastAsia"/>
          <w:color w:val="auto"/>
          <w:spacing w:val="-14"/>
          <w:sz w:val="19"/>
          <w:szCs w:val="19"/>
        </w:rPr>
        <w:t>…</w:t>
      </w:r>
      <w:r>
        <w:rPr>
          <w:rFonts w:hint="eastAsia" w:asciiTheme="minorEastAsia" w:hAnsiTheme="minorEastAsia" w:eastAsiaTheme="minorEastAsia" w:cstheme="minorEastAsia"/>
          <w:color w:val="auto"/>
          <w:spacing w:val="-54"/>
          <w:sz w:val="19"/>
          <w:szCs w:val="19"/>
        </w:rPr>
        <w:t xml:space="preserve"> </w:t>
      </w:r>
      <w:r>
        <w:rPr>
          <w:rFonts w:hint="eastAsia" w:asciiTheme="minorEastAsia" w:hAnsiTheme="minorEastAsia" w:eastAsiaTheme="minorEastAsia" w:cstheme="minorEastAsia"/>
          <w:color w:val="auto"/>
          <w:spacing w:val="-14"/>
          <w:sz w:val="19"/>
          <w:szCs w:val="19"/>
        </w:rPr>
        <w:t>…</w:t>
      </w:r>
      <w:r>
        <w:rPr>
          <w:rFonts w:hint="eastAsia" w:asciiTheme="minorEastAsia" w:hAnsiTheme="minorEastAsia" w:eastAsiaTheme="minorEastAsia" w:cstheme="minorEastAsia"/>
          <w:color w:val="auto"/>
          <w:spacing w:val="-53"/>
          <w:sz w:val="19"/>
          <w:szCs w:val="19"/>
        </w:rPr>
        <w:t xml:space="preserve"> </w:t>
      </w:r>
      <w:r>
        <w:rPr>
          <w:rFonts w:hint="eastAsia" w:asciiTheme="minorEastAsia" w:hAnsiTheme="minorEastAsia" w:eastAsiaTheme="minorEastAsia" w:cstheme="minorEastAsia"/>
          <w:color w:val="auto"/>
          <w:spacing w:val="-14"/>
          <w:sz w:val="19"/>
          <w:szCs w:val="19"/>
        </w:rPr>
        <w:t>…</w:t>
      </w:r>
      <w:r>
        <w:rPr>
          <w:rFonts w:hint="eastAsia" w:asciiTheme="minorEastAsia" w:hAnsiTheme="minorEastAsia" w:eastAsiaTheme="minorEastAsia" w:cstheme="minorEastAsia"/>
          <w:color w:val="auto"/>
          <w:spacing w:val="-54"/>
          <w:sz w:val="19"/>
          <w:szCs w:val="19"/>
        </w:rPr>
        <w:t xml:space="preserve"> </w:t>
      </w:r>
      <w:r>
        <w:rPr>
          <w:rFonts w:hint="eastAsia" w:asciiTheme="minorEastAsia" w:hAnsiTheme="minorEastAsia" w:eastAsiaTheme="minorEastAsia" w:cstheme="minorEastAsia"/>
          <w:color w:val="auto"/>
          <w:spacing w:val="-14"/>
          <w:sz w:val="19"/>
          <w:szCs w:val="19"/>
        </w:rPr>
        <w:t>…</w:t>
      </w:r>
      <w:r>
        <w:rPr>
          <w:rFonts w:hint="eastAsia" w:asciiTheme="minorEastAsia" w:hAnsiTheme="minorEastAsia" w:eastAsiaTheme="minorEastAsia" w:cstheme="minorEastAsia"/>
          <w:color w:val="auto"/>
          <w:spacing w:val="-53"/>
          <w:sz w:val="19"/>
          <w:szCs w:val="19"/>
        </w:rPr>
        <w:t xml:space="preserve"> </w:t>
      </w:r>
      <w:r>
        <w:rPr>
          <w:rFonts w:hint="eastAsia" w:asciiTheme="minorEastAsia" w:hAnsiTheme="minorEastAsia" w:eastAsiaTheme="minorEastAsia" w:cstheme="minorEastAsia"/>
          <w:color w:val="auto"/>
          <w:spacing w:val="-14"/>
          <w:sz w:val="19"/>
          <w:szCs w:val="19"/>
        </w:rPr>
        <w:t>…</w:t>
      </w:r>
      <w:r>
        <w:rPr>
          <w:rFonts w:hint="eastAsia" w:asciiTheme="minorEastAsia" w:hAnsiTheme="minorEastAsia" w:eastAsiaTheme="minorEastAsia" w:cstheme="minorEastAsia"/>
          <w:color w:val="auto"/>
          <w:spacing w:val="-54"/>
          <w:sz w:val="19"/>
          <w:szCs w:val="19"/>
        </w:rPr>
        <w:t xml:space="preserve"> </w:t>
      </w:r>
      <w:r>
        <w:rPr>
          <w:rFonts w:hint="eastAsia" w:asciiTheme="minorEastAsia" w:hAnsiTheme="minorEastAsia" w:eastAsiaTheme="minorEastAsia" w:cstheme="minorEastAsia"/>
          <w:color w:val="auto"/>
          <w:spacing w:val="-14"/>
          <w:sz w:val="19"/>
          <w:szCs w:val="19"/>
        </w:rPr>
        <w:t>…</w:t>
      </w:r>
      <w:r>
        <w:rPr>
          <w:rFonts w:hint="eastAsia" w:asciiTheme="minorEastAsia" w:hAnsiTheme="minorEastAsia" w:eastAsiaTheme="minorEastAsia" w:cstheme="minorEastAsia"/>
          <w:color w:val="auto"/>
          <w:spacing w:val="-54"/>
          <w:sz w:val="19"/>
          <w:szCs w:val="19"/>
        </w:rPr>
        <w:t xml:space="preserve"> </w:t>
      </w:r>
      <w:r>
        <w:rPr>
          <w:rFonts w:hint="eastAsia" w:asciiTheme="minorEastAsia" w:hAnsiTheme="minorEastAsia" w:eastAsiaTheme="minorEastAsia" w:cstheme="minorEastAsia"/>
          <w:color w:val="auto"/>
          <w:spacing w:val="-14"/>
          <w:sz w:val="19"/>
          <w:szCs w:val="19"/>
        </w:rPr>
        <w:t>…</w:t>
      </w:r>
      <w:r>
        <w:rPr>
          <w:rFonts w:hint="eastAsia" w:asciiTheme="minorEastAsia" w:hAnsiTheme="minorEastAsia" w:eastAsiaTheme="minorEastAsia" w:cstheme="minorEastAsia"/>
          <w:color w:val="auto"/>
          <w:spacing w:val="-53"/>
          <w:sz w:val="19"/>
          <w:szCs w:val="19"/>
        </w:rPr>
        <w:t xml:space="preserve"> </w:t>
      </w:r>
      <w:r>
        <w:rPr>
          <w:rFonts w:hint="eastAsia" w:asciiTheme="minorEastAsia" w:hAnsiTheme="minorEastAsia" w:eastAsiaTheme="minorEastAsia" w:cstheme="minorEastAsia"/>
          <w:color w:val="auto"/>
          <w:spacing w:val="-14"/>
          <w:sz w:val="19"/>
          <w:szCs w:val="19"/>
        </w:rPr>
        <w:t>…</w:t>
      </w:r>
      <w:r>
        <w:rPr>
          <w:rFonts w:hint="eastAsia" w:asciiTheme="minorEastAsia" w:hAnsiTheme="minorEastAsia" w:eastAsiaTheme="minorEastAsia" w:cstheme="minorEastAsia"/>
          <w:color w:val="auto"/>
          <w:spacing w:val="-54"/>
          <w:sz w:val="19"/>
          <w:szCs w:val="19"/>
        </w:rPr>
        <w:t xml:space="preserve"> </w:t>
      </w:r>
      <w:r>
        <w:rPr>
          <w:rFonts w:hint="eastAsia" w:asciiTheme="minorEastAsia" w:hAnsiTheme="minorEastAsia" w:eastAsiaTheme="minorEastAsia" w:cstheme="minorEastAsia"/>
          <w:color w:val="auto"/>
          <w:spacing w:val="-14"/>
          <w:sz w:val="19"/>
          <w:szCs w:val="19"/>
        </w:rPr>
        <w:t>…</w:t>
      </w:r>
      <w:r>
        <w:rPr>
          <w:rFonts w:hint="eastAsia" w:asciiTheme="minorEastAsia" w:hAnsiTheme="minorEastAsia" w:eastAsiaTheme="minorEastAsia" w:cstheme="minorEastAsia"/>
          <w:color w:val="auto"/>
          <w:spacing w:val="-54"/>
          <w:sz w:val="19"/>
          <w:szCs w:val="19"/>
        </w:rPr>
        <w:t xml:space="preserve"> </w:t>
      </w:r>
      <w:r>
        <w:rPr>
          <w:rFonts w:hint="eastAsia" w:asciiTheme="minorEastAsia" w:hAnsiTheme="minorEastAsia" w:eastAsiaTheme="minorEastAsia" w:cstheme="minorEastAsia"/>
          <w:color w:val="auto"/>
          <w:spacing w:val="-14"/>
          <w:sz w:val="19"/>
          <w:szCs w:val="19"/>
        </w:rPr>
        <w:t>…</w:t>
      </w:r>
      <w:r>
        <w:rPr>
          <w:rFonts w:hint="eastAsia" w:asciiTheme="minorEastAsia" w:hAnsiTheme="minorEastAsia" w:eastAsiaTheme="minorEastAsia" w:cstheme="minorEastAsia"/>
          <w:color w:val="auto"/>
          <w:spacing w:val="-53"/>
          <w:sz w:val="19"/>
          <w:szCs w:val="19"/>
        </w:rPr>
        <w:t xml:space="preserve"> </w:t>
      </w:r>
      <w:r>
        <w:rPr>
          <w:rFonts w:hint="eastAsia" w:asciiTheme="minorEastAsia" w:hAnsiTheme="minorEastAsia" w:eastAsiaTheme="minorEastAsia" w:cstheme="minorEastAsia"/>
          <w:color w:val="auto"/>
          <w:spacing w:val="-15"/>
          <w:sz w:val="19"/>
          <w:szCs w:val="19"/>
        </w:rPr>
        <w:t>…</w:t>
      </w:r>
      <w:r>
        <w:rPr>
          <w:rFonts w:hint="eastAsia" w:asciiTheme="minorEastAsia" w:hAnsiTheme="minorEastAsia" w:eastAsiaTheme="minorEastAsia" w:cstheme="minorEastAsia"/>
          <w:color w:val="auto"/>
          <w:spacing w:val="-54"/>
          <w:sz w:val="19"/>
          <w:szCs w:val="19"/>
        </w:rPr>
        <w:t xml:space="preserve"> </w:t>
      </w:r>
      <w:r>
        <w:rPr>
          <w:rFonts w:hint="eastAsia" w:asciiTheme="minorEastAsia" w:hAnsiTheme="minorEastAsia" w:eastAsiaTheme="minorEastAsia" w:cstheme="minorEastAsia"/>
          <w:color w:val="auto"/>
          <w:spacing w:val="-15"/>
          <w:sz w:val="19"/>
          <w:szCs w:val="19"/>
        </w:rPr>
        <w:t>…</w:t>
      </w:r>
      <w:r>
        <w:rPr>
          <w:rFonts w:hint="eastAsia" w:asciiTheme="minorEastAsia" w:hAnsiTheme="minorEastAsia" w:eastAsiaTheme="minorEastAsia" w:cstheme="minorEastAsia"/>
          <w:color w:val="auto"/>
          <w:spacing w:val="-53"/>
          <w:sz w:val="19"/>
          <w:szCs w:val="19"/>
        </w:rPr>
        <w:t xml:space="preserve"> </w:t>
      </w:r>
      <w:r>
        <w:rPr>
          <w:rFonts w:hint="eastAsia" w:asciiTheme="minorEastAsia" w:hAnsiTheme="minorEastAsia" w:eastAsiaTheme="minorEastAsia" w:cstheme="minorEastAsia"/>
          <w:color w:val="auto"/>
          <w:spacing w:val="-15"/>
          <w:sz w:val="19"/>
          <w:szCs w:val="19"/>
        </w:rPr>
        <w:t>…</w:t>
      </w:r>
      <w:r>
        <w:rPr>
          <w:rFonts w:hint="eastAsia" w:asciiTheme="minorEastAsia" w:hAnsiTheme="minorEastAsia" w:eastAsiaTheme="minorEastAsia" w:cstheme="minorEastAsia"/>
          <w:color w:val="auto"/>
          <w:spacing w:val="-54"/>
          <w:sz w:val="19"/>
          <w:szCs w:val="19"/>
        </w:rPr>
        <w:t xml:space="preserve"> </w:t>
      </w:r>
      <w:r>
        <w:rPr>
          <w:rFonts w:hint="eastAsia" w:asciiTheme="minorEastAsia" w:hAnsiTheme="minorEastAsia" w:eastAsiaTheme="minorEastAsia" w:cstheme="minorEastAsia"/>
          <w:color w:val="auto"/>
          <w:spacing w:val="-15"/>
          <w:sz w:val="19"/>
          <w:szCs w:val="19"/>
        </w:rPr>
        <w:t>…</w:t>
      </w:r>
      <w:r>
        <w:rPr>
          <w:rFonts w:hint="eastAsia" w:asciiTheme="minorEastAsia" w:hAnsiTheme="minorEastAsia" w:eastAsiaTheme="minorEastAsia" w:cstheme="minorEastAsia"/>
          <w:color w:val="auto"/>
          <w:spacing w:val="-54"/>
          <w:sz w:val="19"/>
          <w:szCs w:val="19"/>
        </w:rPr>
        <w:t xml:space="preserve"> </w:t>
      </w:r>
      <w:r>
        <w:rPr>
          <w:rFonts w:hint="eastAsia" w:asciiTheme="minorEastAsia" w:hAnsiTheme="minorEastAsia" w:eastAsiaTheme="minorEastAsia" w:cstheme="minorEastAsia"/>
          <w:color w:val="auto"/>
          <w:spacing w:val="-15"/>
          <w:sz w:val="19"/>
          <w:szCs w:val="19"/>
        </w:rPr>
        <w:t>…</w:t>
      </w:r>
      <w:r>
        <w:rPr>
          <w:rFonts w:hint="eastAsia" w:asciiTheme="minorEastAsia" w:hAnsiTheme="minorEastAsia" w:eastAsiaTheme="minorEastAsia" w:cstheme="minorEastAsia"/>
          <w:color w:val="auto"/>
          <w:spacing w:val="-53"/>
          <w:sz w:val="19"/>
          <w:szCs w:val="19"/>
        </w:rPr>
        <w:t xml:space="preserve"> </w:t>
      </w:r>
      <w:r>
        <w:rPr>
          <w:rFonts w:hint="eastAsia" w:asciiTheme="minorEastAsia" w:hAnsiTheme="minorEastAsia" w:eastAsiaTheme="minorEastAsia" w:cstheme="minorEastAsia"/>
          <w:color w:val="auto"/>
          <w:spacing w:val="-15"/>
          <w:sz w:val="19"/>
          <w:szCs w:val="19"/>
        </w:rPr>
        <w:t>…</w:t>
      </w:r>
      <w:r>
        <w:rPr>
          <w:rFonts w:hint="eastAsia" w:asciiTheme="minorEastAsia" w:hAnsiTheme="minorEastAsia" w:eastAsiaTheme="minorEastAsia" w:cstheme="minorEastAsia"/>
          <w:color w:val="auto"/>
          <w:spacing w:val="-54"/>
          <w:sz w:val="19"/>
          <w:szCs w:val="19"/>
        </w:rPr>
        <w:t xml:space="preserve"> </w:t>
      </w:r>
      <w:r>
        <w:rPr>
          <w:rFonts w:hint="eastAsia" w:asciiTheme="minorEastAsia" w:hAnsiTheme="minorEastAsia" w:eastAsiaTheme="minorEastAsia" w:cstheme="minorEastAsia"/>
          <w:color w:val="auto"/>
          <w:spacing w:val="-15"/>
          <w:sz w:val="19"/>
          <w:szCs w:val="19"/>
        </w:rPr>
        <w:t>…</w:t>
      </w:r>
    </w:p>
    <w:p w14:paraId="32FD72BC">
      <w:pPr>
        <w:spacing w:before="177" w:line="220" w:lineRule="auto"/>
        <w:rPr>
          <w:rFonts w:hint="eastAsia" w:asciiTheme="minorEastAsia" w:hAnsiTheme="minorEastAsia" w:eastAsiaTheme="minorEastAsia" w:cstheme="minorEastAsia"/>
          <w:color w:val="auto"/>
          <w:sz w:val="19"/>
          <w:szCs w:val="19"/>
        </w:rPr>
      </w:pPr>
      <w:r>
        <w:rPr>
          <w:rFonts w:hint="eastAsia" w:asciiTheme="minorEastAsia" w:hAnsiTheme="minorEastAsia" w:eastAsiaTheme="minorEastAsia" w:cstheme="minorEastAsia"/>
          <w:color w:val="auto"/>
          <w:spacing w:val="-13"/>
          <w:position w:val="2"/>
          <w:sz w:val="23"/>
          <w:szCs w:val="23"/>
        </w:rPr>
        <w:t>地</w:t>
      </w:r>
      <w:r>
        <w:rPr>
          <w:rFonts w:hint="eastAsia" w:asciiTheme="minorEastAsia" w:hAnsiTheme="minorEastAsia" w:eastAsiaTheme="minorEastAsia" w:cstheme="minorEastAsia"/>
          <w:color w:val="auto"/>
          <w:spacing w:val="11"/>
          <w:position w:val="2"/>
          <w:sz w:val="23"/>
          <w:szCs w:val="23"/>
        </w:rPr>
        <w:t xml:space="preserve">     </w:t>
      </w:r>
      <w:r>
        <w:rPr>
          <w:rFonts w:hint="eastAsia" w:asciiTheme="minorEastAsia" w:hAnsiTheme="minorEastAsia" w:eastAsiaTheme="minorEastAsia" w:cstheme="minorEastAsia"/>
          <w:color w:val="auto"/>
          <w:spacing w:val="-13"/>
          <w:position w:val="2"/>
          <w:sz w:val="23"/>
          <w:szCs w:val="23"/>
        </w:rPr>
        <w:t xml:space="preserve">址： </w:t>
      </w:r>
      <w:r>
        <w:rPr>
          <w:rFonts w:hint="eastAsia" w:asciiTheme="minorEastAsia" w:hAnsiTheme="minorEastAsia" w:eastAsiaTheme="minorEastAsia" w:cstheme="minorEastAsia"/>
          <w:color w:val="auto"/>
          <w:spacing w:val="-13"/>
          <w:sz w:val="19"/>
          <w:szCs w:val="19"/>
        </w:rPr>
        <w:t>……………………………………………</w:t>
      </w:r>
      <w:r>
        <w:rPr>
          <w:rFonts w:hint="eastAsia" w:asciiTheme="minorEastAsia" w:hAnsiTheme="minorEastAsia" w:eastAsiaTheme="minorEastAsia" w:cstheme="minorEastAsia"/>
          <w:color w:val="auto"/>
          <w:spacing w:val="-13"/>
          <w:sz w:val="19"/>
          <w:szCs w:val="19"/>
          <w:u w:val="single" w:color="auto"/>
        </w:rPr>
        <w:t xml:space="preserve">   </w:t>
      </w:r>
      <w:r>
        <w:rPr>
          <w:rFonts w:hint="eastAsia" w:asciiTheme="minorEastAsia" w:hAnsiTheme="minorEastAsia" w:eastAsiaTheme="minorEastAsia" w:cstheme="minorEastAsia"/>
          <w:color w:val="auto"/>
          <w:spacing w:val="-82"/>
          <w:sz w:val="19"/>
          <w:szCs w:val="19"/>
        </w:rPr>
        <w:t xml:space="preserve"> </w:t>
      </w:r>
      <w:r>
        <w:rPr>
          <w:rFonts w:hint="eastAsia" w:asciiTheme="minorEastAsia" w:hAnsiTheme="minorEastAsia" w:eastAsiaTheme="minorEastAsia" w:cstheme="minorEastAsia"/>
          <w:b/>
          <w:bCs/>
          <w:color w:val="auto"/>
          <w:spacing w:val="-13"/>
          <w:sz w:val="19"/>
          <w:szCs w:val="19"/>
        </w:rPr>
        <w:t>邮编：_</w:t>
      </w:r>
      <w:r>
        <w:rPr>
          <w:rFonts w:hint="eastAsia" w:asciiTheme="minorEastAsia" w:hAnsiTheme="minorEastAsia" w:eastAsiaTheme="minorEastAsia" w:cstheme="minorEastAsia"/>
          <w:color w:val="auto"/>
          <w:spacing w:val="56"/>
          <w:sz w:val="19"/>
          <w:szCs w:val="19"/>
        </w:rPr>
        <w:t xml:space="preserve"> </w:t>
      </w:r>
      <w:r>
        <w:rPr>
          <w:rFonts w:hint="eastAsia" w:asciiTheme="minorEastAsia" w:hAnsiTheme="minorEastAsia" w:eastAsiaTheme="minorEastAsia" w:cstheme="minorEastAsia"/>
          <w:color w:val="auto"/>
          <w:spacing w:val="-13"/>
          <w:sz w:val="19"/>
          <w:szCs w:val="19"/>
        </w:rPr>
        <w:t>…………………</w:t>
      </w:r>
    </w:p>
    <w:p w14:paraId="54B1B170">
      <w:pPr>
        <w:spacing w:before="166" w:line="216" w:lineRule="auto"/>
        <w:rPr>
          <w:rFonts w:hint="eastAsia" w:asciiTheme="minorEastAsia" w:hAnsiTheme="minorEastAsia" w:eastAsiaTheme="minorEastAsia" w:cstheme="minorEastAsia"/>
          <w:color w:val="auto"/>
          <w:sz w:val="4"/>
          <w:szCs w:val="4"/>
        </w:rPr>
      </w:pPr>
      <w:r>
        <w:rPr>
          <w:rFonts w:hint="eastAsia" w:asciiTheme="minorEastAsia" w:hAnsiTheme="minorEastAsia" w:eastAsiaTheme="minorEastAsia" w:cstheme="minorEastAsia"/>
          <w:color w:val="auto"/>
          <w:sz w:val="23"/>
          <w:szCs w:val="23"/>
        </w:rPr>
        <w:t xml:space="preserve">法定代表人/主要负责人： </w:t>
      </w:r>
      <w:r>
        <w:rPr>
          <w:rFonts w:hint="eastAsia" w:asciiTheme="minorEastAsia" w:hAnsiTheme="minorEastAsia" w:eastAsiaTheme="minorEastAsia" w:cstheme="minorEastAsia"/>
          <w:color w:val="auto"/>
          <w:position w:val="-7"/>
          <w:sz w:val="4"/>
          <w:szCs w:val="4"/>
        </w:rPr>
        <w:t xml:space="preserve">---                       -----                          -----                         -----                         </w:t>
      </w:r>
      <w:r>
        <w:rPr>
          <w:rFonts w:hint="eastAsia" w:asciiTheme="minorEastAsia" w:hAnsiTheme="minorEastAsia" w:eastAsiaTheme="minorEastAsia" w:cstheme="minorEastAsia"/>
          <w:color w:val="auto"/>
          <w:position w:val="-6"/>
          <w:sz w:val="4"/>
          <w:szCs w:val="4"/>
        </w:rPr>
        <w:t xml:space="preserve">-        </w:t>
      </w:r>
      <w:r>
        <w:rPr>
          <w:rFonts w:hint="eastAsia" w:asciiTheme="minorEastAsia" w:hAnsiTheme="minorEastAsia" w:eastAsiaTheme="minorEastAsia" w:cstheme="minorEastAsia"/>
          <w:color w:val="auto"/>
          <w:position w:val="-7"/>
          <w:sz w:val="4"/>
          <w:szCs w:val="4"/>
        </w:rPr>
        <w:t>-----                                  --</w:t>
      </w:r>
      <w:r>
        <w:rPr>
          <w:rFonts w:hint="eastAsia" w:asciiTheme="minorEastAsia" w:hAnsiTheme="minorEastAsia" w:eastAsiaTheme="minorEastAsia" w:cstheme="minorEastAsia"/>
          <w:color w:val="auto"/>
          <w:spacing w:val="-1"/>
          <w:position w:val="-7"/>
          <w:sz w:val="4"/>
          <w:szCs w:val="4"/>
        </w:rPr>
        <w:t>--</w:t>
      </w:r>
    </w:p>
    <w:p w14:paraId="2A7E4B36">
      <w:pPr>
        <w:spacing w:before="266" w:line="187" w:lineRule="auto"/>
        <w:ind w:left="1092"/>
        <w:rPr>
          <w:rFonts w:hint="eastAsia" w:asciiTheme="minorEastAsia" w:hAnsiTheme="minorEastAsia" w:eastAsiaTheme="minorEastAsia" w:cstheme="minorEastAsia"/>
          <w:color w:val="auto"/>
          <w:sz w:val="4"/>
          <w:szCs w:val="4"/>
        </w:rPr>
      </w:pPr>
      <w:r>
        <w:rPr>
          <w:rFonts w:hint="eastAsia" w:asciiTheme="minorEastAsia" w:hAnsiTheme="minorEastAsia" w:eastAsiaTheme="minorEastAsia" w:cstheme="minorEastAsia"/>
          <w:color w:val="auto"/>
        </w:rPr>
        <w:pict>
          <v:shape id="_x0000_s1027" o:spid="_x0000_s1027" o:spt="202" type="#_x0000_t202" style="position:absolute;left:0pt;margin-left:-0.95pt;margin-top:12.25pt;height:11.65pt;width:52.7pt;z-index:251663360;mso-width-relative:page;mso-height-relative:page;" filled="f" stroked="f" coordsize="21600,21600">
            <v:path/>
            <v:fill on="f" focussize="0,0"/>
            <v:stroke on="f"/>
            <v:imagedata o:title=""/>
            <o:lock v:ext="edit" aspectratio="f"/>
            <v:textbox inset="0mm,0mm,0mm,0mm">
              <w:txbxContent>
                <w:p w14:paraId="1041F932">
                  <w:pPr>
                    <w:spacing w:before="20" w:line="187" w:lineRule="auto"/>
                    <w:ind w:left="20"/>
                    <w:rPr>
                      <w:rFonts w:ascii="黑体" w:hAnsi="黑体" w:eastAsia="黑体" w:cs="黑体"/>
                      <w:sz w:val="19"/>
                      <w:szCs w:val="19"/>
                    </w:rPr>
                  </w:pPr>
                  <w:r>
                    <w:rPr>
                      <w:rFonts w:ascii="黑体" w:hAnsi="黑体" w:eastAsia="黑体" w:cs="黑体"/>
                      <w:spacing w:val="12"/>
                      <w:sz w:val="19"/>
                      <w:szCs w:val="19"/>
                    </w:rPr>
                    <w:t>联系电话：</w:t>
                  </w:r>
                </w:p>
              </w:txbxContent>
            </v:textbox>
          </v:shape>
        </w:pict>
      </w:r>
      <w:r>
        <w:rPr>
          <w:rFonts w:hint="eastAsia" w:asciiTheme="minorEastAsia" w:hAnsiTheme="minorEastAsia" w:eastAsiaTheme="minorEastAsia" w:cstheme="minorEastAsia"/>
          <w:color w:val="auto"/>
        </w:rPr>
        <w:pict>
          <v:shape id="_x0000_s1028" o:spid="_x0000_s1028" o:spt="202" type="#_x0000_t202" style="position:absolute;left:0pt;margin-left:204pt;margin-top:20.65pt;height:3.4pt;width:41.95pt;z-index:251667456;mso-width-relative:page;mso-height-relative:page;" filled="f" stroked="f" coordsize="21600,21600">
            <v:path/>
            <v:fill on="f" focussize="0,0"/>
            <v:stroke on="f"/>
            <v:imagedata o:title=""/>
            <o:lock v:ext="edit" aspectratio="f"/>
            <v:textbox inset="0mm,0mm,0mm,0mm">
              <w:txbxContent>
                <w:p w14:paraId="6D8F7E8D">
                  <w:pPr>
                    <w:spacing w:before="20" w:line="27" w:lineRule="exact"/>
                    <w:ind w:left="20"/>
                    <w:rPr>
                      <w:rFonts w:ascii="宋体" w:hAnsi="宋体" w:eastAsia="宋体" w:cs="宋体"/>
                      <w:sz w:val="4"/>
                      <w:szCs w:val="4"/>
                    </w:rPr>
                  </w:pPr>
                  <w:r>
                    <w:rPr>
                      <w:rFonts w:ascii="宋体" w:hAnsi="宋体" w:eastAsia="宋体" w:cs="宋体"/>
                      <w:position w:val="-1"/>
                      <w:sz w:val="4"/>
                      <w:szCs w:val="4"/>
                    </w:rPr>
                    <w:t>-------------------------------------</w:t>
                  </w:r>
                  <w:r>
                    <w:rPr>
                      <w:rFonts w:ascii="宋体" w:hAnsi="宋体" w:eastAsia="宋体" w:cs="宋体"/>
                      <w:spacing w:val="-1"/>
                      <w:position w:val="-1"/>
                      <w:sz w:val="4"/>
                      <w:szCs w:val="4"/>
                    </w:rPr>
                    <w:t>---</w:t>
                  </w:r>
                </w:p>
              </w:txbxContent>
            </v:textbox>
          </v:shape>
        </w:pict>
      </w:r>
      <w:r>
        <w:rPr>
          <w:rFonts w:hint="eastAsia" w:asciiTheme="minorEastAsia" w:hAnsiTheme="minorEastAsia" w:eastAsiaTheme="minorEastAsia" w:cstheme="minorEastAsia"/>
          <w:color w:val="auto"/>
          <w:spacing w:val="-18"/>
          <w:sz w:val="19"/>
          <w:szCs w:val="19"/>
        </w:rPr>
        <w:t>…</w:t>
      </w:r>
      <w:r>
        <w:rPr>
          <w:rFonts w:hint="eastAsia" w:asciiTheme="minorEastAsia" w:hAnsiTheme="minorEastAsia" w:eastAsiaTheme="minorEastAsia" w:cstheme="minorEastAsia"/>
          <w:color w:val="auto"/>
          <w:spacing w:val="-53"/>
          <w:sz w:val="19"/>
          <w:szCs w:val="19"/>
        </w:rPr>
        <w:t xml:space="preserve"> </w:t>
      </w:r>
      <w:r>
        <w:rPr>
          <w:rFonts w:hint="eastAsia" w:asciiTheme="minorEastAsia" w:hAnsiTheme="minorEastAsia" w:eastAsiaTheme="minorEastAsia" w:cstheme="minorEastAsia"/>
          <w:color w:val="auto"/>
          <w:spacing w:val="-18"/>
          <w:sz w:val="19"/>
          <w:szCs w:val="19"/>
        </w:rPr>
        <w:t>.</w:t>
      </w:r>
      <w:r>
        <w:rPr>
          <w:rFonts w:hint="eastAsia" w:asciiTheme="minorEastAsia" w:hAnsiTheme="minorEastAsia" w:eastAsiaTheme="minorEastAsia" w:cstheme="minorEastAsia"/>
          <w:color w:val="auto"/>
          <w:spacing w:val="-51"/>
          <w:sz w:val="19"/>
          <w:szCs w:val="19"/>
        </w:rPr>
        <w:t xml:space="preserve"> </w:t>
      </w:r>
      <w:r>
        <w:rPr>
          <w:rFonts w:hint="eastAsia" w:asciiTheme="minorEastAsia" w:hAnsiTheme="minorEastAsia" w:eastAsiaTheme="minorEastAsia" w:cstheme="minorEastAsia"/>
          <w:color w:val="auto"/>
          <w:spacing w:val="-18"/>
          <w:sz w:val="19"/>
          <w:szCs w:val="19"/>
        </w:rPr>
        <w:t>…</w:t>
      </w:r>
      <w:r>
        <w:rPr>
          <w:rFonts w:hint="eastAsia" w:asciiTheme="minorEastAsia" w:hAnsiTheme="minorEastAsia" w:eastAsiaTheme="minorEastAsia" w:cstheme="minorEastAsia"/>
          <w:color w:val="auto"/>
          <w:spacing w:val="-50"/>
          <w:sz w:val="19"/>
          <w:szCs w:val="19"/>
        </w:rPr>
        <w:t xml:space="preserve"> </w:t>
      </w:r>
      <w:r>
        <w:rPr>
          <w:rFonts w:hint="eastAsia" w:asciiTheme="minorEastAsia" w:hAnsiTheme="minorEastAsia" w:eastAsiaTheme="minorEastAsia" w:cstheme="minorEastAsia"/>
          <w:color w:val="auto"/>
          <w:spacing w:val="-18"/>
          <w:sz w:val="19"/>
          <w:szCs w:val="19"/>
        </w:rPr>
        <w:t>…</w:t>
      </w:r>
      <w:r>
        <w:rPr>
          <w:rFonts w:hint="eastAsia" w:asciiTheme="minorEastAsia" w:hAnsiTheme="minorEastAsia" w:eastAsiaTheme="minorEastAsia" w:cstheme="minorEastAsia"/>
          <w:color w:val="auto"/>
          <w:spacing w:val="1"/>
          <w:sz w:val="19"/>
          <w:szCs w:val="19"/>
        </w:rPr>
        <w:t xml:space="preserve">                   </w:t>
      </w:r>
      <w:r>
        <w:rPr>
          <w:rFonts w:hint="eastAsia" w:asciiTheme="minorEastAsia" w:hAnsiTheme="minorEastAsia" w:eastAsiaTheme="minorEastAsia" w:cstheme="minorEastAsia"/>
          <w:color w:val="auto"/>
          <w:sz w:val="19"/>
          <w:szCs w:val="19"/>
        </w:rPr>
        <w:t xml:space="preserve">   </w:t>
      </w:r>
      <w:r>
        <w:rPr>
          <w:rFonts w:hint="eastAsia" w:asciiTheme="minorEastAsia" w:hAnsiTheme="minorEastAsia" w:eastAsiaTheme="minorEastAsia" w:cstheme="minorEastAsia"/>
          <w:color w:val="auto"/>
          <w:spacing w:val="2"/>
          <w:sz w:val="4"/>
          <w:szCs w:val="4"/>
        </w:rPr>
        <w:t>-</w:t>
      </w:r>
    </w:p>
    <w:p w14:paraId="782E8015">
      <w:pPr>
        <w:spacing w:before="266" w:line="222" w:lineRule="auto"/>
        <w:rPr>
          <w:rFonts w:hint="eastAsia" w:asciiTheme="minorEastAsia" w:hAnsiTheme="minorEastAsia" w:eastAsiaTheme="minorEastAsia" w:cstheme="minorEastAsia"/>
          <w:color w:val="auto"/>
          <w:sz w:val="19"/>
          <w:szCs w:val="19"/>
        </w:rPr>
      </w:pPr>
      <w:r>
        <w:rPr>
          <w:rFonts w:hint="eastAsia" w:asciiTheme="minorEastAsia" w:hAnsiTheme="minorEastAsia" w:eastAsiaTheme="minorEastAsia" w:cstheme="minorEastAsia"/>
          <w:color w:val="auto"/>
          <w:spacing w:val="-8"/>
          <w:sz w:val="19"/>
          <w:szCs w:val="19"/>
        </w:rPr>
        <w:t>授权代表：………………………联系电话.:…………………     …………</w:t>
      </w:r>
    </w:p>
    <w:p w14:paraId="716DA208">
      <w:pPr>
        <w:spacing w:before="193" w:line="221" w:lineRule="auto"/>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20"/>
          <w:sz w:val="23"/>
          <w:szCs w:val="23"/>
        </w:rPr>
        <w:t>地</w:t>
      </w:r>
      <w:r>
        <w:rPr>
          <w:rFonts w:hint="eastAsia" w:asciiTheme="minorEastAsia" w:hAnsiTheme="minorEastAsia" w:eastAsiaTheme="minorEastAsia" w:cstheme="minorEastAsia"/>
          <w:color w:val="auto"/>
          <w:spacing w:val="10"/>
          <w:sz w:val="23"/>
          <w:szCs w:val="23"/>
        </w:rPr>
        <w:t xml:space="preserve">     </w:t>
      </w:r>
      <w:r>
        <w:rPr>
          <w:rFonts w:hint="eastAsia" w:asciiTheme="minorEastAsia" w:hAnsiTheme="minorEastAsia" w:eastAsiaTheme="minorEastAsia" w:cstheme="minorEastAsia"/>
          <w:color w:val="auto"/>
          <w:spacing w:val="-20"/>
          <w:sz w:val="23"/>
          <w:szCs w:val="23"/>
        </w:rPr>
        <w:t>址：…………………………………………</w:t>
      </w:r>
      <w:r>
        <w:rPr>
          <w:rFonts w:hint="eastAsia" w:asciiTheme="minorEastAsia" w:hAnsiTheme="minorEastAsia" w:eastAsiaTheme="minorEastAsia" w:cstheme="minorEastAsia"/>
          <w:color w:val="auto"/>
          <w:spacing w:val="20"/>
          <w:sz w:val="23"/>
          <w:szCs w:val="23"/>
        </w:rPr>
        <w:t xml:space="preserve">  </w:t>
      </w:r>
      <w:r>
        <w:rPr>
          <w:rFonts w:hint="eastAsia" w:asciiTheme="minorEastAsia" w:hAnsiTheme="minorEastAsia" w:eastAsiaTheme="minorEastAsia" w:cstheme="minorEastAsia"/>
          <w:color w:val="auto"/>
          <w:spacing w:val="-20"/>
          <w:sz w:val="23"/>
          <w:szCs w:val="23"/>
        </w:rPr>
        <w:t>邮编：</w:t>
      </w:r>
      <w:r>
        <w:rPr>
          <w:rFonts w:hint="eastAsia" w:asciiTheme="minorEastAsia" w:hAnsiTheme="minorEastAsia" w:eastAsiaTheme="minorEastAsia" w:cstheme="minorEastAsia"/>
          <w:color w:val="auto"/>
          <w:spacing w:val="-87"/>
          <w:sz w:val="23"/>
          <w:szCs w:val="23"/>
        </w:rPr>
        <w:t xml:space="preserve"> </w:t>
      </w:r>
      <w:r>
        <w:rPr>
          <w:rFonts w:hint="eastAsia" w:asciiTheme="minorEastAsia" w:hAnsiTheme="minorEastAsia" w:eastAsiaTheme="minorEastAsia" w:cstheme="minorEastAsia"/>
          <w:color w:val="auto"/>
          <w:spacing w:val="-20"/>
          <w:sz w:val="23"/>
          <w:szCs w:val="23"/>
        </w:rPr>
        <w:t>……………</w:t>
      </w:r>
    </w:p>
    <w:p w14:paraId="732A7FEC">
      <w:pPr>
        <w:spacing w:before="184" w:line="206" w:lineRule="auto"/>
        <w:rPr>
          <w:rFonts w:hint="eastAsia" w:asciiTheme="minorEastAsia" w:hAnsiTheme="minorEastAsia" w:eastAsiaTheme="minorEastAsia" w:cstheme="minorEastAsia"/>
          <w:color w:val="auto"/>
          <w:sz w:val="9"/>
          <w:szCs w:val="9"/>
        </w:rPr>
      </w:pPr>
      <w:r>
        <w:rPr>
          <w:rFonts w:hint="eastAsia" w:asciiTheme="minorEastAsia" w:hAnsiTheme="minorEastAsia" w:eastAsiaTheme="minorEastAsia" w:cstheme="minorEastAsia"/>
          <w:color w:val="auto"/>
        </w:rPr>
        <w:pict>
          <v:shape id="_x0000_s1029" o:spid="_x0000_s1029" o:spt="202" type="#_x0000_t202" style="position:absolute;left:0pt;margin-left:311pt;margin-top:17pt;height:9.1pt;width:6.05pt;z-index:251665408;mso-width-relative:page;mso-height-relative:page;" filled="f" stroked="f" coordsize="21600,21600">
            <v:path/>
            <v:fill on="f" focussize="0,0"/>
            <v:stroke on="f"/>
            <v:imagedata o:title=""/>
            <o:lock v:ext="edit" aspectratio="f"/>
            <v:textbox inset="0mm,0mm,0mm,0mm">
              <w:txbxContent>
                <w:p w14:paraId="3A477890">
                  <w:pPr>
                    <w:spacing w:before="20" w:line="141" w:lineRule="exact"/>
                    <w:ind w:left="20"/>
                    <w:rPr>
                      <w:rFonts w:ascii="宋体" w:hAnsi="宋体" w:eastAsia="宋体" w:cs="宋体"/>
                      <w:sz w:val="9"/>
                      <w:szCs w:val="9"/>
                    </w:rPr>
                  </w:pPr>
                  <w:r>
                    <w:rPr>
                      <w:rFonts w:ascii="宋体" w:hAnsi="宋体" w:eastAsia="宋体" w:cs="宋体"/>
                      <w:position w:val="1"/>
                      <w:sz w:val="9"/>
                      <w:szCs w:val="9"/>
                    </w:rPr>
                    <w:t>…</w:t>
                  </w:r>
                </w:p>
              </w:txbxContent>
            </v:textbox>
          </v:shape>
        </w:pict>
      </w:r>
      <w:r>
        <w:rPr>
          <w:rFonts w:hint="eastAsia" w:asciiTheme="minorEastAsia" w:hAnsiTheme="minorEastAsia" w:eastAsiaTheme="minorEastAsia" w:cstheme="minorEastAsia"/>
          <w:color w:val="auto"/>
          <w:spacing w:val="14"/>
          <w:sz w:val="23"/>
          <w:szCs w:val="23"/>
        </w:rPr>
        <w:t xml:space="preserve">被投诉人1: </w:t>
      </w:r>
      <w:r>
        <w:rPr>
          <w:rFonts w:hint="eastAsia" w:asciiTheme="minorEastAsia" w:hAnsiTheme="minorEastAsia" w:eastAsiaTheme="minorEastAsia" w:cstheme="minorEastAsia"/>
          <w:color w:val="auto"/>
          <w:spacing w:val="14"/>
          <w:position w:val="-5"/>
          <w:sz w:val="9"/>
          <w:szCs w:val="9"/>
        </w:rPr>
        <w:t>…</w:t>
      </w:r>
    </w:p>
    <w:p w14:paraId="484B18C4">
      <w:pPr>
        <w:spacing w:before="258" w:line="231" w:lineRule="auto"/>
        <w:rPr>
          <w:rFonts w:hint="eastAsia" w:asciiTheme="minorEastAsia" w:hAnsiTheme="minorEastAsia" w:eastAsiaTheme="minorEastAsia" w:cstheme="minorEastAsia"/>
          <w:color w:val="auto"/>
          <w:sz w:val="19"/>
          <w:szCs w:val="19"/>
        </w:rPr>
      </w:pPr>
      <w:r>
        <w:rPr>
          <w:rFonts w:hint="eastAsia" w:asciiTheme="minorEastAsia" w:hAnsiTheme="minorEastAsia" w:eastAsiaTheme="minorEastAsia" w:cstheme="minorEastAsia"/>
          <w:color w:val="auto"/>
          <w:spacing w:val="2"/>
          <w:sz w:val="19"/>
          <w:szCs w:val="19"/>
        </w:rPr>
        <w:t>地       址：_…………………</w:t>
      </w:r>
      <w:r>
        <w:rPr>
          <w:rFonts w:hint="eastAsia" w:asciiTheme="minorEastAsia" w:hAnsiTheme="minorEastAsia" w:eastAsiaTheme="minorEastAsia" w:cstheme="minorEastAsia"/>
          <w:color w:val="auto"/>
          <w:spacing w:val="12"/>
          <w:sz w:val="19"/>
          <w:szCs w:val="19"/>
        </w:rPr>
        <w:t xml:space="preserve">    </w:t>
      </w:r>
      <w:r>
        <w:rPr>
          <w:rFonts w:hint="eastAsia" w:asciiTheme="minorEastAsia" w:hAnsiTheme="minorEastAsia" w:eastAsiaTheme="minorEastAsia" w:cstheme="minorEastAsia"/>
          <w:color w:val="auto"/>
          <w:spacing w:val="2"/>
          <w:sz w:val="19"/>
          <w:szCs w:val="19"/>
        </w:rPr>
        <w:t>…………</w:t>
      </w:r>
      <w:r>
        <w:rPr>
          <w:rFonts w:hint="eastAsia" w:asciiTheme="minorEastAsia" w:hAnsiTheme="minorEastAsia" w:eastAsiaTheme="minorEastAsia" w:cstheme="minorEastAsia"/>
          <w:color w:val="auto"/>
          <w:spacing w:val="1"/>
          <w:sz w:val="19"/>
          <w:szCs w:val="19"/>
        </w:rPr>
        <w:t>………    邮编：</w:t>
      </w:r>
      <w:r>
        <w:rPr>
          <w:rFonts w:hint="eastAsia" w:asciiTheme="minorEastAsia" w:hAnsiTheme="minorEastAsia" w:eastAsiaTheme="minorEastAsia" w:cstheme="minorEastAsia"/>
          <w:color w:val="auto"/>
          <w:spacing w:val="-55"/>
          <w:sz w:val="19"/>
          <w:szCs w:val="19"/>
        </w:rPr>
        <w:t xml:space="preserve"> </w:t>
      </w:r>
      <w:r>
        <w:rPr>
          <w:rFonts w:hint="eastAsia" w:asciiTheme="minorEastAsia" w:hAnsiTheme="minorEastAsia" w:eastAsiaTheme="minorEastAsia" w:cstheme="minorEastAsia"/>
          <w:color w:val="auto"/>
          <w:spacing w:val="1"/>
          <w:sz w:val="19"/>
          <w:szCs w:val="19"/>
        </w:rPr>
        <w:t>………………</w:t>
      </w:r>
    </w:p>
    <w:p w14:paraId="6D4EE946">
      <w:pPr>
        <w:spacing w:before="190" w:line="339" w:lineRule="exact"/>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19"/>
          <w:position w:val="3"/>
          <w:sz w:val="19"/>
          <w:szCs w:val="19"/>
        </w:rPr>
        <w:t>联</w:t>
      </w:r>
      <w:r>
        <w:rPr>
          <w:rFonts w:hint="eastAsia" w:asciiTheme="minorEastAsia" w:hAnsiTheme="minorEastAsia" w:eastAsiaTheme="minorEastAsia" w:cstheme="minorEastAsia"/>
          <w:color w:val="auto"/>
          <w:spacing w:val="-24"/>
          <w:position w:val="3"/>
          <w:sz w:val="19"/>
          <w:szCs w:val="19"/>
        </w:rPr>
        <w:t xml:space="preserve"> </w:t>
      </w:r>
      <w:r>
        <w:rPr>
          <w:rFonts w:hint="eastAsia" w:asciiTheme="minorEastAsia" w:hAnsiTheme="minorEastAsia" w:eastAsiaTheme="minorEastAsia" w:cstheme="minorEastAsia"/>
          <w:color w:val="auto"/>
          <w:spacing w:val="-19"/>
          <w:position w:val="3"/>
          <w:sz w:val="19"/>
          <w:szCs w:val="19"/>
        </w:rPr>
        <w:t>系</w:t>
      </w:r>
      <w:r>
        <w:rPr>
          <w:rFonts w:hint="eastAsia" w:asciiTheme="minorEastAsia" w:hAnsiTheme="minorEastAsia" w:eastAsiaTheme="minorEastAsia" w:cstheme="minorEastAsia"/>
          <w:color w:val="auto"/>
          <w:spacing w:val="-27"/>
          <w:position w:val="3"/>
          <w:sz w:val="19"/>
          <w:szCs w:val="19"/>
        </w:rPr>
        <w:t xml:space="preserve"> </w:t>
      </w:r>
      <w:r>
        <w:rPr>
          <w:rFonts w:hint="eastAsia" w:asciiTheme="minorEastAsia" w:hAnsiTheme="minorEastAsia" w:eastAsiaTheme="minorEastAsia" w:cstheme="minorEastAsia"/>
          <w:color w:val="auto"/>
          <w:spacing w:val="-19"/>
          <w:position w:val="3"/>
          <w:sz w:val="19"/>
          <w:szCs w:val="19"/>
        </w:rPr>
        <w:t>人 ：</w:t>
      </w:r>
      <w:r>
        <w:rPr>
          <w:rFonts w:hint="eastAsia" w:asciiTheme="minorEastAsia" w:hAnsiTheme="minorEastAsia" w:eastAsiaTheme="minorEastAsia" w:cstheme="minorEastAsia"/>
          <w:color w:val="auto"/>
          <w:spacing w:val="1"/>
          <w:position w:val="3"/>
          <w:sz w:val="19"/>
          <w:szCs w:val="19"/>
        </w:rPr>
        <w:t xml:space="preserve">                </w:t>
      </w:r>
      <w:r>
        <w:rPr>
          <w:rFonts w:hint="eastAsia" w:asciiTheme="minorEastAsia" w:hAnsiTheme="minorEastAsia" w:eastAsiaTheme="minorEastAsia" w:cstheme="minorEastAsia"/>
          <w:color w:val="auto"/>
          <w:spacing w:val="-19"/>
          <w:position w:val="-2"/>
          <w:sz w:val="19"/>
          <w:szCs w:val="19"/>
        </w:rPr>
        <w:t>…</w:t>
      </w:r>
      <w:r>
        <w:rPr>
          <w:rFonts w:hint="eastAsia" w:asciiTheme="minorEastAsia" w:hAnsiTheme="minorEastAsia" w:eastAsiaTheme="minorEastAsia" w:cstheme="minorEastAsia"/>
          <w:color w:val="auto"/>
          <w:spacing w:val="41"/>
          <w:position w:val="-2"/>
          <w:sz w:val="19"/>
          <w:szCs w:val="19"/>
        </w:rPr>
        <w:t xml:space="preserve">  </w:t>
      </w:r>
      <w:r>
        <w:rPr>
          <w:rFonts w:hint="eastAsia" w:asciiTheme="minorEastAsia" w:hAnsiTheme="minorEastAsia" w:eastAsiaTheme="minorEastAsia" w:cstheme="minorEastAsia"/>
          <w:color w:val="auto"/>
          <w:spacing w:val="-19"/>
          <w:position w:val="2"/>
          <w:sz w:val="23"/>
          <w:szCs w:val="23"/>
        </w:rPr>
        <w:t>联系电话：</w:t>
      </w:r>
    </w:p>
    <w:p w14:paraId="7A29A46E">
      <w:pPr>
        <w:spacing w:before="109" w:line="220" w:lineRule="auto"/>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25"/>
          <w:sz w:val="23"/>
          <w:szCs w:val="23"/>
        </w:rPr>
        <w:t>被投诉人2</w:t>
      </w:r>
    </w:p>
    <w:p w14:paraId="6A818BB0">
      <w:pPr>
        <w:spacing w:before="239" w:line="50" w:lineRule="exact"/>
        <w:ind w:left="1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position w:val="-1"/>
        </w:rPr>
        <w:drawing>
          <wp:inline distT="0" distB="0" distL="0" distR="0">
            <wp:extent cx="292100" cy="3111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68"/>
                    <a:stretch>
                      <a:fillRect/>
                    </a:stretch>
                  </pic:blipFill>
                  <pic:spPr>
                    <a:xfrm>
                      <a:off x="0" y="0"/>
                      <a:ext cx="292134" cy="31740"/>
                    </a:xfrm>
                    <a:prstGeom prst="rect">
                      <a:avLst/>
                    </a:prstGeom>
                  </pic:spPr>
                </pic:pic>
              </a:graphicData>
            </a:graphic>
          </wp:inline>
        </w:drawing>
      </w:r>
    </w:p>
    <w:p w14:paraId="7FE5E73F">
      <w:pPr>
        <w:pStyle w:val="10"/>
        <w:spacing w:line="246" w:lineRule="auto"/>
        <w:rPr>
          <w:rFonts w:hint="eastAsia" w:asciiTheme="minorEastAsia" w:hAnsiTheme="minorEastAsia" w:eastAsiaTheme="minorEastAsia" w:cstheme="minorEastAsia"/>
          <w:color w:val="auto"/>
        </w:rPr>
      </w:pPr>
    </w:p>
    <w:p w14:paraId="6045BCE0">
      <w:pPr>
        <w:pStyle w:val="10"/>
        <w:spacing w:line="247" w:lineRule="auto"/>
        <w:rPr>
          <w:rFonts w:hint="eastAsia" w:asciiTheme="minorEastAsia" w:hAnsiTheme="minorEastAsia" w:eastAsiaTheme="minorEastAsia" w:cstheme="minorEastAsia"/>
          <w:color w:val="auto"/>
        </w:rPr>
      </w:pPr>
    </w:p>
    <w:p w14:paraId="219B3B7D">
      <w:pPr>
        <w:spacing w:before="43" w:line="201" w:lineRule="exact"/>
        <w:ind w:left="2759"/>
        <w:rPr>
          <w:rFonts w:hint="eastAsia" w:asciiTheme="minorEastAsia" w:hAnsiTheme="minorEastAsia" w:eastAsiaTheme="minorEastAsia" w:cstheme="minorEastAsia"/>
          <w:color w:val="auto"/>
          <w:sz w:val="4"/>
          <w:szCs w:val="4"/>
        </w:rPr>
      </w:pPr>
      <w:r>
        <w:rPr>
          <w:rFonts w:hint="eastAsia" w:asciiTheme="minorEastAsia" w:hAnsiTheme="minorEastAsia" w:eastAsiaTheme="minorEastAsia" w:cstheme="minorEastAsia"/>
          <w:color w:val="auto"/>
        </w:rPr>
        <w:pict>
          <v:shape id="_x0000_s1030" o:spid="_x0000_s1030" o:spt="202" type="#_x0000_t202" style="position:absolute;left:0pt;margin-left:-0.95pt;margin-top:-5.95pt;height:11.65pt;width:70.3pt;z-index:251662336;mso-width-relative:page;mso-height-relative:page;" filled="f" stroked="f" coordsize="21600,21600">
            <v:path/>
            <v:fill on="f" focussize="0,0"/>
            <v:stroke on="f"/>
            <v:imagedata o:title=""/>
            <o:lock v:ext="edit" aspectratio="f"/>
            <v:textbox inset="0mm,0mm,0mm,0mm">
              <w:txbxContent>
                <w:p w14:paraId="34BF60EF">
                  <w:pPr>
                    <w:spacing w:before="20" w:line="187" w:lineRule="auto"/>
                    <w:jc w:val="right"/>
                    <w:rPr>
                      <w:rFonts w:ascii="黑体" w:hAnsi="黑体" w:eastAsia="黑体" w:cs="黑体"/>
                      <w:sz w:val="19"/>
                      <w:szCs w:val="19"/>
                    </w:rPr>
                  </w:pPr>
                  <w:r>
                    <w:rPr>
                      <w:rFonts w:ascii="黑体" w:hAnsi="黑体" w:eastAsia="黑体" w:cs="黑体"/>
                      <w:spacing w:val="28"/>
                      <w:sz w:val="19"/>
                      <w:szCs w:val="19"/>
                    </w:rPr>
                    <w:t>相关供应商</w:t>
                  </w:r>
                  <w:r>
                    <w:rPr>
                      <w:rFonts w:ascii="黑体" w:hAnsi="黑体" w:eastAsia="黑体" w:cs="黑体"/>
                      <w:spacing w:val="-39"/>
                      <w:sz w:val="19"/>
                      <w:szCs w:val="19"/>
                    </w:rPr>
                    <w:t xml:space="preserve"> </w:t>
                  </w:r>
                  <w:r>
                    <w:rPr>
                      <w:rFonts w:ascii="黑体" w:hAnsi="黑体" w:eastAsia="黑体" w:cs="黑体"/>
                      <w:spacing w:val="28"/>
                      <w:sz w:val="19"/>
                      <w:szCs w:val="19"/>
                    </w:rPr>
                    <w:t>：</w:t>
                  </w:r>
                </w:p>
              </w:txbxContent>
            </v:textbox>
          </v:shape>
        </w:pict>
      </w:r>
      <w:r>
        <w:rPr>
          <w:rFonts w:hint="eastAsia" w:asciiTheme="minorEastAsia" w:hAnsiTheme="minorEastAsia" w:eastAsiaTheme="minorEastAsia" w:cstheme="minorEastAsia"/>
          <w:color w:val="auto"/>
          <w:position w:val="2"/>
          <w:sz w:val="13"/>
          <w:szCs w:val="13"/>
        </w:rPr>
        <w:t>-----------</w:t>
      </w:r>
      <w:r>
        <w:rPr>
          <w:rFonts w:hint="eastAsia" w:asciiTheme="minorEastAsia" w:hAnsiTheme="minorEastAsia" w:eastAsiaTheme="minorEastAsia" w:cstheme="minorEastAsia"/>
          <w:color w:val="auto"/>
          <w:spacing w:val="14"/>
          <w:position w:val="2"/>
          <w:sz w:val="13"/>
          <w:szCs w:val="13"/>
        </w:rPr>
        <w:t xml:space="preserve">    </w:t>
      </w:r>
      <w:r>
        <w:rPr>
          <w:rFonts w:hint="eastAsia" w:asciiTheme="minorEastAsia" w:hAnsiTheme="minorEastAsia" w:eastAsiaTheme="minorEastAsia" w:cstheme="minorEastAsia"/>
          <w:color w:val="auto"/>
          <w:position w:val="2"/>
          <w:sz w:val="13"/>
          <w:szCs w:val="13"/>
        </w:rPr>
        <w:t xml:space="preserve">-----…      </w:t>
      </w:r>
      <w:r>
        <w:rPr>
          <w:rFonts w:hint="eastAsia" w:asciiTheme="minorEastAsia" w:hAnsiTheme="minorEastAsia" w:eastAsiaTheme="minorEastAsia" w:cstheme="minorEastAsia"/>
          <w:color w:val="auto"/>
          <w:position w:val="4"/>
          <w:sz w:val="4"/>
          <w:szCs w:val="4"/>
        </w:rPr>
        <w:t>-----------------------------------------------------</w:t>
      </w:r>
      <w:r>
        <w:rPr>
          <w:rFonts w:hint="eastAsia" w:asciiTheme="minorEastAsia" w:hAnsiTheme="minorEastAsia" w:eastAsiaTheme="minorEastAsia" w:cstheme="minorEastAsia"/>
          <w:color w:val="auto"/>
          <w:spacing w:val="-1"/>
          <w:position w:val="4"/>
          <w:sz w:val="4"/>
          <w:szCs w:val="4"/>
        </w:rPr>
        <w:t>------------</w:t>
      </w:r>
    </w:p>
    <w:p w14:paraId="6ECA0712">
      <w:pPr>
        <w:spacing w:before="142" w:line="217" w:lineRule="auto"/>
        <w:rPr>
          <w:rFonts w:hint="eastAsia" w:asciiTheme="minorEastAsia" w:hAnsiTheme="minorEastAsia" w:eastAsiaTheme="minorEastAsia" w:cstheme="minorEastAsia"/>
          <w:color w:val="auto"/>
          <w:sz w:val="19"/>
          <w:szCs w:val="19"/>
        </w:rPr>
      </w:pPr>
      <w:r>
        <w:rPr>
          <w:rFonts w:hint="eastAsia" w:asciiTheme="minorEastAsia" w:hAnsiTheme="minorEastAsia" w:eastAsiaTheme="minorEastAsia" w:cstheme="minorEastAsia"/>
          <w:color w:val="auto"/>
          <w:spacing w:val="2"/>
          <w:sz w:val="19"/>
          <w:szCs w:val="19"/>
        </w:rPr>
        <w:t>地</w:t>
      </w:r>
      <w:r>
        <w:rPr>
          <w:rFonts w:hint="eastAsia" w:asciiTheme="minorEastAsia" w:hAnsiTheme="minorEastAsia" w:eastAsiaTheme="minorEastAsia" w:cstheme="minorEastAsia"/>
          <w:color w:val="auto"/>
          <w:spacing w:val="16"/>
          <w:sz w:val="19"/>
          <w:szCs w:val="19"/>
        </w:rPr>
        <w:t xml:space="preserve">      </w:t>
      </w:r>
      <w:r>
        <w:rPr>
          <w:rFonts w:hint="eastAsia" w:asciiTheme="minorEastAsia" w:hAnsiTheme="minorEastAsia" w:eastAsiaTheme="minorEastAsia" w:cstheme="minorEastAsia"/>
          <w:color w:val="auto"/>
          <w:spacing w:val="2"/>
          <w:sz w:val="19"/>
          <w:szCs w:val="19"/>
        </w:rPr>
        <w:t>址：_</w:t>
      </w:r>
      <w:r>
        <w:rPr>
          <w:rFonts w:hint="eastAsia" w:asciiTheme="minorEastAsia" w:hAnsiTheme="minorEastAsia" w:eastAsiaTheme="minorEastAsia" w:cstheme="minorEastAsia"/>
          <w:color w:val="auto"/>
          <w:spacing w:val="-68"/>
          <w:sz w:val="19"/>
          <w:szCs w:val="19"/>
        </w:rPr>
        <w:t xml:space="preserve"> </w:t>
      </w:r>
      <w:r>
        <w:rPr>
          <w:rFonts w:hint="eastAsia" w:asciiTheme="minorEastAsia" w:hAnsiTheme="minorEastAsia" w:eastAsiaTheme="minorEastAsia" w:cstheme="minorEastAsia"/>
          <w:color w:val="auto"/>
          <w:spacing w:val="2"/>
          <w:sz w:val="19"/>
          <w:szCs w:val="19"/>
        </w:rPr>
        <w:t>………………………………………………邮编：</w:t>
      </w:r>
      <w:r>
        <w:rPr>
          <w:rFonts w:hint="eastAsia" w:asciiTheme="minorEastAsia" w:hAnsiTheme="minorEastAsia" w:eastAsiaTheme="minorEastAsia" w:cstheme="minorEastAsia"/>
          <w:color w:val="auto"/>
          <w:spacing w:val="-57"/>
          <w:sz w:val="19"/>
          <w:szCs w:val="19"/>
        </w:rPr>
        <w:t xml:space="preserve"> </w:t>
      </w:r>
      <w:r>
        <w:rPr>
          <w:rFonts w:hint="eastAsia" w:asciiTheme="minorEastAsia" w:hAnsiTheme="minorEastAsia" w:eastAsiaTheme="minorEastAsia" w:cstheme="minorEastAsia"/>
          <w:color w:val="auto"/>
          <w:spacing w:val="2"/>
          <w:sz w:val="19"/>
          <w:szCs w:val="19"/>
        </w:rPr>
        <w:t>………………</w:t>
      </w:r>
    </w:p>
    <w:p w14:paraId="2B3343F8">
      <w:pPr>
        <w:spacing w:before="203" w:line="202" w:lineRule="auto"/>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rPr>
        <w:pict>
          <v:shape id="_x0000_s1031" o:spid="_x0000_s1031" o:spt="202" type="#_x0000_t202" style="position:absolute;left:0pt;margin-left:199.95pt;margin-top:20.45pt;height:3.4pt;width:95.45pt;z-index:251666432;mso-width-relative:page;mso-height-relative:page;" filled="f" stroked="f" coordsize="21600,21600">
            <v:path/>
            <v:fill on="f" focussize="0,0"/>
            <v:stroke on="f"/>
            <v:imagedata o:title=""/>
            <o:lock v:ext="edit" aspectratio="f"/>
            <v:textbox inset="0mm,0mm,0mm,0mm">
              <w:txbxContent>
                <w:p w14:paraId="2E44CB9F">
                  <w:pPr>
                    <w:spacing w:before="20" w:line="27" w:lineRule="exact"/>
                    <w:ind w:left="20"/>
                    <w:rPr>
                      <w:rFonts w:ascii="宋体" w:hAnsi="宋体" w:eastAsia="宋体" w:cs="宋体"/>
                      <w:sz w:val="4"/>
                      <w:szCs w:val="4"/>
                    </w:rPr>
                  </w:pPr>
                  <w:r>
                    <w:rPr>
                      <w:rFonts w:ascii="宋体" w:hAnsi="宋体" w:eastAsia="宋体" w:cs="宋体"/>
                      <w:position w:val="-1"/>
                      <w:sz w:val="4"/>
                      <w:szCs w:val="4"/>
                    </w:rPr>
                    <w:t>----------------------             ----------------------------------------------------------</w:t>
                  </w:r>
                </w:p>
              </w:txbxContent>
            </v:textbox>
          </v:shape>
        </w:pict>
      </w:r>
      <w:r>
        <w:rPr>
          <w:rFonts w:hint="eastAsia" w:asciiTheme="minorEastAsia" w:hAnsiTheme="minorEastAsia" w:eastAsiaTheme="minorEastAsia" w:cstheme="minorEastAsia"/>
          <w:color w:val="auto"/>
          <w:spacing w:val="-20"/>
          <w:sz w:val="19"/>
          <w:szCs w:val="19"/>
        </w:rPr>
        <w:t>联系人：………………………………</w:t>
      </w:r>
      <w:r>
        <w:rPr>
          <w:rFonts w:hint="eastAsia" w:asciiTheme="minorEastAsia" w:hAnsiTheme="minorEastAsia" w:eastAsiaTheme="minorEastAsia" w:cstheme="minorEastAsia"/>
          <w:color w:val="auto"/>
          <w:spacing w:val="69"/>
          <w:sz w:val="19"/>
          <w:szCs w:val="19"/>
        </w:rPr>
        <w:t xml:space="preserve"> </w:t>
      </w:r>
      <w:r>
        <w:rPr>
          <w:rFonts w:hint="eastAsia" w:asciiTheme="minorEastAsia" w:hAnsiTheme="minorEastAsia" w:eastAsiaTheme="minorEastAsia" w:cstheme="minorEastAsia"/>
          <w:color w:val="auto"/>
          <w:spacing w:val="-20"/>
          <w:position w:val="1"/>
          <w:sz w:val="23"/>
          <w:szCs w:val="23"/>
        </w:rPr>
        <w:t>联系电话：</w:t>
      </w:r>
    </w:p>
    <w:p w14:paraId="510A455A">
      <w:pPr>
        <w:spacing w:before="207" w:line="220" w:lineRule="auto"/>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2"/>
          <w:sz w:val="23"/>
          <w:szCs w:val="23"/>
        </w:rPr>
        <w:t>二</w:t>
      </w:r>
      <w:r>
        <w:rPr>
          <w:rFonts w:hint="eastAsia" w:asciiTheme="minorEastAsia" w:hAnsiTheme="minorEastAsia" w:eastAsiaTheme="minorEastAsia" w:cstheme="minorEastAsia"/>
          <w:color w:val="auto"/>
          <w:spacing w:val="-37"/>
          <w:sz w:val="23"/>
          <w:szCs w:val="23"/>
        </w:rPr>
        <w:t xml:space="preserve"> </w:t>
      </w:r>
      <w:r>
        <w:rPr>
          <w:rFonts w:hint="eastAsia" w:asciiTheme="minorEastAsia" w:hAnsiTheme="minorEastAsia" w:eastAsiaTheme="minorEastAsia" w:cstheme="minorEastAsia"/>
          <w:color w:val="auto"/>
          <w:spacing w:val="2"/>
          <w:sz w:val="23"/>
          <w:szCs w:val="23"/>
        </w:rPr>
        <w:t>、投诉项目基本情况</w:t>
      </w:r>
    </w:p>
    <w:p w14:paraId="4E7C0BA4">
      <w:pPr>
        <w:spacing w:before="227" w:line="187" w:lineRule="auto"/>
        <w:rPr>
          <w:rFonts w:hint="eastAsia" w:asciiTheme="minorEastAsia" w:hAnsiTheme="minorEastAsia" w:eastAsiaTheme="minorEastAsia" w:cstheme="minorEastAsia"/>
          <w:color w:val="auto"/>
          <w:sz w:val="19"/>
          <w:szCs w:val="19"/>
        </w:rPr>
      </w:pPr>
      <w:r>
        <w:rPr>
          <w:rFonts w:hint="eastAsia" w:asciiTheme="minorEastAsia" w:hAnsiTheme="minorEastAsia" w:eastAsiaTheme="minorEastAsia" w:cstheme="minorEastAsia"/>
          <w:color w:val="auto"/>
        </w:rPr>
        <w:pict>
          <v:shape id="_x0000_s1032" o:spid="_x0000_s1032" o:spt="202" type="#_x0000_t202" style="position:absolute;left:0pt;margin-left:160pt;margin-top:17.6pt;height:6.1pt;width:60.4pt;z-index:251664384;mso-width-relative:page;mso-height-relative:page;" filled="f" stroked="f" coordsize="21600,21600">
            <v:path/>
            <v:fill on="f" focussize="0,0"/>
            <v:stroke on="f"/>
            <v:imagedata o:title=""/>
            <o:lock v:ext="edit" aspectratio="f"/>
            <v:textbox inset="0mm,0mm,0mm,0mm">
              <w:txbxContent>
                <w:p w14:paraId="4FB8A2A1">
                  <w:pPr>
                    <w:tabs>
                      <w:tab w:val="left" w:pos="65"/>
                    </w:tabs>
                    <w:spacing w:before="20" w:line="84" w:lineRule="auto"/>
                    <w:ind w:left="20"/>
                    <w:rPr>
                      <w:rFonts w:ascii="宋体" w:hAnsi="宋体" w:eastAsia="宋体" w:cs="宋体"/>
                      <w:sz w:val="9"/>
                      <w:szCs w:val="9"/>
                    </w:rPr>
                  </w:pPr>
                  <w:r>
                    <w:rPr>
                      <w:rFonts w:ascii="宋体" w:hAnsi="宋体" w:eastAsia="宋体" w:cs="宋体"/>
                      <w:color w:val="807080"/>
                      <w:position w:val="2"/>
                      <w:sz w:val="9"/>
                      <w:szCs w:val="9"/>
                      <w:u w:val="dotted" w:color="000000"/>
                    </w:rPr>
                    <w:tab/>
                  </w:r>
                  <w:r>
                    <w:rPr>
                      <w:rFonts w:ascii="宋体" w:hAnsi="宋体" w:eastAsia="宋体" w:cs="宋体"/>
                      <w:color w:val="807080"/>
                      <w:position w:val="2"/>
                      <w:sz w:val="9"/>
                      <w:szCs w:val="9"/>
                    </w:rPr>
                    <w:t xml:space="preserve">            </w:t>
                  </w:r>
                  <w:r>
                    <w:rPr>
                      <w:rFonts w:ascii="宋体" w:hAnsi="宋体" w:eastAsia="宋体" w:cs="宋体"/>
                      <w:color w:val="807080"/>
                      <w:spacing w:val="-3"/>
                      <w:position w:val="2"/>
                      <w:sz w:val="9"/>
                      <w:szCs w:val="9"/>
                    </w:rPr>
                    <w:t>-</w:t>
                  </w:r>
                  <w:r>
                    <w:rPr>
                      <w:rFonts w:ascii="宋体" w:hAnsi="宋体" w:eastAsia="宋体" w:cs="宋体"/>
                      <w:color w:val="807080"/>
                      <w:spacing w:val="6"/>
                      <w:position w:val="2"/>
                      <w:sz w:val="9"/>
                      <w:szCs w:val="9"/>
                    </w:rPr>
                    <w:t xml:space="preserve">  </w:t>
                  </w:r>
                  <w:r>
                    <w:rPr>
                      <w:rFonts w:ascii="宋体" w:hAnsi="宋体" w:eastAsia="宋体" w:cs="宋体"/>
                      <w:color w:val="807080"/>
                      <w:spacing w:val="-3"/>
                      <w:sz w:val="9"/>
                      <w:szCs w:val="9"/>
                    </w:rPr>
                    <w:t>.</w:t>
                  </w:r>
                  <w:r>
                    <w:rPr>
                      <w:rFonts w:ascii="宋体" w:hAnsi="宋体" w:eastAsia="宋体" w:cs="宋体"/>
                      <w:color w:val="807080"/>
                      <w:spacing w:val="7"/>
                      <w:sz w:val="9"/>
                      <w:szCs w:val="9"/>
                    </w:rPr>
                    <w:t xml:space="preserve">      </w:t>
                  </w:r>
                  <w:r>
                    <w:rPr>
                      <w:rFonts w:ascii="宋体" w:hAnsi="宋体" w:eastAsia="宋体" w:cs="宋体"/>
                      <w:color w:val="807080"/>
                      <w:spacing w:val="-3"/>
                      <w:position w:val="2"/>
                      <w:sz w:val="9"/>
                      <w:szCs w:val="9"/>
                    </w:rPr>
                    <w:t>--</w:t>
                  </w:r>
                </w:p>
              </w:txbxContent>
            </v:textbox>
          </v:shape>
        </w:pict>
      </w:r>
      <w:r>
        <w:rPr>
          <w:rFonts w:hint="eastAsia" w:asciiTheme="minorEastAsia" w:hAnsiTheme="minorEastAsia" w:eastAsiaTheme="minorEastAsia" w:cstheme="minorEastAsia"/>
          <w:color w:val="auto"/>
          <w:spacing w:val="30"/>
          <w:sz w:val="19"/>
          <w:szCs w:val="19"/>
        </w:rPr>
        <w:t>采购项目名称</w:t>
      </w:r>
      <w:r>
        <w:rPr>
          <w:rFonts w:hint="eastAsia" w:asciiTheme="minorEastAsia" w:hAnsiTheme="minorEastAsia" w:eastAsiaTheme="minorEastAsia" w:cstheme="minorEastAsia"/>
          <w:color w:val="auto"/>
          <w:spacing w:val="-46"/>
          <w:sz w:val="19"/>
          <w:szCs w:val="19"/>
        </w:rPr>
        <w:t xml:space="preserve"> </w:t>
      </w:r>
      <w:r>
        <w:rPr>
          <w:rFonts w:hint="eastAsia" w:asciiTheme="minorEastAsia" w:hAnsiTheme="minorEastAsia" w:eastAsiaTheme="minorEastAsia" w:cstheme="minorEastAsia"/>
          <w:color w:val="auto"/>
          <w:spacing w:val="30"/>
          <w:sz w:val="19"/>
          <w:szCs w:val="19"/>
        </w:rPr>
        <w:t>：</w:t>
      </w:r>
    </w:p>
    <w:p w14:paraId="51C70EAC">
      <w:pPr>
        <w:spacing w:before="277" w:line="221" w:lineRule="auto"/>
        <w:rPr>
          <w:rFonts w:hint="eastAsia" w:asciiTheme="minorEastAsia" w:hAnsiTheme="minorEastAsia" w:eastAsiaTheme="minorEastAsia" w:cstheme="minorEastAsia"/>
          <w:color w:val="auto"/>
          <w:sz w:val="19"/>
          <w:szCs w:val="19"/>
        </w:rPr>
      </w:pPr>
      <w:r>
        <w:rPr>
          <w:rFonts w:hint="eastAsia" w:asciiTheme="minorEastAsia" w:hAnsiTheme="minorEastAsia" w:eastAsiaTheme="minorEastAsia" w:cstheme="minorEastAsia"/>
          <w:color w:val="auto"/>
          <w:spacing w:val="-34"/>
          <w:sz w:val="23"/>
          <w:szCs w:val="23"/>
        </w:rPr>
        <w:t>采购项目编号：……………</w:t>
      </w:r>
      <w:r>
        <w:rPr>
          <w:rFonts w:hint="eastAsia" w:asciiTheme="minorEastAsia" w:hAnsiTheme="minorEastAsia" w:eastAsiaTheme="minorEastAsia" w:cstheme="minorEastAsia"/>
          <w:color w:val="auto"/>
          <w:spacing w:val="1"/>
          <w:sz w:val="23"/>
          <w:szCs w:val="23"/>
        </w:rPr>
        <w:t xml:space="preserve">        </w:t>
      </w:r>
      <w:r>
        <w:rPr>
          <w:rFonts w:hint="eastAsia" w:asciiTheme="minorEastAsia" w:hAnsiTheme="minorEastAsia" w:eastAsiaTheme="minorEastAsia" w:cstheme="minorEastAsia"/>
          <w:color w:val="auto"/>
          <w:spacing w:val="-34"/>
          <w:sz w:val="23"/>
          <w:szCs w:val="23"/>
        </w:rPr>
        <w:t>…………</w:t>
      </w:r>
      <w:r>
        <w:rPr>
          <w:rFonts w:hint="eastAsia" w:asciiTheme="minorEastAsia" w:hAnsiTheme="minorEastAsia" w:eastAsiaTheme="minorEastAsia" w:cstheme="minorEastAsia"/>
          <w:color w:val="auto"/>
          <w:spacing w:val="7"/>
          <w:sz w:val="23"/>
          <w:szCs w:val="23"/>
        </w:rPr>
        <w:t xml:space="preserve">    </w:t>
      </w:r>
      <w:r>
        <w:rPr>
          <w:rFonts w:hint="eastAsia" w:asciiTheme="minorEastAsia" w:hAnsiTheme="minorEastAsia" w:eastAsiaTheme="minorEastAsia" w:cstheme="minorEastAsia"/>
          <w:color w:val="auto"/>
          <w:spacing w:val="-34"/>
          <w:position w:val="2"/>
          <w:sz w:val="19"/>
          <w:szCs w:val="19"/>
        </w:rPr>
        <w:t>包</w:t>
      </w:r>
      <w:r>
        <w:rPr>
          <w:rFonts w:hint="eastAsia" w:asciiTheme="minorEastAsia" w:hAnsiTheme="minorEastAsia" w:eastAsiaTheme="minorEastAsia" w:cstheme="minorEastAsia"/>
          <w:color w:val="auto"/>
          <w:spacing w:val="-24"/>
          <w:position w:val="2"/>
          <w:sz w:val="19"/>
          <w:szCs w:val="19"/>
        </w:rPr>
        <w:t xml:space="preserve"> </w:t>
      </w:r>
      <w:r>
        <w:rPr>
          <w:rFonts w:hint="eastAsia" w:asciiTheme="minorEastAsia" w:hAnsiTheme="minorEastAsia" w:eastAsiaTheme="minorEastAsia" w:cstheme="minorEastAsia"/>
          <w:color w:val="auto"/>
          <w:spacing w:val="-34"/>
          <w:position w:val="2"/>
          <w:sz w:val="19"/>
          <w:szCs w:val="19"/>
        </w:rPr>
        <w:t>号</w:t>
      </w:r>
      <w:r>
        <w:rPr>
          <w:rFonts w:hint="eastAsia" w:asciiTheme="minorEastAsia" w:hAnsiTheme="minorEastAsia" w:eastAsiaTheme="minorEastAsia" w:cstheme="minorEastAsia"/>
          <w:color w:val="auto"/>
          <w:spacing w:val="-37"/>
          <w:position w:val="2"/>
          <w:sz w:val="19"/>
          <w:szCs w:val="19"/>
        </w:rPr>
        <w:t xml:space="preserve"> </w:t>
      </w:r>
      <w:r>
        <w:rPr>
          <w:rFonts w:hint="eastAsia" w:asciiTheme="minorEastAsia" w:hAnsiTheme="minorEastAsia" w:eastAsiaTheme="minorEastAsia" w:cstheme="minorEastAsia"/>
          <w:color w:val="auto"/>
          <w:spacing w:val="-34"/>
          <w:position w:val="2"/>
          <w:sz w:val="19"/>
          <w:szCs w:val="19"/>
        </w:rPr>
        <w:t>：</w:t>
      </w:r>
    </w:p>
    <w:p w14:paraId="7559F781">
      <w:pPr>
        <w:spacing w:before="224" w:line="222" w:lineRule="auto"/>
        <w:rPr>
          <w:rFonts w:hint="eastAsia" w:asciiTheme="minorEastAsia" w:hAnsiTheme="minorEastAsia" w:eastAsiaTheme="minorEastAsia" w:cstheme="minorEastAsia"/>
          <w:color w:val="auto"/>
          <w:sz w:val="19"/>
          <w:szCs w:val="19"/>
        </w:rPr>
      </w:pPr>
      <w:r>
        <w:rPr>
          <w:rFonts w:hint="eastAsia" w:asciiTheme="minorEastAsia" w:hAnsiTheme="minorEastAsia" w:eastAsiaTheme="minorEastAsia" w:cstheme="minorEastAsia"/>
          <w:color w:val="auto"/>
          <w:spacing w:val="3"/>
          <w:sz w:val="19"/>
          <w:szCs w:val="19"/>
        </w:rPr>
        <w:t>采购人名称：</w:t>
      </w:r>
      <w:r>
        <w:rPr>
          <w:rFonts w:hint="eastAsia" w:asciiTheme="minorEastAsia" w:hAnsiTheme="minorEastAsia" w:eastAsiaTheme="minorEastAsia" w:cstheme="minorEastAsia"/>
          <w:color w:val="auto"/>
          <w:spacing w:val="-42"/>
          <w:sz w:val="19"/>
          <w:szCs w:val="19"/>
        </w:rPr>
        <w:t xml:space="preserve"> </w:t>
      </w:r>
      <w:r>
        <w:rPr>
          <w:rFonts w:hint="eastAsia" w:asciiTheme="minorEastAsia" w:hAnsiTheme="minorEastAsia" w:eastAsiaTheme="minorEastAsia" w:cstheme="minorEastAsia"/>
          <w:color w:val="auto"/>
          <w:spacing w:val="3"/>
          <w:sz w:val="19"/>
          <w:szCs w:val="19"/>
        </w:rPr>
        <w:t>…………………………………………</w:t>
      </w:r>
    </w:p>
    <w:p w14:paraId="2BFCF819">
      <w:pPr>
        <w:spacing w:before="192" w:line="222" w:lineRule="auto"/>
        <w:rPr>
          <w:rFonts w:hint="eastAsia" w:asciiTheme="minorEastAsia" w:hAnsiTheme="minorEastAsia" w:eastAsiaTheme="minorEastAsia" w:cstheme="minorEastAsia"/>
          <w:color w:val="auto"/>
          <w:sz w:val="19"/>
          <w:szCs w:val="19"/>
        </w:rPr>
      </w:pPr>
      <w:r>
        <w:rPr>
          <w:rFonts w:hint="eastAsia" w:asciiTheme="minorEastAsia" w:hAnsiTheme="minorEastAsia" w:eastAsiaTheme="minorEastAsia" w:cstheme="minorEastAsia"/>
          <w:color w:val="auto"/>
          <w:spacing w:val="37"/>
          <w:sz w:val="19"/>
          <w:szCs w:val="19"/>
        </w:rPr>
        <w:t>代理机构名称</w:t>
      </w:r>
      <w:r>
        <w:rPr>
          <w:rFonts w:hint="eastAsia" w:asciiTheme="minorEastAsia" w:hAnsiTheme="minorEastAsia" w:eastAsiaTheme="minorEastAsia" w:cstheme="minorEastAsia"/>
          <w:color w:val="auto"/>
          <w:spacing w:val="-35"/>
          <w:sz w:val="19"/>
          <w:szCs w:val="19"/>
        </w:rPr>
        <w:t xml:space="preserve"> </w:t>
      </w:r>
      <w:r>
        <w:rPr>
          <w:rFonts w:hint="eastAsia" w:asciiTheme="minorEastAsia" w:hAnsiTheme="minorEastAsia" w:eastAsiaTheme="minorEastAsia" w:cstheme="minorEastAsia"/>
          <w:color w:val="auto"/>
          <w:spacing w:val="37"/>
          <w:sz w:val="19"/>
          <w:szCs w:val="19"/>
        </w:rPr>
        <w:t>：</w:t>
      </w:r>
    </w:p>
    <w:p w14:paraId="4EB8B12E">
      <w:pPr>
        <w:spacing w:before="271" w:line="222" w:lineRule="auto"/>
        <w:rPr>
          <w:rFonts w:hint="eastAsia" w:asciiTheme="minorEastAsia" w:hAnsiTheme="minorEastAsia" w:eastAsiaTheme="minorEastAsia" w:cstheme="minorEastAsia"/>
          <w:color w:val="auto"/>
          <w:sz w:val="19"/>
          <w:szCs w:val="19"/>
        </w:rPr>
      </w:pPr>
      <w:r>
        <w:rPr>
          <w:rFonts w:hint="eastAsia" w:asciiTheme="minorEastAsia" w:hAnsiTheme="minorEastAsia" w:eastAsiaTheme="minorEastAsia" w:cstheme="minorEastAsia"/>
          <w:color w:val="auto"/>
          <w:spacing w:val="-1"/>
          <w:sz w:val="19"/>
          <w:szCs w:val="19"/>
        </w:rPr>
        <w:t>采购文件公告：是/否公告期限：……………………………………………</w:t>
      </w:r>
      <w:r>
        <w:rPr>
          <w:rFonts w:hint="eastAsia" w:asciiTheme="minorEastAsia" w:hAnsiTheme="minorEastAsia" w:eastAsiaTheme="minorEastAsia" w:cstheme="minorEastAsia"/>
          <w:color w:val="auto"/>
          <w:spacing w:val="-2"/>
          <w:sz w:val="19"/>
          <w:szCs w:val="19"/>
        </w:rPr>
        <w:t>……</w:t>
      </w:r>
    </w:p>
    <w:p w14:paraId="1F984169">
      <w:pPr>
        <w:spacing w:before="246" w:line="217" w:lineRule="auto"/>
        <w:rPr>
          <w:rFonts w:hint="eastAsia" w:asciiTheme="minorEastAsia" w:hAnsiTheme="minorEastAsia" w:eastAsiaTheme="minorEastAsia" w:cstheme="minorEastAsia"/>
          <w:color w:val="auto"/>
          <w:sz w:val="19"/>
          <w:szCs w:val="19"/>
        </w:rPr>
      </w:pPr>
      <w:r>
        <w:rPr>
          <w:rFonts w:hint="eastAsia" w:asciiTheme="minorEastAsia" w:hAnsiTheme="minorEastAsia" w:eastAsiaTheme="minorEastAsia" w:cstheme="minorEastAsia"/>
          <w:color w:val="auto"/>
          <w:spacing w:val="-24"/>
          <w:sz w:val="19"/>
          <w:szCs w:val="19"/>
        </w:rPr>
        <w:t>采购结果公告：是/否公告期限：_….………………………………………………</w:t>
      </w:r>
      <w:r>
        <w:rPr>
          <w:rFonts w:hint="eastAsia" w:asciiTheme="minorEastAsia" w:hAnsiTheme="minorEastAsia" w:eastAsiaTheme="minorEastAsia" w:cstheme="minorEastAsia"/>
          <w:color w:val="auto"/>
          <w:spacing w:val="-25"/>
          <w:sz w:val="19"/>
          <w:szCs w:val="19"/>
        </w:rPr>
        <w:t>…………</w:t>
      </w:r>
    </w:p>
    <w:p w14:paraId="68BB6EB4">
      <w:pPr>
        <w:spacing w:before="183" w:line="221" w:lineRule="auto"/>
        <w:rPr>
          <w:rFonts w:hint="eastAsia" w:asciiTheme="minorEastAsia" w:hAnsiTheme="minorEastAsia" w:eastAsiaTheme="minorEastAsia" w:cstheme="minorEastAsia"/>
          <w:color w:val="auto"/>
          <w:sz w:val="23"/>
          <w:szCs w:val="23"/>
        </w:rPr>
      </w:pPr>
      <w:r>
        <w:rPr>
          <w:rFonts w:hint="eastAsia" w:asciiTheme="minorEastAsia" w:hAnsiTheme="minorEastAsia" w:eastAsiaTheme="minorEastAsia" w:cstheme="minorEastAsia"/>
          <w:color w:val="auto"/>
          <w:spacing w:val="2"/>
          <w:sz w:val="23"/>
          <w:szCs w:val="23"/>
        </w:rPr>
        <w:t>三</w:t>
      </w:r>
      <w:r>
        <w:rPr>
          <w:rFonts w:hint="eastAsia" w:asciiTheme="minorEastAsia" w:hAnsiTheme="minorEastAsia" w:eastAsiaTheme="minorEastAsia" w:cstheme="minorEastAsia"/>
          <w:color w:val="auto"/>
          <w:spacing w:val="-44"/>
          <w:sz w:val="23"/>
          <w:szCs w:val="23"/>
        </w:rPr>
        <w:t xml:space="preserve"> </w:t>
      </w:r>
      <w:r>
        <w:rPr>
          <w:rFonts w:hint="eastAsia" w:asciiTheme="minorEastAsia" w:hAnsiTheme="minorEastAsia" w:eastAsiaTheme="minorEastAsia" w:cstheme="minorEastAsia"/>
          <w:color w:val="auto"/>
          <w:spacing w:val="2"/>
          <w:sz w:val="23"/>
          <w:szCs w:val="23"/>
        </w:rPr>
        <w:t>、质疑基本情况</w:t>
      </w:r>
    </w:p>
    <w:p w14:paraId="2D13BA53">
      <w:pPr>
        <w:spacing w:before="235" w:line="213" w:lineRule="auto"/>
        <w:jc w:val="right"/>
        <w:rPr>
          <w:rFonts w:hint="eastAsia" w:asciiTheme="minorEastAsia" w:hAnsiTheme="minorEastAsia" w:eastAsiaTheme="minorEastAsia" w:cstheme="minorEastAsia"/>
          <w:color w:val="auto"/>
          <w:sz w:val="19"/>
          <w:szCs w:val="19"/>
        </w:rPr>
      </w:pPr>
      <w:r>
        <w:rPr>
          <w:rFonts w:hint="eastAsia" w:asciiTheme="minorEastAsia" w:hAnsiTheme="minorEastAsia" w:eastAsiaTheme="minorEastAsia" w:cstheme="minorEastAsia"/>
          <w:color w:val="auto"/>
          <w:spacing w:val="18"/>
          <w:sz w:val="19"/>
          <w:szCs w:val="19"/>
        </w:rPr>
        <w:t>投诉人于...年_.._月...</w:t>
      </w:r>
      <w:r>
        <w:rPr>
          <w:rFonts w:hint="eastAsia" w:asciiTheme="minorEastAsia" w:hAnsiTheme="minorEastAsia" w:eastAsiaTheme="minorEastAsia" w:cstheme="minorEastAsia"/>
          <w:color w:val="auto"/>
          <w:spacing w:val="-37"/>
          <w:sz w:val="19"/>
          <w:szCs w:val="19"/>
        </w:rPr>
        <w:t xml:space="preserve"> </w:t>
      </w:r>
      <w:r>
        <w:rPr>
          <w:rFonts w:hint="eastAsia" w:asciiTheme="minorEastAsia" w:hAnsiTheme="minorEastAsia" w:eastAsiaTheme="minorEastAsia" w:cstheme="minorEastAsia"/>
          <w:color w:val="auto"/>
          <w:spacing w:val="18"/>
          <w:sz w:val="19"/>
          <w:szCs w:val="19"/>
        </w:rPr>
        <w:t>日，向………………………………提出质疑，质疑事项为：</w:t>
      </w:r>
    </w:p>
    <w:p w14:paraId="17738CFF">
      <w:pPr>
        <w:spacing w:line="213" w:lineRule="auto"/>
        <w:rPr>
          <w:rFonts w:hint="eastAsia" w:asciiTheme="minorEastAsia" w:hAnsiTheme="minorEastAsia" w:eastAsiaTheme="minorEastAsia" w:cstheme="minorEastAsia"/>
          <w:color w:val="auto"/>
          <w:sz w:val="19"/>
          <w:szCs w:val="19"/>
        </w:rPr>
        <w:sectPr>
          <w:footerReference r:id="rId61" w:type="default"/>
          <w:pgSz w:w="11900" w:h="16830"/>
          <w:pgMar w:top="1430" w:right="1774" w:bottom="1362" w:left="1770" w:header="0" w:footer="1191" w:gutter="0"/>
          <w:cols w:space="720" w:num="1"/>
        </w:sectPr>
      </w:pPr>
    </w:p>
    <w:p w14:paraId="01D02064">
      <w:pPr>
        <w:spacing w:before="62" w:line="336" w:lineRule="auto"/>
        <w:ind w:left="9" w:right="14" w:firstLine="36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采购人/采购代理机构于._._年.._月……日，就质疑事项作出了答复/没有在法</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1"/>
          <w:sz w:val="24"/>
          <w:szCs w:val="24"/>
        </w:rPr>
        <w:t>定期限内作出答复。</w:t>
      </w:r>
    </w:p>
    <w:p w14:paraId="47FDC447">
      <w:pPr>
        <w:spacing w:before="33" w:line="219" w:lineRule="auto"/>
        <w:ind w:left="3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四</w:t>
      </w:r>
      <w:r>
        <w:rPr>
          <w:rFonts w:hint="eastAsia" w:asciiTheme="minorEastAsia" w:hAnsiTheme="minorEastAsia" w:eastAsiaTheme="minorEastAsia" w:cstheme="minorEastAsia"/>
          <w:color w:val="auto"/>
          <w:spacing w:val="-49"/>
          <w:sz w:val="24"/>
          <w:szCs w:val="24"/>
        </w:rPr>
        <w:t xml:space="preserve"> </w:t>
      </w:r>
      <w:r>
        <w:rPr>
          <w:rFonts w:hint="eastAsia" w:asciiTheme="minorEastAsia" w:hAnsiTheme="minorEastAsia" w:eastAsiaTheme="minorEastAsia" w:cstheme="minorEastAsia"/>
          <w:color w:val="auto"/>
          <w:spacing w:val="-7"/>
          <w:sz w:val="24"/>
          <w:szCs w:val="24"/>
        </w:rPr>
        <w:t>、投诉事项具体内容</w:t>
      </w:r>
    </w:p>
    <w:p w14:paraId="7AB1B907">
      <w:pPr>
        <w:spacing w:before="222" w:line="22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投诉事项1:   ………………………………………………</w:t>
      </w:r>
    </w:p>
    <w:p w14:paraId="4AF89EEE">
      <w:pPr>
        <w:spacing w:before="195" w:line="222"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事实依据：</w:t>
      </w:r>
      <w:r>
        <w:rPr>
          <w:rFonts w:hint="eastAsia" w:asciiTheme="minorEastAsia" w:hAnsiTheme="minorEastAsia" w:eastAsiaTheme="minorEastAsia" w:cstheme="minorEastAsia"/>
          <w:color w:val="auto"/>
          <w:spacing w:val="72"/>
          <w:sz w:val="24"/>
          <w:szCs w:val="24"/>
        </w:rPr>
        <w:t xml:space="preserve"> </w:t>
      </w:r>
      <w:r>
        <w:rPr>
          <w:rFonts w:hint="eastAsia" w:asciiTheme="minorEastAsia" w:hAnsiTheme="minorEastAsia" w:eastAsiaTheme="minorEastAsia" w:cstheme="minorEastAsia"/>
          <w:color w:val="auto"/>
          <w:spacing w:val="-1"/>
          <w:sz w:val="24"/>
          <w:szCs w:val="24"/>
        </w:rPr>
        <w:t>……………………………………………………</w:t>
      </w:r>
    </w:p>
    <w:p w14:paraId="66806C2A">
      <w:pPr>
        <w:pStyle w:val="10"/>
        <w:tabs>
          <w:tab w:val="left" w:pos="2418"/>
        </w:tabs>
        <w:spacing w:before="187"/>
        <w:ind w:left="4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u w:val="single" w:color="auto"/>
        </w:rPr>
        <w:tab/>
      </w:r>
    </w:p>
    <w:p w14:paraId="6B8CDBAE">
      <w:pPr>
        <w:spacing w:before="222" w:line="222" w:lineRule="auto"/>
        <w:ind w:left="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9"/>
          <w:sz w:val="24"/>
          <w:szCs w:val="24"/>
        </w:rPr>
        <w:t>法律依据：</w:t>
      </w:r>
      <w:r>
        <w:rPr>
          <w:rFonts w:hint="eastAsia" w:asciiTheme="minorEastAsia" w:hAnsiTheme="minorEastAsia" w:eastAsiaTheme="minorEastAsia" w:cstheme="minorEastAsia"/>
          <w:color w:val="auto"/>
          <w:spacing w:val="61"/>
          <w:sz w:val="24"/>
          <w:szCs w:val="24"/>
        </w:rPr>
        <w:t xml:space="preserve"> </w:t>
      </w:r>
      <w:r>
        <w:rPr>
          <w:rFonts w:hint="eastAsia" w:asciiTheme="minorEastAsia" w:hAnsiTheme="minorEastAsia" w:eastAsiaTheme="minorEastAsia" w:cstheme="minorEastAsia"/>
          <w:color w:val="auto"/>
          <w:spacing w:val="-9"/>
          <w:sz w:val="24"/>
          <w:szCs w:val="24"/>
        </w:rPr>
        <w:t>………………………………………………………</w:t>
      </w:r>
    </w:p>
    <w:p w14:paraId="1CD66ECC">
      <w:pPr>
        <w:spacing w:before="12" w:line="19" w:lineRule="exact"/>
        <w:ind w:left="629"/>
        <w:rPr>
          <w:rFonts w:hint="eastAsia" w:asciiTheme="minorEastAsia" w:hAnsiTheme="minorEastAsia" w:eastAsiaTheme="minorEastAsia" w:cstheme="minorEastAsia"/>
          <w:color w:val="auto"/>
          <w:sz w:val="4"/>
          <w:szCs w:val="4"/>
        </w:rPr>
      </w:pPr>
      <w:r>
        <w:rPr>
          <w:rFonts w:hint="eastAsia" w:asciiTheme="minorEastAsia" w:hAnsiTheme="minorEastAsia" w:eastAsiaTheme="minorEastAsia" w:cstheme="minorEastAsia"/>
          <w:color w:val="auto"/>
          <w:sz w:val="4"/>
          <w:szCs w:val="4"/>
        </w:rPr>
        <w:t>-------------------------------------------------------------------------------------------------------</w:t>
      </w:r>
      <w:r>
        <w:rPr>
          <w:rFonts w:hint="eastAsia" w:asciiTheme="minorEastAsia" w:hAnsiTheme="minorEastAsia" w:eastAsiaTheme="minorEastAsia" w:cstheme="minorEastAsia"/>
          <w:color w:val="auto"/>
          <w:spacing w:val="-1"/>
          <w:sz w:val="4"/>
          <w:szCs w:val="4"/>
        </w:rPr>
        <w:t>---</w:t>
      </w:r>
    </w:p>
    <w:p w14:paraId="78F8E842">
      <w:pPr>
        <w:spacing w:before="192" w:line="220" w:lineRule="auto"/>
        <w:ind w:left="1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8"/>
          <w:sz w:val="24"/>
          <w:szCs w:val="24"/>
        </w:rPr>
        <w:t>投诉事项2</w:t>
      </w:r>
    </w:p>
    <w:p w14:paraId="562398F2">
      <w:pPr>
        <w:pStyle w:val="10"/>
        <w:spacing w:line="241" w:lineRule="auto"/>
        <w:rPr>
          <w:rFonts w:hint="eastAsia" w:asciiTheme="minorEastAsia" w:hAnsiTheme="minorEastAsia" w:eastAsiaTheme="minorEastAsia" w:cstheme="minorEastAsia"/>
          <w:color w:val="auto"/>
        </w:rPr>
      </w:pPr>
    </w:p>
    <w:p w14:paraId="48C38B61">
      <w:pPr>
        <w:spacing w:before="1" w:line="50" w:lineRule="exact"/>
        <w:ind w:left="2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position w:val="-1"/>
        </w:rPr>
        <w:drawing>
          <wp:inline distT="0" distB="0" distL="0" distR="0">
            <wp:extent cx="292100" cy="3111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69"/>
                    <a:stretch>
                      <a:fillRect/>
                    </a:stretch>
                  </pic:blipFill>
                  <pic:spPr>
                    <a:xfrm>
                      <a:off x="0" y="0"/>
                      <a:ext cx="292134" cy="31740"/>
                    </a:xfrm>
                    <a:prstGeom prst="rect">
                      <a:avLst/>
                    </a:prstGeom>
                  </pic:spPr>
                </pic:pic>
              </a:graphicData>
            </a:graphic>
          </wp:inline>
        </w:drawing>
      </w:r>
    </w:p>
    <w:p w14:paraId="25D00198">
      <w:pPr>
        <w:pStyle w:val="10"/>
        <w:spacing w:line="271" w:lineRule="auto"/>
        <w:rPr>
          <w:rFonts w:hint="eastAsia" w:asciiTheme="minorEastAsia" w:hAnsiTheme="minorEastAsia" w:eastAsiaTheme="minorEastAsia" w:cstheme="minorEastAsia"/>
          <w:color w:val="auto"/>
        </w:rPr>
      </w:pPr>
    </w:p>
    <w:p w14:paraId="0D5BCDA3">
      <w:pPr>
        <w:spacing w:before="78" w:line="220" w:lineRule="auto"/>
        <w:ind w:left="1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五</w:t>
      </w:r>
      <w:r>
        <w:rPr>
          <w:rFonts w:hint="eastAsia" w:asciiTheme="minorEastAsia" w:hAnsiTheme="minorEastAsia" w:eastAsiaTheme="minorEastAsia" w:cstheme="minorEastAsia"/>
          <w:color w:val="auto"/>
          <w:spacing w:val="-40"/>
          <w:sz w:val="24"/>
          <w:szCs w:val="24"/>
        </w:rPr>
        <w:t xml:space="preserve"> </w:t>
      </w:r>
      <w:r>
        <w:rPr>
          <w:rFonts w:hint="eastAsia" w:asciiTheme="minorEastAsia" w:hAnsiTheme="minorEastAsia" w:eastAsiaTheme="minorEastAsia" w:cstheme="minorEastAsia"/>
          <w:color w:val="auto"/>
          <w:spacing w:val="-5"/>
          <w:sz w:val="24"/>
          <w:szCs w:val="24"/>
        </w:rPr>
        <w:t>、与投诉事项相关的投诉请求</w:t>
      </w:r>
    </w:p>
    <w:p w14:paraId="75002C70">
      <w:pPr>
        <w:spacing w:before="214" w:line="223"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请求：………………………</w:t>
      </w:r>
    </w:p>
    <w:p w14:paraId="3DA441B6">
      <w:pPr>
        <w:pStyle w:val="10"/>
        <w:spacing w:line="268" w:lineRule="auto"/>
        <w:rPr>
          <w:rFonts w:hint="eastAsia" w:asciiTheme="minorEastAsia" w:hAnsiTheme="minorEastAsia" w:eastAsiaTheme="minorEastAsia" w:cstheme="minorEastAsia"/>
          <w:color w:val="auto"/>
        </w:rPr>
      </w:pPr>
    </w:p>
    <w:p w14:paraId="182A8C54">
      <w:pPr>
        <w:pStyle w:val="10"/>
        <w:spacing w:line="269" w:lineRule="auto"/>
        <w:rPr>
          <w:rFonts w:hint="eastAsia" w:asciiTheme="minorEastAsia" w:hAnsiTheme="minorEastAsia" w:eastAsiaTheme="minorEastAsia" w:cstheme="minorEastAsia"/>
          <w:color w:val="auto"/>
        </w:rPr>
      </w:pPr>
    </w:p>
    <w:p w14:paraId="6EC09687">
      <w:pPr>
        <w:spacing w:before="79" w:line="226" w:lineRule="auto"/>
        <w:ind w:left="1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签字(签章):</w:t>
      </w:r>
      <w:r>
        <w:rPr>
          <w:rFonts w:hint="eastAsia" w:asciiTheme="minorEastAsia" w:hAnsiTheme="minorEastAsia" w:eastAsiaTheme="minorEastAsia" w:cstheme="minorEastAsia"/>
          <w:color w:val="auto"/>
          <w:spacing w:val="5"/>
          <w:sz w:val="24"/>
          <w:szCs w:val="24"/>
        </w:rPr>
        <w:t xml:space="preserve">                   </w:t>
      </w:r>
      <w:r>
        <w:rPr>
          <w:rFonts w:hint="eastAsia" w:asciiTheme="minorEastAsia" w:hAnsiTheme="minorEastAsia" w:eastAsiaTheme="minorEastAsia" w:cstheme="minorEastAsia"/>
          <w:color w:val="auto"/>
          <w:spacing w:val="-1"/>
          <w:position w:val="-1"/>
          <w:sz w:val="24"/>
          <w:szCs w:val="24"/>
        </w:rPr>
        <w:t>公章：</w:t>
      </w:r>
    </w:p>
    <w:p w14:paraId="67D4F999">
      <w:pPr>
        <w:spacing w:before="167" w:line="220" w:lineRule="auto"/>
        <w:ind w:left="5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6"/>
          <w:sz w:val="24"/>
          <w:szCs w:val="24"/>
        </w:rPr>
        <w:t>日期：</w:t>
      </w:r>
    </w:p>
    <w:p w14:paraId="0F56347F">
      <w:pPr>
        <w:pStyle w:val="10"/>
        <w:spacing w:line="283" w:lineRule="auto"/>
        <w:rPr>
          <w:rFonts w:hint="eastAsia" w:asciiTheme="minorEastAsia" w:hAnsiTheme="minorEastAsia" w:eastAsiaTheme="minorEastAsia" w:cstheme="minorEastAsia"/>
          <w:color w:val="auto"/>
        </w:rPr>
      </w:pPr>
    </w:p>
    <w:p w14:paraId="7B9F4DF5">
      <w:pPr>
        <w:pStyle w:val="10"/>
        <w:spacing w:line="283" w:lineRule="auto"/>
        <w:rPr>
          <w:rFonts w:hint="eastAsia" w:asciiTheme="minorEastAsia" w:hAnsiTheme="minorEastAsia" w:eastAsiaTheme="minorEastAsia" w:cstheme="minorEastAsia"/>
          <w:color w:val="auto"/>
        </w:rPr>
      </w:pPr>
    </w:p>
    <w:p w14:paraId="31B1E81F">
      <w:pPr>
        <w:spacing w:before="79" w:line="219" w:lineRule="auto"/>
        <w:ind w:left="1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6"/>
          <w:sz w:val="24"/>
          <w:szCs w:val="24"/>
        </w:rPr>
        <w:t>投诉书制作说明：</w:t>
      </w:r>
    </w:p>
    <w:p w14:paraId="20DE7141">
      <w:pPr>
        <w:spacing w:before="170" w:line="290" w:lineRule="auto"/>
        <w:ind w:left="9" w:right="11" w:firstLine="5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1.投诉人提起投诉时，应当提交投诉书和必要的证明材料，</w:t>
      </w:r>
      <w:r>
        <w:rPr>
          <w:rFonts w:hint="eastAsia" w:asciiTheme="minorEastAsia" w:hAnsiTheme="minorEastAsia" w:eastAsiaTheme="minorEastAsia" w:cstheme="minorEastAsia"/>
          <w:color w:val="auto"/>
          <w:spacing w:val="-2"/>
          <w:sz w:val="24"/>
          <w:szCs w:val="24"/>
        </w:rPr>
        <w:t>并按照被投诉人</w:t>
      </w:r>
      <w:r>
        <w:rPr>
          <w:rFonts w:hint="eastAsia" w:asciiTheme="minorEastAsia" w:hAnsiTheme="minorEastAsia" w:eastAsiaTheme="minorEastAsia" w:cstheme="minorEastAsia"/>
          <w:color w:val="auto"/>
          <w:sz w:val="24"/>
          <w:szCs w:val="24"/>
        </w:rPr>
        <w:t xml:space="preserve"> 和与投诉事项有关的供应商数量提供投诉书副</w:t>
      </w:r>
      <w:r>
        <w:rPr>
          <w:rFonts w:hint="eastAsia" w:asciiTheme="minorEastAsia" w:hAnsiTheme="minorEastAsia" w:eastAsiaTheme="minorEastAsia" w:cstheme="minorEastAsia"/>
          <w:color w:val="auto"/>
          <w:spacing w:val="-1"/>
          <w:sz w:val="24"/>
          <w:szCs w:val="24"/>
        </w:rPr>
        <w:t>本。</w:t>
      </w:r>
    </w:p>
    <w:p w14:paraId="591564EA">
      <w:pPr>
        <w:spacing w:before="187" w:line="314" w:lineRule="auto"/>
        <w:ind w:left="9" w:firstLine="51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2.投诉人若委托代理人进行投诉的，投诉书应按照要求列明“授权代表”的</w:t>
      </w:r>
      <w:r>
        <w:rPr>
          <w:rFonts w:hint="eastAsia" w:asciiTheme="minorEastAsia" w:hAnsiTheme="minorEastAsia" w:eastAsiaTheme="minorEastAsia" w:cstheme="minorEastAsia"/>
          <w:color w:val="auto"/>
          <w:spacing w:val="1"/>
          <w:sz w:val="24"/>
          <w:szCs w:val="24"/>
        </w:rPr>
        <w:t xml:space="preserve"> </w:t>
      </w:r>
      <w:r>
        <w:rPr>
          <w:rFonts w:hint="eastAsia" w:asciiTheme="minorEastAsia" w:hAnsiTheme="minorEastAsia" w:eastAsiaTheme="minorEastAsia" w:cstheme="minorEastAsia"/>
          <w:color w:val="auto"/>
          <w:spacing w:val="-1"/>
          <w:sz w:val="24"/>
          <w:szCs w:val="24"/>
        </w:rPr>
        <w:t>有关内容，并在附件中提交由投诉人签署的授权</w:t>
      </w:r>
      <w:r>
        <w:rPr>
          <w:rFonts w:hint="eastAsia" w:asciiTheme="minorEastAsia" w:hAnsiTheme="minorEastAsia" w:eastAsiaTheme="minorEastAsia" w:cstheme="minorEastAsia"/>
          <w:color w:val="auto"/>
          <w:spacing w:val="-2"/>
          <w:sz w:val="24"/>
          <w:szCs w:val="24"/>
        </w:rPr>
        <w:t>委托书。授权委托书应当载明代</w:t>
      </w:r>
      <w:r>
        <w:rPr>
          <w:rFonts w:hint="eastAsia" w:asciiTheme="minorEastAsia" w:hAnsiTheme="minorEastAsia" w:eastAsiaTheme="minorEastAsia" w:cstheme="minorEastAsia"/>
          <w:color w:val="auto"/>
          <w:sz w:val="24"/>
          <w:szCs w:val="24"/>
        </w:rPr>
        <w:t xml:space="preserve"> 理人的姓名或者名称、代理事项、具体权限、期限和相关事项。</w:t>
      </w:r>
    </w:p>
    <w:p w14:paraId="6BF29018">
      <w:pPr>
        <w:spacing w:before="183" w:line="219" w:lineRule="auto"/>
        <w:ind w:left="5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3.投诉人若对项目的某一分包进行投诉，投诉书应列明具体分包</w:t>
      </w:r>
      <w:r>
        <w:rPr>
          <w:rFonts w:hint="eastAsia" w:asciiTheme="minorEastAsia" w:hAnsiTheme="minorEastAsia" w:eastAsiaTheme="minorEastAsia" w:cstheme="minorEastAsia"/>
          <w:color w:val="auto"/>
          <w:sz w:val="24"/>
          <w:szCs w:val="24"/>
        </w:rPr>
        <w:t>号。</w:t>
      </w:r>
    </w:p>
    <w:p w14:paraId="3DD07128">
      <w:pPr>
        <w:spacing w:before="185" w:line="219" w:lineRule="auto"/>
        <w:ind w:left="5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4.投诉书应简要列明质疑事项，质疑函、质疑答复等作为附件</w:t>
      </w:r>
      <w:r>
        <w:rPr>
          <w:rFonts w:hint="eastAsia" w:asciiTheme="minorEastAsia" w:hAnsiTheme="minorEastAsia" w:eastAsiaTheme="minorEastAsia" w:cstheme="minorEastAsia"/>
          <w:color w:val="auto"/>
          <w:sz w:val="24"/>
          <w:szCs w:val="24"/>
        </w:rPr>
        <w:t>材料提供。</w:t>
      </w:r>
    </w:p>
    <w:p w14:paraId="1482C960">
      <w:pPr>
        <w:spacing w:before="166" w:line="219" w:lineRule="auto"/>
        <w:ind w:left="51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 投诉书的投诉事项应具体、明确，并有必</w:t>
      </w:r>
      <w:r>
        <w:rPr>
          <w:rFonts w:hint="eastAsia" w:asciiTheme="minorEastAsia" w:hAnsiTheme="minorEastAsia" w:eastAsiaTheme="minorEastAsia" w:cstheme="minorEastAsia"/>
          <w:color w:val="auto"/>
          <w:spacing w:val="-1"/>
          <w:sz w:val="24"/>
          <w:szCs w:val="24"/>
        </w:rPr>
        <w:t>要的事实依据和法律依据。</w:t>
      </w:r>
    </w:p>
    <w:p w14:paraId="2CEF2C3D">
      <w:pPr>
        <w:spacing w:before="185" w:line="219" w:lineRule="auto"/>
        <w:ind w:left="51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6.投诉书的投诉请求应与投诉事项相关。</w:t>
      </w:r>
    </w:p>
    <w:p w14:paraId="12A43BC2">
      <w:pPr>
        <w:spacing w:before="176" w:line="290" w:lineRule="auto"/>
        <w:ind w:left="29" w:right="4"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7.</w:t>
      </w:r>
      <w:r>
        <w:rPr>
          <w:rFonts w:hint="eastAsia" w:asciiTheme="minorEastAsia" w:hAnsiTheme="minorEastAsia" w:eastAsiaTheme="minorEastAsia" w:cstheme="minorEastAsia"/>
          <w:color w:val="auto"/>
          <w:spacing w:val="-11"/>
          <w:sz w:val="24"/>
          <w:szCs w:val="24"/>
        </w:rPr>
        <w:t xml:space="preserve"> </w:t>
      </w:r>
      <w:r>
        <w:rPr>
          <w:rFonts w:hint="eastAsia" w:asciiTheme="minorEastAsia" w:hAnsiTheme="minorEastAsia" w:eastAsiaTheme="minorEastAsia" w:cstheme="minorEastAsia"/>
          <w:color w:val="auto"/>
          <w:spacing w:val="-2"/>
          <w:sz w:val="24"/>
          <w:szCs w:val="24"/>
        </w:rPr>
        <w:t>投诉人为自然人的，投诉书应当由本人签字；投诉人</w:t>
      </w:r>
      <w:r>
        <w:rPr>
          <w:rFonts w:hint="eastAsia" w:asciiTheme="minorEastAsia" w:hAnsiTheme="minorEastAsia" w:eastAsiaTheme="minorEastAsia" w:cstheme="minorEastAsia"/>
          <w:color w:val="auto"/>
          <w:spacing w:val="-3"/>
          <w:sz w:val="24"/>
          <w:szCs w:val="24"/>
        </w:rPr>
        <w:t>为法人或者其他组织</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5"/>
          <w:sz w:val="24"/>
          <w:szCs w:val="24"/>
        </w:rPr>
        <w:t>的 ，投诉书应当由法定代表人、主要负责人，或</w:t>
      </w:r>
      <w:r>
        <w:rPr>
          <w:rFonts w:hint="eastAsia" w:asciiTheme="minorEastAsia" w:hAnsiTheme="minorEastAsia" w:eastAsiaTheme="minorEastAsia" w:cstheme="minorEastAsia"/>
          <w:color w:val="auto"/>
          <w:spacing w:val="-6"/>
          <w:sz w:val="24"/>
          <w:szCs w:val="24"/>
        </w:rPr>
        <w:t>者其授权代表签字或者盖章，并</w:t>
      </w:r>
    </w:p>
    <w:p w14:paraId="23D8ABF4">
      <w:pPr>
        <w:spacing w:before="205" w:line="219" w:lineRule="auto"/>
        <w:ind w:left="1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加盖公章。</w:t>
      </w:r>
    </w:p>
    <w:sectPr>
      <w:footerReference r:id="rId62" w:type="default"/>
      <w:pgSz w:w="11900" w:h="16830"/>
      <w:pgMar w:top="1430" w:right="1777" w:bottom="1397" w:left="1760" w:header="0" w:footer="118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6B99E">
    <w:pPr>
      <w:pStyle w:val="10"/>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62068">
    <w:pPr>
      <w:spacing w:line="175" w:lineRule="auto"/>
      <w:ind w:left="4410"/>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90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7E5E9">
    <w:pPr>
      <w:spacing w:line="175" w:lineRule="auto"/>
      <w:ind w:left="4390"/>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91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BFBEE">
    <w:pPr>
      <w:spacing w:line="175" w:lineRule="auto"/>
      <w:ind w:left="4420"/>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92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A0EE4">
    <w:pPr>
      <w:spacing w:line="175" w:lineRule="auto"/>
      <w:ind w:left="4410"/>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93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919CD">
    <w:pPr>
      <w:spacing w:line="175" w:lineRule="auto"/>
      <w:ind w:left="4410"/>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94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78A4D">
    <w:pPr>
      <w:spacing w:line="175" w:lineRule="auto"/>
      <w:ind w:left="4400"/>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95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EBA50">
    <w:pPr>
      <w:spacing w:line="175" w:lineRule="auto"/>
      <w:ind w:left="4400"/>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96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99E1F">
    <w:pPr>
      <w:spacing w:line="175" w:lineRule="auto"/>
      <w:ind w:left="4400"/>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97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84D06">
    <w:pPr>
      <w:spacing w:line="175" w:lineRule="auto"/>
      <w:ind w:left="4400"/>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98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5384B">
    <w:pPr>
      <w:spacing w:line="174" w:lineRule="auto"/>
      <w:ind w:left="4410"/>
      <w:rPr>
        <w:rFonts w:ascii="Times New Roman" w:hAnsi="Times New Roman" w:eastAsia="Times New Roman" w:cs="Times New Roman"/>
        <w:sz w:val="15"/>
        <w:szCs w:val="15"/>
      </w:rPr>
    </w:pPr>
    <w:r>
      <w:rPr>
        <w:rFonts w:ascii="Times New Roman" w:hAnsi="Times New Roman" w:eastAsia="Times New Roman" w:cs="Times New Roman"/>
        <w:spacing w:val="-2"/>
        <w:sz w:val="15"/>
        <w:szCs w:val="15"/>
      </w:rPr>
      <w:t>99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796E3">
    <w:pPr>
      <w:spacing w:line="175" w:lineRule="auto"/>
      <w:ind w:left="4555"/>
      <w:rPr>
        <w:rFonts w:ascii="Times New Roman" w:hAnsi="Times New Roman" w:eastAsia="Times New Roman" w:cs="Times New Roman"/>
        <w:sz w:val="16"/>
        <w:szCs w:val="16"/>
      </w:rPr>
    </w:pPr>
    <w:r>
      <w:rPr>
        <w:rFonts w:ascii="Times New Roman" w:hAnsi="Times New Roman" w:eastAsia="Times New Roman" w:cs="Times New Roman"/>
        <w:color w:val="603030"/>
        <w:sz w:val="16"/>
        <w:szCs w:val="16"/>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A9F47">
    <w:pPr>
      <w:spacing w:line="175" w:lineRule="auto"/>
      <w:ind w:left="4360"/>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100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DFE1C">
    <w:pPr>
      <w:spacing w:line="175" w:lineRule="auto"/>
      <w:ind w:left="4370"/>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101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D38DE">
    <w:pPr>
      <w:spacing w:line="175" w:lineRule="auto"/>
      <w:ind w:left="4380"/>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102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45B83">
    <w:pPr>
      <w:spacing w:line="175" w:lineRule="auto"/>
      <w:ind w:left="4380"/>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103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2939A">
    <w:pPr>
      <w:spacing w:line="175" w:lineRule="auto"/>
      <w:ind w:left="4370"/>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104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275CC">
    <w:pPr>
      <w:spacing w:line="175" w:lineRule="auto"/>
      <w:ind w:left="4349"/>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105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D2F5A">
    <w:pPr>
      <w:spacing w:line="175" w:lineRule="auto"/>
      <w:ind w:left="4375"/>
      <w:rPr>
        <w:rFonts w:ascii="Times New Roman" w:hAnsi="Times New Roman" w:eastAsia="Times New Roman" w:cs="Times New Roman"/>
        <w:sz w:val="16"/>
        <w:szCs w:val="16"/>
      </w:rPr>
    </w:pPr>
    <w:r>
      <w:rPr>
        <w:rFonts w:ascii="Times New Roman" w:hAnsi="Times New Roman" w:eastAsia="Times New Roman" w:cs="Times New Roman"/>
        <w:color w:val="304050"/>
        <w:spacing w:val="-5"/>
        <w:sz w:val="16"/>
        <w:szCs w:val="16"/>
      </w:rPr>
      <w:t>112</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02E37">
    <w:pPr>
      <w:spacing w:line="175" w:lineRule="auto"/>
      <w:ind w:left="4350"/>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113</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E47FE">
    <w:pPr>
      <w:spacing w:line="175" w:lineRule="auto"/>
      <w:ind w:left="4025"/>
      <w:rPr>
        <w:rFonts w:ascii="Times New Roman" w:hAnsi="Times New Roman" w:eastAsia="Times New Roman" w:cs="Times New Roman"/>
        <w:sz w:val="16"/>
        <w:szCs w:val="16"/>
      </w:rPr>
    </w:pPr>
    <w:r>
      <w:rPr>
        <w:rFonts w:ascii="Times New Roman" w:hAnsi="Times New Roman" w:eastAsia="Times New Roman" w:cs="Times New Roman"/>
        <w:b/>
        <w:bCs/>
        <w:color w:val="304040"/>
        <w:spacing w:val="-3"/>
        <w:sz w:val="16"/>
        <w:szCs w:val="16"/>
      </w:rPr>
      <w:t>114</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3C35E">
    <w:pPr>
      <w:spacing w:line="175" w:lineRule="auto"/>
      <w:ind w:left="4025"/>
      <w:rPr>
        <w:rFonts w:ascii="Times New Roman" w:hAnsi="Times New Roman" w:eastAsia="Times New Roman" w:cs="Times New Roman"/>
        <w:sz w:val="16"/>
        <w:szCs w:val="16"/>
      </w:rPr>
    </w:pPr>
    <w:r>
      <w:rPr>
        <w:rFonts w:ascii="Times New Roman" w:hAnsi="Times New Roman" w:eastAsia="Times New Roman" w:cs="Times New Roman"/>
        <w:color w:val="203050"/>
        <w:spacing w:val="-5"/>
        <w:sz w:val="16"/>
        <w:szCs w:val="16"/>
      </w:rPr>
      <w:t>122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428E3">
    <w:pPr>
      <w:spacing w:line="175" w:lineRule="auto"/>
      <w:ind w:left="4440"/>
      <w:rPr>
        <w:rFonts w:ascii="Times New Roman" w:hAnsi="Times New Roman" w:eastAsia="Times New Roman" w:cs="Times New Roman"/>
        <w:sz w:val="16"/>
        <w:szCs w:val="16"/>
      </w:rPr>
    </w:pPr>
    <w:r>
      <w:rPr>
        <w:rFonts w:ascii="Times New Roman" w:hAnsi="Times New Roman" w:eastAsia="Times New Roman" w:cs="Times New Roman"/>
        <w:color w:val="705030"/>
        <w:sz w:val="16"/>
        <w:szCs w:val="16"/>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12156">
    <w:pPr>
      <w:spacing w:line="175" w:lineRule="auto"/>
      <w:ind w:left="4675"/>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123</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2F553">
    <w:pPr>
      <w:spacing w:line="175" w:lineRule="auto"/>
      <w:ind w:left="4676"/>
      <w:rPr>
        <w:rFonts w:ascii="Times New Roman" w:hAnsi="Times New Roman" w:eastAsia="Times New Roman" w:cs="Times New Roman"/>
        <w:sz w:val="16"/>
        <w:szCs w:val="16"/>
      </w:rPr>
    </w:pPr>
    <w:r>
      <w:rPr>
        <w:rFonts w:ascii="Times New Roman" w:hAnsi="Times New Roman" w:eastAsia="Times New Roman" w:cs="Times New Roman"/>
        <w:color w:val="304060"/>
        <w:spacing w:val="-5"/>
        <w:sz w:val="16"/>
        <w:szCs w:val="16"/>
      </w:rPr>
      <w:t>124</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2F0E4">
    <w:pPr>
      <w:spacing w:line="175" w:lineRule="auto"/>
      <w:ind w:left="4689"/>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125</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96EF4">
    <w:pPr>
      <w:spacing w:line="175" w:lineRule="auto"/>
      <w:ind w:left="4665"/>
      <w:rPr>
        <w:rFonts w:ascii="Times New Roman" w:hAnsi="Times New Roman" w:eastAsia="Times New Roman" w:cs="Times New Roman"/>
        <w:sz w:val="16"/>
        <w:szCs w:val="16"/>
      </w:rPr>
    </w:pPr>
    <w:r>
      <w:rPr>
        <w:rFonts w:ascii="Times New Roman" w:hAnsi="Times New Roman" w:eastAsia="Times New Roman" w:cs="Times New Roman"/>
        <w:color w:val="203040"/>
        <w:spacing w:val="-5"/>
        <w:sz w:val="16"/>
        <w:szCs w:val="16"/>
      </w:rPr>
      <w:t>126</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16F25">
    <w:pPr>
      <w:spacing w:line="175" w:lineRule="auto"/>
      <w:ind w:left="4675"/>
      <w:rPr>
        <w:rFonts w:ascii="Times New Roman" w:hAnsi="Times New Roman" w:eastAsia="Times New Roman" w:cs="Times New Roman"/>
        <w:sz w:val="16"/>
        <w:szCs w:val="16"/>
      </w:rPr>
    </w:pPr>
    <w:r>
      <w:rPr>
        <w:rFonts w:ascii="Times New Roman" w:hAnsi="Times New Roman" w:eastAsia="Times New Roman" w:cs="Times New Roman"/>
        <w:color w:val="203040"/>
        <w:spacing w:val="-5"/>
        <w:sz w:val="16"/>
        <w:szCs w:val="16"/>
      </w:rPr>
      <w:t>127</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C0307">
    <w:pPr>
      <w:spacing w:line="175" w:lineRule="auto"/>
      <w:ind w:left="4700"/>
      <w:rPr>
        <w:rFonts w:ascii="Times New Roman" w:hAnsi="Times New Roman" w:eastAsia="Times New Roman" w:cs="Times New Roman"/>
        <w:sz w:val="16"/>
        <w:szCs w:val="16"/>
      </w:rPr>
    </w:pPr>
    <w:r>
      <w:rPr>
        <w:rFonts w:ascii="Times New Roman" w:hAnsi="Times New Roman" w:eastAsia="Times New Roman" w:cs="Times New Roman"/>
        <w:color w:val="303040"/>
        <w:spacing w:val="-5"/>
        <w:sz w:val="16"/>
        <w:szCs w:val="16"/>
      </w:rPr>
      <w:t>128</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6F3A4">
    <w:pPr>
      <w:spacing w:line="175" w:lineRule="auto"/>
      <w:ind w:left="4666"/>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129</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4C871">
    <w:pPr>
      <w:spacing w:line="175" w:lineRule="auto"/>
      <w:ind w:left="4095"/>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130</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6E410">
    <w:pPr>
      <w:spacing w:line="175" w:lineRule="auto"/>
      <w:ind w:left="4700"/>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131</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4142A">
    <w:pPr>
      <w:spacing w:line="175" w:lineRule="auto"/>
      <w:ind w:left="4677"/>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132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01508">
    <w:pPr>
      <w:spacing w:line="175" w:lineRule="auto"/>
      <w:ind w:left="4625"/>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79</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2239B">
    <w:pPr>
      <w:spacing w:line="175" w:lineRule="auto"/>
      <w:ind w:left="5130"/>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133</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792BB">
    <w:pPr>
      <w:spacing w:line="175" w:lineRule="auto"/>
      <w:ind w:left="4655"/>
      <w:rPr>
        <w:rFonts w:ascii="Times New Roman" w:hAnsi="Times New Roman" w:eastAsia="Times New Roman" w:cs="Times New Roman"/>
        <w:sz w:val="16"/>
        <w:szCs w:val="16"/>
      </w:rPr>
    </w:pPr>
    <w:r>
      <w:rPr>
        <w:rFonts w:ascii="Times New Roman" w:hAnsi="Times New Roman" w:eastAsia="Times New Roman" w:cs="Times New Roman"/>
        <w:b/>
        <w:bCs/>
        <w:color w:val="304040"/>
        <w:spacing w:val="-3"/>
        <w:sz w:val="16"/>
        <w:szCs w:val="16"/>
      </w:rPr>
      <w:t>134</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4AB10">
    <w:pPr>
      <w:spacing w:line="175" w:lineRule="auto"/>
      <w:ind w:left="4549"/>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135</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8518D">
    <w:pPr>
      <w:spacing w:line="175" w:lineRule="auto"/>
      <w:ind w:left="4965"/>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136</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9E579">
    <w:pPr>
      <w:spacing w:line="175" w:lineRule="auto"/>
      <w:ind w:left="4854"/>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137</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5EF97">
    <w:pPr>
      <w:spacing w:line="175" w:lineRule="auto"/>
      <w:ind w:left="4676"/>
      <w:rPr>
        <w:rFonts w:ascii="Times New Roman" w:hAnsi="Times New Roman" w:eastAsia="Times New Roman" w:cs="Times New Roman"/>
        <w:sz w:val="16"/>
        <w:szCs w:val="16"/>
      </w:rPr>
    </w:pPr>
    <w:r>
      <w:rPr>
        <w:rFonts w:ascii="Times New Roman" w:hAnsi="Times New Roman" w:eastAsia="Times New Roman" w:cs="Times New Roman"/>
        <w:b/>
        <w:bCs/>
        <w:spacing w:val="-3"/>
        <w:sz w:val="16"/>
        <w:szCs w:val="16"/>
      </w:rPr>
      <w:t>138</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C696B">
    <w:pPr>
      <w:spacing w:line="175" w:lineRule="auto"/>
      <w:ind w:left="4415"/>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139</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E8217">
    <w:pPr>
      <w:spacing w:line="175" w:lineRule="auto"/>
      <w:ind w:left="4666"/>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140</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56451">
    <w:pPr>
      <w:spacing w:line="178" w:lineRule="auto"/>
      <w:ind w:left="4689"/>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141</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94537">
    <w:pPr>
      <w:spacing w:line="175" w:lineRule="auto"/>
      <w:ind w:left="4700"/>
      <w:rPr>
        <w:rFonts w:ascii="Times New Roman" w:hAnsi="Times New Roman" w:eastAsia="Times New Roman" w:cs="Times New Roman"/>
        <w:sz w:val="16"/>
        <w:szCs w:val="16"/>
      </w:rPr>
    </w:pPr>
    <w:r>
      <w:rPr>
        <w:rFonts w:ascii="Times New Roman" w:hAnsi="Times New Roman" w:eastAsia="Times New Roman" w:cs="Times New Roman"/>
        <w:color w:val="204050"/>
        <w:spacing w:val="-5"/>
        <w:sz w:val="16"/>
        <w:szCs w:val="16"/>
      </w:rPr>
      <w:t>142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0DE27">
    <w:pPr>
      <w:spacing w:line="175" w:lineRule="auto"/>
      <w:ind w:left="4400"/>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80</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2EC4D">
    <w:pPr>
      <w:spacing w:line="174" w:lineRule="auto"/>
      <w:ind w:left="4680"/>
      <w:rPr>
        <w:rFonts w:ascii="Times New Roman" w:hAnsi="Times New Roman" w:eastAsia="Times New Roman" w:cs="Times New Roman"/>
        <w:sz w:val="15"/>
        <w:szCs w:val="15"/>
      </w:rPr>
    </w:pPr>
    <w:r>
      <w:rPr>
        <w:rFonts w:ascii="Times New Roman" w:hAnsi="Times New Roman" w:eastAsia="Times New Roman" w:cs="Times New Roman"/>
        <w:b/>
        <w:bCs/>
        <w:color w:val="405060"/>
        <w:spacing w:val="-3"/>
        <w:sz w:val="15"/>
        <w:szCs w:val="15"/>
      </w:rPr>
      <w:t>144</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67641">
    <w:pPr>
      <w:spacing w:line="175" w:lineRule="auto"/>
      <w:ind w:left="4699"/>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145</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95A57">
    <w:pPr>
      <w:spacing w:line="175" w:lineRule="auto"/>
      <w:ind w:left="4690"/>
      <w:rPr>
        <w:rFonts w:ascii="Times New Roman" w:hAnsi="Times New Roman" w:eastAsia="Times New Roman" w:cs="Times New Roman"/>
        <w:sz w:val="16"/>
        <w:szCs w:val="16"/>
      </w:rPr>
    </w:pPr>
    <w:r>
      <w:rPr>
        <w:rFonts w:ascii="Times New Roman" w:hAnsi="Times New Roman" w:eastAsia="Times New Roman" w:cs="Times New Roman"/>
        <w:b/>
        <w:bCs/>
        <w:color w:val="304040"/>
        <w:spacing w:val="-3"/>
        <w:sz w:val="16"/>
        <w:szCs w:val="16"/>
      </w:rPr>
      <w:t>146</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94BF6">
    <w:pPr>
      <w:spacing w:line="175" w:lineRule="auto"/>
      <w:ind w:left="4690"/>
      <w:rPr>
        <w:rFonts w:ascii="Times New Roman" w:hAnsi="Times New Roman" w:eastAsia="Times New Roman" w:cs="Times New Roman"/>
        <w:sz w:val="16"/>
        <w:szCs w:val="16"/>
      </w:rPr>
    </w:pPr>
    <w:r>
      <w:rPr>
        <w:rFonts w:ascii="Times New Roman" w:hAnsi="Times New Roman" w:eastAsia="Times New Roman" w:cs="Times New Roman"/>
        <w:color w:val="304040"/>
        <w:spacing w:val="-5"/>
        <w:sz w:val="16"/>
        <w:szCs w:val="16"/>
      </w:rPr>
      <w:t>147</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B1FAC">
    <w:pPr>
      <w:spacing w:line="175" w:lineRule="auto"/>
      <w:ind w:left="4025"/>
      <w:rPr>
        <w:rFonts w:ascii="Times New Roman" w:hAnsi="Times New Roman" w:eastAsia="Times New Roman" w:cs="Times New Roman"/>
        <w:sz w:val="16"/>
        <w:szCs w:val="16"/>
      </w:rPr>
    </w:pPr>
    <w:r>
      <w:rPr>
        <w:rFonts w:ascii="Times New Roman" w:hAnsi="Times New Roman" w:eastAsia="Times New Roman" w:cs="Times New Roman"/>
        <w:color w:val="304040"/>
        <w:spacing w:val="-5"/>
        <w:sz w:val="16"/>
        <w:szCs w:val="16"/>
      </w:rPr>
      <w:t>148</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76990">
    <w:pPr>
      <w:spacing w:line="175" w:lineRule="auto"/>
      <w:ind w:left="4700"/>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149</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5AD9B">
    <w:pPr>
      <w:spacing w:line="175" w:lineRule="auto"/>
      <w:ind w:left="4690"/>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150</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B8F14">
    <w:pPr>
      <w:spacing w:line="177" w:lineRule="auto"/>
      <w:ind w:left="4040"/>
      <w:rPr>
        <w:rFonts w:ascii="Times New Roman" w:hAnsi="Times New Roman" w:eastAsia="Times New Roman" w:cs="Times New Roman"/>
        <w:sz w:val="19"/>
        <w:szCs w:val="19"/>
      </w:rPr>
    </w:pPr>
    <w:r>
      <w:rPr>
        <w:rFonts w:ascii="Times New Roman" w:hAnsi="Times New Roman" w:eastAsia="Times New Roman" w:cs="Times New Roman"/>
        <w:spacing w:val="-5"/>
        <w:sz w:val="19"/>
        <w:szCs w:val="19"/>
      </w:rPr>
      <w:t>151</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4B55F">
    <w:pPr>
      <w:spacing w:line="179" w:lineRule="auto"/>
      <w:ind w:left="4050"/>
      <w:rPr>
        <w:rFonts w:ascii="Times New Roman" w:hAnsi="Times New Roman" w:eastAsia="Times New Roman" w:cs="Times New Roman"/>
        <w:sz w:val="24"/>
        <w:szCs w:val="24"/>
      </w:rPr>
    </w:pPr>
    <w:r>
      <w:rPr>
        <w:rFonts w:ascii="Times New Roman" w:hAnsi="Times New Roman" w:eastAsia="Times New Roman" w:cs="Times New Roman"/>
        <w:color w:val="204050"/>
        <w:spacing w:val="-14"/>
        <w:sz w:val="24"/>
        <w:szCs w:val="24"/>
      </w:rPr>
      <w:t>152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1C052">
    <w:pPr>
      <w:spacing w:line="175" w:lineRule="auto"/>
      <w:ind w:left="5015"/>
      <w:rPr>
        <w:rFonts w:ascii="Times New Roman" w:hAnsi="Times New Roman" w:eastAsia="Times New Roman" w:cs="Times New Roman"/>
        <w:sz w:val="16"/>
        <w:szCs w:val="16"/>
      </w:rPr>
    </w:pPr>
    <w:r>
      <w:rPr>
        <w:rFonts w:ascii="Times New Roman" w:hAnsi="Times New Roman" w:eastAsia="Times New Roman" w:cs="Times New Roman"/>
        <w:color w:val="303050"/>
        <w:spacing w:val="-3"/>
        <w:sz w:val="16"/>
        <w:szCs w:val="16"/>
      </w:rPr>
      <w:t>82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C0200">
    <w:pPr>
      <w:spacing w:line="175" w:lineRule="auto"/>
      <w:ind w:left="4400"/>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87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EF2EF">
    <w:pPr>
      <w:spacing w:line="175" w:lineRule="auto"/>
      <w:ind w:left="4410"/>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88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EE779">
    <w:pPr>
      <w:spacing w:line="175" w:lineRule="auto"/>
      <w:ind w:left="4400"/>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89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CAE9AC"/>
    <w:multiLevelType w:val="singleLevel"/>
    <w:tmpl w:val="BCCAE9AC"/>
    <w:lvl w:ilvl="0" w:tentative="0">
      <w:start w:val="1"/>
      <w:numFmt w:val="decimal"/>
      <w:suff w:val="nothing"/>
      <w:lvlText w:val="（%1）"/>
      <w:lvlJc w:val="left"/>
    </w:lvl>
  </w:abstractNum>
  <w:abstractNum w:abstractNumId="1">
    <w:nsid w:val="3A754B4F"/>
    <w:multiLevelType w:val="multilevel"/>
    <w:tmpl w:val="3A754B4F"/>
    <w:lvl w:ilvl="0" w:tentative="0">
      <w:start w:val="1"/>
      <w:numFmt w:val="decimal"/>
      <w:suff w:val="space"/>
      <w:lvlText w:val="第%1章"/>
      <w:lvlJc w:val="left"/>
      <w:pPr>
        <w:ind w:left="0" w:firstLine="0"/>
      </w:pPr>
      <w:rPr>
        <w:rFonts w:hint="default" w:ascii="Times New Roman" w:hAnsi="Times New Roman" w:eastAsia="黑体"/>
        <w:b w:val="0"/>
        <w:bCs/>
        <w:i w:val="0"/>
        <w:sz w:val="44"/>
      </w:rPr>
    </w:lvl>
    <w:lvl w:ilvl="1" w:tentative="0">
      <w:start w:val="1"/>
      <w:numFmt w:val="decimal"/>
      <w:pStyle w:val="3"/>
      <w:suff w:val="space"/>
      <w:lvlText w:val="%1.%2"/>
      <w:lvlJc w:val="left"/>
      <w:pPr>
        <w:ind w:left="0" w:firstLine="0"/>
      </w:pPr>
      <w:rPr>
        <w:rFonts w:hint="default" w:ascii="Times New Roman" w:hAnsi="Times New Roman" w:eastAsia="黑体"/>
        <w:b w:val="0"/>
        <w:i w:val="0"/>
        <w:sz w:val="32"/>
      </w:rPr>
    </w:lvl>
    <w:lvl w:ilvl="2" w:tentative="0">
      <w:start w:val="1"/>
      <w:numFmt w:val="decimal"/>
      <w:pStyle w:val="4"/>
      <w:suff w:val="space"/>
      <w:lvlText w:val="%1.%2.%3"/>
      <w:lvlJc w:val="left"/>
      <w:pPr>
        <w:ind w:left="0" w:firstLine="0"/>
      </w:pPr>
      <w:rPr>
        <w:rFonts w:hint="default" w:ascii="Times New Roman" w:hAnsi="Times New Roman" w:eastAsia="黑体"/>
        <w:b w:val="0"/>
        <w:i w:val="0"/>
        <w:sz w:val="30"/>
      </w:rPr>
    </w:lvl>
    <w:lvl w:ilvl="3" w:tentative="0">
      <w:start w:val="1"/>
      <w:numFmt w:val="decimal"/>
      <w:pStyle w:val="5"/>
      <w:suff w:val="space"/>
      <w:lvlText w:val="%1.%2.%3.%4"/>
      <w:lvlJc w:val="left"/>
      <w:pPr>
        <w:ind w:left="0" w:firstLine="0"/>
      </w:pPr>
      <w:rPr>
        <w:rFonts w:hint="default" w:ascii="Times New Roman" w:hAnsi="Times New Roman" w:eastAsia="黑体"/>
        <w:b w:val="0"/>
        <w:i w:val="0"/>
        <w:sz w:val="28"/>
      </w:rPr>
    </w:lvl>
    <w:lvl w:ilvl="4" w:tentative="0">
      <w:start w:val="1"/>
      <w:numFmt w:val="chineseCountingThousand"/>
      <w:pStyle w:val="6"/>
      <w:suff w:val="space"/>
      <w:lvlText w:val="%5、"/>
      <w:lvlJc w:val="left"/>
      <w:pPr>
        <w:ind w:left="0" w:firstLine="0"/>
      </w:pPr>
      <w:rPr>
        <w:rFonts w:hint="default" w:ascii="Times New Roman" w:hAnsi="Times New Roman" w:eastAsia="黑体"/>
        <w:b w:val="0"/>
        <w:i w:val="0"/>
        <w:sz w:val="28"/>
        <w:szCs w:val="28"/>
      </w:rPr>
    </w:lvl>
    <w:lvl w:ilvl="5" w:tentative="0">
      <w:start w:val="1"/>
      <w:numFmt w:val="chineseCountingThousand"/>
      <w:suff w:val="space"/>
      <w:lvlText w:val="（%6）"/>
      <w:lvlJc w:val="left"/>
      <w:pPr>
        <w:ind w:left="0" w:firstLine="0"/>
      </w:pPr>
      <w:rPr>
        <w:rFonts w:hint="default" w:ascii="Times New Roman" w:hAnsi="Times New Roman" w:eastAsia="黑体"/>
        <w:b w:val="0"/>
        <w:i w:val="0"/>
        <w:sz w:val="28"/>
        <w:szCs w:val="28"/>
      </w:rPr>
    </w:lvl>
    <w:lvl w:ilvl="6" w:tentative="0">
      <w:start w:val="1"/>
      <w:numFmt w:val="decimal"/>
      <w:suff w:val="space"/>
      <w:lvlText w:val="%7."/>
      <w:lvlJc w:val="left"/>
      <w:pPr>
        <w:ind w:left="0" w:firstLine="0"/>
      </w:pPr>
      <w:rPr>
        <w:rFonts w:hint="default" w:ascii="Times New Roman" w:hAnsi="Times New Roman" w:eastAsia="黑体"/>
        <w:b w:val="0"/>
        <w:i w:val="0"/>
        <w:sz w:val="28"/>
        <w:szCs w:val="28"/>
      </w:rPr>
    </w:lvl>
    <w:lvl w:ilvl="7" w:tentative="0">
      <w:start w:val="1"/>
      <w:numFmt w:val="decimal"/>
      <w:suff w:val="space"/>
      <w:lvlText w:val="（%8）"/>
      <w:lvlJc w:val="left"/>
      <w:pPr>
        <w:ind w:left="0" w:firstLine="0"/>
      </w:pPr>
      <w:rPr>
        <w:rFonts w:hint="default" w:ascii="Times New Roman" w:hAnsi="Times New Roman" w:eastAsia="黑体"/>
        <w:b w:val="0"/>
        <w:i w:val="0"/>
        <w:sz w:val="28"/>
        <w:szCs w:val="28"/>
      </w:rPr>
    </w:lvl>
    <w:lvl w:ilvl="8" w:tentative="0">
      <w:start w:val="1"/>
      <w:numFmt w:val="decimal"/>
      <w:isLgl/>
      <w:suff w:val="space"/>
      <w:lvlText w:val="%9）"/>
      <w:lvlJc w:val="left"/>
      <w:pPr>
        <w:ind w:left="0" w:firstLine="0"/>
      </w:pPr>
      <w:rPr>
        <w:rFonts w:hint="default" w:ascii="Times New Roman" w:hAnsi="Times New Roman" w:eastAsia="黑体"/>
        <w:b w:val="0"/>
        <w:i w:val="0"/>
        <w:sz w:val="28"/>
        <w:szCs w:val="28"/>
      </w:rPr>
    </w:lvl>
  </w:abstractNum>
  <w:abstractNum w:abstractNumId="2">
    <w:nsid w:val="462E2A02"/>
    <w:multiLevelType w:val="singleLevel"/>
    <w:tmpl w:val="462E2A02"/>
    <w:lvl w:ilvl="0" w:tentative="0">
      <w:start w:val="5"/>
      <w:numFmt w:val="decimal"/>
      <w:suff w:val="space"/>
      <w:lvlText w:val="%1."/>
      <w:lvlJc w:val="left"/>
    </w:lvl>
  </w:abstractNum>
  <w:abstractNum w:abstractNumId="3">
    <w:nsid w:val="7915B809"/>
    <w:multiLevelType w:val="singleLevel"/>
    <w:tmpl w:val="7915B809"/>
    <w:lvl w:ilvl="0" w:tentative="0">
      <w:start w:val="4"/>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BE409B"/>
    <w:rsid w:val="02C21C91"/>
    <w:rsid w:val="05C54CBC"/>
    <w:rsid w:val="08307370"/>
    <w:rsid w:val="09F93C12"/>
    <w:rsid w:val="0A60348F"/>
    <w:rsid w:val="0AF32BF4"/>
    <w:rsid w:val="0B252E7B"/>
    <w:rsid w:val="0B7C485F"/>
    <w:rsid w:val="0B8D19E6"/>
    <w:rsid w:val="0C375F77"/>
    <w:rsid w:val="0C405A53"/>
    <w:rsid w:val="0CDB25F9"/>
    <w:rsid w:val="10B33874"/>
    <w:rsid w:val="113E61F3"/>
    <w:rsid w:val="116725ED"/>
    <w:rsid w:val="119832DA"/>
    <w:rsid w:val="1339570D"/>
    <w:rsid w:val="158C17BA"/>
    <w:rsid w:val="163C6305"/>
    <w:rsid w:val="17065A38"/>
    <w:rsid w:val="17B9616B"/>
    <w:rsid w:val="1B980098"/>
    <w:rsid w:val="1CDD5307"/>
    <w:rsid w:val="20F60F7F"/>
    <w:rsid w:val="21613D0F"/>
    <w:rsid w:val="21AD5B68"/>
    <w:rsid w:val="24E20CBA"/>
    <w:rsid w:val="260677A6"/>
    <w:rsid w:val="272E2084"/>
    <w:rsid w:val="29634D79"/>
    <w:rsid w:val="29A26C9F"/>
    <w:rsid w:val="2AC506B8"/>
    <w:rsid w:val="2BEA617D"/>
    <w:rsid w:val="2D6609A0"/>
    <w:rsid w:val="2E2626DF"/>
    <w:rsid w:val="2FE6235A"/>
    <w:rsid w:val="350F1808"/>
    <w:rsid w:val="352A2415"/>
    <w:rsid w:val="35BD66CC"/>
    <w:rsid w:val="37044AEF"/>
    <w:rsid w:val="372A0950"/>
    <w:rsid w:val="37B02C8E"/>
    <w:rsid w:val="390E2362"/>
    <w:rsid w:val="3A0222ED"/>
    <w:rsid w:val="3B2D45F6"/>
    <w:rsid w:val="3DA734C6"/>
    <w:rsid w:val="3E0331F1"/>
    <w:rsid w:val="3FE47979"/>
    <w:rsid w:val="402C6F4F"/>
    <w:rsid w:val="40A25800"/>
    <w:rsid w:val="41C027BB"/>
    <w:rsid w:val="42521512"/>
    <w:rsid w:val="4450163E"/>
    <w:rsid w:val="447514E8"/>
    <w:rsid w:val="45AC3728"/>
    <w:rsid w:val="46B02ED4"/>
    <w:rsid w:val="47A334B0"/>
    <w:rsid w:val="49647D7D"/>
    <w:rsid w:val="4BBC79FC"/>
    <w:rsid w:val="4D376A6B"/>
    <w:rsid w:val="4E1D579D"/>
    <w:rsid w:val="4E4B0DB6"/>
    <w:rsid w:val="4EF86CC0"/>
    <w:rsid w:val="4F804B9C"/>
    <w:rsid w:val="51D44D67"/>
    <w:rsid w:val="52ED0CDE"/>
    <w:rsid w:val="533F6F97"/>
    <w:rsid w:val="581931CF"/>
    <w:rsid w:val="5AD51AA0"/>
    <w:rsid w:val="5DDC44E1"/>
    <w:rsid w:val="5DE870E0"/>
    <w:rsid w:val="5E66527D"/>
    <w:rsid w:val="5E7E6CC4"/>
    <w:rsid w:val="5EBE5242"/>
    <w:rsid w:val="5FA06814"/>
    <w:rsid w:val="611A4468"/>
    <w:rsid w:val="624C10D4"/>
    <w:rsid w:val="62546789"/>
    <w:rsid w:val="62A55FCF"/>
    <w:rsid w:val="63D715A1"/>
    <w:rsid w:val="657835B6"/>
    <w:rsid w:val="66130262"/>
    <w:rsid w:val="6633454A"/>
    <w:rsid w:val="6BDF6EA7"/>
    <w:rsid w:val="6C5A2661"/>
    <w:rsid w:val="6D924F32"/>
    <w:rsid w:val="6DEA2421"/>
    <w:rsid w:val="6F0B65D1"/>
    <w:rsid w:val="70297A00"/>
    <w:rsid w:val="7032314F"/>
    <w:rsid w:val="703E1D87"/>
    <w:rsid w:val="70683BD9"/>
    <w:rsid w:val="71333D06"/>
    <w:rsid w:val="71B75E28"/>
    <w:rsid w:val="747B5DF7"/>
    <w:rsid w:val="764B3B5D"/>
    <w:rsid w:val="7693721E"/>
    <w:rsid w:val="77A03D00"/>
    <w:rsid w:val="788F74DF"/>
    <w:rsid w:val="790446BE"/>
    <w:rsid w:val="7AAD6B77"/>
    <w:rsid w:val="7ADC51F9"/>
    <w:rsid w:val="7DED660E"/>
    <w:rsid w:val="7DF444DA"/>
    <w:rsid w:val="7DF740F1"/>
    <w:rsid w:val="7F8971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100" w:beforeLines="0" w:beforeAutospacing="0" w:after="90" w:afterLines="0" w:afterAutospacing="0" w:line="576" w:lineRule="auto"/>
      <w:jc w:val="center"/>
      <w:outlineLvl w:val="0"/>
    </w:pPr>
    <w:rPr>
      <w:rFonts w:ascii="Arial" w:hAnsi="Arial" w:eastAsia="宋体"/>
      <w:b/>
      <w:kern w:val="44"/>
      <w:sz w:val="44"/>
    </w:rPr>
  </w:style>
  <w:style w:type="paragraph" w:styleId="3">
    <w:name w:val="heading 2"/>
    <w:basedOn w:val="1"/>
    <w:next w:val="1"/>
    <w:unhideWhenUsed/>
    <w:qFormat/>
    <w:uiPriority w:val="9"/>
    <w:pPr>
      <w:keepNext/>
      <w:keepLines/>
      <w:numPr>
        <w:ilvl w:val="1"/>
        <w:numId w:val="1"/>
      </w:numPr>
      <w:spacing w:before="50" w:beforeLines="50" w:after="50" w:afterLines="50"/>
      <w:ind w:firstLineChars="0"/>
      <w:jc w:val="left"/>
      <w:outlineLvl w:val="1"/>
    </w:pPr>
    <w:rPr>
      <w:rFonts w:ascii="Arial" w:hAnsi="Arial" w:eastAsia="宋体" w:cstheme="majorBidi"/>
      <w:b/>
      <w:bCs/>
      <w:sz w:val="32"/>
      <w:szCs w:val="32"/>
    </w:rPr>
  </w:style>
  <w:style w:type="paragraph" w:styleId="4">
    <w:name w:val="heading 3"/>
    <w:basedOn w:val="1"/>
    <w:next w:val="1"/>
    <w:unhideWhenUsed/>
    <w:qFormat/>
    <w:uiPriority w:val="9"/>
    <w:pPr>
      <w:keepNext/>
      <w:keepLines/>
      <w:numPr>
        <w:ilvl w:val="2"/>
        <w:numId w:val="1"/>
      </w:numPr>
      <w:spacing w:before="50" w:beforeLines="50" w:after="50" w:afterLines="50"/>
      <w:ind w:firstLineChars="0"/>
      <w:jc w:val="left"/>
      <w:outlineLvl w:val="2"/>
    </w:pPr>
    <w:rPr>
      <w:rFonts w:ascii="Arial" w:hAnsi="Arial" w:eastAsia="宋体"/>
      <w:b/>
      <w:bCs/>
      <w:sz w:val="30"/>
      <w:szCs w:val="32"/>
    </w:rPr>
  </w:style>
  <w:style w:type="paragraph" w:styleId="5">
    <w:name w:val="heading 4"/>
    <w:basedOn w:val="1"/>
    <w:next w:val="1"/>
    <w:unhideWhenUsed/>
    <w:qFormat/>
    <w:uiPriority w:val="9"/>
    <w:pPr>
      <w:keepNext/>
      <w:keepLines/>
      <w:numPr>
        <w:ilvl w:val="3"/>
        <w:numId w:val="1"/>
      </w:numPr>
      <w:spacing w:before="50" w:beforeLines="50" w:after="50" w:afterLines="50"/>
      <w:ind w:firstLineChars="0"/>
      <w:jc w:val="left"/>
      <w:outlineLvl w:val="3"/>
    </w:pPr>
    <w:rPr>
      <w:rFonts w:eastAsia="黑体" w:cstheme="majorBidi"/>
      <w:bCs/>
      <w:szCs w:val="28"/>
    </w:rPr>
  </w:style>
  <w:style w:type="paragraph" w:styleId="6">
    <w:name w:val="heading 5"/>
    <w:basedOn w:val="1"/>
    <w:next w:val="1"/>
    <w:unhideWhenUsed/>
    <w:qFormat/>
    <w:uiPriority w:val="9"/>
    <w:pPr>
      <w:keepNext/>
      <w:keepLines/>
      <w:numPr>
        <w:ilvl w:val="4"/>
        <w:numId w:val="1"/>
      </w:numPr>
      <w:spacing w:before="25" w:beforeLines="25" w:after="25" w:afterLines="25"/>
      <w:ind w:firstLineChars="0"/>
      <w:jc w:val="left"/>
      <w:outlineLvl w:val="4"/>
    </w:pPr>
    <w:rPr>
      <w:rFonts w:eastAsia="黑体"/>
      <w:bCs/>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7">
    <w:name w:val="index 8"/>
    <w:basedOn w:val="1"/>
    <w:next w:val="1"/>
    <w:qFormat/>
    <w:uiPriority w:val="0"/>
    <w:pPr>
      <w:ind w:left="2940"/>
    </w:pPr>
  </w:style>
  <w:style w:type="paragraph" w:styleId="8">
    <w:name w:val="Normal Indent"/>
    <w:basedOn w:val="1"/>
    <w:qFormat/>
    <w:uiPriority w:val="0"/>
    <w:pPr>
      <w:widowControl w:val="0"/>
      <w:snapToGrid/>
      <w:spacing w:after="0" w:line="360" w:lineRule="atLeast"/>
      <w:ind w:firstLine="420"/>
      <w:jc w:val="both"/>
      <w:textAlignment w:val="baseline"/>
    </w:pPr>
    <w:rPr>
      <w:rFonts w:ascii="Times New Roman" w:hAnsi="Times New Roman" w:eastAsia="宋体"/>
      <w:kern w:val="2"/>
      <w:sz w:val="21"/>
      <w:szCs w:val="20"/>
    </w:rPr>
  </w:style>
  <w:style w:type="paragraph" w:styleId="9">
    <w:name w:val="annotation text"/>
    <w:basedOn w:val="1"/>
    <w:qFormat/>
    <w:uiPriority w:val="0"/>
    <w:pPr>
      <w:jc w:val="left"/>
    </w:pPr>
  </w:style>
  <w:style w:type="paragraph" w:styleId="10">
    <w:name w:val="Body Text"/>
    <w:basedOn w:val="1"/>
    <w:semiHidden/>
    <w:qFormat/>
    <w:uiPriority w:val="0"/>
    <w:rPr>
      <w:rFonts w:ascii="Arial" w:hAnsi="Arial" w:eastAsia="Arial" w:cs="Arial"/>
      <w:sz w:val="21"/>
      <w:szCs w:val="21"/>
      <w:lang w:val="en-US" w:eastAsia="en-US" w:bidi="ar-SA"/>
    </w:rPr>
  </w:style>
  <w:style w:type="paragraph" w:styleId="11">
    <w:name w:val="Plain Text"/>
    <w:basedOn w:val="1"/>
    <w:next w:val="5"/>
    <w:qFormat/>
    <w:uiPriority w:val="0"/>
    <w:pPr>
      <w:widowControl w:val="0"/>
      <w:adjustRightInd/>
      <w:snapToGrid/>
      <w:spacing w:after="0"/>
      <w:jc w:val="both"/>
    </w:pPr>
    <w:rPr>
      <w:rFonts w:ascii="宋体" w:hAnsi="Courier New" w:eastAsia="宋体"/>
      <w:sz w:val="21"/>
      <w:szCs w:val="21"/>
    </w:rPr>
  </w:style>
  <w:style w:type="paragraph" w:styleId="12">
    <w:name w:val="footer"/>
    <w:basedOn w:val="1"/>
    <w:unhideWhenUsed/>
    <w:qFormat/>
    <w:uiPriority w:val="99"/>
    <w:pPr>
      <w:tabs>
        <w:tab w:val="center" w:pos="4153"/>
        <w:tab w:val="right" w:pos="8306"/>
      </w:tabs>
    </w:pPr>
    <w:rPr>
      <w:rFonts w:eastAsia="宋体"/>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Normal (Web)"/>
    <w:basedOn w:val="1"/>
    <w:qFormat/>
    <w:uiPriority w:val="0"/>
    <w:pPr>
      <w:adjustRightInd/>
      <w:snapToGrid/>
      <w:spacing w:before="100" w:beforeAutospacing="1" w:after="100" w:afterAutospacing="1"/>
    </w:pPr>
    <w:rPr>
      <w:rFonts w:ascii="宋体" w:hAnsi="宋体" w:eastAsia="宋体" w:cs="Times New Roman"/>
      <w:sz w:val="24"/>
      <w:szCs w:val="24"/>
    </w:rPr>
  </w:style>
  <w:style w:type="paragraph" w:styleId="16">
    <w:name w:val="Title"/>
    <w:basedOn w:val="1"/>
    <w:next w:val="1"/>
    <w:qFormat/>
    <w:uiPriority w:val="0"/>
    <w:pPr>
      <w:spacing w:before="240" w:after="60"/>
      <w:jc w:val="center"/>
      <w:outlineLvl w:val="0"/>
    </w:pPr>
    <w:rPr>
      <w:rFonts w:ascii="Cambria" w:hAnsi="Cambria"/>
      <w:b/>
      <w:bCs/>
      <w:sz w:val="32"/>
      <w:szCs w:val="32"/>
    </w:rPr>
  </w:style>
  <w:style w:type="table" w:styleId="18">
    <w:name w:val="Table Grid"/>
    <w:basedOn w:val="17"/>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宋体" w:hAnsi="宋体" w:eastAsia="宋体" w:cs="宋体"/>
      <w:sz w:val="22"/>
      <w:szCs w:val="22"/>
      <w:lang w:val="en-US" w:eastAsia="en-US" w:bidi="ar-SA"/>
    </w:rPr>
  </w:style>
  <w:style w:type="paragraph" w:customStyle="1" w:styleId="22">
    <w:name w:val="null3"/>
    <w:qFormat/>
    <w:uiPriority w:val="0"/>
    <w:rPr>
      <w:rFonts w:hint="eastAsia" w:ascii="Calibri" w:hAnsi="Calibri" w:eastAsia="宋体" w:cs="Times New Roman"/>
      <w:lang w:val="en-US" w:eastAsia="zh-Hans" w:bidi="ar-SA"/>
    </w:rPr>
  </w:style>
  <w:style w:type="paragraph" w:customStyle="1" w:styleId="23">
    <w:name w:val="表格文字"/>
    <w:basedOn w:val="1"/>
    <w:next w:val="10"/>
    <w:qFormat/>
    <w:uiPriority w:val="0"/>
    <w:pPr>
      <w:spacing w:before="25" w:after="25"/>
      <w:jc w:val="left"/>
    </w:pPr>
    <w:rPr>
      <w:bCs/>
      <w:spacing w:val="10"/>
      <w:kern w:val="0"/>
      <w:sz w:val="24"/>
    </w:rPr>
  </w:style>
  <w:style w:type="paragraph" w:customStyle="1" w:styleId="24">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2" Type="http://schemas.openxmlformats.org/officeDocument/2006/relationships/fontTable" Target="fontTable.xml"/><Relationship Id="rId71" Type="http://schemas.openxmlformats.org/officeDocument/2006/relationships/numbering" Target="numbering.xml"/><Relationship Id="rId70" Type="http://schemas.openxmlformats.org/officeDocument/2006/relationships/customXml" Target="../customXml/item1.xml"/><Relationship Id="rId7" Type="http://schemas.openxmlformats.org/officeDocument/2006/relationships/footer" Target="footer3.xml"/><Relationship Id="rId69" Type="http://schemas.openxmlformats.org/officeDocument/2006/relationships/image" Target="media/image6.jpeg"/><Relationship Id="rId68" Type="http://schemas.openxmlformats.org/officeDocument/2006/relationships/image" Target="media/image5.jpeg"/><Relationship Id="rId67" Type="http://schemas.openxmlformats.org/officeDocument/2006/relationships/image" Target="media/image4.jpeg"/><Relationship Id="rId66" Type="http://schemas.openxmlformats.org/officeDocument/2006/relationships/image" Target="media/image3.jpeg"/><Relationship Id="rId65" Type="http://schemas.openxmlformats.org/officeDocument/2006/relationships/image" Target="media/image2.jpeg"/><Relationship Id="rId64" Type="http://schemas.openxmlformats.org/officeDocument/2006/relationships/image" Target="media/image1.jpeg"/><Relationship Id="rId63" Type="http://schemas.openxmlformats.org/officeDocument/2006/relationships/theme" Target="theme/theme1.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141</Pages>
  <Words>1039</Words>
  <Characters>1200</Characters>
  <TotalTime>171</TotalTime>
  <ScaleCrop>false</ScaleCrop>
  <LinksUpToDate>false</LinksUpToDate>
  <CharactersWithSpaces>1245</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2025-11-16T11:19:00Z</dcterms:created>
  <dc:creator>Administrator</dc:creator>
  <cp:lastModifiedBy>Administrator</cp:lastModifiedBy>
  <dcterms:modified xsi:type="dcterms:W3CDTF">2026-02-14T06:22:35Z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2025-11-16T11:19:50Z</vt:filetime>
  </property>
  <property fmtid="{D5CDD505-2E9C-101B-9397-08002B2CF9AE}" pid="4" name="UsrData">
    <vt:lpwstr>691942ba6c1ecf0020ed14a1wl</vt:lpwstr>
  </property>
  <property fmtid="{D5CDD505-2E9C-101B-9397-08002B2CF9AE}" pid="5" name="KSOTemplateDocerSaveRecord">
    <vt:lpwstr>eyJoZGlkIjoiMGM3YTZiZjUxOWJjNzIwMmNmYzQxMTIyODI0NmIxOGEiLCJ1c2VySWQiOiIzMTY4NDQ1MTgifQ==</vt:lpwstr>
  </property>
  <property fmtid="{D5CDD505-2E9C-101B-9397-08002B2CF9AE}" pid="6" name="KSOProductBuildVer">
    <vt:lpwstr>2052-12.1.0.24657</vt:lpwstr>
  </property>
  <property fmtid="{D5CDD505-2E9C-101B-9397-08002B2CF9AE}" pid="7" name="ICV">
    <vt:lpwstr>8AE10604DCE04E5CBAD2C042577A4008_13</vt:lpwstr>
  </property>
</Properties>
</file>