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D4ECC">
      <w:pPr>
        <w:pStyle w:val="6"/>
        <w:spacing w:before="197" w:line="222" w:lineRule="auto"/>
        <w:jc w:val="right"/>
        <w:rPr>
          <w:rFonts w:hint="eastAsia"/>
          <w:spacing w:val="-87"/>
          <w:sz w:val="55"/>
          <w:szCs w:val="55"/>
          <w:lang w:eastAsia="zh-CN"/>
        </w:rPr>
      </w:pPr>
    </w:p>
    <w:p w14:paraId="12E5E4A2">
      <w:pPr>
        <w:pStyle w:val="6"/>
        <w:spacing w:before="197" w:line="222" w:lineRule="auto"/>
        <w:jc w:val="center"/>
        <w:rPr>
          <w:rFonts w:hint="default" w:eastAsia="宋体"/>
          <w:b/>
          <w:bCs/>
          <w:sz w:val="72"/>
          <w:szCs w:val="72"/>
          <w:lang w:val="en-US" w:eastAsia="zh-CN"/>
        </w:rPr>
      </w:pPr>
      <w:r>
        <w:rPr>
          <w:rFonts w:hint="eastAsia"/>
          <w:b/>
          <w:bCs/>
          <w:spacing w:val="-87"/>
          <w:sz w:val="72"/>
          <w:szCs w:val="72"/>
          <w:lang w:val="en-US" w:eastAsia="zh-CN"/>
        </w:rPr>
        <w:t>广西合士嘉项目咨询有限公司</w:t>
      </w:r>
    </w:p>
    <w:p w14:paraId="404BE1F7">
      <w:pPr>
        <w:spacing w:line="259" w:lineRule="auto"/>
        <w:rPr>
          <w:rFonts w:ascii="Arial"/>
          <w:sz w:val="21"/>
        </w:rPr>
      </w:pPr>
    </w:p>
    <w:p w14:paraId="7B324EBC">
      <w:pPr>
        <w:spacing w:line="259" w:lineRule="auto"/>
        <w:rPr>
          <w:rFonts w:ascii="Arial"/>
          <w:sz w:val="21"/>
        </w:rPr>
      </w:pPr>
    </w:p>
    <w:p w14:paraId="069B1DB2">
      <w:pPr>
        <w:spacing w:line="259" w:lineRule="auto"/>
        <w:rPr>
          <w:rFonts w:ascii="Arial"/>
          <w:sz w:val="21"/>
        </w:rPr>
      </w:pPr>
    </w:p>
    <w:p w14:paraId="5D845886">
      <w:pPr>
        <w:spacing w:line="259" w:lineRule="auto"/>
        <w:rPr>
          <w:rFonts w:ascii="Arial"/>
          <w:sz w:val="21"/>
        </w:rPr>
      </w:pPr>
    </w:p>
    <w:p w14:paraId="3CF5F9F2">
      <w:pPr>
        <w:spacing w:line="260" w:lineRule="auto"/>
        <w:rPr>
          <w:rFonts w:ascii="Arial"/>
          <w:sz w:val="21"/>
        </w:rPr>
      </w:pPr>
    </w:p>
    <w:p w14:paraId="6F53056A">
      <w:pPr>
        <w:spacing w:line="260" w:lineRule="auto"/>
        <w:rPr>
          <w:rFonts w:ascii="Arial"/>
          <w:sz w:val="21"/>
        </w:rPr>
      </w:pPr>
    </w:p>
    <w:p w14:paraId="3C6B3EDE">
      <w:pPr>
        <w:spacing w:line="260" w:lineRule="auto"/>
        <w:rPr>
          <w:rFonts w:ascii="Arial"/>
          <w:sz w:val="21"/>
        </w:rPr>
      </w:pPr>
    </w:p>
    <w:p w14:paraId="68808244">
      <w:pPr>
        <w:pStyle w:val="6"/>
        <w:spacing w:before="426" w:line="221" w:lineRule="auto"/>
        <w:ind w:left="1596"/>
        <w:outlineLvl w:val="9"/>
        <w:rPr>
          <w:sz w:val="131"/>
          <w:szCs w:val="131"/>
        </w:rPr>
      </w:pPr>
      <w:bookmarkStart w:id="0" w:name="_Toc25306"/>
      <w:r>
        <w:rPr>
          <w:b/>
          <w:bCs/>
          <w:spacing w:val="75"/>
          <w:sz w:val="131"/>
          <w:szCs w:val="131"/>
        </w:rPr>
        <w:t>招标文件</w:t>
      </w:r>
      <w:bookmarkEnd w:id="0"/>
    </w:p>
    <w:p w14:paraId="2042703B">
      <w:pPr>
        <w:spacing w:line="285" w:lineRule="auto"/>
        <w:rPr>
          <w:rFonts w:ascii="Arial"/>
          <w:sz w:val="21"/>
        </w:rPr>
      </w:pPr>
    </w:p>
    <w:p w14:paraId="6E2D5DA3">
      <w:pPr>
        <w:spacing w:line="285" w:lineRule="auto"/>
        <w:rPr>
          <w:rFonts w:ascii="Arial"/>
          <w:sz w:val="21"/>
        </w:rPr>
      </w:pPr>
    </w:p>
    <w:p w14:paraId="2BEC9D67">
      <w:pPr>
        <w:spacing w:line="285" w:lineRule="auto"/>
        <w:rPr>
          <w:rFonts w:ascii="Arial"/>
          <w:sz w:val="21"/>
        </w:rPr>
      </w:pPr>
    </w:p>
    <w:p w14:paraId="271D3C6F">
      <w:pPr>
        <w:spacing w:line="285" w:lineRule="auto"/>
        <w:rPr>
          <w:rFonts w:ascii="Arial"/>
          <w:sz w:val="21"/>
        </w:rPr>
      </w:pPr>
    </w:p>
    <w:p w14:paraId="4FCC73AB">
      <w:pPr>
        <w:spacing w:line="285" w:lineRule="auto"/>
        <w:rPr>
          <w:rFonts w:ascii="Arial"/>
          <w:sz w:val="21"/>
        </w:rPr>
      </w:pPr>
    </w:p>
    <w:p w14:paraId="55C35ABE">
      <w:pPr>
        <w:spacing w:line="285" w:lineRule="auto"/>
        <w:rPr>
          <w:rFonts w:ascii="Arial"/>
          <w:sz w:val="21"/>
        </w:rPr>
      </w:pPr>
    </w:p>
    <w:p w14:paraId="0AFD4706">
      <w:pPr>
        <w:spacing w:line="286" w:lineRule="auto"/>
        <w:outlineLvl w:val="9"/>
        <w:rPr>
          <w:rFonts w:ascii="Arial"/>
          <w:sz w:val="21"/>
        </w:rPr>
      </w:pPr>
    </w:p>
    <w:p w14:paraId="6E58D474">
      <w:pPr>
        <w:pStyle w:val="6"/>
        <w:spacing w:before="100" w:line="225" w:lineRule="auto"/>
        <w:ind w:firstLine="309" w:firstLineChars="100"/>
        <w:outlineLvl w:val="9"/>
      </w:pPr>
      <w:bookmarkStart w:id="1" w:name="_Toc30493"/>
      <w:r>
        <w:rPr>
          <w:b/>
          <w:bCs/>
          <w:spacing w:val="-1"/>
        </w:rPr>
        <w:t>项目名称：兴安县城北及乡镇污水处理厂运营管理服务</w:t>
      </w:r>
      <w:bookmarkEnd w:id="1"/>
    </w:p>
    <w:p w14:paraId="1C6B4192">
      <w:pPr>
        <w:pStyle w:val="6"/>
        <w:spacing w:before="247" w:line="223" w:lineRule="auto"/>
        <w:ind w:firstLine="295" w:firstLineChars="100"/>
        <w:outlineLvl w:val="9"/>
        <w:rPr>
          <w:rFonts w:hint="eastAsia" w:eastAsia="宋体"/>
          <w:lang w:eastAsia="zh-CN"/>
        </w:rPr>
      </w:pPr>
      <w:r>
        <w:rPr>
          <w:b/>
          <w:bCs/>
          <w:spacing w:val="-8"/>
        </w:rPr>
        <w:t>项目编号：GLZC2026-G3-250017-GXHS</w:t>
      </w:r>
    </w:p>
    <w:p w14:paraId="519A4A9E">
      <w:pPr>
        <w:spacing w:line="249" w:lineRule="auto"/>
        <w:rPr>
          <w:rFonts w:ascii="Arial"/>
          <w:sz w:val="21"/>
        </w:rPr>
      </w:pPr>
    </w:p>
    <w:p w14:paraId="673A5C9A">
      <w:pPr>
        <w:spacing w:line="249" w:lineRule="auto"/>
        <w:rPr>
          <w:rFonts w:ascii="Arial"/>
          <w:sz w:val="21"/>
        </w:rPr>
      </w:pPr>
    </w:p>
    <w:p w14:paraId="2FDDF352">
      <w:pPr>
        <w:spacing w:line="249" w:lineRule="auto"/>
        <w:rPr>
          <w:rFonts w:ascii="Arial"/>
          <w:sz w:val="21"/>
        </w:rPr>
      </w:pPr>
    </w:p>
    <w:p w14:paraId="770D3628">
      <w:pPr>
        <w:spacing w:line="249" w:lineRule="auto"/>
        <w:rPr>
          <w:rFonts w:ascii="Arial"/>
          <w:sz w:val="21"/>
        </w:rPr>
      </w:pPr>
    </w:p>
    <w:p w14:paraId="12FBD6EC">
      <w:pPr>
        <w:spacing w:line="249" w:lineRule="auto"/>
        <w:rPr>
          <w:rFonts w:ascii="Arial"/>
          <w:sz w:val="21"/>
        </w:rPr>
      </w:pPr>
    </w:p>
    <w:p w14:paraId="66C539D0">
      <w:pPr>
        <w:spacing w:line="249" w:lineRule="auto"/>
        <w:rPr>
          <w:rFonts w:ascii="Arial"/>
          <w:sz w:val="21"/>
        </w:rPr>
      </w:pPr>
    </w:p>
    <w:p w14:paraId="38B33F97">
      <w:pPr>
        <w:spacing w:line="249" w:lineRule="auto"/>
        <w:rPr>
          <w:rFonts w:ascii="Arial"/>
          <w:sz w:val="21"/>
        </w:rPr>
      </w:pPr>
    </w:p>
    <w:p w14:paraId="00B4EBF2">
      <w:pPr>
        <w:spacing w:line="249" w:lineRule="auto"/>
        <w:rPr>
          <w:rFonts w:ascii="Arial"/>
          <w:sz w:val="21"/>
        </w:rPr>
      </w:pPr>
    </w:p>
    <w:p w14:paraId="31BAD5A5">
      <w:pPr>
        <w:spacing w:line="249" w:lineRule="auto"/>
        <w:rPr>
          <w:rFonts w:ascii="Arial"/>
          <w:sz w:val="21"/>
        </w:rPr>
      </w:pPr>
    </w:p>
    <w:p w14:paraId="35CC295C">
      <w:pPr>
        <w:spacing w:line="250" w:lineRule="auto"/>
        <w:rPr>
          <w:rFonts w:ascii="Arial"/>
          <w:sz w:val="21"/>
        </w:rPr>
      </w:pPr>
    </w:p>
    <w:p w14:paraId="617242A8">
      <w:pPr>
        <w:spacing w:line="250" w:lineRule="auto"/>
        <w:rPr>
          <w:rFonts w:ascii="Arial"/>
          <w:sz w:val="21"/>
        </w:rPr>
      </w:pPr>
    </w:p>
    <w:p w14:paraId="29BC9608">
      <w:pPr>
        <w:spacing w:line="250" w:lineRule="auto"/>
        <w:rPr>
          <w:rFonts w:ascii="Arial"/>
          <w:sz w:val="21"/>
        </w:rPr>
      </w:pPr>
    </w:p>
    <w:p w14:paraId="6DBF8BAB">
      <w:pPr>
        <w:spacing w:line="250" w:lineRule="auto"/>
        <w:rPr>
          <w:rFonts w:ascii="Arial"/>
          <w:sz w:val="21"/>
        </w:rPr>
      </w:pPr>
    </w:p>
    <w:p w14:paraId="0E97C5E7">
      <w:pPr>
        <w:spacing w:line="250" w:lineRule="auto"/>
        <w:rPr>
          <w:rFonts w:ascii="Arial"/>
          <w:sz w:val="21"/>
        </w:rPr>
      </w:pPr>
    </w:p>
    <w:p w14:paraId="0D1EE980">
      <w:pPr>
        <w:pStyle w:val="6"/>
        <w:spacing w:before="114" w:line="315" w:lineRule="auto"/>
        <w:ind w:left="3241" w:leftChars="332" w:right="779" w:hanging="2544" w:hangingChars="700"/>
        <w:rPr>
          <w:rFonts w:hint="default" w:ascii="宋体" w:hAnsi="宋体" w:eastAsia="宋体" w:cs="宋体"/>
          <w:b/>
          <w:bCs/>
          <w:spacing w:val="6"/>
          <w:sz w:val="35"/>
          <w:szCs w:val="35"/>
          <w:lang w:val="en-US" w:eastAsia="zh-CN"/>
        </w:rPr>
      </w:pPr>
      <w:r>
        <w:rPr>
          <w:b/>
          <w:bCs/>
          <w:spacing w:val="6"/>
          <w:sz w:val="35"/>
          <w:szCs w:val="35"/>
        </w:rPr>
        <w:t>采购代理机构:</w:t>
      </w:r>
      <w:r>
        <w:rPr>
          <w:rFonts w:hint="eastAsia"/>
          <w:b/>
          <w:bCs/>
          <w:spacing w:val="6"/>
          <w:sz w:val="35"/>
          <w:szCs w:val="35"/>
          <w:lang w:eastAsia="zh-CN"/>
        </w:rPr>
        <w:t>广西合士嘉项目咨询有限公司</w:t>
      </w:r>
      <w:r>
        <w:rPr>
          <w:rFonts w:hint="eastAsia" w:ascii="宋体" w:hAnsi="宋体" w:eastAsia="宋体" w:cs="宋体"/>
          <w:b/>
          <w:bCs/>
          <w:spacing w:val="6"/>
          <w:sz w:val="35"/>
          <w:szCs w:val="35"/>
          <w:lang w:val="en-US" w:eastAsia="zh-CN"/>
        </w:rPr>
        <w:t>2026年03月</w:t>
      </w:r>
    </w:p>
    <w:p w14:paraId="3A51CC2C">
      <w:pPr>
        <w:spacing w:line="315" w:lineRule="auto"/>
        <w:rPr>
          <w:sz w:val="35"/>
          <w:szCs w:val="35"/>
        </w:rPr>
        <w:sectPr>
          <w:pgSz w:w="11906" w:h="16839"/>
          <w:pgMar w:top="1431" w:right="1783" w:bottom="0" w:left="1522" w:header="0" w:footer="0" w:gutter="0"/>
          <w:cols w:space="720" w:num="1"/>
        </w:sectPr>
      </w:pPr>
    </w:p>
    <w:p w14:paraId="6280B4FA">
      <w:pPr>
        <w:spacing w:line="319" w:lineRule="auto"/>
        <w:rPr>
          <w:rFonts w:ascii="Arial"/>
          <w:sz w:val="21"/>
        </w:rPr>
      </w:pPr>
    </w:p>
    <w:p w14:paraId="2494CE34">
      <w:pPr>
        <w:spacing w:line="320" w:lineRule="auto"/>
        <w:rPr>
          <w:rFonts w:hint="eastAsia" w:ascii="微软雅黑" w:hAnsi="微软雅黑" w:eastAsia="微软雅黑" w:cs="微软雅黑"/>
          <w:sz w:val="28"/>
          <w:szCs w:val="28"/>
        </w:rPr>
      </w:pPr>
    </w:p>
    <w:sdt>
      <w:sdtPr>
        <w:rPr>
          <w:rFonts w:hint="eastAsia" w:asciiTheme="minorEastAsia" w:hAnsiTheme="minorEastAsia" w:eastAsiaTheme="minorEastAsia" w:cstheme="minorEastAsia"/>
          <w:b w:val="0"/>
          <w:bCs w:val="0"/>
          <w:snapToGrid w:val="0"/>
          <w:color w:val="000000"/>
          <w:kern w:val="0"/>
          <w:sz w:val="52"/>
          <w:szCs w:val="52"/>
          <w:lang w:val="en-US" w:eastAsia="en-US" w:bidi="ar-SA"/>
        </w:rPr>
        <w:id w:val="147471789"/>
        <w15:color w:val="DBDBDB"/>
        <w:docPartObj>
          <w:docPartGallery w:val="Table of Contents"/>
          <w:docPartUnique/>
        </w:docPartObj>
      </w:sdtPr>
      <w:sdtEndPr>
        <w:rPr>
          <w:rFonts w:hint="eastAsia" w:asciiTheme="minorEastAsia" w:hAnsiTheme="minorEastAsia" w:eastAsiaTheme="minorEastAsia" w:cstheme="minorEastAsia"/>
          <w:b w:val="0"/>
          <w:bCs w:val="0"/>
          <w:snapToGrid w:val="0"/>
          <w:color w:val="000000"/>
          <w:kern w:val="0"/>
          <w:sz w:val="52"/>
          <w:szCs w:val="52"/>
          <w:lang w:val="en-US" w:eastAsia="en-US" w:bidi="ar-SA"/>
        </w:rPr>
      </w:sdtEndPr>
      <w:sdtContent>
        <w:p w14:paraId="2694C76A">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val="0"/>
              <w:bCs w:val="0"/>
              <w:sz w:val="52"/>
              <w:szCs w:val="52"/>
            </w:rPr>
          </w:pPr>
          <w:r>
            <w:rPr>
              <w:rFonts w:hint="eastAsia" w:asciiTheme="minorEastAsia" w:hAnsiTheme="minorEastAsia" w:eastAsiaTheme="minorEastAsia" w:cstheme="minorEastAsia"/>
              <w:b/>
              <w:bCs/>
              <w:sz w:val="52"/>
              <w:szCs w:val="52"/>
            </w:rPr>
            <w:t>目</w:t>
          </w:r>
          <w:r>
            <w:rPr>
              <w:rFonts w:hint="eastAsia" w:asciiTheme="minorEastAsia" w:hAnsiTheme="minorEastAsia" w:eastAsiaTheme="minorEastAsia" w:cstheme="minorEastAsia"/>
              <w:b/>
              <w:bCs/>
              <w:sz w:val="52"/>
              <w:szCs w:val="52"/>
              <w:lang w:val="en-US" w:eastAsia="zh-CN"/>
            </w:rPr>
            <w:t xml:space="preserve">  </w:t>
          </w:r>
          <w:r>
            <w:rPr>
              <w:rFonts w:hint="eastAsia" w:asciiTheme="minorEastAsia" w:hAnsiTheme="minorEastAsia" w:eastAsiaTheme="minorEastAsia" w:cstheme="minorEastAsia"/>
              <w:b/>
              <w:bCs/>
              <w:sz w:val="52"/>
              <w:szCs w:val="52"/>
            </w:rPr>
            <w:t>录</w:t>
          </w:r>
        </w:p>
        <w:p w14:paraId="04872165">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val="0"/>
              <w:bCs w:val="0"/>
              <w:sz w:val="52"/>
              <w:szCs w:val="52"/>
            </w:rPr>
          </w:pPr>
        </w:p>
        <w:p w14:paraId="4C7B9409">
          <w:pPr>
            <w:spacing w:before="0" w:beforeLines="0" w:after="0" w:afterLines="0" w:line="240" w:lineRule="auto"/>
            <w:ind w:left="0" w:leftChars="0" w:right="0" w:rightChars="0" w:firstLine="0" w:firstLineChars="0"/>
            <w:jc w:val="center"/>
            <w:rPr>
              <w:rFonts w:hint="eastAsia" w:ascii="微软雅黑" w:hAnsi="微软雅黑" w:eastAsia="微软雅黑" w:cs="微软雅黑"/>
              <w:b w:val="0"/>
              <w:bCs w:val="0"/>
              <w:sz w:val="36"/>
              <w:szCs w:val="36"/>
            </w:rPr>
          </w:pPr>
        </w:p>
        <w:p w14:paraId="7BE1DB8C">
          <w:pPr>
            <w:pStyle w:val="12"/>
            <w:keepNext w:val="0"/>
            <w:keepLines w:val="0"/>
            <w:pageBreakBefore w:val="0"/>
            <w:widowControl/>
            <w:tabs>
              <w:tab w:val="right" w:leader="dot" w:pos="9800"/>
            </w:tabs>
            <w:wordWrap/>
            <w:overflowPunct/>
            <w:topLinePunct w:val="0"/>
            <w:bidi w:val="0"/>
            <w:spacing w:line="360" w:lineRule="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fldChar w:fldCharType="begin"/>
          </w:r>
          <w:r>
            <w:rPr>
              <w:rFonts w:hint="eastAsia" w:asciiTheme="minorEastAsia" w:hAnsiTheme="minorEastAsia" w:eastAsiaTheme="minorEastAsia" w:cstheme="minorEastAsia"/>
              <w:b w:val="0"/>
              <w:bCs w:val="0"/>
              <w:sz w:val="32"/>
              <w:szCs w:val="32"/>
            </w:rPr>
            <w:instrText xml:space="preserve">TOC \o "1-1" \h \u </w:instrText>
          </w:r>
          <w:r>
            <w:rPr>
              <w:rFonts w:hint="eastAsia" w:asciiTheme="minorEastAsia" w:hAnsiTheme="minorEastAsia" w:eastAsiaTheme="minorEastAsia" w:cstheme="minorEastAsia"/>
              <w:b w:val="0"/>
              <w:bCs w:val="0"/>
              <w:sz w:val="32"/>
              <w:szCs w:val="32"/>
            </w:rPr>
            <w:fldChar w:fldCharType="separate"/>
          </w:r>
          <w:r>
            <w:rPr>
              <w:rFonts w:hint="eastAsia" w:asciiTheme="minorEastAsia" w:hAnsiTheme="minorEastAsia" w:eastAsiaTheme="minorEastAsia" w:cstheme="minorEastAsia"/>
              <w:b w:val="0"/>
              <w:bCs w:val="0"/>
              <w:sz w:val="32"/>
              <w:szCs w:val="32"/>
            </w:rPr>
            <w:fldChar w:fldCharType="begin"/>
          </w:r>
          <w:r>
            <w:rPr>
              <w:rFonts w:hint="eastAsia" w:asciiTheme="minorEastAsia" w:hAnsiTheme="minorEastAsia" w:eastAsiaTheme="minorEastAsia" w:cstheme="minorEastAsia"/>
              <w:b w:val="0"/>
              <w:bCs w:val="0"/>
              <w:sz w:val="32"/>
              <w:szCs w:val="32"/>
            </w:rPr>
            <w:instrText xml:space="preserve"> HYPERLINK \l _Toc25345 </w:instrText>
          </w:r>
          <w:r>
            <w:rPr>
              <w:rFonts w:hint="eastAsia" w:asciiTheme="minorEastAsia" w:hAnsiTheme="minorEastAsia" w:eastAsiaTheme="minorEastAsia" w:cstheme="minorEastAsia"/>
              <w:b w:val="0"/>
              <w:bCs w:val="0"/>
              <w:sz w:val="32"/>
              <w:szCs w:val="32"/>
            </w:rPr>
            <w:fldChar w:fldCharType="separate"/>
          </w:r>
          <w:r>
            <w:rPr>
              <w:rFonts w:hint="eastAsia" w:asciiTheme="minorEastAsia" w:hAnsiTheme="minorEastAsia" w:eastAsiaTheme="minorEastAsia" w:cstheme="minorEastAsia"/>
              <w:b w:val="0"/>
              <w:bCs w:val="0"/>
              <w:sz w:val="32"/>
              <w:szCs w:val="32"/>
              <w:highlight w:val="none"/>
            </w:rPr>
            <w:t>第一章</w:t>
          </w:r>
          <w:r>
            <w:rPr>
              <w:rFonts w:hint="eastAsia" w:asciiTheme="minorEastAsia" w:hAnsiTheme="minorEastAsia" w:eastAsiaTheme="minorEastAsia" w:cstheme="minorEastAsia"/>
              <w:b w:val="0"/>
              <w:bCs w:val="0"/>
              <w:sz w:val="32"/>
              <w:szCs w:val="32"/>
              <w:highlight w:val="none"/>
              <w:lang w:val="en-US" w:eastAsia="zh-CN"/>
            </w:rPr>
            <w:t xml:space="preserve"> </w:t>
          </w:r>
          <w:r>
            <w:rPr>
              <w:rFonts w:hint="eastAsia" w:asciiTheme="minorEastAsia" w:hAnsiTheme="minorEastAsia" w:eastAsiaTheme="minorEastAsia" w:cstheme="minorEastAsia"/>
              <w:b w:val="0"/>
              <w:bCs w:val="0"/>
              <w:sz w:val="32"/>
              <w:szCs w:val="32"/>
              <w:highlight w:val="none"/>
            </w:rPr>
            <w:t>公开招标公告</w:t>
          </w:r>
          <w:r>
            <w:rPr>
              <w:rFonts w:hint="eastAsia" w:asciiTheme="minorEastAsia" w:hAnsiTheme="minorEastAsia" w:eastAsiaTheme="minorEastAsia" w:cstheme="minorEastAsia"/>
              <w:b w:val="0"/>
              <w:bCs w:val="0"/>
              <w:sz w:val="32"/>
              <w:szCs w:val="32"/>
            </w:rPr>
            <w:tab/>
          </w:r>
          <w:r>
            <w:rPr>
              <w:rFonts w:hint="eastAsia" w:asciiTheme="minorEastAsia" w:hAnsiTheme="minorEastAsia" w:eastAsiaTheme="minorEastAsia" w:cstheme="minorEastAsia"/>
              <w:b w:val="0"/>
              <w:bCs w:val="0"/>
              <w:sz w:val="32"/>
              <w:szCs w:val="32"/>
            </w:rPr>
            <w:fldChar w:fldCharType="begin"/>
          </w:r>
          <w:r>
            <w:rPr>
              <w:rFonts w:hint="eastAsia" w:asciiTheme="minorEastAsia" w:hAnsiTheme="minorEastAsia" w:eastAsiaTheme="minorEastAsia" w:cstheme="minorEastAsia"/>
              <w:b w:val="0"/>
              <w:bCs w:val="0"/>
              <w:sz w:val="32"/>
              <w:szCs w:val="32"/>
            </w:rPr>
            <w:instrText xml:space="preserve"> PAGEREF _Toc25345 \h </w:instrText>
          </w:r>
          <w:r>
            <w:rPr>
              <w:rFonts w:hint="eastAsia" w:asciiTheme="minorEastAsia" w:hAnsiTheme="minorEastAsia" w:eastAsiaTheme="minorEastAsia" w:cstheme="minorEastAsia"/>
              <w:b w:val="0"/>
              <w:bCs w:val="0"/>
              <w:sz w:val="32"/>
              <w:szCs w:val="32"/>
            </w:rPr>
            <w:fldChar w:fldCharType="separate"/>
          </w:r>
          <w:r>
            <w:rPr>
              <w:rFonts w:hint="eastAsia" w:asciiTheme="minorEastAsia" w:hAnsiTheme="minorEastAsia" w:eastAsiaTheme="minorEastAsia" w:cstheme="minorEastAsia"/>
              <w:b w:val="0"/>
              <w:bCs w:val="0"/>
              <w:sz w:val="32"/>
              <w:szCs w:val="32"/>
            </w:rPr>
            <w:t>2</w:t>
          </w:r>
          <w:r>
            <w:rPr>
              <w:rFonts w:hint="eastAsia" w:asciiTheme="minorEastAsia" w:hAnsiTheme="minorEastAsia" w:eastAsiaTheme="minorEastAsia" w:cstheme="minorEastAsia"/>
              <w:b w:val="0"/>
              <w:bCs w:val="0"/>
              <w:sz w:val="32"/>
              <w:szCs w:val="32"/>
            </w:rPr>
            <w:fldChar w:fldCharType="end"/>
          </w:r>
          <w:r>
            <w:rPr>
              <w:rFonts w:hint="eastAsia" w:asciiTheme="minorEastAsia" w:hAnsiTheme="minorEastAsia" w:eastAsiaTheme="minorEastAsia" w:cstheme="minorEastAsia"/>
              <w:b w:val="0"/>
              <w:bCs w:val="0"/>
              <w:sz w:val="32"/>
              <w:szCs w:val="32"/>
            </w:rPr>
            <w:fldChar w:fldCharType="end"/>
          </w:r>
        </w:p>
        <w:p w14:paraId="0E81EE4F">
          <w:pPr>
            <w:pStyle w:val="12"/>
            <w:keepNext w:val="0"/>
            <w:keepLines w:val="0"/>
            <w:pageBreakBefore w:val="0"/>
            <w:widowControl/>
            <w:tabs>
              <w:tab w:val="right" w:leader="dot" w:pos="9800"/>
            </w:tabs>
            <w:wordWrap/>
            <w:overflowPunct/>
            <w:topLinePunct w:val="0"/>
            <w:bidi w:val="0"/>
            <w:spacing w:line="360" w:lineRule="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fldChar w:fldCharType="begin"/>
          </w:r>
          <w:r>
            <w:rPr>
              <w:rFonts w:hint="eastAsia" w:asciiTheme="minorEastAsia" w:hAnsiTheme="minorEastAsia" w:eastAsiaTheme="minorEastAsia" w:cstheme="minorEastAsia"/>
              <w:b w:val="0"/>
              <w:bCs w:val="0"/>
              <w:sz w:val="32"/>
              <w:szCs w:val="32"/>
            </w:rPr>
            <w:instrText xml:space="preserve"> HYPERLINK \l _Toc11835 </w:instrText>
          </w:r>
          <w:r>
            <w:rPr>
              <w:rFonts w:hint="eastAsia" w:asciiTheme="minorEastAsia" w:hAnsiTheme="minorEastAsia" w:eastAsiaTheme="minorEastAsia" w:cstheme="minorEastAsia"/>
              <w:b w:val="0"/>
              <w:bCs w:val="0"/>
              <w:sz w:val="32"/>
              <w:szCs w:val="32"/>
            </w:rPr>
            <w:fldChar w:fldCharType="separate"/>
          </w:r>
          <w:r>
            <w:rPr>
              <w:rFonts w:hint="eastAsia" w:asciiTheme="minorEastAsia" w:hAnsiTheme="minorEastAsia" w:eastAsiaTheme="minorEastAsia" w:cstheme="minorEastAsia"/>
              <w:b w:val="0"/>
              <w:bCs w:val="0"/>
              <w:spacing w:val="5"/>
              <w:sz w:val="32"/>
              <w:szCs w:val="32"/>
            </w:rPr>
            <w:t>第二章</w:t>
          </w:r>
          <w:r>
            <w:rPr>
              <w:rFonts w:hint="eastAsia" w:asciiTheme="minorEastAsia" w:hAnsiTheme="minorEastAsia" w:eastAsiaTheme="minorEastAsia" w:cstheme="minorEastAsia"/>
              <w:b w:val="0"/>
              <w:bCs w:val="0"/>
              <w:spacing w:val="5"/>
              <w:sz w:val="32"/>
              <w:szCs w:val="32"/>
              <w:lang w:val="en-US" w:eastAsia="zh-CN"/>
            </w:rPr>
            <w:t xml:space="preserve"> </w:t>
          </w:r>
          <w:r>
            <w:rPr>
              <w:rFonts w:hint="eastAsia" w:asciiTheme="minorEastAsia" w:hAnsiTheme="minorEastAsia" w:eastAsiaTheme="minorEastAsia" w:cstheme="minorEastAsia"/>
              <w:b w:val="0"/>
              <w:bCs w:val="0"/>
              <w:spacing w:val="5"/>
              <w:sz w:val="32"/>
              <w:szCs w:val="32"/>
            </w:rPr>
            <w:t>投标人须知</w:t>
          </w:r>
          <w:r>
            <w:rPr>
              <w:rFonts w:hint="eastAsia" w:asciiTheme="minorEastAsia" w:hAnsiTheme="minorEastAsia" w:eastAsiaTheme="minorEastAsia" w:cstheme="minorEastAsia"/>
              <w:b w:val="0"/>
              <w:bCs w:val="0"/>
              <w:sz w:val="32"/>
              <w:szCs w:val="32"/>
            </w:rPr>
            <w:tab/>
          </w:r>
          <w:r>
            <w:rPr>
              <w:rFonts w:hint="eastAsia" w:asciiTheme="minorEastAsia" w:hAnsiTheme="minorEastAsia" w:eastAsiaTheme="minorEastAsia" w:cstheme="minorEastAsia"/>
              <w:b w:val="0"/>
              <w:bCs w:val="0"/>
              <w:sz w:val="32"/>
              <w:szCs w:val="32"/>
              <w:lang w:val="en-US" w:eastAsia="zh-CN"/>
            </w:rPr>
            <w:t>5</w:t>
          </w:r>
          <w:r>
            <w:rPr>
              <w:rFonts w:hint="eastAsia" w:asciiTheme="minorEastAsia" w:hAnsiTheme="minorEastAsia" w:eastAsiaTheme="minorEastAsia" w:cstheme="minorEastAsia"/>
              <w:b w:val="0"/>
              <w:bCs w:val="0"/>
              <w:sz w:val="32"/>
              <w:szCs w:val="32"/>
            </w:rPr>
            <w:fldChar w:fldCharType="end"/>
          </w:r>
        </w:p>
        <w:p w14:paraId="2DF9FD1F">
          <w:pPr>
            <w:pStyle w:val="12"/>
            <w:keepNext w:val="0"/>
            <w:keepLines w:val="0"/>
            <w:pageBreakBefore w:val="0"/>
            <w:widowControl/>
            <w:tabs>
              <w:tab w:val="right" w:leader="dot" w:pos="9800"/>
            </w:tabs>
            <w:wordWrap/>
            <w:overflowPunct/>
            <w:topLinePunct w:val="0"/>
            <w:bidi w:val="0"/>
            <w:spacing w:line="360" w:lineRule="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fldChar w:fldCharType="begin"/>
          </w:r>
          <w:r>
            <w:rPr>
              <w:rFonts w:hint="eastAsia" w:asciiTheme="minorEastAsia" w:hAnsiTheme="minorEastAsia" w:eastAsiaTheme="minorEastAsia" w:cstheme="minorEastAsia"/>
              <w:b w:val="0"/>
              <w:bCs w:val="0"/>
              <w:sz w:val="32"/>
              <w:szCs w:val="32"/>
            </w:rPr>
            <w:instrText xml:space="preserve"> HYPERLINK \l _Toc17671 </w:instrText>
          </w:r>
          <w:r>
            <w:rPr>
              <w:rFonts w:hint="eastAsia" w:asciiTheme="minorEastAsia" w:hAnsiTheme="minorEastAsia" w:eastAsiaTheme="minorEastAsia" w:cstheme="minorEastAsia"/>
              <w:b w:val="0"/>
              <w:bCs w:val="0"/>
              <w:sz w:val="32"/>
              <w:szCs w:val="32"/>
            </w:rPr>
            <w:fldChar w:fldCharType="separate"/>
          </w:r>
          <w:r>
            <w:rPr>
              <w:rFonts w:hint="eastAsia" w:asciiTheme="minorEastAsia" w:hAnsiTheme="minorEastAsia" w:eastAsiaTheme="minorEastAsia" w:cstheme="minorEastAsia"/>
              <w:b w:val="0"/>
              <w:bCs w:val="0"/>
              <w:spacing w:val="6"/>
              <w:sz w:val="32"/>
              <w:szCs w:val="32"/>
            </w:rPr>
            <w:t>第三章</w:t>
          </w:r>
          <w:r>
            <w:rPr>
              <w:rFonts w:hint="eastAsia" w:asciiTheme="minorEastAsia" w:hAnsiTheme="minorEastAsia" w:eastAsiaTheme="minorEastAsia" w:cstheme="minorEastAsia"/>
              <w:b w:val="0"/>
              <w:bCs w:val="0"/>
              <w:spacing w:val="6"/>
              <w:sz w:val="32"/>
              <w:szCs w:val="32"/>
              <w:lang w:val="en-US" w:eastAsia="zh-CN"/>
            </w:rPr>
            <w:t xml:space="preserve"> </w:t>
          </w:r>
          <w:r>
            <w:rPr>
              <w:rFonts w:hint="eastAsia" w:asciiTheme="minorEastAsia" w:hAnsiTheme="minorEastAsia" w:eastAsiaTheme="minorEastAsia" w:cstheme="minorEastAsia"/>
              <w:b w:val="0"/>
              <w:bCs w:val="0"/>
              <w:spacing w:val="6"/>
              <w:sz w:val="32"/>
              <w:szCs w:val="32"/>
            </w:rPr>
            <w:t>服务采购需求</w:t>
          </w:r>
          <w:r>
            <w:rPr>
              <w:rFonts w:hint="eastAsia" w:asciiTheme="minorEastAsia" w:hAnsiTheme="minorEastAsia" w:eastAsiaTheme="minorEastAsia" w:cstheme="minorEastAsia"/>
              <w:b w:val="0"/>
              <w:bCs w:val="0"/>
              <w:sz w:val="32"/>
              <w:szCs w:val="32"/>
            </w:rPr>
            <w:tab/>
          </w:r>
          <w:r>
            <w:rPr>
              <w:rFonts w:hint="eastAsia" w:asciiTheme="minorEastAsia" w:hAnsiTheme="minorEastAsia" w:eastAsiaTheme="minorEastAsia" w:cstheme="minorEastAsia"/>
              <w:b w:val="0"/>
              <w:bCs w:val="0"/>
              <w:sz w:val="32"/>
              <w:szCs w:val="32"/>
            </w:rPr>
            <w:fldChar w:fldCharType="begin"/>
          </w:r>
          <w:r>
            <w:rPr>
              <w:rFonts w:hint="eastAsia" w:asciiTheme="minorEastAsia" w:hAnsiTheme="minorEastAsia" w:eastAsiaTheme="minorEastAsia" w:cstheme="minorEastAsia"/>
              <w:b w:val="0"/>
              <w:bCs w:val="0"/>
              <w:sz w:val="32"/>
              <w:szCs w:val="32"/>
            </w:rPr>
            <w:instrText xml:space="preserve"> PAGEREF _Toc17671 \h </w:instrText>
          </w:r>
          <w:r>
            <w:rPr>
              <w:rFonts w:hint="eastAsia" w:asciiTheme="minorEastAsia" w:hAnsiTheme="minorEastAsia" w:eastAsiaTheme="minorEastAsia" w:cstheme="minorEastAsia"/>
              <w:b w:val="0"/>
              <w:bCs w:val="0"/>
              <w:sz w:val="32"/>
              <w:szCs w:val="32"/>
            </w:rPr>
            <w:fldChar w:fldCharType="separate"/>
          </w:r>
          <w:r>
            <w:rPr>
              <w:rFonts w:hint="eastAsia" w:asciiTheme="minorEastAsia" w:hAnsiTheme="minorEastAsia" w:eastAsiaTheme="minorEastAsia" w:cstheme="minorEastAsia"/>
              <w:b w:val="0"/>
              <w:bCs w:val="0"/>
              <w:sz w:val="32"/>
              <w:szCs w:val="32"/>
            </w:rPr>
            <w:t>26</w:t>
          </w:r>
          <w:r>
            <w:rPr>
              <w:rFonts w:hint="eastAsia" w:asciiTheme="minorEastAsia" w:hAnsiTheme="minorEastAsia" w:eastAsiaTheme="minorEastAsia" w:cstheme="minorEastAsia"/>
              <w:b w:val="0"/>
              <w:bCs w:val="0"/>
              <w:sz w:val="32"/>
              <w:szCs w:val="32"/>
            </w:rPr>
            <w:fldChar w:fldCharType="end"/>
          </w:r>
          <w:r>
            <w:rPr>
              <w:rFonts w:hint="eastAsia" w:asciiTheme="minorEastAsia" w:hAnsiTheme="minorEastAsia" w:eastAsiaTheme="minorEastAsia" w:cstheme="minorEastAsia"/>
              <w:b w:val="0"/>
              <w:bCs w:val="0"/>
              <w:sz w:val="32"/>
              <w:szCs w:val="32"/>
            </w:rPr>
            <w:fldChar w:fldCharType="end"/>
          </w:r>
        </w:p>
        <w:p w14:paraId="7F353896">
          <w:pPr>
            <w:pStyle w:val="12"/>
            <w:keepNext w:val="0"/>
            <w:keepLines w:val="0"/>
            <w:pageBreakBefore w:val="0"/>
            <w:widowControl/>
            <w:tabs>
              <w:tab w:val="right" w:leader="dot" w:pos="9800"/>
            </w:tabs>
            <w:wordWrap/>
            <w:overflowPunct/>
            <w:topLinePunct w:val="0"/>
            <w:bidi w:val="0"/>
            <w:spacing w:line="360" w:lineRule="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fldChar w:fldCharType="begin"/>
          </w:r>
          <w:r>
            <w:rPr>
              <w:rFonts w:hint="eastAsia" w:asciiTheme="minorEastAsia" w:hAnsiTheme="minorEastAsia" w:eastAsiaTheme="minorEastAsia" w:cstheme="minorEastAsia"/>
              <w:b w:val="0"/>
              <w:bCs w:val="0"/>
              <w:sz w:val="32"/>
              <w:szCs w:val="32"/>
            </w:rPr>
            <w:instrText xml:space="preserve"> HYPERLINK \l _Toc6509 </w:instrText>
          </w:r>
          <w:r>
            <w:rPr>
              <w:rFonts w:hint="eastAsia" w:asciiTheme="minorEastAsia" w:hAnsiTheme="minorEastAsia" w:eastAsiaTheme="minorEastAsia" w:cstheme="minorEastAsia"/>
              <w:b w:val="0"/>
              <w:bCs w:val="0"/>
              <w:sz w:val="32"/>
              <w:szCs w:val="32"/>
            </w:rPr>
            <w:fldChar w:fldCharType="separate"/>
          </w:r>
          <w:r>
            <w:rPr>
              <w:rFonts w:hint="eastAsia" w:asciiTheme="minorEastAsia" w:hAnsiTheme="minorEastAsia" w:eastAsiaTheme="minorEastAsia" w:cstheme="minorEastAsia"/>
              <w:b w:val="0"/>
              <w:bCs w:val="0"/>
              <w:spacing w:val="6"/>
              <w:sz w:val="32"/>
              <w:szCs w:val="32"/>
            </w:rPr>
            <w:t>第四章</w:t>
          </w:r>
          <w:r>
            <w:rPr>
              <w:rFonts w:hint="eastAsia" w:asciiTheme="minorEastAsia" w:hAnsiTheme="minorEastAsia" w:eastAsiaTheme="minorEastAsia" w:cstheme="minorEastAsia"/>
              <w:b w:val="0"/>
              <w:bCs w:val="0"/>
              <w:spacing w:val="6"/>
              <w:sz w:val="32"/>
              <w:szCs w:val="32"/>
              <w:lang w:val="en-US" w:eastAsia="zh-CN"/>
            </w:rPr>
            <w:t xml:space="preserve"> </w:t>
          </w:r>
          <w:r>
            <w:rPr>
              <w:rFonts w:hint="eastAsia" w:asciiTheme="minorEastAsia" w:hAnsiTheme="minorEastAsia" w:eastAsiaTheme="minorEastAsia" w:cstheme="minorEastAsia"/>
              <w:b w:val="0"/>
              <w:bCs w:val="0"/>
              <w:spacing w:val="6"/>
              <w:sz w:val="32"/>
              <w:szCs w:val="32"/>
            </w:rPr>
            <w:t>评标办法</w:t>
          </w:r>
          <w:r>
            <w:rPr>
              <w:rFonts w:hint="eastAsia" w:asciiTheme="minorEastAsia" w:hAnsiTheme="minorEastAsia" w:eastAsiaTheme="minorEastAsia" w:cstheme="minorEastAsia"/>
              <w:b w:val="0"/>
              <w:bCs w:val="0"/>
              <w:sz w:val="32"/>
              <w:szCs w:val="32"/>
            </w:rPr>
            <w:tab/>
          </w:r>
          <w:r>
            <w:rPr>
              <w:rFonts w:hint="eastAsia" w:asciiTheme="minorEastAsia" w:hAnsiTheme="minorEastAsia" w:eastAsiaTheme="minorEastAsia" w:cstheme="minorEastAsia"/>
              <w:b w:val="0"/>
              <w:bCs w:val="0"/>
              <w:sz w:val="32"/>
              <w:szCs w:val="32"/>
            </w:rPr>
            <w:fldChar w:fldCharType="begin"/>
          </w:r>
          <w:r>
            <w:rPr>
              <w:rFonts w:hint="eastAsia" w:asciiTheme="minorEastAsia" w:hAnsiTheme="minorEastAsia" w:eastAsiaTheme="minorEastAsia" w:cstheme="minorEastAsia"/>
              <w:b w:val="0"/>
              <w:bCs w:val="0"/>
              <w:sz w:val="32"/>
              <w:szCs w:val="32"/>
            </w:rPr>
            <w:instrText xml:space="preserve"> PAGEREF _Toc6509 \h </w:instrText>
          </w:r>
          <w:r>
            <w:rPr>
              <w:rFonts w:hint="eastAsia" w:asciiTheme="minorEastAsia" w:hAnsiTheme="minorEastAsia" w:eastAsiaTheme="minorEastAsia" w:cstheme="minorEastAsia"/>
              <w:b w:val="0"/>
              <w:bCs w:val="0"/>
              <w:sz w:val="32"/>
              <w:szCs w:val="32"/>
            </w:rPr>
            <w:fldChar w:fldCharType="separate"/>
          </w:r>
          <w:r>
            <w:rPr>
              <w:rFonts w:hint="eastAsia" w:asciiTheme="minorEastAsia" w:hAnsiTheme="minorEastAsia" w:eastAsiaTheme="minorEastAsia" w:cstheme="minorEastAsia"/>
              <w:b w:val="0"/>
              <w:bCs w:val="0"/>
              <w:sz w:val="32"/>
              <w:szCs w:val="32"/>
            </w:rPr>
            <w:t>34</w:t>
          </w:r>
          <w:r>
            <w:rPr>
              <w:rFonts w:hint="eastAsia" w:asciiTheme="minorEastAsia" w:hAnsiTheme="minorEastAsia" w:eastAsiaTheme="minorEastAsia" w:cstheme="minorEastAsia"/>
              <w:b w:val="0"/>
              <w:bCs w:val="0"/>
              <w:sz w:val="32"/>
              <w:szCs w:val="32"/>
            </w:rPr>
            <w:fldChar w:fldCharType="end"/>
          </w:r>
          <w:r>
            <w:rPr>
              <w:rFonts w:hint="eastAsia" w:asciiTheme="minorEastAsia" w:hAnsiTheme="minorEastAsia" w:eastAsiaTheme="minorEastAsia" w:cstheme="minorEastAsia"/>
              <w:b w:val="0"/>
              <w:bCs w:val="0"/>
              <w:sz w:val="32"/>
              <w:szCs w:val="32"/>
            </w:rPr>
            <w:fldChar w:fldCharType="end"/>
          </w:r>
        </w:p>
        <w:p w14:paraId="67A28B63">
          <w:pPr>
            <w:pStyle w:val="12"/>
            <w:keepNext w:val="0"/>
            <w:keepLines w:val="0"/>
            <w:pageBreakBefore w:val="0"/>
            <w:widowControl/>
            <w:tabs>
              <w:tab w:val="right" w:leader="dot" w:pos="9800"/>
            </w:tabs>
            <w:wordWrap/>
            <w:overflowPunct/>
            <w:topLinePunct w:val="0"/>
            <w:bidi w:val="0"/>
            <w:spacing w:line="360" w:lineRule="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fldChar w:fldCharType="begin"/>
          </w:r>
          <w:r>
            <w:rPr>
              <w:rFonts w:hint="eastAsia" w:asciiTheme="minorEastAsia" w:hAnsiTheme="minorEastAsia" w:eastAsiaTheme="minorEastAsia" w:cstheme="minorEastAsia"/>
              <w:b w:val="0"/>
              <w:bCs w:val="0"/>
              <w:sz w:val="32"/>
              <w:szCs w:val="32"/>
            </w:rPr>
            <w:instrText xml:space="preserve"> HYPERLINK \l _Toc25907 </w:instrText>
          </w:r>
          <w:r>
            <w:rPr>
              <w:rFonts w:hint="eastAsia" w:asciiTheme="minorEastAsia" w:hAnsiTheme="minorEastAsia" w:eastAsiaTheme="minorEastAsia" w:cstheme="minorEastAsia"/>
              <w:b w:val="0"/>
              <w:bCs w:val="0"/>
              <w:sz w:val="32"/>
              <w:szCs w:val="32"/>
            </w:rPr>
            <w:fldChar w:fldCharType="separate"/>
          </w:r>
          <w:r>
            <w:rPr>
              <w:rFonts w:hint="eastAsia" w:asciiTheme="minorEastAsia" w:hAnsiTheme="minorEastAsia" w:eastAsiaTheme="minorEastAsia" w:cstheme="minorEastAsia"/>
              <w:b w:val="0"/>
              <w:bCs w:val="0"/>
              <w:spacing w:val="6"/>
              <w:sz w:val="32"/>
              <w:szCs w:val="32"/>
            </w:rPr>
            <w:t>第五章</w:t>
          </w:r>
          <w:r>
            <w:rPr>
              <w:rFonts w:hint="eastAsia" w:asciiTheme="minorEastAsia" w:hAnsiTheme="minorEastAsia" w:eastAsiaTheme="minorEastAsia" w:cstheme="minorEastAsia"/>
              <w:b w:val="0"/>
              <w:bCs w:val="0"/>
              <w:spacing w:val="6"/>
              <w:sz w:val="32"/>
              <w:szCs w:val="32"/>
              <w:lang w:val="en-US" w:eastAsia="zh-CN"/>
            </w:rPr>
            <w:t xml:space="preserve"> </w:t>
          </w:r>
          <w:r>
            <w:rPr>
              <w:rFonts w:hint="eastAsia" w:asciiTheme="minorEastAsia" w:hAnsiTheme="minorEastAsia" w:eastAsiaTheme="minorEastAsia" w:cstheme="minorEastAsia"/>
              <w:b w:val="0"/>
              <w:bCs w:val="0"/>
              <w:spacing w:val="6"/>
              <w:sz w:val="32"/>
              <w:szCs w:val="32"/>
            </w:rPr>
            <w:t>合同主要条款及格式</w:t>
          </w:r>
          <w:r>
            <w:rPr>
              <w:rFonts w:hint="eastAsia" w:asciiTheme="minorEastAsia" w:hAnsiTheme="minorEastAsia" w:eastAsiaTheme="minorEastAsia" w:cstheme="minorEastAsia"/>
              <w:b w:val="0"/>
              <w:bCs w:val="0"/>
              <w:sz w:val="32"/>
              <w:szCs w:val="32"/>
            </w:rPr>
            <w:tab/>
          </w:r>
          <w:r>
            <w:rPr>
              <w:rFonts w:hint="eastAsia" w:asciiTheme="minorEastAsia" w:hAnsiTheme="minorEastAsia" w:eastAsiaTheme="minorEastAsia" w:cstheme="minorEastAsia"/>
              <w:b w:val="0"/>
              <w:bCs w:val="0"/>
              <w:sz w:val="32"/>
              <w:szCs w:val="32"/>
            </w:rPr>
            <w:fldChar w:fldCharType="begin"/>
          </w:r>
          <w:r>
            <w:rPr>
              <w:rFonts w:hint="eastAsia" w:asciiTheme="minorEastAsia" w:hAnsiTheme="minorEastAsia" w:eastAsiaTheme="minorEastAsia" w:cstheme="minorEastAsia"/>
              <w:b w:val="0"/>
              <w:bCs w:val="0"/>
              <w:sz w:val="32"/>
              <w:szCs w:val="32"/>
            </w:rPr>
            <w:instrText xml:space="preserve"> PAGEREF _Toc25907 \h </w:instrText>
          </w:r>
          <w:r>
            <w:rPr>
              <w:rFonts w:hint="eastAsia" w:asciiTheme="minorEastAsia" w:hAnsiTheme="minorEastAsia" w:eastAsiaTheme="minorEastAsia" w:cstheme="minorEastAsia"/>
              <w:b w:val="0"/>
              <w:bCs w:val="0"/>
              <w:sz w:val="32"/>
              <w:szCs w:val="32"/>
            </w:rPr>
            <w:fldChar w:fldCharType="separate"/>
          </w:r>
          <w:r>
            <w:rPr>
              <w:rFonts w:hint="eastAsia" w:asciiTheme="minorEastAsia" w:hAnsiTheme="minorEastAsia" w:eastAsiaTheme="minorEastAsia" w:cstheme="minorEastAsia"/>
              <w:b w:val="0"/>
              <w:bCs w:val="0"/>
              <w:sz w:val="32"/>
              <w:szCs w:val="32"/>
            </w:rPr>
            <w:t>39</w:t>
          </w:r>
          <w:r>
            <w:rPr>
              <w:rFonts w:hint="eastAsia" w:asciiTheme="minorEastAsia" w:hAnsiTheme="minorEastAsia" w:eastAsiaTheme="minorEastAsia" w:cstheme="minorEastAsia"/>
              <w:b w:val="0"/>
              <w:bCs w:val="0"/>
              <w:sz w:val="32"/>
              <w:szCs w:val="32"/>
            </w:rPr>
            <w:fldChar w:fldCharType="end"/>
          </w:r>
          <w:r>
            <w:rPr>
              <w:rFonts w:hint="eastAsia" w:asciiTheme="minorEastAsia" w:hAnsiTheme="minorEastAsia" w:eastAsiaTheme="minorEastAsia" w:cstheme="minorEastAsia"/>
              <w:b w:val="0"/>
              <w:bCs w:val="0"/>
              <w:sz w:val="32"/>
              <w:szCs w:val="32"/>
            </w:rPr>
            <w:fldChar w:fldCharType="end"/>
          </w:r>
        </w:p>
        <w:p w14:paraId="69A27B7F">
          <w:pPr>
            <w:pStyle w:val="12"/>
            <w:keepNext w:val="0"/>
            <w:keepLines w:val="0"/>
            <w:pageBreakBefore w:val="0"/>
            <w:widowControl/>
            <w:tabs>
              <w:tab w:val="right" w:leader="dot" w:pos="9800"/>
            </w:tabs>
            <w:wordWrap/>
            <w:overflowPunct/>
            <w:topLinePunct w:val="0"/>
            <w:bidi w:val="0"/>
            <w:spacing w:line="360" w:lineRule="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fldChar w:fldCharType="begin"/>
          </w:r>
          <w:r>
            <w:rPr>
              <w:rFonts w:hint="eastAsia" w:asciiTheme="minorEastAsia" w:hAnsiTheme="minorEastAsia" w:eastAsiaTheme="minorEastAsia" w:cstheme="minorEastAsia"/>
              <w:b w:val="0"/>
              <w:bCs w:val="0"/>
              <w:sz w:val="32"/>
              <w:szCs w:val="32"/>
            </w:rPr>
            <w:instrText xml:space="preserve"> HYPERLINK \l _Toc15598 </w:instrText>
          </w:r>
          <w:r>
            <w:rPr>
              <w:rFonts w:hint="eastAsia" w:asciiTheme="minorEastAsia" w:hAnsiTheme="minorEastAsia" w:eastAsiaTheme="minorEastAsia" w:cstheme="minorEastAsia"/>
              <w:b w:val="0"/>
              <w:bCs w:val="0"/>
              <w:sz w:val="32"/>
              <w:szCs w:val="32"/>
            </w:rPr>
            <w:fldChar w:fldCharType="separate"/>
          </w:r>
          <w:r>
            <w:rPr>
              <w:rFonts w:hint="eastAsia" w:asciiTheme="minorEastAsia" w:hAnsiTheme="minorEastAsia" w:eastAsiaTheme="minorEastAsia" w:cstheme="minorEastAsia"/>
              <w:b w:val="0"/>
              <w:bCs w:val="0"/>
              <w:sz w:val="32"/>
              <w:szCs w:val="32"/>
              <w:highlight w:val="none"/>
              <w:lang w:eastAsia="zh-CN"/>
            </w:rPr>
            <w:t>第六章</w:t>
          </w:r>
          <w:r>
            <w:rPr>
              <w:rFonts w:hint="eastAsia" w:asciiTheme="minorEastAsia" w:hAnsiTheme="minorEastAsia" w:eastAsiaTheme="minorEastAsia" w:cstheme="minorEastAsia"/>
              <w:b w:val="0"/>
              <w:bCs w:val="0"/>
              <w:sz w:val="32"/>
              <w:szCs w:val="32"/>
              <w:highlight w:val="none"/>
              <w:lang w:val="en-US" w:eastAsia="zh-CN"/>
            </w:rPr>
            <w:t xml:space="preserve"> </w:t>
          </w:r>
          <w:r>
            <w:rPr>
              <w:rFonts w:hint="eastAsia" w:asciiTheme="minorEastAsia" w:hAnsiTheme="minorEastAsia" w:eastAsiaTheme="minorEastAsia" w:cstheme="minorEastAsia"/>
              <w:b w:val="0"/>
              <w:bCs w:val="0"/>
              <w:sz w:val="32"/>
              <w:szCs w:val="32"/>
              <w:highlight w:val="none"/>
            </w:rPr>
            <w:t>投标文件格式</w:t>
          </w:r>
          <w:r>
            <w:rPr>
              <w:rFonts w:hint="eastAsia" w:asciiTheme="minorEastAsia" w:hAnsiTheme="minorEastAsia" w:eastAsiaTheme="minorEastAsia" w:cstheme="minorEastAsia"/>
              <w:b w:val="0"/>
              <w:bCs w:val="0"/>
              <w:sz w:val="32"/>
              <w:szCs w:val="32"/>
            </w:rPr>
            <w:tab/>
          </w:r>
          <w:r>
            <w:rPr>
              <w:rFonts w:hint="eastAsia" w:asciiTheme="minorEastAsia" w:hAnsiTheme="minorEastAsia" w:eastAsiaTheme="minorEastAsia" w:cstheme="minorEastAsia"/>
              <w:b w:val="0"/>
              <w:bCs w:val="0"/>
              <w:sz w:val="32"/>
              <w:szCs w:val="32"/>
            </w:rPr>
            <w:fldChar w:fldCharType="begin"/>
          </w:r>
          <w:r>
            <w:rPr>
              <w:rFonts w:hint="eastAsia" w:asciiTheme="minorEastAsia" w:hAnsiTheme="minorEastAsia" w:eastAsiaTheme="minorEastAsia" w:cstheme="minorEastAsia"/>
              <w:b w:val="0"/>
              <w:bCs w:val="0"/>
              <w:sz w:val="32"/>
              <w:szCs w:val="32"/>
            </w:rPr>
            <w:instrText xml:space="preserve"> PAGEREF _Toc15598 \h </w:instrText>
          </w:r>
          <w:r>
            <w:rPr>
              <w:rFonts w:hint="eastAsia" w:asciiTheme="minorEastAsia" w:hAnsiTheme="minorEastAsia" w:eastAsiaTheme="minorEastAsia" w:cstheme="minorEastAsia"/>
              <w:b w:val="0"/>
              <w:bCs w:val="0"/>
              <w:sz w:val="32"/>
              <w:szCs w:val="32"/>
            </w:rPr>
            <w:fldChar w:fldCharType="separate"/>
          </w:r>
          <w:r>
            <w:rPr>
              <w:rFonts w:hint="eastAsia" w:asciiTheme="minorEastAsia" w:hAnsiTheme="minorEastAsia" w:eastAsiaTheme="minorEastAsia" w:cstheme="minorEastAsia"/>
              <w:b w:val="0"/>
              <w:bCs w:val="0"/>
              <w:sz w:val="32"/>
              <w:szCs w:val="32"/>
            </w:rPr>
            <w:t>44</w:t>
          </w:r>
          <w:r>
            <w:rPr>
              <w:rFonts w:hint="eastAsia" w:asciiTheme="minorEastAsia" w:hAnsiTheme="minorEastAsia" w:eastAsiaTheme="minorEastAsia" w:cstheme="minorEastAsia"/>
              <w:b w:val="0"/>
              <w:bCs w:val="0"/>
              <w:sz w:val="32"/>
              <w:szCs w:val="32"/>
            </w:rPr>
            <w:fldChar w:fldCharType="end"/>
          </w:r>
          <w:r>
            <w:rPr>
              <w:rFonts w:hint="eastAsia" w:asciiTheme="minorEastAsia" w:hAnsiTheme="minorEastAsia" w:eastAsiaTheme="minorEastAsia" w:cstheme="minorEastAsia"/>
              <w:b w:val="0"/>
              <w:bCs w:val="0"/>
              <w:sz w:val="32"/>
              <w:szCs w:val="32"/>
            </w:rPr>
            <w:fldChar w:fldCharType="end"/>
          </w:r>
        </w:p>
        <w:p w14:paraId="5859ADA5">
          <w:pPr>
            <w:keepNext w:val="0"/>
            <w:keepLines w:val="0"/>
            <w:pageBreakBefore w:val="0"/>
            <w:widowControl/>
            <w:wordWrap/>
            <w:overflowPunct/>
            <w:topLinePunct w:val="0"/>
            <w:bidi w:val="0"/>
            <w:spacing w:line="360" w:lineRule="auto"/>
          </w:pPr>
          <w:r>
            <w:rPr>
              <w:rFonts w:hint="eastAsia" w:asciiTheme="minorEastAsia" w:hAnsiTheme="minorEastAsia" w:eastAsiaTheme="minorEastAsia" w:cstheme="minorEastAsia"/>
              <w:b w:val="0"/>
              <w:bCs w:val="0"/>
              <w:sz w:val="32"/>
              <w:szCs w:val="32"/>
            </w:rPr>
            <w:fldChar w:fldCharType="end"/>
          </w:r>
        </w:p>
      </w:sdtContent>
    </w:sdt>
    <w:p w14:paraId="5E1DF27D"/>
    <w:p w14:paraId="059B5ED5"/>
    <w:p w14:paraId="488AC3E3"/>
    <w:p w14:paraId="40330593"/>
    <w:p w14:paraId="6DBA376F"/>
    <w:p w14:paraId="0DA9D7E8"/>
    <w:p w14:paraId="4DCEC350"/>
    <w:p w14:paraId="02B52E6F"/>
    <w:p w14:paraId="00C8DCC4"/>
    <w:p w14:paraId="4C204BA8"/>
    <w:p w14:paraId="28D0D247"/>
    <w:p w14:paraId="59A31BA5"/>
    <w:p w14:paraId="31DA4818"/>
    <w:p w14:paraId="3FBEAA91"/>
    <w:p w14:paraId="5E287867"/>
    <w:p w14:paraId="7423C97F"/>
    <w:p w14:paraId="74979B9D"/>
    <w:p w14:paraId="07A8D0D3"/>
    <w:p w14:paraId="3EB50317"/>
    <w:p w14:paraId="0BF32693"/>
    <w:p w14:paraId="5959DAC0"/>
    <w:p w14:paraId="3B32F083"/>
    <w:p w14:paraId="61213398"/>
    <w:p w14:paraId="69463F81"/>
    <w:p w14:paraId="7FD3786C"/>
    <w:p w14:paraId="19DCAABA"/>
    <w:p w14:paraId="11CAA034"/>
    <w:p w14:paraId="055E8C5F">
      <w:pPr>
        <w:pStyle w:val="3"/>
        <w:spacing w:before="480"/>
        <w:jc w:val="center"/>
        <w:rPr>
          <w:b/>
          <w:bCs w:val="0"/>
          <w:color w:val="000000"/>
          <w:sz w:val="32"/>
          <w:szCs w:val="32"/>
          <w:highlight w:val="none"/>
        </w:rPr>
      </w:pPr>
      <w:bookmarkStart w:id="2" w:name="bookmark3"/>
      <w:bookmarkEnd w:id="2"/>
      <w:bookmarkStart w:id="3" w:name="_Toc25345"/>
      <w:bookmarkStart w:id="4" w:name="_Toc11835"/>
      <w:r>
        <w:rPr>
          <w:rFonts w:hint="eastAsia"/>
          <w:b/>
          <w:bCs w:val="0"/>
          <w:color w:val="000000"/>
          <w:sz w:val="32"/>
          <w:szCs w:val="32"/>
          <w:highlight w:val="none"/>
        </w:rPr>
        <w:t>第一章</w:t>
      </w:r>
      <w:r>
        <w:rPr>
          <w:rFonts w:hint="eastAsia" w:eastAsia="宋体"/>
          <w:b/>
          <w:bCs w:val="0"/>
          <w:color w:val="000000"/>
          <w:sz w:val="32"/>
          <w:szCs w:val="32"/>
          <w:highlight w:val="none"/>
          <w:lang w:val="en-US" w:eastAsia="zh-CN"/>
        </w:rPr>
        <w:t xml:space="preserve"> </w:t>
      </w:r>
      <w:r>
        <w:rPr>
          <w:rFonts w:hint="eastAsia"/>
          <w:b/>
          <w:bCs w:val="0"/>
          <w:color w:val="000000"/>
          <w:sz w:val="32"/>
          <w:szCs w:val="32"/>
          <w:highlight w:val="none"/>
        </w:rPr>
        <w:t>公开招标公告</w:t>
      </w:r>
      <w:bookmarkEnd w:id="3"/>
    </w:p>
    <w:p w14:paraId="2A7B798F">
      <w:pPr>
        <w:spacing w:line="360" w:lineRule="auto"/>
        <w:ind w:firstLine="420" w:firstLineChars="200"/>
        <w:jc w:val="left"/>
        <w:rPr>
          <w:rFonts w:hint="eastAsia" w:ascii="宋体" w:hAnsi="宋体"/>
          <w:color w:val="000000"/>
          <w:szCs w:val="21"/>
          <w:highlight w:val="none"/>
        </w:rPr>
      </w:pPr>
    </w:p>
    <w:p w14:paraId="0C3E64E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项目概况</w:t>
      </w:r>
    </w:p>
    <w:p w14:paraId="4F1C6AA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eastAsia="zh-CN"/>
        </w:rPr>
        <w:t>兴安县城北及乡镇污水处理厂运营管理服务</w:t>
      </w:r>
      <w:r>
        <w:rPr>
          <w:rFonts w:hint="eastAsia" w:ascii="宋体" w:hAnsi="宋体" w:eastAsia="宋体" w:cs="宋体"/>
          <w:color w:val="000000"/>
          <w:sz w:val="24"/>
          <w:szCs w:val="24"/>
          <w:highlight w:val="none"/>
        </w:rPr>
        <w:t>招标项目的潜在投标人应在</w:t>
      </w:r>
      <w:r>
        <w:rPr>
          <w:rFonts w:hint="eastAsia" w:ascii="宋体" w:hAnsi="宋体" w:eastAsia="宋体" w:cs="宋体"/>
          <w:color w:val="000000"/>
          <w:sz w:val="24"/>
          <w:szCs w:val="24"/>
          <w:highlight w:val="none"/>
          <w:u w:val="single"/>
          <w:lang w:eastAsia="zh-CN"/>
        </w:rPr>
        <w:t>广西政府采购云平台（https://www.gcy.zfcg.gxzf.gov.cn）</w:t>
      </w:r>
      <w:r>
        <w:rPr>
          <w:rFonts w:hint="eastAsia" w:ascii="宋体" w:hAnsi="宋体" w:eastAsia="宋体" w:cs="宋体"/>
          <w:color w:val="000000"/>
          <w:sz w:val="24"/>
          <w:szCs w:val="24"/>
          <w:highlight w:val="none"/>
        </w:rPr>
        <w:t>获取招标文件，并于</w:t>
      </w:r>
      <w:r>
        <w:rPr>
          <w:rFonts w:hint="eastAsia" w:ascii="宋体" w:hAnsi="宋体" w:eastAsia="宋体" w:cs="宋体"/>
          <w:color w:val="000000"/>
          <w:sz w:val="24"/>
          <w:szCs w:val="24"/>
          <w:highlight w:val="none"/>
          <w:u w:val="single"/>
          <w:lang w:val="en-US" w:eastAsia="zh-CN"/>
        </w:rPr>
        <w:t>2026</w:t>
      </w:r>
      <w:r>
        <w:rPr>
          <w:rFonts w:hint="eastAsia" w:ascii="宋体" w:hAnsi="宋体" w:eastAsia="宋体" w:cs="宋体"/>
          <w:bCs/>
          <w:color w:val="000000"/>
          <w:sz w:val="24"/>
          <w:szCs w:val="24"/>
          <w:highlight w:val="none"/>
          <w:u w:val="single"/>
        </w:rPr>
        <w:t>年</w:t>
      </w:r>
      <w:r>
        <w:rPr>
          <w:rFonts w:hint="eastAsia" w:ascii="宋体" w:hAnsi="宋体" w:eastAsia="宋体" w:cs="宋体"/>
          <w:bCs/>
          <w:color w:val="000000"/>
          <w:sz w:val="24"/>
          <w:szCs w:val="24"/>
          <w:highlight w:val="none"/>
          <w:u w:val="single"/>
          <w:lang w:val="en-US" w:eastAsia="zh-CN"/>
        </w:rPr>
        <w:t>04</w:t>
      </w:r>
      <w:r>
        <w:rPr>
          <w:rFonts w:hint="eastAsia" w:ascii="宋体" w:hAnsi="宋体" w:eastAsia="宋体" w:cs="宋体"/>
          <w:bCs/>
          <w:color w:val="000000"/>
          <w:sz w:val="24"/>
          <w:szCs w:val="24"/>
          <w:highlight w:val="none"/>
          <w:u w:val="single"/>
        </w:rPr>
        <w:t>月</w:t>
      </w:r>
      <w:r>
        <w:rPr>
          <w:rFonts w:hint="eastAsia" w:ascii="宋体" w:hAnsi="宋体" w:eastAsia="宋体" w:cs="宋体"/>
          <w:bCs/>
          <w:color w:val="000000"/>
          <w:sz w:val="24"/>
          <w:szCs w:val="24"/>
          <w:highlight w:val="none"/>
          <w:u w:val="single"/>
          <w:lang w:val="en-US" w:eastAsia="zh-CN"/>
        </w:rPr>
        <w:t>13日09</w:t>
      </w:r>
      <w:r>
        <w:rPr>
          <w:rFonts w:hint="eastAsia" w:ascii="宋体" w:hAnsi="宋体" w:eastAsia="宋体" w:cs="宋体"/>
          <w:bCs/>
          <w:color w:val="000000"/>
          <w:sz w:val="24"/>
          <w:szCs w:val="24"/>
          <w:highlight w:val="none"/>
          <w:u w:val="single"/>
        </w:rPr>
        <w:t>点</w:t>
      </w:r>
      <w:r>
        <w:rPr>
          <w:rFonts w:hint="eastAsia" w:ascii="宋体" w:hAnsi="宋体" w:eastAsia="宋体" w:cs="宋体"/>
          <w:bCs/>
          <w:color w:val="000000"/>
          <w:sz w:val="24"/>
          <w:szCs w:val="24"/>
          <w:highlight w:val="none"/>
          <w:u w:val="single"/>
          <w:lang w:val="en-US" w:eastAsia="zh-CN"/>
        </w:rPr>
        <w:t>30</w:t>
      </w:r>
      <w:r>
        <w:rPr>
          <w:rFonts w:hint="eastAsia" w:ascii="宋体" w:hAnsi="宋体" w:eastAsia="宋体" w:cs="宋体"/>
          <w:bCs/>
          <w:color w:val="000000"/>
          <w:sz w:val="24"/>
          <w:szCs w:val="24"/>
          <w:highlight w:val="none"/>
          <w:u w:val="single"/>
        </w:rPr>
        <w:t>分（</w:t>
      </w:r>
      <w:r>
        <w:rPr>
          <w:rFonts w:hint="eastAsia" w:ascii="宋体" w:hAnsi="宋体" w:eastAsia="宋体" w:cs="宋体"/>
          <w:bCs/>
          <w:color w:val="000000"/>
          <w:sz w:val="24"/>
          <w:szCs w:val="24"/>
          <w:highlight w:val="none"/>
        </w:rPr>
        <w:t>北京时间）前递交投标文件</w:t>
      </w:r>
      <w:r>
        <w:rPr>
          <w:rFonts w:hint="eastAsia" w:ascii="宋体" w:hAnsi="宋体" w:eastAsia="宋体" w:cs="宋体"/>
          <w:color w:val="000000"/>
          <w:sz w:val="24"/>
          <w:szCs w:val="24"/>
          <w:highlight w:val="none"/>
        </w:rPr>
        <w:t>。</w:t>
      </w:r>
    </w:p>
    <w:p w14:paraId="1F3B8BAF">
      <w:pPr>
        <w:rPr>
          <w:color w:val="000000"/>
          <w:sz w:val="28"/>
          <w:szCs w:val="28"/>
          <w:highlight w:val="none"/>
        </w:rPr>
      </w:pPr>
    </w:p>
    <w:p w14:paraId="2431874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sz w:val="21"/>
          <w:szCs w:val="21"/>
          <w:highlight w:val="none"/>
        </w:rPr>
      </w:pPr>
      <w:bookmarkStart w:id="5" w:name="_Toc28359079"/>
      <w:bookmarkStart w:id="6" w:name="_Toc28359002"/>
      <w:bookmarkStart w:id="7" w:name="_Toc35393621"/>
      <w:bookmarkStart w:id="8" w:name="_Toc35393790"/>
      <w:bookmarkStart w:id="9" w:name="_Hlk24379207"/>
      <w:r>
        <w:rPr>
          <w:rFonts w:hint="eastAsia" w:ascii="宋体" w:hAnsi="宋体" w:eastAsia="宋体" w:cs="宋体"/>
          <w:b/>
          <w:bCs/>
          <w:color w:val="000000"/>
          <w:sz w:val="21"/>
          <w:szCs w:val="21"/>
          <w:highlight w:val="none"/>
        </w:rPr>
        <w:t>一、项目基本情况</w:t>
      </w:r>
      <w:bookmarkEnd w:id="5"/>
      <w:bookmarkEnd w:id="6"/>
      <w:bookmarkEnd w:id="7"/>
      <w:bookmarkEnd w:id="8"/>
    </w:p>
    <w:bookmarkEnd w:id="9"/>
    <w:p w14:paraId="7D265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bookmarkStart w:id="10" w:name="_Toc35393791"/>
      <w:bookmarkStart w:id="11" w:name="_Toc35393622"/>
      <w:bookmarkStart w:id="12" w:name="_Toc28359003"/>
      <w:bookmarkStart w:id="13" w:name="_Toc28359080"/>
      <w:r>
        <w:rPr>
          <w:rFonts w:hint="eastAsia" w:ascii="宋体" w:hAnsi="宋体" w:eastAsia="宋体" w:cs="宋体"/>
          <w:color w:val="000000"/>
          <w:sz w:val="24"/>
          <w:szCs w:val="24"/>
          <w:highlight w:val="none"/>
        </w:rPr>
        <w:t>项目编号：GLZC2026-G3-250017-GXHS</w:t>
      </w:r>
    </w:p>
    <w:p w14:paraId="589DB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lang w:eastAsia="zh-CN"/>
        </w:rPr>
        <w:t>兴安县城北及乡镇污水处理厂运营管理服务</w:t>
      </w:r>
    </w:p>
    <w:p w14:paraId="5BCE8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采购方式：公开招标</w:t>
      </w:r>
    </w:p>
    <w:p w14:paraId="6FD438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预算金额（元）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3000000.00</w:t>
      </w:r>
    </w:p>
    <w:p w14:paraId="4F072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服务采购需求</w:t>
      </w:r>
      <w:r>
        <w:rPr>
          <w:rFonts w:hint="eastAsia" w:ascii="宋体" w:hAnsi="宋体" w:eastAsia="宋体" w:cs="宋体"/>
          <w:color w:val="000000"/>
          <w:sz w:val="24"/>
          <w:szCs w:val="24"/>
          <w:highlight w:val="none"/>
        </w:rPr>
        <w:t>：</w:t>
      </w:r>
    </w:p>
    <w:p w14:paraId="4D0F0A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标项一</w:t>
      </w:r>
    </w:p>
    <w:p w14:paraId="0C40E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标项名称:</w:t>
      </w:r>
      <w:r>
        <w:rPr>
          <w:rFonts w:hint="eastAsia" w:ascii="宋体" w:hAnsi="宋体" w:eastAsia="宋体" w:cs="宋体"/>
          <w:color w:val="000000"/>
          <w:sz w:val="24"/>
          <w:szCs w:val="24"/>
          <w:highlight w:val="none"/>
          <w:lang w:eastAsia="zh-CN"/>
        </w:rPr>
        <w:t>兴安县城北及乡镇污水处理厂运营管理服务</w:t>
      </w:r>
    </w:p>
    <w:p w14:paraId="04A44D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数量:</w:t>
      </w:r>
      <w:r>
        <w:rPr>
          <w:rFonts w:hint="eastAsia" w:ascii="宋体" w:hAnsi="宋体" w:eastAsia="宋体" w:cs="宋体"/>
          <w:color w:val="000000"/>
          <w:sz w:val="24"/>
          <w:szCs w:val="24"/>
          <w:highlight w:val="none"/>
          <w:lang w:val="en-US" w:eastAsia="zh-CN"/>
        </w:rPr>
        <w:t>1</w:t>
      </w:r>
    </w:p>
    <w:p w14:paraId="73124A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预算金额（元）:</w:t>
      </w:r>
      <w:r>
        <w:rPr>
          <w:rFonts w:hint="eastAsia" w:ascii="宋体" w:hAnsi="宋体" w:eastAsia="宋体" w:cs="宋体"/>
          <w:color w:val="000000"/>
          <w:sz w:val="24"/>
          <w:szCs w:val="24"/>
          <w:highlight w:val="none"/>
          <w:lang w:val="en-US" w:eastAsia="zh-CN"/>
        </w:rPr>
        <w:t>3000000.00</w:t>
      </w:r>
    </w:p>
    <w:p w14:paraId="025B7A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简要规格描述或项目基本概况介绍、用途：</w:t>
      </w:r>
      <w:r>
        <w:rPr>
          <w:rFonts w:hint="default" w:ascii="宋体" w:hAnsi="宋体" w:eastAsia="宋体" w:cs="宋体"/>
          <w:color w:val="000000"/>
          <w:sz w:val="24"/>
          <w:szCs w:val="24"/>
          <w:highlight w:val="none"/>
          <w:lang w:eastAsia="zh-CN"/>
        </w:rPr>
        <w:t>采购兴安县城北及乡镇污水处理厂运营管理服务</w:t>
      </w:r>
      <w:r>
        <w:rPr>
          <w:rFonts w:hint="eastAsia" w:ascii="宋体" w:hAnsi="宋体" w:eastAsia="宋体" w:cs="宋体"/>
          <w:color w:val="000000"/>
          <w:sz w:val="24"/>
          <w:szCs w:val="24"/>
          <w:highlight w:val="none"/>
          <w:lang w:val="en-US" w:eastAsia="zh-CN"/>
        </w:rPr>
        <w:t>1项，</w:t>
      </w:r>
      <w:r>
        <w:rPr>
          <w:rFonts w:hint="default" w:ascii="宋体" w:hAnsi="宋体" w:eastAsia="宋体" w:cs="宋体"/>
          <w:color w:val="000000"/>
          <w:sz w:val="24"/>
          <w:szCs w:val="24"/>
          <w:highlight w:val="none"/>
        </w:rPr>
        <w:t>具体内容</w:t>
      </w:r>
      <w:r>
        <w:rPr>
          <w:rFonts w:hint="eastAsia" w:ascii="宋体" w:hAnsi="宋体" w:eastAsia="宋体" w:cs="宋体"/>
          <w:color w:val="000000"/>
          <w:sz w:val="24"/>
          <w:szCs w:val="24"/>
          <w:highlight w:val="none"/>
          <w:lang w:eastAsia="zh-CN"/>
        </w:rPr>
        <w:t>详见招标文件。</w:t>
      </w:r>
    </w:p>
    <w:p w14:paraId="45C73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最高限价（如有）：/</w:t>
      </w:r>
    </w:p>
    <w:p w14:paraId="3A5C11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合同履约期限：自签订合同之日起一年（如在合同期限内，该项目因运营模式改变，通过公开招标方式引入了社会投资人，则合同终止，项目移交中标方运营管理，服务费用以实际运营时长支付</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p>
    <w:p w14:paraId="03A8B2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本标项（否）接受联合体投标</w:t>
      </w:r>
      <w:r>
        <w:rPr>
          <w:rFonts w:hint="eastAsia" w:ascii="宋体" w:hAnsi="宋体" w:eastAsia="宋体" w:cs="宋体"/>
          <w:color w:val="000000"/>
          <w:sz w:val="24"/>
          <w:szCs w:val="24"/>
          <w:highlight w:val="none"/>
          <w:lang w:eastAsia="zh-CN"/>
        </w:rPr>
        <w:t>。</w:t>
      </w:r>
    </w:p>
    <w:p w14:paraId="01197E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二、申请人的资格要求：</w:t>
      </w:r>
      <w:bookmarkEnd w:id="10"/>
      <w:bookmarkEnd w:id="11"/>
      <w:bookmarkEnd w:id="12"/>
      <w:bookmarkEnd w:id="13"/>
    </w:p>
    <w:p w14:paraId="4CC956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sz w:val="24"/>
          <w:szCs w:val="24"/>
          <w:highlight w:val="none"/>
        </w:rPr>
      </w:pPr>
      <w:bookmarkStart w:id="14" w:name="_Toc35393623"/>
      <w:bookmarkStart w:id="15" w:name="_Toc28359081"/>
      <w:bookmarkStart w:id="16" w:name="_Toc28359004"/>
      <w:bookmarkStart w:id="17" w:name="_Toc35393792"/>
      <w:r>
        <w:rPr>
          <w:rFonts w:hint="eastAsia" w:ascii="宋体" w:hAnsi="宋体" w:eastAsia="宋体" w:cs="宋体"/>
          <w:b w:val="0"/>
          <w:bCs w:val="0"/>
          <w:color w:val="000000"/>
          <w:sz w:val="24"/>
          <w:szCs w:val="24"/>
          <w:highlight w:val="none"/>
        </w:rPr>
        <w:t>1.满足《中华人民共和国政府采购法》第二十二条规定；</w:t>
      </w:r>
    </w:p>
    <w:p w14:paraId="2DB002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2.落实政府采购政策需满足的资格要求：无；</w:t>
      </w:r>
    </w:p>
    <w:p w14:paraId="29B102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3.本项目的特定资格要求：无。</w:t>
      </w:r>
    </w:p>
    <w:p w14:paraId="0CDCF1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三、获取招标文件</w:t>
      </w:r>
      <w:bookmarkEnd w:id="14"/>
      <w:bookmarkEnd w:id="15"/>
      <w:bookmarkEnd w:id="16"/>
      <w:bookmarkEnd w:id="17"/>
    </w:p>
    <w:p w14:paraId="22000D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时间：</w:t>
      </w:r>
      <w:r>
        <w:rPr>
          <w:rFonts w:hint="eastAsia" w:ascii="宋体" w:hAnsi="宋体" w:eastAsia="宋体" w:cs="宋体"/>
          <w:color w:val="000000"/>
          <w:sz w:val="24"/>
          <w:szCs w:val="24"/>
          <w:highlight w:val="none"/>
          <w:lang w:val="en-US" w:eastAsia="zh-CN"/>
        </w:rPr>
        <w:t>2026年03月23日至2026年04月13日，每天上午00：00至12：00，下午12：00至23：59（北京时间，法定节假日除外）</w:t>
      </w:r>
    </w:p>
    <w:p w14:paraId="3AE29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（网址）</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广西政府采购云平台（https://www.gcy.zfcg.gxzf.gov.cn）</w:t>
      </w:r>
    </w:p>
    <w:p w14:paraId="750189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val="en-US" w:eastAsia="zh-CN"/>
        </w:rPr>
        <w:t>投标人登录广西政府采购云平台（https://www.gcy.zfcg.gxzf.gov.cn）在线申请获取采购文件（进入“项目采购”应用，在获取采购文件菜单中选择项目，申请获取采购文件）</w:t>
      </w:r>
    </w:p>
    <w:p w14:paraId="19B609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售价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w:t>
      </w:r>
    </w:p>
    <w:p w14:paraId="06CB8C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bookmarkStart w:id="18" w:name="_Toc28359082"/>
      <w:bookmarkStart w:id="19" w:name="_Toc28359005"/>
      <w:bookmarkStart w:id="20" w:name="_Toc35393624"/>
      <w:bookmarkStart w:id="21" w:name="_Toc35393793"/>
      <w:r>
        <w:rPr>
          <w:rFonts w:hint="eastAsia" w:ascii="宋体" w:hAnsi="宋体" w:eastAsia="宋体" w:cs="宋体"/>
          <w:b/>
          <w:bCs/>
          <w:color w:val="000000"/>
          <w:sz w:val="24"/>
          <w:szCs w:val="24"/>
          <w:highlight w:val="none"/>
        </w:rPr>
        <w:t>四、提交投标文件</w:t>
      </w:r>
      <w:bookmarkEnd w:id="18"/>
      <w:bookmarkEnd w:id="19"/>
      <w:r>
        <w:rPr>
          <w:rFonts w:hint="eastAsia" w:ascii="宋体" w:hAnsi="宋体" w:eastAsia="宋体" w:cs="宋体"/>
          <w:b/>
          <w:bCs/>
          <w:color w:val="000000"/>
          <w:sz w:val="24"/>
          <w:szCs w:val="24"/>
          <w:highlight w:val="none"/>
        </w:rPr>
        <w:t>截止时间、开标时间和地点</w:t>
      </w:r>
      <w:bookmarkEnd w:id="20"/>
      <w:bookmarkEnd w:id="21"/>
    </w:p>
    <w:p w14:paraId="4E02EA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bookmarkStart w:id="22" w:name="_Toc28359084"/>
      <w:bookmarkStart w:id="23" w:name="_Toc35393625"/>
      <w:bookmarkStart w:id="24" w:name="_Toc35393794"/>
      <w:bookmarkStart w:id="25" w:name="_Toc28359007"/>
      <w:r>
        <w:rPr>
          <w:rFonts w:hint="eastAsia" w:ascii="宋体" w:hAnsi="宋体" w:eastAsia="宋体" w:cs="宋体"/>
          <w:color w:val="000000"/>
          <w:sz w:val="24"/>
          <w:szCs w:val="24"/>
          <w:highlight w:val="none"/>
        </w:rPr>
        <w:t>提交投标文件截止时间：</w:t>
      </w:r>
      <w:r>
        <w:rPr>
          <w:rFonts w:hint="eastAsia" w:ascii="宋体" w:hAnsi="宋体" w:eastAsia="宋体" w:cs="宋体"/>
          <w:color w:val="000000"/>
          <w:sz w:val="24"/>
          <w:szCs w:val="24"/>
          <w:highlight w:val="none"/>
          <w:lang w:eastAsia="zh-CN"/>
        </w:rPr>
        <w:t>2026</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04</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13日</w:t>
      </w:r>
      <w:r>
        <w:rPr>
          <w:rFonts w:hint="eastAsia" w:ascii="宋体" w:hAnsi="宋体" w:eastAsia="宋体" w:cs="宋体"/>
          <w:color w:val="000000"/>
          <w:sz w:val="24"/>
          <w:szCs w:val="24"/>
          <w:highlight w:val="none"/>
        </w:rPr>
        <w:t>09</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30（北京时间）</w:t>
      </w:r>
    </w:p>
    <w:p w14:paraId="05A479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投标地点（网址）：请登录</w:t>
      </w:r>
      <w:r>
        <w:rPr>
          <w:rFonts w:hint="eastAsia" w:ascii="宋体" w:hAnsi="宋体" w:eastAsia="宋体" w:cs="宋体"/>
          <w:color w:val="000000"/>
          <w:sz w:val="24"/>
          <w:szCs w:val="24"/>
          <w:highlight w:val="none"/>
          <w:lang w:eastAsia="zh-CN"/>
        </w:rPr>
        <w:t>广西政府采购云平台</w:t>
      </w:r>
      <w:r>
        <w:rPr>
          <w:rFonts w:hint="eastAsia" w:ascii="宋体" w:hAnsi="宋体" w:eastAsia="宋体" w:cs="宋体"/>
          <w:color w:val="000000"/>
          <w:sz w:val="24"/>
          <w:szCs w:val="24"/>
          <w:highlight w:val="none"/>
        </w:rPr>
        <w:t>投标客户端投标</w:t>
      </w:r>
    </w:p>
    <w:p w14:paraId="346E22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eastAsia="zh-CN"/>
        </w:rPr>
        <w:t>2026</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04</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13日</w:t>
      </w:r>
      <w:r>
        <w:rPr>
          <w:rFonts w:hint="eastAsia" w:ascii="宋体" w:hAnsi="宋体" w:eastAsia="宋体" w:cs="宋体"/>
          <w:color w:val="000000"/>
          <w:sz w:val="24"/>
          <w:szCs w:val="24"/>
          <w:highlight w:val="none"/>
        </w:rPr>
        <w:t>09</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30（北京时间）</w:t>
      </w:r>
    </w:p>
    <w:p w14:paraId="125E5D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通过</w:t>
      </w:r>
      <w:r>
        <w:rPr>
          <w:rFonts w:hint="eastAsia" w:ascii="宋体" w:hAnsi="宋体" w:eastAsia="宋体" w:cs="宋体"/>
          <w:color w:val="000000"/>
          <w:sz w:val="24"/>
          <w:szCs w:val="24"/>
          <w:highlight w:val="none"/>
          <w:lang w:eastAsia="zh-CN"/>
        </w:rPr>
        <w:t>广西政府采购云平台</w:t>
      </w:r>
      <w:r>
        <w:rPr>
          <w:rFonts w:hint="eastAsia" w:ascii="宋体" w:hAnsi="宋体" w:eastAsia="宋体" w:cs="宋体"/>
          <w:color w:val="000000"/>
          <w:sz w:val="24"/>
          <w:szCs w:val="24"/>
          <w:highlight w:val="none"/>
        </w:rPr>
        <w:t>实行在线解密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开标</w:t>
      </w:r>
      <w:r>
        <w:rPr>
          <w:rFonts w:hint="eastAsia" w:ascii="宋体" w:hAnsi="宋体" w:eastAsia="宋体" w:cs="宋体"/>
          <w:color w:val="000000"/>
          <w:sz w:val="24"/>
          <w:szCs w:val="24"/>
          <w:highlight w:val="none"/>
        </w:rPr>
        <w:t> </w:t>
      </w:r>
    </w:p>
    <w:p w14:paraId="69090C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五、公告期限</w:t>
      </w:r>
      <w:bookmarkEnd w:id="22"/>
      <w:bookmarkEnd w:id="23"/>
      <w:bookmarkEnd w:id="24"/>
      <w:bookmarkEnd w:id="25"/>
    </w:p>
    <w:p w14:paraId="1E49D9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自本公告发布之日起5个工作日。</w:t>
      </w:r>
    </w:p>
    <w:p w14:paraId="0894AE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bookmarkStart w:id="26" w:name="_Toc35393795"/>
      <w:bookmarkStart w:id="27" w:name="_Toc35393626"/>
      <w:r>
        <w:rPr>
          <w:rFonts w:hint="eastAsia" w:ascii="宋体" w:hAnsi="宋体" w:eastAsia="宋体" w:cs="宋体"/>
          <w:b/>
          <w:bCs/>
          <w:color w:val="000000"/>
          <w:sz w:val="24"/>
          <w:szCs w:val="24"/>
          <w:highlight w:val="none"/>
        </w:rPr>
        <w:t>其他补充事宜</w:t>
      </w:r>
      <w:bookmarkEnd w:id="26"/>
      <w:bookmarkEnd w:id="27"/>
    </w:p>
    <w:p w14:paraId="59399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1、本项目所属行业：：</w:t>
      </w:r>
      <w:r>
        <w:rPr>
          <w:rFonts w:hint="eastAsia" w:asciiTheme="minorEastAsia" w:hAnsiTheme="minorEastAsia" w:eastAsiaTheme="minorEastAsia" w:cstheme="minorEastAsia"/>
          <w:b/>
          <w:bCs/>
          <w:color w:val="000000"/>
          <w:sz w:val="24"/>
          <w:szCs w:val="24"/>
          <w:highlight w:val="none"/>
          <w:lang w:val="en-US" w:eastAsia="zh-CN"/>
        </w:rPr>
        <w:t>其他未列明行业。</w:t>
      </w:r>
    </w:p>
    <w:p w14:paraId="14CA83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本项目需要落实的政府采购政策：</w:t>
      </w:r>
    </w:p>
    <w:p w14:paraId="3C5285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r>
        <w:rPr>
          <w:rFonts w:hint="eastAsia" w:asciiTheme="minorEastAsia" w:hAnsiTheme="minorEastAsia" w:eastAsiaTheme="minorEastAsia" w:cstheme="minorEastAsia"/>
          <w:color w:val="000000"/>
          <w:sz w:val="24"/>
          <w:szCs w:val="24"/>
          <w:highlight w:val="none"/>
          <w:lang w:val="en-US" w:eastAsia="zh-CN"/>
        </w:rPr>
        <w:t>政府采购促进中小企业发展，</w:t>
      </w:r>
      <w:r>
        <w:rPr>
          <w:rFonts w:hint="eastAsia" w:asciiTheme="minorEastAsia" w:hAnsiTheme="minorEastAsia" w:eastAsiaTheme="minorEastAsia" w:cstheme="minorEastAsia"/>
          <w:b w:val="0"/>
          <w:bCs w:val="0"/>
          <w:color w:val="000000"/>
          <w:sz w:val="24"/>
          <w:szCs w:val="24"/>
          <w:highlight w:val="none"/>
        </w:rPr>
        <w:t>本项目</w:t>
      </w:r>
      <w:r>
        <w:rPr>
          <w:rFonts w:hint="eastAsia" w:asciiTheme="minorEastAsia" w:hAnsiTheme="minorEastAsia" w:eastAsiaTheme="minorEastAsia" w:cstheme="minorEastAsia"/>
          <w:b w:val="0"/>
          <w:bCs w:val="0"/>
          <w:color w:val="000000"/>
          <w:sz w:val="24"/>
          <w:szCs w:val="24"/>
          <w:highlight w:val="none"/>
          <w:lang w:val="en-US" w:eastAsia="zh-CN"/>
        </w:rPr>
        <w:t>非</w:t>
      </w:r>
      <w:r>
        <w:rPr>
          <w:rFonts w:hint="eastAsia" w:asciiTheme="minorEastAsia" w:hAnsiTheme="minorEastAsia" w:eastAsiaTheme="minorEastAsia" w:cstheme="minorEastAsia"/>
          <w:b w:val="0"/>
          <w:bCs w:val="0"/>
          <w:color w:val="000000"/>
          <w:sz w:val="24"/>
          <w:szCs w:val="24"/>
          <w:highlight w:val="none"/>
        </w:rPr>
        <w:t>专门面向中小微企业采购</w:t>
      </w:r>
      <w:r>
        <w:rPr>
          <w:rFonts w:hint="eastAsia" w:asciiTheme="minorEastAsia" w:hAnsiTheme="minorEastAsia" w:eastAsiaTheme="minorEastAsia" w:cstheme="minorEastAsia"/>
          <w:b w:val="0"/>
          <w:bCs w:val="0"/>
          <w:color w:val="000000"/>
          <w:sz w:val="24"/>
          <w:szCs w:val="24"/>
          <w:highlight w:val="none"/>
          <w:lang w:eastAsia="zh-CN"/>
        </w:rPr>
        <w:t>；</w:t>
      </w:r>
    </w:p>
    <w:p w14:paraId="2C7BEA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（2）</w:t>
      </w:r>
      <w:r>
        <w:rPr>
          <w:rFonts w:hint="eastAsia" w:asciiTheme="minorEastAsia" w:hAnsiTheme="minorEastAsia" w:eastAsiaTheme="minorEastAsia" w:cstheme="minorEastAsia"/>
          <w:color w:val="000000"/>
          <w:sz w:val="24"/>
          <w:szCs w:val="24"/>
          <w:highlight w:val="none"/>
          <w:lang w:val="en-US" w:eastAsia="zh-CN"/>
        </w:rPr>
        <w:t>政府采购支持监狱企业发展</w:t>
      </w:r>
      <w:r>
        <w:rPr>
          <w:rFonts w:hint="eastAsia" w:asciiTheme="minorEastAsia" w:hAnsiTheme="minorEastAsia" w:eastAsiaTheme="minorEastAsia" w:cstheme="minorEastAsia"/>
          <w:color w:val="000000"/>
          <w:sz w:val="24"/>
          <w:szCs w:val="24"/>
          <w:highlight w:val="none"/>
        </w:rPr>
        <w:t>；</w:t>
      </w:r>
    </w:p>
    <w:p w14:paraId="0854D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Theme="minorEastAsia" w:hAnsiTheme="minorEastAsia" w:eastAsiaTheme="minorEastAsia" w:cstheme="minorEastAsia"/>
          <w:color w:val="000000"/>
          <w:sz w:val="24"/>
          <w:szCs w:val="24"/>
          <w:highlight w:val="none"/>
        </w:rPr>
        <w:t>（3）</w:t>
      </w:r>
      <w:r>
        <w:rPr>
          <w:rFonts w:hint="eastAsia" w:asciiTheme="minorEastAsia" w:hAnsiTheme="minorEastAsia" w:eastAsiaTheme="minorEastAsia" w:cstheme="minorEastAsia"/>
          <w:color w:val="000000"/>
          <w:sz w:val="24"/>
          <w:szCs w:val="24"/>
          <w:highlight w:val="none"/>
          <w:lang w:val="en-US" w:eastAsia="zh-CN"/>
        </w:rPr>
        <w:t>政府采购促进残疾人就业政策</w:t>
      </w:r>
      <w:r>
        <w:rPr>
          <w:rFonts w:hint="eastAsia" w:asciiTheme="minorEastAsia" w:hAnsiTheme="minorEastAsia" w:eastAsiaTheme="minorEastAsia" w:cstheme="minorEastAsia"/>
          <w:color w:val="000000"/>
          <w:sz w:val="24"/>
          <w:szCs w:val="24"/>
          <w:highlight w:val="none"/>
        </w:rPr>
        <w:t>；</w:t>
      </w:r>
    </w:p>
    <w:p w14:paraId="5548F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4</w:t>
      </w:r>
      <w:r>
        <w:rPr>
          <w:rFonts w:hint="eastAsia" w:asciiTheme="minorEastAsia" w:hAnsiTheme="minorEastAsia" w:eastAsiaTheme="minorEastAsia" w:cstheme="minorEastAsia"/>
          <w:color w:val="000000"/>
          <w:sz w:val="24"/>
          <w:szCs w:val="24"/>
          <w:highlight w:val="none"/>
        </w:rPr>
        <w:t>）本项目采购内容不涉及政府强制采购节能产品；</w:t>
      </w:r>
    </w:p>
    <w:p w14:paraId="3C8B2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rPr>
        <w:t>）优先采购节能产品、环境标志产品；</w:t>
      </w:r>
    </w:p>
    <w:p w14:paraId="70645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）政府采购支持采用本国产品的政策；</w:t>
      </w:r>
    </w:p>
    <w:p w14:paraId="231972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3、信息公告发布媒体：</w:t>
      </w:r>
    </w:p>
    <w:p w14:paraId="2CB15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中国政府采购网（www.ccgp.gov.cn）、广西壮族自治区政府采购网（zfcg.gxzf.gov.cn）、桂林市政府采购网（zfcg.czj.guilin.gov.cn）。</w:t>
      </w:r>
    </w:p>
    <w:p w14:paraId="5853B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4、资格条件特别说明:</w:t>
      </w:r>
    </w:p>
    <w:p w14:paraId="6ABC92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单位</w:t>
      </w:r>
      <w:r>
        <w:rPr>
          <w:rFonts w:hint="eastAsia" w:asciiTheme="minorEastAsia" w:hAnsiTheme="minorEastAsia" w:eastAsiaTheme="minorEastAsia" w:cstheme="minorEastAsia"/>
          <w:sz w:val="24"/>
          <w:szCs w:val="24"/>
          <w:highlight w:val="none"/>
        </w:rPr>
        <w:t>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8AFF0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对在</w:t>
      </w:r>
      <w:r>
        <w:rPr>
          <w:rFonts w:hint="eastAsia" w:asciiTheme="minorEastAsia" w:hAnsiTheme="minorEastAsia" w:eastAsiaTheme="minorEastAsia" w:cstheme="minorEastAsia"/>
          <w:sz w:val="24"/>
          <w:szCs w:val="24"/>
          <w:highlight w:val="none"/>
        </w:rPr>
        <w:t>“信用中国”网站(www.creditchina.gov.cn)、中国政府采购网(www.ccgp.gov.cn)被列入失信被执行人、</w:t>
      </w:r>
      <w:r>
        <w:rPr>
          <w:rFonts w:hint="eastAsia" w:asciiTheme="minorEastAsia" w:hAnsiTheme="minorEastAsia" w:eastAsiaTheme="minorEastAsia" w:cstheme="minorEastAsia"/>
          <w:sz w:val="24"/>
          <w:szCs w:val="24"/>
          <w:highlight w:val="none"/>
          <w:lang w:eastAsia="zh-CN"/>
        </w:rPr>
        <w:t>重大税收违法失信主体</w:t>
      </w:r>
      <w:r>
        <w:rPr>
          <w:rFonts w:hint="eastAsia" w:asciiTheme="minorEastAsia" w:hAnsiTheme="minorEastAsia" w:eastAsiaTheme="minorEastAsia" w:cstheme="minorEastAsia"/>
          <w:sz w:val="24"/>
          <w:szCs w:val="24"/>
          <w:highlight w:val="none"/>
        </w:rPr>
        <w:t>、政府采购严重违法失信行为记录名单及其他不符合《中华人民共和国政府采购法》第二十二条规定条件的供应商，不得参与政府采购活动。</w:t>
      </w:r>
    </w:p>
    <w:p w14:paraId="7BC904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bookmarkStart w:id="28" w:name="_Toc35393796"/>
      <w:bookmarkStart w:id="29" w:name="_Toc28359008"/>
      <w:bookmarkStart w:id="30" w:name="_Toc35393627"/>
      <w:bookmarkStart w:id="31" w:name="_Toc28359085"/>
      <w:r>
        <w:rPr>
          <w:rFonts w:hint="eastAsia" w:asciiTheme="minorEastAsia" w:hAnsiTheme="minorEastAsia" w:eastAsiaTheme="minorEastAsia" w:cstheme="minorEastAsia"/>
          <w:sz w:val="24"/>
          <w:szCs w:val="24"/>
          <w:highlight w:val="none"/>
          <w:lang w:val="en-US" w:eastAsia="zh-CN"/>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1CA0B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6、各投标人通过广西政府采购云平台（简称新平台）参与政府采购项目投标需下载使用新版客户端，新版客户端下载路径：广西政府采购网（访问地址</w:t>
      </w:r>
      <w:r>
        <w:rPr>
          <w:rFonts w:hint="eastAsia" w:asciiTheme="minorEastAsia" w:hAnsiTheme="minorEastAsia" w:eastAsiaTheme="minorEastAsia" w:cstheme="minorEastAsia"/>
          <w:sz w:val="21"/>
          <w:szCs w:val="21"/>
          <w:highlight w:val="none"/>
          <w:lang w:val="en-US" w:eastAsia="zh-CN"/>
        </w:rPr>
        <w:t>http://zfcg.gxzf.gov.cn/）</w:t>
      </w:r>
      <w:r>
        <w:rPr>
          <w:rFonts w:hint="eastAsia" w:asciiTheme="minorEastAsia" w:hAnsiTheme="minorEastAsia" w:eastAsiaTheme="minorEastAsia" w:cstheme="minorEastAsia"/>
          <w:sz w:val="24"/>
          <w:szCs w:val="24"/>
          <w:highlight w:val="none"/>
          <w:lang w:val="en-US" w:eastAsia="zh-CN"/>
        </w:rPr>
        <w:t>—办事服务—下载专区。原在广西政府采购云平台注册的临时供应商需在新平台启用后重新注册登记。</w:t>
      </w:r>
    </w:p>
    <w:p w14:paraId="3177BA52">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7、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64DD0A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七、对本次招标提出询问，请按以下方式联系。</w:t>
      </w:r>
      <w:bookmarkEnd w:id="28"/>
      <w:bookmarkEnd w:id="29"/>
      <w:bookmarkEnd w:id="30"/>
      <w:bookmarkEnd w:id="31"/>
    </w:p>
    <w:p w14:paraId="411CF0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1.采购人信息</w:t>
      </w:r>
    </w:p>
    <w:p w14:paraId="2A397BC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名</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称：兴安县城市管理监督局</w:t>
      </w:r>
    </w:p>
    <w:p w14:paraId="0B9E99A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址：兴安县兴桂路5号</w:t>
      </w:r>
    </w:p>
    <w:p w14:paraId="628E49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项目联系人：梁</w:t>
      </w:r>
      <w:r>
        <w:rPr>
          <w:rFonts w:hint="eastAsia" w:asciiTheme="minorEastAsia" w:hAnsiTheme="minorEastAsia" w:eastAsiaTheme="minorEastAsia" w:cstheme="minorEastAsia"/>
          <w:color w:val="000000"/>
          <w:sz w:val="24"/>
          <w:szCs w:val="24"/>
          <w:highlight w:val="none"/>
          <w:lang w:val="en-US" w:eastAsia="zh-CN"/>
        </w:rPr>
        <w:t>主任</w:t>
      </w:r>
    </w:p>
    <w:p w14:paraId="04F987D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联系方式：0773-6217226</w:t>
      </w:r>
    </w:p>
    <w:p w14:paraId="03AE47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2.采购代理机构信息</w:t>
      </w:r>
    </w:p>
    <w:p w14:paraId="1F21D98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名</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称：</w:t>
      </w:r>
      <w:r>
        <w:rPr>
          <w:rFonts w:hint="eastAsia" w:asciiTheme="minorEastAsia" w:hAnsiTheme="minorEastAsia" w:eastAsiaTheme="minorEastAsia" w:cstheme="minorEastAsia"/>
          <w:color w:val="000000"/>
          <w:sz w:val="24"/>
          <w:szCs w:val="24"/>
          <w:highlight w:val="none"/>
          <w:lang w:eastAsia="zh-CN"/>
        </w:rPr>
        <w:t>广西合士嘉项目咨询有限公司</w:t>
      </w:r>
    </w:p>
    <w:p w14:paraId="23193C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地</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址：</w:t>
      </w:r>
      <w:r>
        <w:rPr>
          <w:rFonts w:hint="eastAsia" w:asciiTheme="minorEastAsia" w:hAnsiTheme="minorEastAsia" w:eastAsiaTheme="minorEastAsia" w:cstheme="minorEastAsia"/>
          <w:color w:val="000000"/>
          <w:sz w:val="24"/>
          <w:szCs w:val="24"/>
          <w:highlight w:val="none"/>
          <w:lang w:val="en-US" w:eastAsia="zh-CN"/>
        </w:rPr>
        <w:t>桂林市七星区七里路93号1栋1-3-6号</w:t>
      </w:r>
    </w:p>
    <w:p w14:paraId="743ABB1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联系方式：0773-5636767</w:t>
      </w:r>
    </w:p>
    <w:p w14:paraId="5685481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3.项目联系方式</w:t>
      </w:r>
    </w:p>
    <w:p w14:paraId="431012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项目联系人：</w:t>
      </w:r>
      <w:r>
        <w:rPr>
          <w:rFonts w:hint="eastAsia" w:asciiTheme="minorEastAsia" w:hAnsiTheme="minorEastAsia" w:eastAsiaTheme="minorEastAsia" w:cstheme="minorEastAsia"/>
          <w:color w:val="000000"/>
          <w:sz w:val="24"/>
          <w:szCs w:val="24"/>
          <w:highlight w:val="none"/>
          <w:lang w:val="en-US" w:eastAsia="zh-CN"/>
        </w:rPr>
        <w:t>刘工</w:t>
      </w:r>
    </w:p>
    <w:p w14:paraId="11A536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电话：0773-5636767</w:t>
      </w:r>
    </w:p>
    <w:p w14:paraId="46E8F232">
      <w:pPr>
        <w:tabs>
          <w:tab w:val="left" w:pos="1520"/>
        </w:tabs>
        <w:bidi w:val="0"/>
        <w:jc w:val="left"/>
        <w:rPr>
          <w:rFonts w:hint="default"/>
          <w:sz w:val="24"/>
          <w:szCs w:val="24"/>
          <w:lang w:val="en-US" w:eastAsia="zh-CN"/>
        </w:rPr>
      </w:pPr>
    </w:p>
    <w:p w14:paraId="72A8F943">
      <w:pPr>
        <w:tabs>
          <w:tab w:val="left" w:pos="905"/>
        </w:tabs>
        <w:bidi w:val="0"/>
        <w:jc w:val="left"/>
        <w:rPr>
          <w:rFonts w:hint="default"/>
          <w:lang w:val="en-US" w:eastAsia="zh-CN"/>
        </w:rPr>
      </w:pPr>
    </w:p>
    <w:p w14:paraId="4A5E358F">
      <w:pPr>
        <w:bidi w:val="0"/>
        <w:rPr>
          <w:rFonts w:hint="default"/>
          <w:kern w:val="2"/>
          <w:sz w:val="21"/>
          <w:szCs w:val="24"/>
          <w:lang w:val="en-US" w:eastAsia="zh-CN" w:bidi="ar-SA"/>
        </w:rPr>
      </w:pPr>
    </w:p>
    <w:p w14:paraId="21A76EF8">
      <w:pPr>
        <w:bidi w:val="0"/>
        <w:rPr>
          <w:rFonts w:hint="default"/>
          <w:lang w:val="en-US" w:eastAsia="zh-CN"/>
        </w:rPr>
      </w:pPr>
    </w:p>
    <w:p w14:paraId="42B44F95">
      <w:pPr>
        <w:bidi w:val="0"/>
        <w:rPr>
          <w:rFonts w:hint="default"/>
          <w:lang w:val="en-US" w:eastAsia="zh-CN"/>
        </w:rPr>
      </w:pPr>
    </w:p>
    <w:p w14:paraId="3C21F4F1">
      <w:pPr>
        <w:bidi w:val="0"/>
        <w:rPr>
          <w:rFonts w:hint="default"/>
          <w:lang w:val="en-US" w:eastAsia="zh-CN"/>
        </w:rPr>
      </w:pPr>
    </w:p>
    <w:p w14:paraId="2F8B3BCE">
      <w:pPr>
        <w:bidi w:val="0"/>
        <w:rPr>
          <w:rFonts w:hint="default"/>
          <w:sz w:val="21"/>
          <w:szCs w:val="21"/>
          <w:lang w:val="en-US" w:eastAsia="zh-CN"/>
        </w:rPr>
      </w:pPr>
    </w:p>
    <w:p w14:paraId="7B994A44">
      <w:pPr>
        <w:spacing w:line="221" w:lineRule="auto"/>
        <w:rPr>
          <w:sz w:val="24"/>
          <w:szCs w:val="24"/>
        </w:rPr>
        <w:sectPr>
          <w:footerReference r:id="rId5" w:type="default"/>
          <w:pgSz w:w="11906" w:h="16839"/>
          <w:pgMar w:top="1431" w:right="1018" w:bottom="1067" w:left="1088" w:header="0" w:footer="905" w:gutter="0"/>
          <w:pgNumType w:fmt="decimal" w:start="1"/>
          <w:cols w:space="720" w:num="1"/>
        </w:sectPr>
      </w:pPr>
    </w:p>
    <w:p w14:paraId="52B658BB">
      <w:pPr>
        <w:pStyle w:val="6"/>
        <w:spacing w:before="294" w:line="224" w:lineRule="auto"/>
        <w:ind w:left="3492"/>
        <w:jc w:val="both"/>
        <w:outlineLvl w:val="0"/>
        <w:rPr>
          <w:rFonts w:ascii="Arial"/>
          <w:sz w:val="32"/>
          <w:szCs w:val="32"/>
        </w:rPr>
      </w:pPr>
      <w:r>
        <w:rPr>
          <w:b/>
          <w:bCs/>
          <w:spacing w:val="5"/>
          <w:sz w:val="32"/>
          <w:szCs w:val="32"/>
        </w:rPr>
        <w:t>第二章</w:t>
      </w:r>
      <w:r>
        <w:rPr>
          <w:rFonts w:hint="eastAsia"/>
          <w:b/>
          <w:bCs/>
          <w:spacing w:val="5"/>
          <w:sz w:val="32"/>
          <w:szCs w:val="32"/>
          <w:lang w:val="en-US" w:eastAsia="zh-CN"/>
        </w:rPr>
        <w:t xml:space="preserve"> </w:t>
      </w:r>
      <w:r>
        <w:rPr>
          <w:b/>
          <w:bCs/>
          <w:spacing w:val="5"/>
          <w:sz w:val="32"/>
          <w:szCs w:val="32"/>
        </w:rPr>
        <w:t>投标人须知</w:t>
      </w:r>
      <w:bookmarkEnd w:id="4"/>
    </w:p>
    <w:p w14:paraId="48D58F10">
      <w:pPr>
        <w:pStyle w:val="6"/>
        <w:keepNext w:val="0"/>
        <w:keepLines w:val="0"/>
        <w:pageBreakBefore w:val="0"/>
        <w:widowControl/>
        <w:kinsoku w:val="0"/>
        <w:wordWrap/>
        <w:overflowPunct/>
        <w:topLinePunct w:val="0"/>
        <w:autoSpaceDE w:val="0"/>
        <w:autoSpaceDN w:val="0"/>
        <w:bidi w:val="0"/>
        <w:adjustRightInd w:val="0"/>
        <w:snapToGrid w:val="0"/>
        <w:spacing w:before="78" w:line="360" w:lineRule="auto"/>
        <w:ind w:firstLine="3960" w:firstLineChars="1700"/>
        <w:jc w:val="both"/>
        <w:textAlignment w:val="baseline"/>
        <w:rPr>
          <w:sz w:val="24"/>
          <w:szCs w:val="24"/>
        </w:rPr>
      </w:pPr>
      <w:r>
        <w:rPr>
          <w:b/>
          <w:bCs/>
          <w:spacing w:val="-4"/>
          <w:sz w:val="24"/>
          <w:szCs w:val="24"/>
        </w:rPr>
        <w:t>投标人须知前附表</w:t>
      </w:r>
    </w:p>
    <w:p w14:paraId="5364E3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
        </w:rPr>
      </w:pPr>
    </w:p>
    <w:tbl>
      <w:tblPr>
        <w:tblStyle w:val="17"/>
        <w:tblW w:w="10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850"/>
        <w:gridCol w:w="2208"/>
        <w:gridCol w:w="6378"/>
      </w:tblGrid>
      <w:tr w14:paraId="6F603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828" w:type="dxa"/>
            <w:vAlign w:val="top"/>
          </w:tcPr>
          <w:p w14:paraId="6E0C58CE">
            <w:pPr>
              <w:pStyle w:val="18"/>
              <w:keepNext w:val="0"/>
              <w:keepLines w:val="0"/>
              <w:pageBreakBefore w:val="0"/>
              <w:widowControl/>
              <w:kinsoku w:val="0"/>
              <w:wordWrap/>
              <w:overflowPunct/>
              <w:topLinePunct w:val="0"/>
              <w:autoSpaceDE w:val="0"/>
              <w:autoSpaceDN w:val="0"/>
              <w:bidi w:val="0"/>
              <w:adjustRightInd w:val="0"/>
              <w:snapToGrid w:val="0"/>
              <w:spacing w:before="113" w:line="360" w:lineRule="auto"/>
              <w:ind w:left="208"/>
              <w:textAlignment w:val="baseline"/>
              <w:rPr>
                <w:sz w:val="21"/>
                <w:szCs w:val="21"/>
              </w:rPr>
            </w:pPr>
            <w:r>
              <w:rPr>
                <w:spacing w:val="5"/>
                <w:sz w:val="21"/>
                <w:szCs w:val="21"/>
              </w:rPr>
              <w:t>序号</w:t>
            </w:r>
          </w:p>
        </w:tc>
        <w:tc>
          <w:tcPr>
            <w:tcW w:w="850" w:type="dxa"/>
            <w:vAlign w:val="top"/>
          </w:tcPr>
          <w:p w14:paraId="7716A606">
            <w:pPr>
              <w:pStyle w:val="18"/>
              <w:keepNext w:val="0"/>
              <w:keepLines w:val="0"/>
              <w:pageBreakBefore w:val="0"/>
              <w:widowControl/>
              <w:kinsoku w:val="0"/>
              <w:wordWrap/>
              <w:overflowPunct/>
              <w:topLinePunct w:val="0"/>
              <w:autoSpaceDE w:val="0"/>
              <w:autoSpaceDN w:val="0"/>
              <w:bidi w:val="0"/>
              <w:adjustRightInd w:val="0"/>
              <w:snapToGrid w:val="0"/>
              <w:spacing w:before="112" w:line="360" w:lineRule="auto"/>
              <w:ind w:left="115"/>
              <w:textAlignment w:val="baseline"/>
              <w:rPr>
                <w:sz w:val="21"/>
                <w:szCs w:val="21"/>
              </w:rPr>
            </w:pPr>
            <w:r>
              <w:rPr>
                <w:spacing w:val="6"/>
                <w:sz w:val="21"/>
                <w:szCs w:val="21"/>
              </w:rPr>
              <w:t>条款号</w:t>
            </w:r>
          </w:p>
        </w:tc>
        <w:tc>
          <w:tcPr>
            <w:tcW w:w="2208" w:type="dxa"/>
            <w:vAlign w:val="top"/>
          </w:tcPr>
          <w:p w14:paraId="04BAAF7C">
            <w:pPr>
              <w:pStyle w:val="18"/>
              <w:keepNext w:val="0"/>
              <w:keepLines w:val="0"/>
              <w:pageBreakBefore w:val="0"/>
              <w:widowControl/>
              <w:kinsoku w:val="0"/>
              <w:wordWrap/>
              <w:overflowPunct/>
              <w:topLinePunct w:val="0"/>
              <w:autoSpaceDE w:val="0"/>
              <w:autoSpaceDN w:val="0"/>
              <w:bidi w:val="0"/>
              <w:adjustRightInd w:val="0"/>
              <w:snapToGrid w:val="0"/>
              <w:spacing w:before="112" w:line="360" w:lineRule="auto"/>
              <w:ind w:left="691"/>
              <w:textAlignment w:val="baseline"/>
              <w:rPr>
                <w:sz w:val="21"/>
                <w:szCs w:val="21"/>
              </w:rPr>
            </w:pPr>
            <w:r>
              <w:rPr>
                <w:spacing w:val="6"/>
                <w:sz w:val="21"/>
                <w:szCs w:val="21"/>
              </w:rPr>
              <w:t>条款名称</w:t>
            </w:r>
          </w:p>
        </w:tc>
        <w:tc>
          <w:tcPr>
            <w:tcW w:w="6378" w:type="dxa"/>
            <w:vAlign w:val="top"/>
          </w:tcPr>
          <w:p w14:paraId="17D46069">
            <w:pPr>
              <w:pStyle w:val="18"/>
              <w:keepNext w:val="0"/>
              <w:keepLines w:val="0"/>
              <w:pageBreakBefore w:val="0"/>
              <w:widowControl/>
              <w:kinsoku w:val="0"/>
              <w:wordWrap/>
              <w:overflowPunct/>
              <w:topLinePunct w:val="0"/>
              <w:autoSpaceDE w:val="0"/>
              <w:autoSpaceDN w:val="0"/>
              <w:bidi w:val="0"/>
              <w:adjustRightInd w:val="0"/>
              <w:snapToGrid w:val="0"/>
              <w:spacing w:before="112" w:line="360" w:lineRule="auto"/>
              <w:ind w:left="2694"/>
              <w:textAlignment w:val="baseline"/>
              <w:rPr>
                <w:sz w:val="21"/>
                <w:szCs w:val="21"/>
              </w:rPr>
            </w:pPr>
            <w:r>
              <w:rPr>
                <w:spacing w:val="3"/>
                <w:sz w:val="21"/>
                <w:szCs w:val="21"/>
              </w:rPr>
              <w:t>内容、要求</w:t>
            </w:r>
          </w:p>
        </w:tc>
      </w:tr>
      <w:tr w14:paraId="26976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828" w:type="dxa"/>
            <w:vAlign w:val="top"/>
          </w:tcPr>
          <w:p w14:paraId="2FEDC3EF">
            <w:pPr>
              <w:spacing w:line="284" w:lineRule="auto"/>
              <w:rPr>
                <w:rFonts w:ascii="Arial"/>
                <w:sz w:val="21"/>
                <w:szCs w:val="21"/>
              </w:rPr>
            </w:pPr>
          </w:p>
          <w:p w14:paraId="56996B9E">
            <w:pPr>
              <w:pStyle w:val="18"/>
              <w:spacing w:before="65" w:line="189" w:lineRule="auto"/>
              <w:ind w:left="381"/>
              <w:rPr>
                <w:sz w:val="21"/>
                <w:szCs w:val="21"/>
              </w:rPr>
            </w:pPr>
            <w:r>
              <w:rPr>
                <w:sz w:val="21"/>
                <w:szCs w:val="21"/>
              </w:rPr>
              <w:t>1</w:t>
            </w:r>
          </w:p>
        </w:tc>
        <w:tc>
          <w:tcPr>
            <w:tcW w:w="850" w:type="dxa"/>
            <w:vAlign w:val="top"/>
          </w:tcPr>
          <w:p w14:paraId="23324EE7">
            <w:pPr>
              <w:spacing w:line="284" w:lineRule="auto"/>
              <w:rPr>
                <w:rFonts w:ascii="Arial"/>
                <w:sz w:val="21"/>
                <w:szCs w:val="21"/>
              </w:rPr>
            </w:pPr>
          </w:p>
          <w:p w14:paraId="4884E45C">
            <w:pPr>
              <w:pStyle w:val="18"/>
              <w:spacing w:before="65" w:line="189" w:lineRule="auto"/>
              <w:ind w:left="393"/>
              <w:rPr>
                <w:sz w:val="21"/>
                <w:szCs w:val="21"/>
              </w:rPr>
            </w:pPr>
            <w:r>
              <w:rPr>
                <w:sz w:val="21"/>
                <w:szCs w:val="21"/>
              </w:rPr>
              <w:t>1</w:t>
            </w:r>
          </w:p>
        </w:tc>
        <w:tc>
          <w:tcPr>
            <w:tcW w:w="2208" w:type="dxa"/>
            <w:vAlign w:val="top"/>
          </w:tcPr>
          <w:p w14:paraId="0EE602C5">
            <w:pPr>
              <w:spacing w:line="251" w:lineRule="auto"/>
              <w:rPr>
                <w:rFonts w:ascii="Arial"/>
                <w:sz w:val="21"/>
                <w:szCs w:val="21"/>
              </w:rPr>
            </w:pPr>
          </w:p>
          <w:p w14:paraId="08DC3E99">
            <w:pPr>
              <w:pStyle w:val="18"/>
              <w:spacing w:before="65" w:line="228" w:lineRule="auto"/>
              <w:ind w:left="167"/>
              <w:rPr>
                <w:sz w:val="21"/>
                <w:szCs w:val="21"/>
              </w:rPr>
            </w:pPr>
            <w:r>
              <w:rPr>
                <w:spacing w:val="8"/>
                <w:sz w:val="21"/>
                <w:szCs w:val="21"/>
              </w:rPr>
              <w:t>项目名称及项目编号</w:t>
            </w:r>
          </w:p>
        </w:tc>
        <w:tc>
          <w:tcPr>
            <w:tcW w:w="6378" w:type="dxa"/>
            <w:vAlign w:val="top"/>
          </w:tcPr>
          <w:p w14:paraId="2B08AC6D">
            <w:pPr>
              <w:pStyle w:val="18"/>
              <w:spacing w:before="138" w:line="228" w:lineRule="auto"/>
              <w:ind w:left="116"/>
              <w:rPr>
                <w:sz w:val="21"/>
                <w:szCs w:val="21"/>
              </w:rPr>
            </w:pPr>
            <w:r>
              <w:rPr>
                <w:spacing w:val="9"/>
                <w:sz w:val="21"/>
                <w:szCs w:val="21"/>
              </w:rPr>
              <w:t>项目名称：兴安县城北及乡镇污水处理厂运营管理服务</w:t>
            </w:r>
          </w:p>
          <w:p w14:paraId="47E6583A">
            <w:pPr>
              <w:pStyle w:val="18"/>
              <w:spacing w:before="113" w:line="226" w:lineRule="auto"/>
              <w:ind w:left="116"/>
              <w:rPr>
                <w:sz w:val="21"/>
                <w:szCs w:val="21"/>
              </w:rPr>
            </w:pPr>
            <w:r>
              <w:rPr>
                <w:spacing w:val="7"/>
                <w:sz w:val="21"/>
                <w:szCs w:val="21"/>
              </w:rPr>
              <w:t>项目编号：</w:t>
            </w:r>
            <w:r>
              <w:rPr>
                <w:rFonts w:hint="eastAsia"/>
                <w:spacing w:val="7"/>
                <w:sz w:val="21"/>
                <w:szCs w:val="21"/>
              </w:rPr>
              <w:t>GLZC2026-G3-250017-GXHS</w:t>
            </w:r>
          </w:p>
        </w:tc>
      </w:tr>
      <w:tr w14:paraId="00E65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28" w:type="dxa"/>
            <w:vAlign w:val="top"/>
          </w:tcPr>
          <w:p w14:paraId="06789A9F">
            <w:pPr>
              <w:spacing w:line="432" w:lineRule="auto"/>
              <w:rPr>
                <w:rFonts w:ascii="Arial"/>
                <w:sz w:val="21"/>
                <w:szCs w:val="21"/>
              </w:rPr>
            </w:pPr>
          </w:p>
          <w:p w14:paraId="645F3F8A">
            <w:pPr>
              <w:pStyle w:val="18"/>
              <w:spacing w:before="65" w:line="189" w:lineRule="auto"/>
              <w:ind w:left="368"/>
              <w:rPr>
                <w:sz w:val="21"/>
                <w:szCs w:val="21"/>
              </w:rPr>
            </w:pPr>
            <w:r>
              <w:rPr>
                <w:sz w:val="21"/>
                <w:szCs w:val="21"/>
              </w:rPr>
              <w:t>2</w:t>
            </w:r>
          </w:p>
        </w:tc>
        <w:tc>
          <w:tcPr>
            <w:tcW w:w="850" w:type="dxa"/>
            <w:vAlign w:val="top"/>
          </w:tcPr>
          <w:p w14:paraId="599D4662">
            <w:pPr>
              <w:spacing w:line="431" w:lineRule="auto"/>
              <w:rPr>
                <w:rFonts w:ascii="Arial"/>
                <w:sz w:val="21"/>
                <w:szCs w:val="21"/>
              </w:rPr>
            </w:pPr>
          </w:p>
          <w:p w14:paraId="75367693">
            <w:pPr>
              <w:pStyle w:val="18"/>
              <w:spacing w:before="65" w:line="190" w:lineRule="auto"/>
              <w:ind w:left="276"/>
              <w:rPr>
                <w:sz w:val="21"/>
                <w:szCs w:val="21"/>
              </w:rPr>
            </w:pPr>
            <w:r>
              <w:rPr>
                <w:spacing w:val="1"/>
                <w:sz w:val="21"/>
                <w:szCs w:val="21"/>
              </w:rPr>
              <w:t>5.1</w:t>
            </w:r>
          </w:p>
        </w:tc>
        <w:tc>
          <w:tcPr>
            <w:tcW w:w="2208" w:type="dxa"/>
            <w:vAlign w:val="top"/>
          </w:tcPr>
          <w:p w14:paraId="4AB413D6">
            <w:pPr>
              <w:spacing w:line="399" w:lineRule="auto"/>
              <w:rPr>
                <w:rFonts w:ascii="Arial"/>
                <w:sz w:val="21"/>
                <w:szCs w:val="21"/>
              </w:rPr>
            </w:pPr>
          </w:p>
          <w:p w14:paraId="73AD0EE1">
            <w:pPr>
              <w:pStyle w:val="18"/>
              <w:spacing w:before="65" w:line="228" w:lineRule="auto"/>
              <w:ind w:left="586"/>
              <w:rPr>
                <w:sz w:val="21"/>
                <w:szCs w:val="21"/>
              </w:rPr>
            </w:pPr>
            <w:r>
              <w:rPr>
                <w:spacing w:val="7"/>
                <w:sz w:val="21"/>
                <w:szCs w:val="21"/>
              </w:rPr>
              <w:t>投标人资格</w:t>
            </w:r>
          </w:p>
        </w:tc>
        <w:tc>
          <w:tcPr>
            <w:tcW w:w="6378" w:type="dxa"/>
            <w:vAlign w:val="top"/>
          </w:tcPr>
          <w:p w14:paraId="0A8D728E">
            <w:pPr>
              <w:pStyle w:val="18"/>
              <w:spacing w:before="107" w:line="227" w:lineRule="auto"/>
              <w:ind w:left="123"/>
              <w:rPr>
                <w:sz w:val="21"/>
                <w:szCs w:val="21"/>
              </w:rPr>
            </w:pPr>
            <w:r>
              <w:rPr>
                <w:spacing w:val="8"/>
                <w:sz w:val="21"/>
                <w:szCs w:val="21"/>
              </w:rPr>
              <w:t>（1）满足《中华人民共和国政府采购法》第二十二条规定；</w:t>
            </w:r>
          </w:p>
          <w:p w14:paraId="2C162747">
            <w:pPr>
              <w:pStyle w:val="18"/>
              <w:spacing w:before="114" w:line="227" w:lineRule="auto"/>
              <w:ind w:left="123"/>
              <w:rPr>
                <w:sz w:val="21"/>
                <w:szCs w:val="21"/>
              </w:rPr>
            </w:pPr>
            <w:r>
              <w:rPr>
                <w:spacing w:val="8"/>
                <w:sz w:val="21"/>
                <w:szCs w:val="21"/>
              </w:rPr>
              <w:t>（2）落实政府采购政策需满足的资格要求：无；</w:t>
            </w:r>
          </w:p>
          <w:p w14:paraId="1CC48EE9">
            <w:pPr>
              <w:pStyle w:val="18"/>
              <w:spacing w:before="114" w:line="227" w:lineRule="auto"/>
              <w:ind w:left="123"/>
              <w:rPr>
                <w:sz w:val="21"/>
                <w:szCs w:val="21"/>
              </w:rPr>
            </w:pPr>
            <w:r>
              <w:rPr>
                <w:spacing w:val="7"/>
                <w:sz w:val="21"/>
                <w:szCs w:val="21"/>
              </w:rPr>
              <w:t>（3）本项目的特定资格要求：无。</w:t>
            </w:r>
          </w:p>
        </w:tc>
      </w:tr>
      <w:tr w14:paraId="418E8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0" w:hRule="atLeast"/>
        </w:trPr>
        <w:tc>
          <w:tcPr>
            <w:tcW w:w="828" w:type="dxa"/>
            <w:vAlign w:val="top"/>
          </w:tcPr>
          <w:p w14:paraId="3FC3F8A4">
            <w:pPr>
              <w:spacing w:line="256" w:lineRule="auto"/>
              <w:rPr>
                <w:rFonts w:ascii="Arial"/>
                <w:sz w:val="21"/>
                <w:szCs w:val="21"/>
              </w:rPr>
            </w:pPr>
          </w:p>
          <w:p w14:paraId="3F8B5ED3">
            <w:pPr>
              <w:spacing w:line="256" w:lineRule="auto"/>
              <w:rPr>
                <w:rFonts w:ascii="Arial"/>
                <w:sz w:val="21"/>
                <w:szCs w:val="21"/>
              </w:rPr>
            </w:pPr>
          </w:p>
          <w:p w14:paraId="5C6CAEE0">
            <w:pPr>
              <w:spacing w:line="256" w:lineRule="auto"/>
              <w:rPr>
                <w:rFonts w:ascii="Arial"/>
                <w:sz w:val="21"/>
                <w:szCs w:val="21"/>
              </w:rPr>
            </w:pPr>
          </w:p>
          <w:p w14:paraId="79B729B2">
            <w:pPr>
              <w:spacing w:line="256" w:lineRule="auto"/>
              <w:rPr>
                <w:rFonts w:ascii="Arial"/>
                <w:sz w:val="21"/>
                <w:szCs w:val="21"/>
              </w:rPr>
            </w:pPr>
          </w:p>
          <w:p w14:paraId="0AF863C5">
            <w:pPr>
              <w:spacing w:line="256" w:lineRule="auto"/>
              <w:rPr>
                <w:rFonts w:ascii="Arial"/>
                <w:sz w:val="21"/>
                <w:szCs w:val="21"/>
              </w:rPr>
            </w:pPr>
          </w:p>
          <w:p w14:paraId="2DCCF40D">
            <w:pPr>
              <w:spacing w:line="256" w:lineRule="auto"/>
              <w:rPr>
                <w:rFonts w:ascii="Arial"/>
                <w:sz w:val="21"/>
                <w:szCs w:val="21"/>
              </w:rPr>
            </w:pPr>
          </w:p>
          <w:p w14:paraId="2AC1611A">
            <w:pPr>
              <w:spacing w:line="257" w:lineRule="auto"/>
              <w:rPr>
                <w:rFonts w:ascii="Arial"/>
                <w:sz w:val="21"/>
                <w:szCs w:val="21"/>
              </w:rPr>
            </w:pPr>
          </w:p>
          <w:p w14:paraId="76C17C59">
            <w:pPr>
              <w:spacing w:line="257" w:lineRule="auto"/>
              <w:rPr>
                <w:rFonts w:ascii="Arial"/>
                <w:sz w:val="21"/>
                <w:szCs w:val="21"/>
              </w:rPr>
            </w:pPr>
          </w:p>
          <w:p w14:paraId="372DA859">
            <w:pPr>
              <w:spacing w:line="257" w:lineRule="auto"/>
              <w:rPr>
                <w:rFonts w:ascii="Arial"/>
                <w:sz w:val="21"/>
                <w:szCs w:val="21"/>
              </w:rPr>
            </w:pPr>
          </w:p>
          <w:p w14:paraId="198F9CC0">
            <w:pPr>
              <w:spacing w:line="257" w:lineRule="auto"/>
              <w:rPr>
                <w:rFonts w:ascii="Arial"/>
                <w:sz w:val="21"/>
                <w:szCs w:val="21"/>
              </w:rPr>
            </w:pPr>
          </w:p>
          <w:p w14:paraId="2862540A">
            <w:pPr>
              <w:spacing w:line="257" w:lineRule="auto"/>
              <w:rPr>
                <w:rFonts w:ascii="Arial"/>
                <w:sz w:val="21"/>
                <w:szCs w:val="21"/>
              </w:rPr>
            </w:pPr>
          </w:p>
          <w:p w14:paraId="314881F7">
            <w:pPr>
              <w:spacing w:line="257" w:lineRule="auto"/>
              <w:rPr>
                <w:rFonts w:ascii="Arial"/>
                <w:sz w:val="21"/>
                <w:szCs w:val="21"/>
              </w:rPr>
            </w:pPr>
          </w:p>
          <w:p w14:paraId="5AEA475C">
            <w:pPr>
              <w:pStyle w:val="18"/>
              <w:spacing w:before="65" w:line="189" w:lineRule="auto"/>
              <w:ind w:left="369"/>
              <w:rPr>
                <w:sz w:val="21"/>
                <w:szCs w:val="21"/>
              </w:rPr>
            </w:pPr>
            <w:r>
              <w:rPr>
                <w:sz w:val="21"/>
                <w:szCs w:val="21"/>
              </w:rPr>
              <w:t>3</w:t>
            </w:r>
          </w:p>
        </w:tc>
        <w:tc>
          <w:tcPr>
            <w:tcW w:w="850" w:type="dxa"/>
            <w:vAlign w:val="top"/>
          </w:tcPr>
          <w:p w14:paraId="5E03057F">
            <w:pPr>
              <w:spacing w:line="256" w:lineRule="auto"/>
              <w:rPr>
                <w:rFonts w:ascii="Arial"/>
                <w:sz w:val="21"/>
                <w:szCs w:val="21"/>
              </w:rPr>
            </w:pPr>
          </w:p>
          <w:p w14:paraId="108631A7">
            <w:pPr>
              <w:spacing w:line="256" w:lineRule="auto"/>
              <w:rPr>
                <w:rFonts w:ascii="Arial"/>
                <w:sz w:val="21"/>
                <w:szCs w:val="21"/>
              </w:rPr>
            </w:pPr>
          </w:p>
          <w:p w14:paraId="254685A2">
            <w:pPr>
              <w:spacing w:line="256" w:lineRule="auto"/>
              <w:rPr>
                <w:rFonts w:ascii="Arial"/>
                <w:sz w:val="21"/>
                <w:szCs w:val="21"/>
              </w:rPr>
            </w:pPr>
          </w:p>
          <w:p w14:paraId="0B1368FD">
            <w:pPr>
              <w:spacing w:line="256" w:lineRule="auto"/>
              <w:rPr>
                <w:rFonts w:ascii="Arial"/>
                <w:sz w:val="21"/>
                <w:szCs w:val="21"/>
              </w:rPr>
            </w:pPr>
          </w:p>
          <w:p w14:paraId="55D5012C">
            <w:pPr>
              <w:spacing w:line="256" w:lineRule="auto"/>
              <w:rPr>
                <w:rFonts w:ascii="Arial"/>
                <w:sz w:val="21"/>
                <w:szCs w:val="21"/>
              </w:rPr>
            </w:pPr>
          </w:p>
          <w:p w14:paraId="72CAD061">
            <w:pPr>
              <w:spacing w:line="256" w:lineRule="auto"/>
              <w:rPr>
                <w:rFonts w:ascii="Arial"/>
                <w:sz w:val="21"/>
                <w:szCs w:val="21"/>
              </w:rPr>
            </w:pPr>
          </w:p>
          <w:p w14:paraId="08EE3E3C">
            <w:pPr>
              <w:spacing w:line="257" w:lineRule="auto"/>
              <w:rPr>
                <w:rFonts w:ascii="Arial"/>
                <w:sz w:val="21"/>
                <w:szCs w:val="21"/>
              </w:rPr>
            </w:pPr>
          </w:p>
          <w:p w14:paraId="39D36B80">
            <w:pPr>
              <w:spacing w:line="257" w:lineRule="auto"/>
              <w:rPr>
                <w:rFonts w:ascii="Arial"/>
                <w:sz w:val="21"/>
                <w:szCs w:val="21"/>
              </w:rPr>
            </w:pPr>
          </w:p>
          <w:p w14:paraId="06DCB073">
            <w:pPr>
              <w:spacing w:line="257" w:lineRule="auto"/>
              <w:rPr>
                <w:rFonts w:ascii="Arial"/>
                <w:sz w:val="21"/>
                <w:szCs w:val="21"/>
              </w:rPr>
            </w:pPr>
          </w:p>
          <w:p w14:paraId="3ECADB5B">
            <w:pPr>
              <w:spacing w:line="257" w:lineRule="auto"/>
              <w:rPr>
                <w:rFonts w:ascii="Arial"/>
                <w:sz w:val="21"/>
                <w:szCs w:val="21"/>
              </w:rPr>
            </w:pPr>
          </w:p>
          <w:p w14:paraId="33D3BC22">
            <w:pPr>
              <w:spacing w:line="257" w:lineRule="auto"/>
              <w:rPr>
                <w:rFonts w:ascii="Arial"/>
                <w:sz w:val="21"/>
                <w:szCs w:val="21"/>
              </w:rPr>
            </w:pPr>
          </w:p>
          <w:p w14:paraId="7B29A065">
            <w:pPr>
              <w:spacing w:line="257" w:lineRule="auto"/>
              <w:rPr>
                <w:rFonts w:ascii="Arial"/>
                <w:sz w:val="21"/>
                <w:szCs w:val="21"/>
              </w:rPr>
            </w:pPr>
          </w:p>
          <w:p w14:paraId="72AE923B">
            <w:pPr>
              <w:pStyle w:val="18"/>
              <w:spacing w:before="65" w:line="189" w:lineRule="auto"/>
              <w:ind w:left="379"/>
              <w:rPr>
                <w:sz w:val="21"/>
                <w:szCs w:val="21"/>
              </w:rPr>
            </w:pPr>
            <w:r>
              <w:rPr>
                <w:sz w:val="21"/>
                <w:szCs w:val="21"/>
              </w:rPr>
              <w:t>6</w:t>
            </w:r>
          </w:p>
        </w:tc>
        <w:tc>
          <w:tcPr>
            <w:tcW w:w="2208" w:type="dxa"/>
            <w:vAlign w:val="top"/>
          </w:tcPr>
          <w:p w14:paraId="2A169DCB">
            <w:pPr>
              <w:spacing w:line="260" w:lineRule="auto"/>
              <w:rPr>
                <w:rFonts w:ascii="Arial"/>
                <w:sz w:val="21"/>
                <w:szCs w:val="21"/>
              </w:rPr>
            </w:pPr>
          </w:p>
          <w:p w14:paraId="090EB241">
            <w:pPr>
              <w:spacing w:line="260" w:lineRule="auto"/>
              <w:rPr>
                <w:rFonts w:ascii="Arial"/>
                <w:sz w:val="21"/>
                <w:szCs w:val="21"/>
              </w:rPr>
            </w:pPr>
          </w:p>
          <w:p w14:paraId="5E658E37">
            <w:pPr>
              <w:spacing w:line="260" w:lineRule="auto"/>
              <w:rPr>
                <w:rFonts w:ascii="Arial"/>
                <w:sz w:val="21"/>
                <w:szCs w:val="21"/>
              </w:rPr>
            </w:pPr>
          </w:p>
          <w:p w14:paraId="7ED73C3F">
            <w:pPr>
              <w:spacing w:line="260" w:lineRule="auto"/>
              <w:rPr>
                <w:rFonts w:ascii="Arial"/>
                <w:sz w:val="21"/>
                <w:szCs w:val="21"/>
              </w:rPr>
            </w:pPr>
          </w:p>
          <w:p w14:paraId="5545818B">
            <w:pPr>
              <w:spacing w:line="260" w:lineRule="auto"/>
              <w:rPr>
                <w:rFonts w:ascii="Arial"/>
                <w:sz w:val="21"/>
                <w:szCs w:val="21"/>
              </w:rPr>
            </w:pPr>
          </w:p>
          <w:p w14:paraId="5ADB9E0F">
            <w:pPr>
              <w:spacing w:line="261" w:lineRule="auto"/>
              <w:rPr>
                <w:rFonts w:ascii="Arial"/>
                <w:sz w:val="21"/>
                <w:szCs w:val="21"/>
              </w:rPr>
            </w:pPr>
          </w:p>
          <w:p w14:paraId="41712708">
            <w:pPr>
              <w:spacing w:line="261" w:lineRule="auto"/>
              <w:rPr>
                <w:rFonts w:ascii="Arial"/>
                <w:sz w:val="21"/>
                <w:szCs w:val="21"/>
              </w:rPr>
            </w:pPr>
          </w:p>
          <w:p w14:paraId="5106CCA1">
            <w:pPr>
              <w:spacing w:line="261" w:lineRule="auto"/>
              <w:rPr>
                <w:rFonts w:ascii="Arial"/>
                <w:sz w:val="21"/>
                <w:szCs w:val="21"/>
              </w:rPr>
            </w:pPr>
          </w:p>
          <w:p w14:paraId="5E36B921">
            <w:pPr>
              <w:spacing w:line="261" w:lineRule="auto"/>
              <w:rPr>
                <w:rFonts w:ascii="Arial"/>
                <w:sz w:val="21"/>
                <w:szCs w:val="21"/>
              </w:rPr>
            </w:pPr>
          </w:p>
          <w:p w14:paraId="0BBA25B0">
            <w:pPr>
              <w:spacing w:line="261" w:lineRule="auto"/>
              <w:rPr>
                <w:rFonts w:ascii="Arial"/>
                <w:sz w:val="21"/>
                <w:szCs w:val="21"/>
              </w:rPr>
            </w:pPr>
          </w:p>
          <w:p w14:paraId="73104A14">
            <w:pPr>
              <w:spacing w:line="261" w:lineRule="auto"/>
              <w:rPr>
                <w:rFonts w:ascii="Arial"/>
                <w:sz w:val="21"/>
                <w:szCs w:val="21"/>
              </w:rPr>
            </w:pPr>
          </w:p>
          <w:p w14:paraId="4C517219">
            <w:pPr>
              <w:pStyle w:val="18"/>
              <w:spacing w:before="65" w:line="318" w:lineRule="auto"/>
              <w:ind w:left="900" w:right="158" w:hanging="735"/>
              <w:rPr>
                <w:sz w:val="21"/>
                <w:szCs w:val="21"/>
              </w:rPr>
            </w:pPr>
            <w:r>
              <w:rPr>
                <w:spacing w:val="8"/>
                <w:sz w:val="21"/>
                <w:szCs w:val="21"/>
              </w:rPr>
              <w:t>参与电子投标的准备</w:t>
            </w:r>
            <w:r>
              <w:rPr>
                <w:spacing w:val="3"/>
                <w:sz w:val="21"/>
                <w:szCs w:val="21"/>
              </w:rPr>
              <w:t>工作</w:t>
            </w:r>
          </w:p>
        </w:tc>
        <w:tc>
          <w:tcPr>
            <w:tcW w:w="6378" w:type="dxa"/>
            <w:vAlign w:val="top"/>
          </w:tcPr>
          <w:p w14:paraId="017DB7CA">
            <w:pPr>
              <w:pStyle w:val="18"/>
              <w:spacing w:before="73" w:line="256" w:lineRule="auto"/>
              <w:ind w:left="124" w:right="109" w:hanging="9"/>
              <w:rPr>
                <w:sz w:val="21"/>
                <w:szCs w:val="21"/>
              </w:rPr>
            </w:pPr>
            <w:r>
              <w:rPr>
                <w:rFonts w:hint="eastAsia"/>
                <w:sz w:val="21"/>
                <w:szCs w:val="21"/>
              </w:rPr>
              <w:t>6</w:t>
            </w:r>
            <w:r>
              <w:rPr>
                <w:rFonts w:hint="eastAsia"/>
                <w:sz w:val="21"/>
                <w:szCs w:val="21"/>
                <w:lang w:val="en-US" w:eastAsia="zh-CN"/>
              </w:rPr>
              <w:t>.</w:t>
            </w:r>
            <w:r>
              <w:rPr>
                <w:rFonts w:hint="eastAsia"/>
                <w:sz w:val="21"/>
                <w:szCs w:val="21"/>
              </w:rPr>
              <w:t>1本项目实行全流程电子化采购，投标人通过</w:t>
            </w:r>
            <w:r>
              <w:rPr>
                <w:rFonts w:hint="eastAsia"/>
                <w:sz w:val="21"/>
                <w:szCs w:val="21"/>
                <w:lang w:eastAsia="zh-CN"/>
              </w:rPr>
              <w:t>“广西政府采购云平台”</w:t>
            </w:r>
            <w:r>
              <w:rPr>
                <w:rFonts w:hint="eastAsia"/>
                <w:sz w:val="21"/>
                <w:szCs w:val="21"/>
              </w:rPr>
              <w:t>参与电子投标，并应做好以下相关准备工作：①在</w:t>
            </w:r>
            <w:r>
              <w:rPr>
                <w:rFonts w:hint="eastAsia"/>
                <w:sz w:val="21"/>
                <w:szCs w:val="21"/>
                <w:lang w:eastAsia="zh-CN"/>
              </w:rPr>
              <w:t>“广西政府采购云平台”</w:t>
            </w:r>
            <w:r>
              <w:rPr>
                <w:rFonts w:hint="eastAsia"/>
                <w:sz w:val="21"/>
                <w:szCs w:val="21"/>
              </w:rPr>
              <w:t>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hint="eastAsia"/>
                <w:sz w:val="21"/>
                <w:szCs w:val="21"/>
                <w:lang w:eastAsia="zh-CN"/>
              </w:rPr>
              <w:t>广西政府采购云平台</w:t>
            </w:r>
            <w:r>
              <w:rPr>
                <w:rFonts w:hint="eastAsia"/>
                <w:sz w:val="21"/>
                <w:szCs w:val="21"/>
              </w:rPr>
              <w:t>电子投标客户端”）并安装成功，投标人应当在提交投标文件截止时间前在</w:t>
            </w:r>
            <w:r>
              <w:rPr>
                <w:rFonts w:hint="eastAsia"/>
                <w:sz w:val="21"/>
                <w:szCs w:val="21"/>
                <w:lang w:eastAsia="zh-CN"/>
              </w:rPr>
              <w:t>“广西政府采购云平台”</w:t>
            </w:r>
            <w:r>
              <w:rPr>
                <w:rFonts w:hint="eastAsia"/>
                <w:sz w:val="21"/>
                <w:szCs w:val="21"/>
              </w:rPr>
              <w:t>完成的身份认证，确保能够对相关数据电文进行加密和使用电子签章；④自备计算机和网络设备并确保能接入互联网（费用由投标人自行承担，设备确保可进行视频通话和读取</w:t>
            </w:r>
            <w:r>
              <w:rPr>
                <w:rFonts w:hint="eastAsia"/>
                <w:sz w:val="21"/>
                <w:szCs w:val="21"/>
                <w:lang w:eastAsia="zh-CN"/>
              </w:rPr>
              <w:t>广西政府采购云平台</w:t>
            </w:r>
            <w:r>
              <w:rPr>
                <w:rFonts w:hint="eastAsia"/>
                <w:sz w:val="21"/>
                <w:szCs w:val="21"/>
              </w:rPr>
              <w:t>CA证书）。因投标人未做好相关准备工作等自身原因导致无法参加本项目电子投标或投标失败的，造成的一切后果，由投标人自行承担。</w:t>
            </w:r>
          </w:p>
          <w:p w14:paraId="6CA338A5">
            <w:pPr>
              <w:pStyle w:val="18"/>
              <w:spacing w:before="73" w:line="256" w:lineRule="auto"/>
              <w:ind w:left="124" w:right="109" w:hanging="9"/>
              <w:rPr>
                <w:rFonts w:hint="eastAsia"/>
                <w:sz w:val="21"/>
                <w:szCs w:val="21"/>
              </w:rPr>
            </w:pPr>
            <w:r>
              <w:rPr>
                <w:rFonts w:hint="eastAsia"/>
                <w:sz w:val="21"/>
                <w:szCs w:val="21"/>
              </w:rPr>
              <w:t>6</w:t>
            </w:r>
            <w:r>
              <w:rPr>
                <w:rFonts w:hint="eastAsia"/>
                <w:sz w:val="21"/>
                <w:szCs w:val="21"/>
                <w:lang w:val="en-US" w:eastAsia="zh-CN"/>
              </w:rPr>
              <w:t>.</w:t>
            </w:r>
            <w:r>
              <w:rPr>
                <w:rFonts w:hint="eastAsia"/>
                <w:sz w:val="21"/>
                <w:szCs w:val="21"/>
              </w:rPr>
              <w:t>2电子投标具体操作流程参考《政府采购项目电子交易管理操作指南-供应商》（详见桂林市政府采购网—采购资讯—重要通知）；如遇平台技术问题详询</w:t>
            </w:r>
            <w:r>
              <w:rPr>
                <w:rFonts w:hint="eastAsia"/>
                <w:sz w:val="21"/>
                <w:szCs w:val="21"/>
                <w:lang w:eastAsia="zh-CN"/>
              </w:rPr>
              <w:t>95763</w:t>
            </w:r>
            <w:r>
              <w:rPr>
                <w:rFonts w:hint="eastAsia"/>
                <w:sz w:val="21"/>
                <w:szCs w:val="21"/>
              </w:rPr>
              <w:t>。</w:t>
            </w:r>
          </w:p>
          <w:p w14:paraId="240403CC">
            <w:pPr>
              <w:pStyle w:val="18"/>
              <w:spacing w:before="73" w:line="256" w:lineRule="auto"/>
              <w:ind w:left="124" w:right="109" w:hanging="9"/>
              <w:rPr>
                <w:sz w:val="21"/>
                <w:szCs w:val="21"/>
              </w:rPr>
            </w:pPr>
            <w:r>
              <w:rPr>
                <w:rFonts w:hint="eastAsia"/>
                <w:sz w:val="21"/>
                <w:szCs w:val="21"/>
              </w:rPr>
              <w:t>6</w:t>
            </w:r>
            <w:r>
              <w:rPr>
                <w:rFonts w:hint="eastAsia"/>
                <w:sz w:val="21"/>
                <w:szCs w:val="21"/>
                <w:lang w:val="en-US" w:eastAsia="zh-CN"/>
              </w:rPr>
              <w:t>.</w:t>
            </w:r>
            <w:r>
              <w:rPr>
                <w:rFonts w:hint="eastAsia"/>
                <w:sz w:val="21"/>
                <w:szCs w:val="21"/>
              </w:rPr>
              <w:t>3不论投标结果如何，投标人均应自行承担所有与投标有关的全部费用。</w:t>
            </w:r>
          </w:p>
        </w:tc>
      </w:tr>
      <w:tr w14:paraId="21505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9" w:hRule="atLeast"/>
        </w:trPr>
        <w:tc>
          <w:tcPr>
            <w:tcW w:w="828" w:type="dxa"/>
            <w:vAlign w:val="top"/>
          </w:tcPr>
          <w:p w14:paraId="5AEEBB58">
            <w:pPr>
              <w:spacing w:line="264" w:lineRule="auto"/>
              <w:rPr>
                <w:rFonts w:hint="eastAsia" w:asciiTheme="minorEastAsia" w:hAnsiTheme="minorEastAsia" w:eastAsiaTheme="minorEastAsia" w:cstheme="minorEastAsia"/>
                <w:sz w:val="21"/>
                <w:szCs w:val="21"/>
              </w:rPr>
            </w:pPr>
          </w:p>
          <w:p w14:paraId="1DF5D59E">
            <w:pPr>
              <w:spacing w:line="265" w:lineRule="auto"/>
              <w:rPr>
                <w:rFonts w:hint="eastAsia" w:asciiTheme="minorEastAsia" w:hAnsiTheme="minorEastAsia" w:eastAsiaTheme="minorEastAsia" w:cstheme="minorEastAsia"/>
                <w:sz w:val="21"/>
                <w:szCs w:val="21"/>
              </w:rPr>
            </w:pPr>
          </w:p>
          <w:p w14:paraId="5B310728">
            <w:pPr>
              <w:spacing w:line="265" w:lineRule="auto"/>
              <w:rPr>
                <w:rFonts w:hint="eastAsia" w:asciiTheme="minorEastAsia" w:hAnsiTheme="minorEastAsia" w:eastAsiaTheme="minorEastAsia" w:cstheme="minorEastAsia"/>
                <w:sz w:val="21"/>
                <w:szCs w:val="21"/>
              </w:rPr>
            </w:pPr>
          </w:p>
          <w:p w14:paraId="385C5C2F">
            <w:pPr>
              <w:pStyle w:val="18"/>
              <w:spacing w:before="65" w:line="189" w:lineRule="auto"/>
              <w:ind w:left="36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850" w:type="dxa"/>
            <w:vAlign w:val="top"/>
          </w:tcPr>
          <w:p w14:paraId="10FEDFF2">
            <w:pPr>
              <w:spacing w:line="271" w:lineRule="auto"/>
              <w:rPr>
                <w:rFonts w:hint="eastAsia" w:asciiTheme="minorEastAsia" w:hAnsiTheme="minorEastAsia" w:eastAsiaTheme="minorEastAsia" w:cstheme="minorEastAsia"/>
                <w:sz w:val="21"/>
                <w:szCs w:val="21"/>
              </w:rPr>
            </w:pPr>
          </w:p>
          <w:p w14:paraId="3D4F47FA">
            <w:pPr>
              <w:spacing w:line="271" w:lineRule="auto"/>
              <w:rPr>
                <w:rFonts w:hint="eastAsia" w:asciiTheme="minorEastAsia" w:hAnsiTheme="minorEastAsia" w:eastAsiaTheme="minorEastAsia" w:cstheme="minorEastAsia"/>
                <w:sz w:val="21"/>
                <w:szCs w:val="21"/>
              </w:rPr>
            </w:pPr>
          </w:p>
          <w:p w14:paraId="1FD95014">
            <w:pPr>
              <w:spacing w:line="272" w:lineRule="auto"/>
              <w:rPr>
                <w:rFonts w:hint="eastAsia" w:asciiTheme="minorEastAsia" w:hAnsiTheme="minorEastAsia" w:eastAsiaTheme="minorEastAsia" w:cstheme="minorEastAsia"/>
                <w:sz w:val="21"/>
                <w:szCs w:val="21"/>
              </w:rPr>
            </w:pPr>
          </w:p>
          <w:p w14:paraId="1ACAC4DD">
            <w:pPr>
              <w:pStyle w:val="18"/>
              <w:spacing w:before="65" w:line="190" w:lineRule="auto"/>
              <w:ind w:left="3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15</w:t>
            </w:r>
          </w:p>
        </w:tc>
        <w:tc>
          <w:tcPr>
            <w:tcW w:w="2208" w:type="dxa"/>
            <w:vAlign w:val="top"/>
          </w:tcPr>
          <w:p w14:paraId="3ED28978">
            <w:pPr>
              <w:spacing w:line="253" w:lineRule="auto"/>
              <w:rPr>
                <w:rFonts w:hint="eastAsia" w:asciiTheme="minorEastAsia" w:hAnsiTheme="minorEastAsia" w:eastAsiaTheme="minorEastAsia" w:cstheme="minorEastAsia"/>
                <w:sz w:val="21"/>
                <w:szCs w:val="21"/>
              </w:rPr>
            </w:pPr>
          </w:p>
          <w:p w14:paraId="6457339E">
            <w:pPr>
              <w:spacing w:line="254" w:lineRule="auto"/>
              <w:rPr>
                <w:rFonts w:hint="eastAsia" w:asciiTheme="minorEastAsia" w:hAnsiTheme="minorEastAsia" w:eastAsiaTheme="minorEastAsia" w:cstheme="minorEastAsia"/>
                <w:sz w:val="21"/>
                <w:szCs w:val="21"/>
              </w:rPr>
            </w:pPr>
          </w:p>
          <w:p w14:paraId="0B311339">
            <w:pPr>
              <w:spacing w:line="254" w:lineRule="auto"/>
              <w:rPr>
                <w:rFonts w:hint="eastAsia" w:asciiTheme="minorEastAsia" w:hAnsiTheme="minorEastAsia" w:eastAsiaTheme="minorEastAsia" w:cstheme="minorEastAsia"/>
                <w:sz w:val="21"/>
                <w:szCs w:val="21"/>
              </w:rPr>
            </w:pPr>
          </w:p>
          <w:p w14:paraId="253271BD">
            <w:pPr>
              <w:pStyle w:val="18"/>
              <w:spacing w:before="65" w:line="226" w:lineRule="auto"/>
              <w:ind w:left="69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投标报价</w:t>
            </w:r>
          </w:p>
        </w:tc>
        <w:tc>
          <w:tcPr>
            <w:tcW w:w="6378" w:type="dxa"/>
            <w:vAlign w:val="top"/>
          </w:tcPr>
          <w:p w14:paraId="77A167F4">
            <w:pPr>
              <w:pStyle w:val="18"/>
              <w:spacing w:before="115" w:line="296" w:lineRule="auto"/>
              <w:ind w:left="114" w:right="109" w:firstLine="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15.1投标报价应按招标文件中第六章“投标文件（格式）”填写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本项目采购预算金额：</w:t>
            </w:r>
            <w:r>
              <w:rPr>
                <w:rFonts w:hint="eastAsia" w:asciiTheme="minorEastAsia" w:hAnsiTheme="minorEastAsia" w:eastAsiaTheme="minorEastAsia" w:cstheme="minorEastAsia"/>
                <w:b/>
                <w:bCs/>
                <w:sz w:val="21"/>
                <w:szCs w:val="21"/>
                <w:lang w:val="en-US" w:eastAsia="zh-CN"/>
              </w:rPr>
              <w:t>人民币</w:t>
            </w:r>
            <w:r>
              <w:rPr>
                <w:rFonts w:hint="eastAsia" w:asciiTheme="minorEastAsia" w:hAnsiTheme="minorEastAsia" w:eastAsiaTheme="minorEastAsia" w:cstheme="minorEastAsia"/>
                <w:b/>
                <w:bCs/>
                <w:sz w:val="21"/>
                <w:szCs w:val="21"/>
                <w:lang w:eastAsia="zh-CN"/>
              </w:rPr>
              <w:t>叁佰万元整（¥</w:t>
            </w:r>
            <w:r>
              <w:rPr>
                <w:rFonts w:hint="eastAsia" w:asciiTheme="minorEastAsia" w:hAnsiTheme="minorEastAsia" w:eastAsiaTheme="minorEastAsia" w:cstheme="minorEastAsia"/>
                <w:b/>
                <w:bCs/>
                <w:sz w:val="21"/>
                <w:szCs w:val="21"/>
                <w:lang w:val="en-US" w:eastAsia="zh-CN"/>
              </w:rPr>
              <w:t>3000000.00</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投标总报价超过采购预算金额的，投标文件按无效处理。</w:t>
            </w:r>
          </w:p>
          <w:p w14:paraId="5726E8E5">
            <w:pPr>
              <w:pStyle w:val="18"/>
              <w:spacing w:before="115" w:line="296" w:lineRule="auto"/>
              <w:ind w:left="114" w:right="109" w:firstLine="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15.2投标人必须就“</w:t>
            </w:r>
            <w:r>
              <w:rPr>
                <w:rFonts w:hint="eastAsia" w:asciiTheme="minorEastAsia" w:hAnsiTheme="minorEastAsia" w:eastAsiaTheme="minorEastAsia" w:cstheme="minorEastAsia"/>
                <w:sz w:val="21"/>
                <w:szCs w:val="21"/>
                <w:lang w:eastAsia="zh-CN"/>
              </w:rPr>
              <w:t>服务采购需求</w:t>
            </w:r>
            <w:r>
              <w:rPr>
                <w:rFonts w:hint="eastAsia" w:asciiTheme="minorEastAsia" w:hAnsiTheme="minorEastAsia" w:eastAsiaTheme="minorEastAsia" w:cstheme="minorEastAsia"/>
                <w:sz w:val="21"/>
                <w:szCs w:val="21"/>
              </w:rPr>
              <w:t>”中的所有内容作完整唯一报价，否则，其投标将被拒绝；投标文件只允许有一个报价，有选择的或有条件的报价将不予接受。</w:t>
            </w:r>
          </w:p>
        </w:tc>
      </w:tr>
      <w:tr w14:paraId="0655B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28" w:type="dxa"/>
            <w:vAlign w:val="top"/>
          </w:tcPr>
          <w:p w14:paraId="1F951A85">
            <w:pPr>
              <w:pStyle w:val="18"/>
              <w:spacing w:before="221" w:line="187" w:lineRule="auto"/>
              <w:ind w:left="36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850" w:type="dxa"/>
            <w:vAlign w:val="top"/>
          </w:tcPr>
          <w:p w14:paraId="245CEDC9">
            <w:pPr>
              <w:pStyle w:val="18"/>
              <w:spacing w:before="218" w:line="190" w:lineRule="auto"/>
              <w:ind w:left="2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16.1</w:t>
            </w:r>
          </w:p>
        </w:tc>
        <w:tc>
          <w:tcPr>
            <w:tcW w:w="2208" w:type="dxa"/>
            <w:vAlign w:val="top"/>
          </w:tcPr>
          <w:p w14:paraId="79B46BD9">
            <w:pPr>
              <w:pStyle w:val="18"/>
              <w:spacing w:before="186" w:line="228" w:lineRule="auto"/>
              <w:ind w:left="5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投标有效期</w:t>
            </w:r>
          </w:p>
        </w:tc>
        <w:tc>
          <w:tcPr>
            <w:tcW w:w="6378" w:type="dxa"/>
            <w:vAlign w:val="top"/>
          </w:tcPr>
          <w:p w14:paraId="1CD2C3E6">
            <w:pPr>
              <w:pStyle w:val="18"/>
              <w:spacing w:before="186" w:line="228" w:lineRule="auto"/>
              <w:ind w:left="1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投标截止时间之日起90天。</w:t>
            </w:r>
          </w:p>
        </w:tc>
      </w:tr>
      <w:tr w14:paraId="62DD2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828" w:type="dxa"/>
            <w:vAlign w:val="top"/>
          </w:tcPr>
          <w:p w14:paraId="386C95B5">
            <w:pPr>
              <w:spacing w:line="438" w:lineRule="auto"/>
              <w:rPr>
                <w:rFonts w:hint="eastAsia" w:asciiTheme="minorEastAsia" w:hAnsiTheme="minorEastAsia" w:eastAsiaTheme="minorEastAsia" w:cstheme="minorEastAsia"/>
                <w:sz w:val="21"/>
                <w:szCs w:val="21"/>
              </w:rPr>
            </w:pPr>
          </w:p>
          <w:p w14:paraId="6D5B63B7">
            <w:pPr>
              <w:pStyle w:val="18"/>
              <w:spacing w:before="65" w:line="189" w:lineRule="auto"/>
              <w:ind w:left="36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850" w:type="dxa"/>
            <w:vAlign w:val="top"/>
          </w:tcPr>
          <w:p w14:paraId="2A91811B">
            <w:pPr>
              <w:spacing w:line="437" w:lineRule="auto"/>
              <w:rPr>
                <w:rFonts w:hint="eastAsia" w:asciiTheme="minorEastAsia" w:hAnsiTheme="minorEastAsia" w:eastAsiaTheme="minorEastAsia" w:cstheme="minorEastAsia"/>
                <w:sz w:val="21"/>
                <w:szCs w:val="21"/>
              </w:rPr>
            </w:pPr>
          </w:p>
          <w:p w14:paraId="30199A28">
            <w:pPr>
              <w:pStyle w:val="18"/>
              <w:spacing w:before="65" w:line="190" w:lineRule="auto"/>
              <w:ind w:left="34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17</w:t>
            </w:r>
          </w:p>
        </w:tc>
        <w:tc>
          <w:tcPr>
            <w:tcW w:w="2208" w:type="dxa"/>
            <w:vAlign w:val="top"/>
          </w:tcPr>
          <w:p w14:paraId="4626762C">
            <w:pPr>
              <w:pStyle w:val="18"/>
              <w:spacing w:before="293" w:line="318" w:lineRule="auto"/>
              <w:ind w:left="210" w:leftChars="100" w:right="264"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电子投标文件的制</w:t>
            </w:r>
            <w:r>
              <w:rPr>
                <w:rFonts w:hint="eastAsia" w:asciiTheme="minorEastAsia" w:hAnsiTheme="minorEastAsia" w:eastAsiaTheme="minorEastAsia" w:cstheme="minorEastAsia"/>
                <w:spacing w:val="8"/>
                <w:sz w:val="21"/>
                <w:szCs w:val="21"/>
              </w:rPr>
              <w:t>作、加密要求</w:t>
            </w:r>
          </w:p>
        </w:tc>
        <w:tc>
          <w:tcPr>
            <w:tcW w:w="6378" w:type="dxa"/>
            <w:vAlign w:val="top"/>
          </w:tcPr>
          <w:p w14:paraId="5D071CC5">
            <w:pPr>
              <w:pStyle w:val="18"/>
              <w:spacing w:before="114" w:line="296" w:lineRule="auto"/>
              <w:ind w:left="111" w:right="106" w:firstLine="1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17.1投标人制作电子投标文件前，应</w:t>
            </w:r>
            <w:r>
              <w:rPr>
                <w:rFonts w:hint="eastAsia" w:asciiTheme="minorEastAsia" w:hAnsiTheme="minorEastAsia" w:eastAsiaTheme="minorEastAsia" w:cstheme="minorEastAsia"/>
                <w:spacing w:val="7"/>
                <w:sz w:val="21"/>
                <w:szCs w:val="21"/>
                <w:lang w:eastAsia="zh-CN"/>
              </w:rPr>
              <w:t>登录</w:t>
            </w: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spacing w:val="6"/>
                <w:sz w:val="21"/>
                <w:szCs w:val="21"/>
                <w:lang w:eastAsia="zh-CN"/>
              </w:rPr>
              <w:t>广西政府采购云</w:t>
            </w:r>
            <w:r>
              <w:rPr>
                <w:rFonts w:hint="eastAsia" w:asciiTheme="minorEastAsia" w:hAnsiTheme="minorEastAsia" w:eastAsiaTheme="minorEastAsia" w:cstheme="minorEastAsia"/>
                <w:spacing w:val="6"/>
                <w:sz w:val="21"/>
                <w:szCs w:val="21"/>
              </w:rPr>
              <w:t>”平台进行“申</w:t>
            </w:r>
            <w:r>
              <w:rPr>
                <w:rFonts w:hint="eastAsia" w:asciiTheme="minorEastAsia" w:hAnsiTheme="minorEastAsia" w:eastAsiaTheme="minorEastAsia" w:cstheme="minorEastAsia"/>
                <w:spacing w:val="11"/>
                <w:sz w:val="21"/>
                <w:szCs w:val="21"/>
              </w:rPr>
              <w:t>请获取采购文件”操作，否则，有可能导致无法在线编制投标文件</w:t>
            </w:r>
            <w:r>
              <w:rPr>
                <w:rFonts w:hint="eastAsia" w:asciiTheme="minorEastAsia" w:hAnsiTheme="minorEastAsia" w:eastAsiaTheme="minorEastAsia" w:cstheme="minorEastAsia"/>
                <w:spacing w:val="9"/>
                <w:sz w:val="21"/>
                <w:szCs w:val="21"/>
              </w:rPr>
              <w:t>并参与投标，其不利后果由投标人自行承担。</w:t>
            </w:r>
          </w:p>
        </w:tc>
      </w:tr>
    </w:tbl>
    <w:p w14:paraId="705B5A44">
      <w:pPr>
        <w:rPr>
          <w:rFonts w:hint="eastAsia" w:asciiTheme="minorEastAsia" w:hAnsiTheme="minorEastAsia" w:eastAsiaTheme="minorEastAsia" w:cstheme="minorEastAsia"/>
          <w:sz w:val="21"/>
          <w:szCs w:val="21"/>
        </w:rPr>
      </w:pPr>
    </w:p>
    <w:tbl>
      <w:tblPr>
        <w:tblStyle w:val="17"/>
        <w:tblW w:w="504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17"/>
        <w:gridCol w:w="840"/>
        <w:gridCol w:w="2187"/>
        <w:gridCol w:w="6527"/>
      </w:tblGrid>
      <w:tr w14:paraId="0DD73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6" w:hRule="atLeast"/>
        </w:trPr>
        <w:tc>
          <w:tcPr>
            <w:tcW w:w="394" w:type="pct"/>
            <w:vAlign w:val="top"/>
          </w:tcPr>
          <w:p w14:paraId="0FE28309">
            <w:pPr>
              <w:rPr>
                <w:rFonts w:hint="eastAsia" w:asciiTheme="minorEastAsia" w:hAnsiTheme="minorEastAsia" w:eastAsiaTheme="minorEastAsia" w:cstheme="minorEastAsia"/>
                <w:sz w:val="21"/>
                <w:szCs w:val="21"/>
              </w:rPr>
            </w:pPr>
          </w:p>
        </w:tc>
        <w:tc>
          <w:tcPr>
            <w:tcW w:w="405" w:type="pct"/>
            <w:vAlign w:val="top"/>
          </w:tcPr>
          <w:p w14:paraId="0AFC5246">
            <w:pPr>
              <w:rPr>
                <w:rFonts w:hint="eastAsia" w:asciiTheme="minorEastAsia" w:hAnsiTheme="minorEastAsia" w:eastAsiaTheme="minorEastAsia" w:cstheme="minorEastAsia"/>
                <w:sz w:val="21"/>
                <w:szCs w:val="21"/>
              </w:rPr>
            </w:pPr>
          </w:p>
        </w:tc>
        <w:tc>
          <w:tcPr>
            <w:tcW w:w="1054" w:type="pct"/>
            <w:vAlign w:val="top"/>
          </w:tcPr>
          <w:p w14:paraId="431F8E2E">
            <w:pPr>
              <w:rPr>
                <w:rFonts w:hint="eastAsia" w:asciiTheme="minorEastAsia" w:hAnsiTheme="minorEastAsia" w:eastAsiaTheme="minorEastAsia" w:cstheme="minorEastAsia"/>
                <w:sz w:val="21"/>
                <w:szCs w:val="21"/>
              </w:rPr>
            </w:pPr>
          </w:p>
        </w:tc>
        <w:tc>
          <w:tcPr>
            <w:tcW w:w="3146" w:type="pct"/>
            <w:vAlign w:val="top"/>
          </w:tcPr>
          <w:p w14:paraId="2596AB04">
            <w:pPr>
              <w:pStyle w:val="18"/>
              <w:spacing w:before="96" w:line="285" w:lineRule="auto"/>
              <w:ind w:left="114" w:right="54" w:firstLine="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17.2投标人下载或获取招标文件后，登录“</w:t>
            </w:r>
            <w:r>
              <w:rPr>
                <w:rFonts w:hint="eastAsia" w:asciiTheme="minorEastAsia" w:hAnsiTheme="minorEastAsia" w:eastAsiaTheme="minorEastAsia" w:cstheme="minorEastAsia"/>
                <w:spacing w:val="-3"/>
                <w:sz w:val="21"/>
                <w:szCs w:val="21"/>
                <w:lang w:eastAsia="zh-CN"/>
              </w:rPr>
              <w:t>广西政府采购云</w:t>
            </w:r>
            <w:r>
              <w:rPr>
                <w:rFonts w:hint="eastAsia" w:asciiTheme="minorEastAsia" w:hAnsiTheme="minorEastAsia" w:eastAsiaTheme="minorEastAsia" w:cstheme="minorEastAsia"/>
                <w:spacing w:val="-3"/>
                <w:sz w:val="21"/>
                <w:szCs w:val="21"/>
              </w:rPr>
              <w:t>电子投标</w:t>
            </w:r>
            <w:r>
              <w:rPr>
                <w:rFonts w:hint="eastAsia" w:asciiTheme="minorEastAsia" w:hAnsiTheme="minorEastAsia" w:eastAsiaTheme="minorEastAsia" w:cstheme="minorEastAsia"/>
                <w:spacing w:val="-4"/>
                <w:sz w:val="21"/>
                <w:szCs w:val="21"/>
              </w:rPr>
              <w:t>客户端”，</w:t>
            </w:r>
            <w:r>
              <w:rPr>
                <w:rFonts w:hint="eastAsia" w:asciiTheme="minorEastAsia" w:hAnsiTheme="minorEastAsia" w:eastAsiaTheme="minorEastAsia" w:cstheme="minorEastAsia"/>
                <w:spacing w:val="11"/>
                <w:sz w:val="21"/>
                <w:szCs w:val="21"/>
              </w:rPr>
              <w:t>按照本招标文件规定的投标文件格式、顺序以及“</w:t>
            </w:r>
            <w:r>
              <w:rPr>
                <w:rFonts w:hint="eastAsia" w:asciiTheme="minorEastAsia" w:hAnsiTheme="minorEastAsia" w:eastAsiaTheme="minorEastAsia" w:cstheme="minorEastAsia"/>
                <w:spacing w:val="11"/>
                <w:sz w:val="21"/>
                <w:szCs w:val="21"/>
                <w:lang w:eastAsia="zh-CN"/>
              </w:rPr>
              <w:t>广西政府采购云</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pacing w:val="10"/>
                <w:sz w:val="21"/>
                <w:szCs w:val="21"/>
              </w:rPr>
              <w:t>平台的</w:t>
            </w:r>
            <w:r>
              <w:rPr>
                <w:rFonts w:hint="eastAsia" w:asciiTheme="minorEastAsia" w:hAnsiTheme="minorEastAsia" w:eastAsiaTheme="minorEastAsia" w:cstheme="minorEastAsia"/>
                <w:spacing w:val="8"/>
                <w:sz w:val="21"/>
                <w:szCs w:val="21"/>
              </w:rPr>
              <w:t>要求，通过“</w:t>
            </w:r>
            <w:r>
              <w:rPr>
                <w:rFonts w:hint="eastAsia" w:asciiTheme="minorEastAsia" w:hAnsiTheme="minorEastAsia" w:eastAsiaTheme="minorEastAsia" w:cstheme="minorEastAsia"/>
                <w:spacing w:val="8"/>
                <w:sz w:val="21"/>
                <w:szCs w:val="21"/>
                <w:lang w:eastAsia="zh-CN"/>
              </w:rPr>
              <w:t>广西政府采购云</w:t>
            </w:r>
            <w:r>
              <w:rPr>
                <w:rFonts w:hint="eastAsia" w:asciiTheme="minorEastAsia" w:hAnsiTheme="minorEastAsia" w:eastAsiaTheme="minorEastAsia" w:cstheme="minorEastAsia"/>
                <w:spacing w:val="8"/>
                <w:sz w:val="21"/>
                <w:szCs w:val="21"/>
              </w:rPr>
              <w:t>电子投标客户端”编制电子投标文件。</w:t>
            </w:r>
          </w:p>
          <w:p w14:paraId="6DC36F48">
            <w:pPr>
              <w:pStyle w:val="18"/>
              <w:spacing w:before="97" w:line="299" w:lineRule="auto"/>
              <w:ind w:left="115" w:right="54" w:firstLine="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17.3投标人应按“</w:t>
            </w:r>
            <w:r>
              <w:rPr>
                <w:rFonts w:hint="eastAsia" w:asciiTheme="minorEastAsia" w:hAnsiTheme="minorEastAsia" w:eastAsiaTheme="minorEastAsia" w:cstheme="minorEastAsia"/>
                <w:spacing w:val="7"/>
                <w:sz w:val="21"/>
                <w:szCs w:val="21"/>
                <w:lang w:eastAsia="zh-CN"/>
              </w:rPr>
              <w:t>广西政府采购云</w:t>
            </w:r>
            <w:r>
              <w:rPr>
                <w:rFonts w:hint="eastAsia" w:asciiTheme="minorEastAsia" w:hAnsiTheme="minorEastAsia" w:eastAsiaTheme="minorEastAsia" w:cstheme="minorEastAsia"/>
                <w:spacing w:val="7"/>
                <w:sz w:val="21"/>
                <w:szCs w:val="21"/>
              </w:rPr>
              <w:t>电子投标客户端”载明的“标书关</w:t>
            </w:r>
            <w:r>
              <w:rPr>
                <w:rFonts w:hint="eastAsia" w:asciiTheme="minorEastAsia" w:hAnsiTheme="minorEastAsia" w:eastAsiaTheme="minorEastAsia" w:cstheme="minorEastAsia"/>
                <w:spacing w:val="6"/>
                <w:sz w:val="21"/>
                <w:szCs w:val="21"/>
              </w:rPr>
              <w:t>联”功</w:t>
            </w:r>
            <w:r>
              <w:rPr>
                <w:rFonts w:hint="eastAsia" w:asciiTheme="minorEastAsia" w:hAnsiTheme="minorEastAsia" w:eastAsiaTheme="minorEastAsia" w:cstheme="minorEastAsia"/>
                <w:spacing w:val="10"/>
                <w:sz w:val="21"/>
                <w:szCs w:val="21"/>
              </w:rPr>
              <w:t>能进行电子投标文件相应内容的关联定位，以便评标委员会在评审</w:t>
            </w:r>
            <w:r>
              <w:rPr>
                <w:rFonts w:hint="eastAsia" w:asciiTheme="minorEastAsia" w:hAnsiTheme="minorEastAsia" w:eastAsiaTheme="minorEastAsia" w:cstheme="minorEastAsia"/>
                <w:spacing w:val="12"/>
                <w:sz w:val="21"/>
                <w:szCs w:val="21"/>
              </w:rPr>
              <w:t>时点击相应评审项可直接定位到该评审内容；如投标人的电子投标</w:t>
            </w:r>
            <w:r>
              <w:rPr>
                <w:rFonts w:hint="eastAsia" w:asciiTheme="minorEastAsia" w:hAnsiTheme="minorEastAsia" w:eastAsiaTheme="minorEastAsia" w:cstheme="minorEastAsia"/>
                <w:spacing w:val="7"/>
                <w:sz w:val="21"/>
                <w:szCs w:val="21"/>
              </w:rPr>
              <w:t>文件未能关联定位相应内容，或者关联定位的内容</w:t>
            </w:r>
            <w:r>
              <w:rPr>
                <w:rFonts w:hint="eastAsia" w:asciiTheme="minorEastAsia" w:hAnsiTheme="minorEastAsia" w:eastAsiaTheme="minorEastAsia" w:cstheme="minorEastAsia"/>
                <w:spacing w:val="6"/>
                <w:sz w:val="21"/>
                <w:szCs w:val="21"/>
              </w:rPr>
              <w:t>与该评审项不符，</w:t>
            </w:r>
            <w:r>
              <w:rPr>
                <w:rFonts w:hint="eastAsia" w:asciiTheme="minorEastAsia" w:hAnsiTheme="minorEastAsia" w:eastAsiaTheme="minorEastAsia" w:cstheme="minorEastAsia"/>
                <w:spacing w:val="12"/>
                <w:sz w:val="21"/>
                <w:szCs w:val="21"/>
              </w:rPr>
              <w:t>导致评标委员会无法查询并做出对投标人不利的评审，相关后果由</w:t>
            </w:r>
            <w:r>
              <w:rPr>
                <w:rFonts w:hint="eastAsia" w:asciiTheme="minorEastAsia" w:hAnsiTheme="minorEastAsia" w:eastAsiaTheme="minorEastAsia" w:cstheme="minorEastAsia"/>
                <w:spacing w:val="7"/>
                <w:sz w:val="21"/>
                <w:szCs w:val="21"/>
              </w:rPr>
              <w:t>投标人自行承担。</w:t>
            </w:r>
          </w:p>
          <w:p w14:paraId="25FC0A08">
            <w:pPr>
              <w:pStyle w:val="18"/>
              <w:spacing w:before="90" w:line="302" w:lineRule="auto"/>
              <w:ind w:left="112" w:right="54" w:firstLine="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17.4电子投标文件不得涂改，若有修改错漏处，须由法定代表人（负</w:t>
            </w:r>
            <w:r>
              <w:rPr>
                <w:rFonts w:hint="eastAsia" w:asciiTheme="minorEastAsia" w:hAnsiTheme="minorEastAsia" w:eastAsiaTheme="minorEastAsia" w:cstheme="minorEastAsia"/>
                <w:spacing w:val="11"/>
                <w:sz w:val="21"/>
                <w:szCs w:val="21"/>
              </w:rPr>
              <w:t>责人）或授权委托代理人通过“</w:t>
            </w:r>
            <w:r>
              <w:rPr>
                <w:rFonts w:hint="eastAsia" w:asciiTheme="minorEastAsia" w:hAnsiTheme="minorEastAsia" w:eastAsiaTheme="minorEastAsia" w:cstheme="minorEastAsia"/>
                <w:spacing w:val="11"/>
                <w:sz w:val="21"/>
                <w:szCs w:val="21"/>
                <w:lang w:eastAsia="zh-CN"/>
              </w:rPr>
              <w:t>广西政府采购云</w:t>
            </w:r>
            <w:r>
              <w:rPr>
                <w:rFonts w:hint="eastAsia" w:asciiTheme="minorEastAsia" w:hAnsiTheme="minorEastAsia" w:eastAsiaTheme="minorEastAsia" w:cstheme="minorEastAsia"/>
                <w:spacing w:val="11"/>
                <w:sz w:val="21"/>
                <w:szCs w:val="21"/>
              </w:rPr>
              <w:t>电子投标客户端”采用</w:t>
            </w:r>
            <w:r>
              <w:rPr>
                <w:rFonts w:hint="eastAsia" w:asciiTheme="minorEastAsia" w:hAnsiTheme="minorEastAsia" w:eastAsiaTheme="minorEastAsia" w:cstheme="minorEastAsia"/>
                <w:spacing w:val="11"/>
                <w:sz w:val="21"/>
                <w:szCs w:val="21"/>
                <w:lang w:val="en-US" w:eastAsia="zh-CN"/>
              </w:rPr>
              <w:t>广西政府采购</w:t>
            </w:r>
            <w:r>
              <w:rPr>
                <w:rFonts w:hint="eastAsia" w:asciiTheme="minorEastAsia" w:hAnsiTheme="minorEastAsia" w:eastAsiaTheme="minorEastAsia" w:cstheme="minorEastAsia"/>
                <w:spacing w:val="6"/>
                <w:sz w:val="21"/>
                <w:szCs w:val="21"/>
              </w:rPr>
              <w:t>云个人</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6"/>
                <w:sz w:val="21"/>
                <w:szCs w:val="21"/>
              </w:rPr>
              <w:t>认证证书签章，没有办理</w:t>
            </w:r>
            <w:r>
              <w:rPr>
                <w:rFonts w:hint="eastAsia" w:asciiTheme="minorEastAsia" w:hAnsiTheme="minorEastAsia" w:eastAsiaTheme="minorEastAsia" w:cstheme="minorEastAsia"/>
                <w:spacing w:val="6"/>
                <w:sz w:val="21"/>
                <w:szCs w:val="21"/>
                <w:lang w:eastAsia="zh-CN"/>
              </w:rPr>
              <w:t>广西政府采购云</w:t>
            </w:r>
            <w:r>
              <w:rPr>
                <w:rFonts w:hint="eastAsia" w:asciiTheme="minorEastAsia" w:hAnsiTheme="minorEastAsia" w:eastAsiaTheme="minorEastAsia" w:cstheme="minorEastAsia"/>
                <w:spacing w:val="6"/>
                <w:sz w:val="21"/>
                <w:szCs w:val="21"/>
              </w:rPr>
              <w:t>个人</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6"/>
                <w:sz w:val="21"/>
                <w:szCs w:val="21"/>
              </w:rPr>
              <w:t>认证证书签章的，</w:t>
            </w:r>
            <w:r>
              <w:rPr>
                <w:rFonts w:hint="eastAsia" w:asciiTheme="minorEastAsia" w:hAnsiTheme="minorEastAsia" w:eastAsiaTheme="minorEastAsia" w:cstheme="minorEastAsia"/>
                <w:spacing w:val="15"/>
                <w:sz w:val="21"/>
                <w:szCs w:val="21"/>
              </w:rPr>
              <w:t>在投标文件中响应位置手写签字后扫描或者拍照做成</w:t>
            </w:r>
            <w:r>
              <w:rPr>
                <w:rFonts w:hint="eastAsia" w:asciiTheme="minorEastAsia" w:hAnsiTheme="minorEastAsia" w:eastAsiaTheme="minorEastAsia" w:cstheme="minorEastAsia"/>
                <w:sz w:val="21"/>
                <w:szCs w:val="21"/>
              </w:rPr>
              <w:t>PDF</w:t>
            </w:r>
            <w:r>
              <w:rPr>
                <w:rFonts w:hint="eastAsia" w:asciiTheme="minorEastAsia" w:hAnsiTheme="minorEastAsia" w:eastAsiaTheme="minorEastAsia" w:cstheme="minorEastAsia"/>
                <w:spacing w:val="15"/>
                <w:sz w:val="21"/>
                <w:szCs w:val="21"/>
              </w:rPr>
              <w:t>的格式</w:t>
            </w:r>
            <w:r>
              <w:rPr>
                <w:rFonts w:hint="eastAsia" w:asciiTheme="minorEastAsia" w:hAnsiTheme="minorEastAsia" w:eastAsiaTheme="minorEastAsia" w:cstheme="minorEastAsia"/>
                <w:spacing w:val="10"/>
                <w:sz w:val="21"/>
                <w:szCs w:val="21"/>
              </w:rPr>
              <w:t>上传。因投标文件字迹潦草、表达不清、内容不完整、编排混乱导</w:t>
            </w:r>
            <w:r>
              <w:rPr>
                <w:rFonts w:hint="eastAsia" w:asciiTheme="minorEastAsia" w:hAnsiTheme="minorEastAsia" w:eastAsiaTheme="minorEastAsia" w:cstheme="minorEastAsia"/>
                <w:spacing w:val="12"/>
                <w:sz w:val="21"/>
                <w:szCs w:val="21"/>
              </w:rPr>
              <w:t>致投标文件被误读、漏读，或者在按招标文件规定的部位查找不到</w:t>
            </w:r>
            <w:r>
              <w:rPr>
                <w:rFonts w:hint="eastAsia" w:asciiTheme="minorEastAsia" w:hAnsiTheme="minorEastAsia" w:eastAsiaTheme="minorEastAsia" w:cstheme="minorEastAsia"/>
                <w:spacing w:val="9"/>
                <w:sz w:val="21"/>
                <w:szCs w:val="21"/>
              </w:rPr>
              <w:t>相关内容的，其不利后果由投标人自行承担。</w:t>
            </w:r>
          </w:p>
          <w:p w14:paraId="5BB86D1E">
            <w:pPr>
              <w:pStyle w:val="18"/>
              <w:spacing w:before="93" w:line="270" w:lineRule="auto"/>
              <w:ind w:left="116" w:right="109" w:firstLine="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17.5投标人编制、生成电子投标文件后应当加密</w:t>
            </w:r>
            <w:r>
              <w:rPr>
                <w:rFonts w:hint="eastAsia" w:asciiTheme="minorEastAsia" w:hAnsiTheme="minorEastAsia" w:eastAsiaTheme="minorEastAsia" w:cstheme="minorEastAsia"/>
                <w:spacing w:val="8"/>
                <w:sz w:val="21"/>
                <w:szCs w:val="21"/>
              </w:rPr>
              <w:t>投标文件。投标人未按规定编制并加密的投标文件，“</w:t>
            </w:r>
            <w:r>
              <w:rPr>
                <w:rFonts w:hint="eastAsia" w:asciiTheme="minorEastAsia" w:hAnsiTheme="minorEastAsia" w:eastAsiaTheme="minorEastAsia" w:cstheme="minorEastAsia"/>
                <w:spacing w:val="8"/>
                <w:sz w:val="21"/>
                <w:szCs w:val="21"/>
                <w:lang w:eastAsia="zh-CN"/>
              </w:rPr>
              <w:t>广西政府采购云</w:t>
            </w:r>
            <w:r>
              <w:rPr>
                <w:rFonts w:hint="eastAsia" w:asciiTheme="minorEastAsia" w:hAnsiTheme="minorEastAsia" w:eastAsiaTheme="minorEastAsia" w:cstheme="minorEastAsia"/>
                <w:spacing w:val="8"/>
                <w:sz w:val="21"/>
                <w:szCs w:val="21"/>
              </w:rPr>
              <w:t>”平台将予以拒收。</w:t>
            </w:r>
          </w:p>
          <w:p w14:paraId="6BE9E29E">
            <w:pPr>
              <w:pStyle w:val="18"/>
              <w:spacing w:before="94" w:line="227" w:lineRule="auto"/>
              <w:ind w:left="1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17.6供应商公章及签字</w:t>
            </w:r>
          </w:p>
          <w:p w14:paraId="54E1E930">
            <w:pPr>
              <w:pStyle w:val="18"/>
              <w:spacing w:before="94" w:line="285" w:lineRule="auto"/>
              <w:ind w:left="114" w:right="109" w:firstLine="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17.6.1本招标文件中描述投标人的“</w:t>
            </w:r>
            <w:r>
              <w:rPr>
                <w:rFonts w:hint="eastAsia" w:asciiTheme="minorEastAsia" w:hAnsiTheme="minorEastAsia" w:eastAsiaTheme="minorEastAsia" w:cstheme="minorEastAsia"/>
                <w:spacing w:val="7"/>
                <w:sz w:val="21"/>
                <w:szCs w:val="21"/>
              </w:rPr>
              <w:t>公章”是指投标人通过指定电</w:t>
            </w:r>
            <w:r>
              <w:rPr>
                <w:rFonts w:hint="eastAsia" w:asciiTheme="minorEastAsia" w:hAnsiTheme="minorEastAsia" w:eastAsiaTheme="minorEastAsia" w:cstheme="minorEastAsia"/>
                <w:spacing w:val="10"/>
                <w:sz w:val="21"/>
                <w:szCs w:val="21"/>
              </w:rPr>
              <w:t>子化政府采购平台办理数字证书（</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10"/>
                <w:sz w:val="21"/>
                <w:szCs w:val="21"/>
              </w:rPr>
              <w:t>认证证书）获得的以法定主体</w:t>
            </w:r>
            <w:r>
              <w:rPr>
                <w:rFonts w:hint="eastAsia" w:asciiTheme="minorEastAsia" w:hAnsiTheme="minorEastAsia" w:eastAsiaTheme="minorEastAsia" w:cstheme="minorEastAsia"/>
                <w:spacing w:val="8"/>
                <w:sz w:val="21"/>
                <w:szCs w:val="21"/>
              </w:rPr>
              <w:t>行为名称制作的电子印章。</w:t>
            </w:r>
          </w:p>
          <w:p w14:paraId="63FE5128">
            <w:pPr>
              <w:pStyle w:val="18"/>
              <w:spacing w:before="94" w:line="270" w:lineRule="auto"/>
              <w:ind w:left="119" w:right="109" w:firstLine="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17.6.2本招标文件中要求投标人对其电子投标文件的相关内容加盖</w:t>
            </w:r>
            <w:r>
              <w:rPr>
                <w:rFonts w:hint="eastAsia" w:asciiTheme="minorEastAsia" w:hAnsiTheme="minorEastAsia" w:eastAsiaTheme="minorEastAsia" w:cstheme="minorEastAsia"/>
                <w:spacing w:val="11"/>
                <w:sz w:val="21"/>
                <w:szCs w:val="21"/>
              </w:rPr>
              <w:t>公章的，均指采用</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11"/>
                <w:sz w:val="21"/>
                <w:szCs w:val="21"/>
              </w:rPr>
              <w:t>认证证书签章。</w:t>
            </w:r>
          </w:p>
          <w:p w14:paraId="5387E42F">
            <w:pPr>
              <w:pStyle w:val="18"/>
              <w:spacing w:before="97" w:line="290" w:lineRule="auto"/>
              <w:ind w:left="114" w:right="109" w:firstLine="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17.6.3本招标文件中描述投标人的“</w:t>
            </w:r>
            <w:r>
              <w:rPr>
                <w:rFonts w:hint="eastAsia" w:asciiTheme="minorEastAsia" w:hAnsiTheme="minorEastAsia" w:eastAsiaTheme="minorEastAsia" w:cstheme="minorEastAsia"/>
                <w:spacing w:val="7"/>
                <w:sz w:val="21"/>
                <w:szCs w:val="21"/>
              </w:rPr>
              <w:t>签字”是指投标人通过指定电</w:t>
            </w:r>
            <w:r>
              <w:rPr>
                <w:rFonts w:hint="eastAsia" w:asciiTheme="minorEastAsia" w:hAnsiTheme="minorEastAsia" w:eastAsiaTheme="minorEastAsia" w:cstheme="minorEastAsia"/>
                <w:spacing w:val="10"/>
                <w:sz w:val="21"/>
                <w:szCs w:val="21"/>
              </w:rPr>
              <w:t>子化政府采购平台办理数字证书（</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10"/>
                <w:sz w:val="21"/>
                <w:szCs w:val="21"/>
              </w:rPr>
              <w:t>认证证书）获得的以投标人法</w:t>
            </w:r>
            <w:r>
              <w:rPr>
                <w:rFonts w:hint="eastAsia" w:asciiTheme="minorEastAsia" w:hAnsiTheme="minorEastAsia" w:eastAsiaTheme="minorEastAsia" w:cstheme="minorEastAsia"/>
                <w:spacing w:val="12"/>
                <w:sz w:val="21"/>
                <w:szCs w:val="21"/>
              </w:rPr>
              <w:t>定代表人（负责人）或者委托代理人姓名制作的个人电子印章或手</w:t>
            </w:r>
            <w:r>
              <w:rPr>
                <w:rFonts w:hint="eastAsia" w:asciiTheme="minorEastAsia" w:hAnsiTheme="minorEastAsia" w:eastAsiaTheme="minorEastAsia" w:cstheme="minorEastAsia"/>
                <w:spacing w:val="9"/>
                <w:sz w:val="21"/>
                <w:szCs w:val="21"/>
              </w:rPr>
              <w:t>写签字。没有办理个人</w:t>
            </w:r>
            <w:r>
              <w:rPr>
                <w:rFonts w:hint="eastAsia" w:asciiTheme="minorEastAsia" w:hAnsiTheme="minorEastAsia" w:eastAsiaTheme="minorEastAsia" w:cstheme="minorEastAsia"/>
                <w:sz w:val="21"/>
                <w:szCs w:val="21"/>
              </w:rPr>
              <w:t>CA</w:t>
            </w:r>
            <w:r>
              <w:rPr>
                <w:rFonts w:hint="eastAsia" w:asciiTheme="minorEastAsia" w:hAnsiTheme="minorEastAsia" w:eastAsiaTheme="minorEastAsia" w:cstheme="minorEastAsia"/>
                <w:spacing w:val="9"/>
                <w:sz w:val="21"/>
                <w:szCs w:val="21"/>
              </w:rPr>
              <w:t>认证证书的，可以为手写签字的</w:t>
            </w:r>
            <w:r>
              <w:rPr>
                <w:rFonts w:hint="eastAsia" w:asciiTheme="minorEastAsia" w:hAnsiTheme="minorEastAsia" w:eastAsiaTheme="minorEastAsia" w:cstheme="minorEastAsia"/>
                <w:spacing w:val="8"/>
                <w:sz w:val="21"/>
                <w:szCs w:val="21"/>
              </w:rPr>
              <w:t>形式。</w:t>
            </w:r>
          </w:p>
        </w:tc>
      </w:tr>
      <w:tr w14:paraId="0DD0C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394" w:type="pct"/>
            <w:vAlign w:val="top"/>
          </w:tcPr>
          <w:p w14:paraId="620004A2">
            <w:pPr>
              <w:spacing w:line="307" w:lineRule="auto"/>
              <w:rPr>
                <w:rFonts w:hint="eastAsia" w:asciiTheme="minorEastAsia" w:hAnsiTheme="minorEastAsia" w:eastAsiaTheme="minorEastAsia" w:cstheme="minorEastAsia"/>
                <w:sz w:val="21"/>
                <w:szCs w:val="21"/>
              </w:rPr>
            </w:pPr>
          </w:p>
          <w:p w14:paraId="57309AA9">
            <w:pPr>
              <w:spacing w:line="308" w:lineRule="auto"/>
              <w:rPr>
                <w:rFonts w:hint="eastAsia" w:asciiTheme="minorEastAsia" w:hAnsiTheme="minorEastAsia" w:eastAsiaTheme="minorEastAsia" w:cstheme="minorEastAsia"/>
                <w:sz w:val="21"/>
                <w:szCs w:val="21"/>
              </w:rPr>
            </w:pPr>
          </w:p>
          <w:p w14:paraId="5183AB0E">
            <w:pPr>
              <w:pStyle w:val="18"/>
              <w:spacing w:before="65" w:line="189" w:lineRule="auto"/>
              <w:ind w:left="36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p>
        </w:tc>
        <w:tc>
          <w:tcPr>
            <w:tcW w:w="405" w:type="pct"/>
            <w:vAlign w:val="top"/>
          </w:tcPr>
          <w:p w14:paraId="63ABC7E8">
            <w:pPr>
              <w:spacing w:line="307" w:lineRule="auto"/>
              <w:rPr>
                <w:rFonts w:hint="eastAsia" w:asciiTheme="minorEastAsia" w:hAnsiTheme="minorEastAsia" w:eastAsiaTheme="minorEastAsia" w:cstheme="minorEastAsia"/>
                <w:sz w:val="21"/>
                <w:szCs w:val="21"/>
              </w:rPr>
            </w:pPr>
          </w:p>
          <w:p w14:paraId="4206B02D">
            <w:pPr>
              <w:spacing w:line="307" w:lineRule="auto"/>
              <w:rPr>
                <w:rFonts w:hint="eastAsia" w:asciiTheme="minorEastAsia" w:hAnsiTheme="minorEastAsia" w:eastAsiaTheme="minorEastAsia" w:cstheme="minorEastAsia"/>
                <w:sz w:val="21"/>
                <w:szCs w:val="21"/>
              </w:rPr>
            </w:pPr>
          </w:p>
          <w:p w14:paraId="7560D28F">
            <w:pPr>
              <w:pStyle w:val="18"/>
              <w:spacing w:before="65" w:line="190" w:lineRule="auto"/>
              <w:ind w:left="2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18.1</w:t>
            </w:r>
          </w:p>
        </w:tc>
        <w:tc>
          <w:tcPr>
            <w:tcW w:w="1054" w:type="pct"/>
            <w:vAlign w:val="top"/>
          </w:tcPr>
          <w:p w14:paraId="1DD192E0">
            <w:pPr>
              <w:spacing w:line="291" w:lineRule="auto"/>
              <w:rPr>
                <w:rFonts w:hint="eastAsia" w:asciiTheme="minorEastAsia" w:hAnsiTheme="minorEastAsia" w:eastAsiaTheme="minorEastAsia" w:cstheme="minorEastAsia"/>
                <w:sz w:val="21"/>
                <w:szCs w:val="21"/>
              </w:rPr>
            </w:pPr>
          </w:p>
          <w:p w14:paraId="7BEB4200">
            <w:pPr>
              <w:spacing w:line="291" w:lineRule="auto"/>
              <w:rPr>
                <w:rFonts w:hint="eastAsia" w:asciiTheme="minorEastAsia" w:hAnsiTheme="minorEastAsia" w:eastAsiaTheme="minorEastAsia" w:cstheme="minorEastAsia"/>
                <w:sz w:val="21"/>
                <w:szCs w:val="21"/>
              </w:rPr>
            </w:pPr>
          </w:p>
          <w:p w14:paraId="672DE1BE">
            <w:pPr>
              <w:pStyle w:val="18"/>
              <w:spacing w:before="65" w:line="228" w:lineRule="auto"/>
              <w:ind w:left="2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投标文件递交要求</w:t>
            </w:r>
          </w:p>
        </w:tc>
        <w:tc>
          <w:tcPr>
            <w:tcW w:w="3146" w:type="pct"/>
            <w:vAlign w:val="top"/>
          </w:tcPr>
          <w:p w14:paraId="09031071">
            <w:pPr>
              <w:pStyle w:val="18"/>
              <w:spacing w:before="111" w:line="228" w:lineRule="auto"/>
              <w:ind w:left="1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投标截止时间：</w:t>
            </w:r>
            <w:r>
              <w:rPr>
                <w:rFonts w:hint="eastAsia" w:asciiTheme="minorEastAsia" w:hAnsiTheme="minorEastAsia" w:eastAsiaTheme="minorEastAsia" w:cstheme="minorEastAsia"/>
                <w:spacing w:val="11"/>
                <w:sz w:val="21"/>
                <w:szCs w:val="21"/>
                <w:lang w:eastAsia="zh-CN"/>
              </w:rPr>
              <w:t>2026年0</w:t>
            </w:r>
            <w:r>
              <w:rPr>
                <w:rFonts w:hint="eastAsia" w:asciiTheme="minorEastAsia" w:hAnsiTheme="minorEastAsia" w:eastAsiaTheme="minorEastAsia" w:cstheme="minorEastAsia"/>
                <w:spacing w:val="11"/>
                <w:sz w:val="21"/>
                <w:szCs w:val="21"/>
                <w:lang w:val="en-US" w:eastAsia="zh-CN"/>
              </w:rPr>
              <w:t>4</w:t>
            </w:r>
            <w:r>
              <w:rPr>
                <w:rFonts w:hint="eastAsia" w:asciiTheme="minorEastAsia" w:hAnsiTheme="minorEastAsia" w:eastAsiaTheme="minorEastAsia" w:cstheme="minorEastAsia"/>
                <w:spacing w:val="11"/>
                <w:sz w:val="21"/>
                <w:szCs w:val="21"/>
                <w:lang w:eastAsia="zh-CN"/>
              </w:rPr>
              <w:t>月</w:t>
            </w:r>
            <w:r>
              <w:rPr>
                <w:rFonts w:hint="eastAsia" w:asciiTheme="minorEastAsia" w:hAnsiTheme="minorEastAsia" w:eastAsiaTheme="minorEastAsia" w:cstheme="minorEastAsia"/>
                <w:spacing w:val="11"/>
                <w:sz w:val="21"/>
                <w:szCs w:val="21"/>
                <w:lang w:val="en-US" w:eastAsia="zh-CN"/>
              </w:rPr>
              <w:t xml:space="preserve">13日 </w:t>
            </w:r>
            <w:r>
              <w:rPr>
                <w:rFonts w:hint="eastAsia" w:asciiTheme="minorEastAsia" w:hAnsiTheme="minorEastAsia" w:eastAsiaTheme="minorEastAsia" w:cstheme="minorEastAsia"/>
                <w:spacing w:val="11"/>
                <w:sz w:val="21"/>
                <w:szCs w:val="21"/>
                <w:lang w:eastAsia="zh-CN"/>
              </w:rPr>
              <w:t>09时30分（</w:t>
            </w:r>
            <w:r>
              <w:rPr>
                <w:rFonts w:hint="eastAsia" w:asciiTheme="minorEastAsia" w:hAnsiTheme="minorEastAsia" w:eastAsiaTheme="minorEastAsia" w:cstheme="minorEastAsia"/>
                <w:sz w:val="21"/>
                <w:szCs w:val="21"/>
                <w:lang w:val="en-US" w:eastAsia="zh-CN"/>
              </w:rPr>
              <w:t>北京时间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0EEDA881">
            <w:pPr>
              <w:pStyle w:val="18"/>
              <w:spacing w:before="113" w:line="296" w:lineRule="auto"/>
              <w:ind w:left="114" w:right="106" w:firstLine="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投标文件递交地点：通过“</w:t>
            </w:r>
            <w:r>
              <w:rPr>
                <w:rFonts w:hint="eastAsia" w:asciiTheme="minorEastAsia" w:hAnsiTheme="minorEastAsia" w:eastAsiaTheme="minorEastAsia" w:cstheme="minorEastAsia"/>
                <w:spacing w:val="11"/>
                <w:sz w:val="21"/>
                <w:szCs w:val="21"/>
                <w:lang w:eastAsia="zh-CN"/>
              </w:rPr>
              <w:t>广西政府采购云</w:t>
            </w:r>
            <w:r>
              <w:rPr>
                <w:rFonts w:hint="eastAsia" w:asciiTheme="minorEastAsia" w:hAnsiTheme="minorEastAsia" w:eastAsiaTheme="minorEastAsia" w:cstheme="minorEastAsia"/>
                <w:spacing w:val="11"/>
                <w:sz w:val="21"/>
                <w:szCs w:val="21"/>
              </w:rPr>
              <w:t>”平台在线提交，逾期递</w:t>
            </w:r>
            <w:r>
              <w:rPr>
                <w:rFonts w:hint="eastAsia" w:asciiTheme="minorEastAsia" w:hAnsiTheme="minorEastAsia" w:eastAsiaTheme="minorEastAsia" w:cstheme="minorEastAsia"/>
                <w:spacing w:val="10"/>
                <w:sz w:val="21"/>
                <w:szCs w:val="21"/>
              </w:rPr>
              <w:t>交的投</w:t>
            </w:r>
            <w:r>
              <w:rPr>
                <w:rFonts w:hint="eastAsia" w:asciiTheme="minorEastAsia" w:hAnsiTheme="minorEastAsia" w:eastAsiaTheme="minorEastAsia" w:cstheme="minorEastAsia"/>
                <w:spacing w:val="12"/>
                <w:sz w:val="21"/>
                <w:szCs w:val="21"/>
              </w:rPr>
              <w:t>标文件将予以拒收。投标文件递交成功后，</w:t>
            </w:r>
            <w:r>
              <w:rPr>
                <w:rFonts w:hint="eastAsia" w:asciiTheme="minorEastAsia" w:hAnsiTheme="minorEastAsia" w:eastAsiaTheme="minorEastAsia" w:cstheme="minorEastAsia"/>
                <w:spacing w:val="12"/>
                <w:sz w:val="21"/>
                <w:szCs w:val="21"/>
                <w:lang w:eastAsia="zh-CN"/>
              </w:rPr>
              <w:t>投标人</w:t>
            </w:r>
            <w:r>
              <w:rPr>
                <w:rFonts w:hint="eastAsia" w:asciiTheme="minorEastAsia" w:hAnsiTheme="minorEastAsia" w:eastAsiaTheme="minorEastAsia" w:cstheme="minorEastAsia"/>
                <w:spacing w:val="12"/>
                <w:sz w:val="21"/>
                <w:szCs w:val="21"/>
              </w:rPr>
              <w:t>必须在“</w:t>
            </w:r>
            <w:r>
              <w:rPr>
                <w:rFonts w:hint="eastAsia" w:asciiTheme="minorEastAsia" w:hAnsiTheme="minorEastAsia" w:eastAsiaTheme="minorEastAsia" w:cstheme="minorEastAsia"/>
                <w:spacing w:val="12"/>
                <w:sz w:val="21"/>
                <w:szCs w:val="21"/>
                <w:lang w:val="en-US" w:eastAsia="zh-CN"/>
              </w:rPr>
              <w:t>广西政府采购云</w:t>
            </w:r>
            <w:r>
              <w:rPr>
                <w:rFonts w:hint="eastAsia" w:asciiTheme="minorEastAsia" w:hAnsiTheme="minorEastAsia" w:eastAsiaTheme="minorEastAsia" w:cstheme="minorEastAsia"/>
                <w:spacing w:val="6"/>
                <w:sz w:val="21"/>
                <w:szCs w:val="21"/>
              </w:rPr>
              <w:t>”平台自行下载投标回执。</w:t>
            </w:r>
          </w:p>
        </w:tc>
      </w:tr>
      <w:tr w14:paraId="7C25C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94" w:type="pct"/>
            <w:vAlign w:val="top"/>
          </w:tcPr>
          <w:p w14:paraId="6BBD8468">
            <w:pPr>
              <w:pStyle w:val="18"/>
              <w:spacing w:before="65" w:line="189" w:lineRule="auto"/>
              <w:ind w:left="366"/>
              <w:rPr>
                <w:rFonts w:hint="eastAsia" w:asciiTheme="minorEastAsia" w:hAnsiTheme="minorEastAsia" w:eastAsiaTheme="minorEastAsia" w:cstheme="minorEastAsia"/>
                <w:sz w:val="21"/>
                <w:szCs w:val="21"/>
                <w:lang w:val="en-US" w:eastAsia="zh-CN"/>
              </w:rPr>
            </w:pPr>
          </w:p>
          <w:p w14:paraId="5F59A46C">
            <w:pPr>
              <w:pStyle w:val="18"/>
              <w:spacing w:before="65" w:line="189" w:lineRule="auto"/>
              <w:ind w:left="366"/>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405" w:type="pct"/>
            <w:vAlign w:val="top"/>
          </w:tcPr>
          <w:p w14:paraId="6E06ECD3">
            <w:pPr>
              <w:pStyle w:val="18"/>
              <w:spacing w:before="65" w:line="190" w:lineRule="auto"/>
              <w:ind w:left="221"/>
              <w:rPr>
                <w:rFonts w:hint="eastAsia" w:asciiTheme="minorEastAsia" w:hAnsiTheme="minorEastAsia" w:eastAsiaTheme="minorEastAsia" w:cstheme="minorEastAsia"/>
                <w:spacing w:val="2"/>
                <w:sz w:val="21"/>
                <w:szCs w:val="21"/>
                <w:lang w:val="en-US" w:eastAsia="zh-CN"/>
              </w:rPr>
            </w:pPr>
          </w:p>
          <w:p w14:paraId="304CA46E">
            <w:pPr>
              <w:pStyle w:val="18"/>
              <w:spacing w:before="65" w:line="190" w:lineRule="auto"/>
              <w:ind w:left="221"/>
              <w:rPr>
                <w:rFonts w:hint="default"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19</w:t>
            </w:r>
          </w:p>
        </w:tc>
        <w:tc>
          <w:tcPr>
            <w:tcW w:w="1054" w:type="pct"/>
            <w:vAlign w:val="top"/>
          </w:tcPr>
          <w:p w14:paraId="0938B668">
            <w:pPr>
              <w:pStyle w:val="18"/>
              <w:spacing w:before="294" w:line="228" w:lineRule="auto"/>
              <w:ind w:left="375"/>
              <w:jc w:val="center"/>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投标文件的补充、修改和撤回</w:t>
            </w:r>
          </w:p>
        </w:tc>
        <w:tc>
          <w:tcPr>
            <w:tcW w:w="3146" w:type="pct"/>
            <w:vAlign w:val="top"/>
          </w:tcPr>
          <w:p w14:paraId="594A6DCE">
            <w:pPr>
              <w:pStyle w:val="6"/>
              <w:spacing w:before="92" w:line="307" w:lineRule="auto"/>
              <w:rPr>
                <w:rFonts w:hint="eastAsia" w:asciiTheme="minorEastAsia" w:hAnsiTheme="minorEastAsia" w:eastAsiaTheme="minorEastAsia" w:cstheme="minorEastAsia"/>
                <w:spacing w:val="7"/>
                <w:sz w:val="21"/>
                <w:szCs w:val="21"/>
              </w:rPr>
            </w:pPr>
            <w:r>
              <w:rPr>
                <w:rFonts w:hint="eastAsia"/>
                <w:spacing w:val="9"/>
                <w:sz w:val="21"/>
                <w:szCs w:val="21"/>
              </w:rPr>
              <w:t>投标人应当在提交投标文件截止时间前，将生成的电子投标文件上传提交至</w:t>
            </w:r>
            <w:r>
              <w:rPr>
                <w:rFonts w:hint="eastAsia"/>
                <w:spacing w:val="9"/>
                <w:sz w:val="21"/>
                <w:szCs w:val="21"/>
                <w:lang w:eastAsia="zh-CN"/>
              </w:rPr>
              <w:t>“广西政府采购云平台”</w:t>
            </w:r>
            <w:r>
              <w:rPr>
                <w:rFonts w:hint="eastAsia"/>
                <w:spacing w:val="9"/>
                <w:sz w:val="21"/>
                <w:szCs w:val="21"/>
              </w:rPr>
              <w:t>。投标文件提交截止时间前可以补充、修改或撤回电子投标文件，补充、修改电子投标文件的，应当先行撤回原文件，补充、修改后重新传输提交。在投标文件提交截止时间后的投标文件有效期内，投标人不得撤回其投标文件。提交投标文件截止时间前未成功将电子投标文件上传</w:t>
            </w:r>
            <w:r>
              <w:rPr>
                <w:rFonts w:hint="eastAsia"/>
                <w:spacing w:val="9"/>
                <w:sz w:val="21"/>
                <w:szCs w:val="21"/>
                <w:lang w:eastAsia="zh-CN"/>
              </w:rPr>
              <w:t>“广西政府采购云平台”</w:t>
            </w:r>
            <w:r>
              <w:rPr>
                <w:rFonts w:hint="eastAsia"/>
                <w:spacing w:val="9"/>
                <w:sz w:val="21"/>
                <w:szCs w:val="21"/>
              </w:rPr>
              <w:t>的，视为未提交投标文件</w:t>
            </w:r>
            <w:r>
              <w:rPr>
                <w:spacing w:val="9"/>
                <w:sz w:val="21"/>
                <w:szCs w:val="21"/>
              </w:rPr>
              <w:t>。在投标文件递交截止时间后的投标文件有效期内，投标人不得撤回其投标文件。</w:t>
            </w:r>
          </w:p>
        </w:tc>
      </w:tr>
      <w:tr w14:paraId="28FC0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94" w:type="pct"/>
            <w:vAlign w:val="top"/>
          </w:tcPr>
          <w:p w14:paraId="1F762B15">
            <w:pPr>
              <w:spacing w:line="260" w:lineRule="auto"/>
              <w:rPr>
                <w:rFonts w:hint="eastAsia" w:asciiTheme="minorEastAsia" w:hAnsiTheme="minorEastAsia" w:eastAsiaTheme="minorEastAsia" w:cstheme="minorEastAsia"/>
                <w:sz w:val="21"/>
                <w:szCs w:val="21"/>
              </w:rPr>
            </w:pPr>
          </w:p>
          <w:p w14:paraId="0A80BA39">
            <w:pPr>
              <w:pStyle w:val="18"/>
              <w:spacing w:before="65" w:line="189" w:lineRule="auto"/>
              <w:ind w:left="36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405" w:type="pct"/>
            <w:vAlign w:val="top"/>
          </w:tcPr>
          <w:p w14:paraId="59BE1956">
            <w:pPr>
              <w:spacing w:line="259" w:lineRule="auto"/>
              <w:rPr>
                <w:rFonts w:hint="eastAsia" w:asciiTheme="minorEastAsia" w:hAnsiTheme="minorEastAsia" w:eastAsiaTheme="minorEastAsia" w:cstheme="minorEastAsia"/>
                <w:sz w:val="21"/>
                <w:szCs w:val="21"/>
              </w:rPr>
            </w:pPr>
          </w:p>
          <w:p w14:paraId="5A0294B6">
            <w:pPr>
              <w:pStyle w:val="18"/>
              <w:spacing w:before="65" w:line="190" w:lineRule="auto"/>
              <w:ind w:left="2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20.1</w:t>
            </w:r>
          </w:p>
        </w:tc>
        <w:tc>
          <w:tcPr>
            <w:tcW w:w="1054" w:type="pct"/>
            <w:vAlign w:val="top"/>
          </w:tcPr>
          <w:p w14:paraId="4E798572">
            <w:pPr>
              <w:pStyle w:val="18"/>
              <w:spacing w:before="294" w:line="228" w:lineRule="auto"/>
              <w:ind w:left="3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开标时间及地点</w:t>
            </w:r>
          </w:p>
        </w:tc>
        <w:tc>
          <w:tcPr>
            <w:tcW w:w="3146" w:type="pct"/>
            <w:vAlign w:val="top"/>
          </w:tcPr>
          <w:p w14:paraId="354D55B8">
            <w:pPr>
              <w:pStyle w:val="18"/>
              <w:spacing w:before="114" w:line="360" w:lineRule="auto"/>
              <w:ind w:left="1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开标时间：</w:t>
            </w:r>
            <w:r>
              <w:rPr>
                <w:rFonts w:hint="eastAsia" w:asciiTheme="minorEastAsia" w:hAnsiTheme="minorEastAsia" w:eastAsiaTheme="minorEastAsia" w:cstheme="minorEastAsia"/>
                <w:spacing w:val="7"/>
                <w:sz w:val="21"/>
                <w:szCs w:val="21"/>
                <w:lang w:eastAsia="zh-CN"/>
              </w:rPr>
              <w:t>2026年0</w:t>
            </w:r>
            <w:r>
              <w:rPr>
                <w:rFonts w:hint="eastAsia" w:asciiTheme="minorEastAsia" w:hAnsiTheme="minorEastAsia" w:eastAsiaTheme="minorEastAsia" w:cstheme="minorEastAsia"/>
                <w:spacing w:val="7"/>
                <w:sz w:val="21"/>
                <w:szCs w:val="21"/>
                <w:lang w:val="en-US" w:eastAsia="zh-CN"/>
              </w:rPr>
              <w:t>4</w:t>
            </w:r>
            <w:r>
              <w:rPr>
                <w:rFonts w:hint="eastAsia" w:asciiTheme="minorEastAsia" w:hAnsiTheme="minorEastAsia" w:eastAsiaTheme="minorEastAsia" w:cstheme="minorEastAsia"/>
                <w:spacing w:val="7"/>
                <w:sz w:val="21"/>
                <w:szCs w:val="21"/>
                <w:lang w:eastAsia="zh-CN"/>
              </w:rPr>
              <w:t>月</w:t>
            </w:r>
            <w:r>
              <w:rPr>
                <w:rFonts w:hint="eastAsia" w:asciiTheme="minorEastAsia" w:hAnsiTheme="minorEastAsia" w:eastAsiaTheme="minorEastAsia" w:cstheme="minorEastAsia"/>
                <w:spacing w:val="7"/>
                <w:sz w:val="21"/>
                <w:szCs w:val="21"/>
                <w:lang w:val="en-US" w:eastAsia="zh-CN"/>
              </w:rPr>
              <w:t>13日09</w:t>
            </w:r>
            <w:r>
              <w:rPr>
                <w:rFonts w:hint="eastAsia" w:asciiTheme="minorEastAsia" w:hAnsiTheme="minorEastAsia" w:eastAsiaTheme="minorEastAsia" w:cstheme="minorEastAsia"/>
                <w:spacing w:val="7"/>
                <w:sz w:val="21"/>
                <w:szCs w:val="21"/>
                <w:lang w:eastAsia="zh-CN"/>
              </w:rPr>
              <w:t>时30分（</w:t>
            </w:r>
            <w:r>
              <w:rPr>
                <w:rFonts w:hint="eastAsia" w:asciiTheme="minorEastAsia" w:hAnsiTheme="minorEastAsia" w:eastAsiaTheme="minorEastAsia" w:cstheme="minorEastAsia"/>
                <w:spacing w:val="-1"/>
                <w:sz w:val="21"/>
                <w:szCs w:val="21"/>
                <w:lang w:val="en-US" w:eastAsia="zh-CN"/>
              </w:rPr>
              <w:t>北京时间</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rPr>
              <w:t>；</w:t>
            </w:r>
          </w:p>
          <w:p w14:paraId="4CBC51CC">
            <w:pPr>
              <w:pStyle w:val="18"/>
              <w:spacing w:before="113" w:line="360" w:lineRule="auto"/>
              <w:ind w:left="1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开标地点：通过“</w:t>
            </w:r>
            <w:r>
              <w:rPr>
                <w:rFonts w:hint="eastAsia" w:asciiTheme="minorEastAsia" w:hAnsiTheme="minorEastAsia" w:eastAsiaTheme="minorEastAsia" w:cstheme="minorEastAsia"/>
                <w:spacing w:val="7"/>
                <w:sz w:val="21"/>
                <w:szCs w:val="21"/>
                <w:lang w:eastAsia="zh-CN"/>
              </w:rPr>
              <w:t>广西政府采购云</w:t>
            </w:r>
            <w:r>
              <w:rPr>
                <w:rFonts w:hint="eastAsia" w:asciiTheme="minorEastAsia" w:hAnsiTheme="minorEastAsia" w:eastAsiaTheme="minorEastAsia" w:cstheme="minorEastAsia"/>
                <w:spacing w:val="7"/>
                <w:sz w:val="21"/>
                <w:szCs w:val="21"/>
              </w:rPr>
              <w:t>”平台在线解密、开标。</w:t>
            </w:r>
          </w:p>
        </w:tc>
      </w:tr>
      <w:tr w14:paraId="395DF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394" w:type="pct"/>
            <w:vAlign w:val="top"/>
          </w:tcPr>
          <w:p w14:paraId="660A6F8F">
            <w:pPr>
              <w:spacing w:line="243" w:lineRule="auto"/>
              <w:rPr>
                <w:rFonts w:hint="eastAsia" w:asciiTheme="minorEastAsia" w:hAnsiTheme="minorEastAsia" w:eastAsiaTheme="minorEastAsia" w:cstheme="minorEastAsia"/>
                <w:sz w:val="21"/>
                <w:szCs w:val="21"/>
              </w:rPr>
            </w:pPr>
          </w:p>
          <w:p w14:paraId="77BD8708">
            <w:pPr>
              <w:spacing w:line="243" w:lineRule="auto"/>
              <w:rPr>
                <w:rFonts w:hint="eastAsia" w:asciiTheme="minorEastAsia" w:hAnsiTheme="minorEastAsia" w:eastAsiaTheme="minorEastAsia" w:cstheme="minorEastAsia"/>
                <w:sz w:val="21"/>
                <w:szCs w:val="21"/>
              </w:rPr>
            </w:pPr>
          </w:p>
          <w:p w14:paraId="672D4566">
            <w:pPr>
              <w:spacing w:line="244" w:lineRule="auto"/>
              <w:rPr>
                <w:rFonts w:hint="eastAsia" w:asciiTheme="minorEastAsia" w:hAnsiTheme="minorEastAsia" w:eastAsiaTheme="minorEastAsia" w:cstheme="minorEastAsia"/>
                <w:sz w:val="21"/>
                <w:szCs w:val="21"/>
              </w:rPr>
            </w:pPr>
          </w:p>
          <w:p w14:paraId="6FBE5EE0">
            <w:pPr>
              <w:spacing w:line="244" w:lineRule="auto"/>
              <w:rPr>
                <w:rFonts w:hint="eastAsia" w:asciiTheme="minorEastAsia" w:hAnsiTheme="minorEastAsia" w:eastAsiaTheme="minorEastAsia" w:cstheme="minorEastAsia"/>
                <w:sz w:val="21"/>
                <w:szCs w:val="21"/>
              </w:rPr>
            </w:pPr>
          </w:p>
          <w:p w14:paraId="3423B208">
            <w:pPr>
              <w:pStyle w:val="18"/>
              <w:spacing w:before="65" w:line="190" w:lineRule="auto"/>
              <w:ind w:left="3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10</w:t>
            </w:r>
          </w:p>
        </w:tc>
        <w:tc>
          <w:tcPr>
            <w:tcW w:w="405" w:type="pct"/>
            <w:vAlign w:val="top"/>
          </w:tcPr>
          <w:p w14:paraId="22A6F316">
            <w:pPr>
              <w:spacing w:line="243" w:lineRule="auto"/>
              <w:rPr>
                <w:rFonts w:hint="eastAsia" w:asciiTheme="minorEastAsia" w:hAnsiTheme="minorEastAsia" w:eastAsiaTheme="minorEastAsia" w:cstheme="minorEastAsia"/>
                <w:sz w:val="21"/>
                <w:szCs w:val="21"/>
              </w:rPr>
            </w:pPr>
          </w:p>
          <w:p w14:paraId="1BC38C7A">
            <w:pPr>
              <w:spacing w:line="244" w:lineRule="auto"/>
              <w:rPr>
                <w:rFonts w:hint="eastAsia" w:asciiTheme="minorEastAsia" w:hAnsiTheme="minorEastAsia" w:eastAsiaTheme="minorEastAsia" w:cstheme="minorEastAsia"/>
                <w:sz w:val="21"/>
                <w:szCs w:val="21"/>
              </w:rPr>
            </w:pPr>
          </w:p>
          <w:p w14:paraId="1895139A">
            <w:pPr>
              <w:spacing w:line="244" w:lineRule="auto"/>
              <w:rPr>
                <w:rFonts w:hint="eastAsia" w:asciiTheme="minorEastAsia" w:hAnsiTheme="minorEastAsia" w:eastAsiaTheme="minorEastAsia" w:cstheme="minorEastAsia"/>
                <w:sz w:val="21"/>
                <w:szCs w:val="21"/>
              </w:rPr>
            </w:pPr>
          </w:p>
          <w:p w14:paraId="2DE20F54">
            <w:pPr>
              <w:spacing w:line="244" w:lineRule="auto"/>
              <w:rPr>
                <w:rFonts w:hint="eastAsia" w:asciiTheme="minorEastAsia" w:hAnsiTheme="minorEastAsia" w:eastAsiaTheme="minorEastAsia" w:cstheme="minorEastAsia"/>
                <w:sz w:val="21"/>
                <w:szCs w:val="21"/>
              </w:rPr>
            </w:pPr>
          </w:p>
          <w:p w14:paraId="619DE98B">
            <w:pPr>
              <w:pStyle w:val="18"/>
              <w:spacing w:before="65" w:line="189" w:lineRule="auto"/>
              <w:ind w:left="3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21</w:t>
            </w:r>
          </w:p>
        </w:tc>
        <w:tc>
          <w:tcPr>
            <w:tcW w:w="1054" w:type="pct"/>
            <w:vAlign w:val="top"/>
          </w:tcPr>
          <w:p w14:paraId="1AE76903">
            <w:pPr>
              <w:spacing w:line="314" w:lineRule="auto"/>
              <w:rPr>
                <w:rFonts w:hint="eastAsia" w:asciiTheme="minorEastAsia" w:hAnsiTheme="minorEastAsia" w:eastAsiaTheme="minorEastAsia" w:cstheme="minorEastAsia"/>
                <w:sz w:val="21"/>
                <w:szCs w:val="21"/>
              </w:rPr>
            </w:pPr>
          </w:p>
          <w:p w14:paraId="5250B305">
            <w:pPr>
              <w:spacing w:line="314" w:lineRule="auto"/>
              <w:rPr>
                <w:rFonts w:hint="eastAsia" w:asciiTheme="minorEastAsia" w:hAnsiTheme="minorEastAsia" w:eastAsiaTheme="minorEastAsia" w:cstheme="minorEastAsia"/>
                <w:sz w:val="21"/>
                <w:szCs w:val="21"/>
              </w:rPr>
            </w:pPr>
          </w:p>
          <w:p w14:paraId="1CB01D5C">
            <w:pPr>
              <w:spacing w:line="315" w:lineRule="auto"/>
              <w:rPr>
                <w:rFonts w:hint="eastAsia" w:asciiTheme="minorEastAsia" w:hAnsiTheme="minorEastAsia" w:eastAsiaTheme="minorEastAsia" w:cstheme="minorEastAsia"/>
                <w:sz w:val="21"/>
                <w:szCs w:val="21"/>
              </w:rPr>
            </w:pPr>
          </w:p>
          <w:p w14:paraId="7BC779E9">
            <w:pPr>
              <w:pStyle w:val="18"/>
              <w:spacing w:before="65" w:line="228" w:lineRule="auto"/>
              <w:ind w:left="69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开标程序</w:t>
            </w:r>
          </w:p>
        </w:tc>
        <w:tc>
          <w:tcPr>
            <w:tcW w:w="3146" w:type="pct"/>
            <w:vAlign w:val="top"/>
          </w:tcPr>
          <w:p w14:paraId="19CF4EBD">
            <w:pPr>
              <w:pStyle w:val="18"/>
              <w:spacing w:before="114" w:line="360" w:lineRule="auto"/>
              <w:ind w:left="1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21.1采购代理机构将按照招标文件规定的时间通过“</w:t>
            </w:r>
            <w:r>
              <w:rPr>
                <w:rFonts w:hint="eastAsia" w:asciiTheme="minorEastAsia" w:hAnsiTheme="minorEastAsia" w:eastAsiaTheme="minorEastAsia" w:cstheme="minorEastAsia"/>
                <w:spacing w:val="8"/>
                <w:sz w:val="21"/>
                <w:szCs w:val="21"/>
                <w:lang w:eastAsia="zh-CN"/>
              </w:rPr>
              <w:t>广西政府采购云</w:t>
            </w:r>
            <w:r>
              <w:rPr>
                <w:rFonts w:hint="eastAsia" w:asciiTheme="minorEastAsia" w:hAnsiTheme="minorEastAsia" w:eastAsiaTheme="minorEastAsia" w:cstheme="minorEastAsia"/>
                <w:spacing w:val="8"/>
                <w:sz w:val="21"/>
                <w:szCs w:val="21"/>
              </w:rPr>
              <w:t>”平台</w:t>
            </w:r>
            <w:r>
              <w:rPr>
                <w:rFonts w:hint="eastAsia" w:asciiTheme="minorEastAsia" w:hAnsiTheme="minorEastAsia" w:eastAsiaTheme="minorEastAsia" w:cstheme="minorEastAsia"/>
                <w:spacing w:val="12"/>
                <w:sz w:val="21"/>
                <w:szCs w:val="21"/>
              </w:rPr>
              <w:t>在线组织开标、解密开启投标文件，投标人的法</w:t>
            </w:r>
            <w:r>
              <w:rPr>
                <w:rFonts w:hint="eastAsia" w:asciiTheme="minorEastAsia" w:hAnsiTheme="minorEastAsia" w:eastAsiaTheme="minorEastAsia" w:cstheme="minorEastAsia"/>
                <w:spacing w:val="11"/>
                <w:sz w:val="21"/>
                <w:szCs w:val="21"/>
              </w:rPr>
              <w:t>定代表人(负责人)或其委托代理人应当保持“</w:t>
            </w:r>
            <w:r>
              <w:rPr>
                <w:rFonts w:hint="eastAsia" w:asciiTheme="minorEastAsia" w:hAnsiTheme="minorEastAsia" w:eastAsiaTheme="minorEastAsia" w:cstheme="minorEastAsia"/>
                <w:spacing w:val="11"/>
                <w:sz w:val="21"/>
                <w:szCs w:val="21"/>
                <w:lang w:eastAsia="zh-CN"/>
              </w:rPr>
              <w:t>广西政府采购云</w:t>
            </w:r>
            <w:r>
              <w:rPr>
                <w:rFonts w:hint="eastAsia" w:asciiTheme="minorEastAsia" w:hAnsiTheme="minorEastAsia" w:eastAsiaTheme="minorEastAsia" w:cstheme="minorEastAsia"/>
                <w:spacing w:val="11"/>
                <w:sz w:val="21"/>
                <w:szCs w:val="21"/>
              </w:rPr>
              <w:t>”平台实时在线，并通过“政采云”平台在线出席开标会议。投标人如不出席开标会议的，视</w:t>
            </w:r>
            <w:r>
              <w:rPr>
                <w:rFonts w:hint="eastAsia" w:asciiTheme="minorEastAsia" w:hAnsiTheme="minorEastAsia" w:eastAsiaTheme="minorEastAsia" w:cstheme="minorEastAsia"/>
                <w:spacing w:val="10"/>
                <w:sz w:val="21"/>
                <w:szCs w:val="21"/>
              </w:rPr>
              <w:t>同认</w:t>
            </w:r>
            <w:r>
              <w:rPr>
                <w:rFonts w:hint="eastAsia" w:asciiTheme="minorEastAsia" w:hAnsiTheme="minorEastAsia" w:eastAsiaTheme="minorEastAsia" w:cstheme="minorEastAsia"/>
                <w:spacing w:val="12"/>
                <w:sz w:val="21"/>
                <w:szCs w:val="21"/>
              </w:rPr>
              <w:t>可开标结果，事后不得对采购相关人员、开标过程和开标结果提出异议，因投标人未保持实时在线，而导致投标文件无法按时解密等</w:t>
            </w:r>
            <w:r>
              <w:rPr>
                <w:rFonts w:hint="eastAsia" w:asciiTheme="minorEastAsia" w:hAnsiTheme="minorEastAsia" w:eastAsiaTheme="minorEastAsia" w:cstheme="minorEastAsia"/>
                <w:spacing w:val="8"/>
                <w:sz w:val="21"/>
                <w:szCs w:val="21"/>
              </w:rPr>
              <w:t>一切后果由投标人自行承担。</w:t>
            </w:r>
          </w:p>
          <w:p w14:paraId="37BD5782">
            <w:pPr>
              <w:pStyle w:val="18"/>
              <w:spacing w:before="114" w:line="360" w:lineRule="auto"/>
              <w:ind w:left="116"/>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21.2投标文件解密：系统向各投标人发出电子加密投标文件【开始解密】通知，由投标人按招标文件规定的时间内自行进行投标文件解密。投标人在规定的时间内无法完成已递交的“电子加密投标文件”解密，如已按规定递交了电子备份投标文件的，将由采购组织机构按“</w:t>
            </w:r>
            <w:r>
              <w:rPr>
                <w:rFonts w:hint="eastAsia" w:asciiTheme="minorEastAsia" w:hAnsiTheme="minorEastAsia" w:eastAsiaTheme="minorEastAsia" w:cstheme="minorEastAsia"/>
                <w:spacing w:val="12"/>
                <w:sz w:val="21"/>
                <w:szCs w:val="21"/>
                <w:lang w:eastAsia="zh-CN"/>
              </w:rPr>
              <w:t>广西政府采购云平台</w:t>
            </w:r>
            <w:r>
              <w:rPr>
                <w:rFonts w:hint="eastAsia" w:asciiTheme="minorEastAsia" w:hAnsiTheme="minorEastAsia" w:eastAsiaTheme="minorEastAsia" w:cstheme="minorEastAsia"/>
                <w:spacing w:val="12"/>
                <w:sz w:val="21"/>
                <w:szCs w:val="21"/>
              </w:rPr>
              <w:t>”操作规范将备份投标文件上传至“</w:t>
            </w:r>
            <w:r>
              <w:rPr>
                <w:rFonts w:hint="eastAsia" w:asciiTheme="minorEastAsia" w:hAnsiTheme="minorEastAsia" w:eastAsiaTheme="minorEastAsia" w:cstheme="minorEastAsia"/>
                <w:spacing w:val="12"/>
                <w:sz w:val="21"/>
                <w:szCs w:val="21"/>
                <w:lang w:eastAsia="zh-CN"/>
              </w:rPr>
              <w:t>广西政府采购云平台</w:t>
            </w:r>
            <w:r>
              <w:rPr>
                <w:rFonts w:hint="eastAsia" w:asciiTheme="minorEastAsia" w:hAnsiTheme="minorEastAsia" w:eastAsiaTheme="minorEastAsia" w:cstheme="minorEastAsia"/>
                <w:spacing w:val="12"/>
                <w:sz w:val="21"/>
                <w:szCs w:val="21"/>
              </w:rPr>
              <w:t>”，上传成功后，“电子加密投标文件”自动失效。如未提供备份电子投标文件，将不进行再次解密程序。无法在线解密视为投标人放弃投标。在线解密时间为30分钟。</w:t>
            </w:r>
          </w:p>
          <w:p w14:paraId="0A885636">
            <w:pPr>
              <w:pStyle w:val="18"/>
              <w:spacing w:before="114" w:line="360" w:lineRule="auto"/>
              <w:ind w:left="116"/>
              <w:rPr>
                <w:rFonts w:hint="eastAsia" w:asciiTheme="minorEastAsia" w:hAnsiTheme="minorEastAsia" w:eastAsiaTheme="minorEastAsia" w:cstheme="minorEastAsia"/>
                <w:spacing w:val="12"/>
                <w:sz w:val="21"/>
                <w:szCs w:val="21"/>
                <w:lang w:eastAsia="zh-CN"/>
              </w:rPr>
            </w:pPr>
            <w:r>
              <w:rPr>
                <w:rFonts w:hint="eastAsia" w:asciiTheme="minorEastAsia" w:hAnsiTheme="minorEastAsia" w:eastAsiaTheme="minorEastAsia" w:cstheme="minorEastAsia"/>
                <w:spacing w:val="12"/>
                <w:sz w:val="21"/>
                <w:szCs w:val="21"/>
              </w:rPr>
              <w:t>21.3投标文件解密结束后，开标活动组织人员在线开启投标文件</w:t>
            </w:r>
            <w:r>
              <w:rPr>
                <w:rFonts w:hint="eastAsia" w:asciiTheme="minorEastAsia" w:hAnsiTheme="minorEastAsia" w:eastAsiaTheme="minorEastAsia" w:cstheme="minorEastAsia"/>
                <w:spacing w:val="12"/>
                <w:sz w:val="21"/>
                <w:szCs w:val="21"/>
                <w:lang w:eastAsia="zh-CN"/>
              </w:rPr>
              <w:t>。</w:t>
            </w:r>
          </w:p>
          <w:p w14:paraId="5C5435ED">
            <w:pPr>
              <w:pStyle w:val="18"/>
              <w:spacing w:before="114" w:line="360" w:lineRule="auto"/>
              <w:ind w:left="116"/>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21.4开启投标人报价文件，电子开标大厅记录显示并记录投标人投标报价表的投标报价、折扣（如有）等。</w:t>
            </w:r>
          </w:p>
          <w:p w14:paraId="6C0BF88F">
            <w:pPr>
              <w:pStyle w:val="18"/>
              <w:spacing w:before="114" w:line="360" w:lineRule="auto"/>
              <w:ind w:left="116"/>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21.5投标人线上确认投标报价。</w:t>
            </w:r>
          </w:p>
          <w:p w14:paraId="3DEA40BB">
            <w:pPr>
              <w:pStyle w:val="18"/>
              <w:spacing w:before="114" w:line="360" w:lineRule="auto"/>
              <w:ind w:left="116"/>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21.6如发现开标结果与所提交的报价文件不一致的，由评标委员会根据报价文件内容进行修正。</w:t>
            </w:r>
          </w:p>
          <w:p w14:paraId="388B76CF">
            <w:pPr>
              <w:pStyle w:val="18"/>
              <w:spacing w:before="114" w:line="360" w:lineRule="auto"/>
              <w:ind w:left="116"/>
              <w:rPr>
                <w:rFonts w:hint="eastAsia" w:asciiTheme="minorEastAsia" w:hAnsiTheme="minorEastAsia" w:eastAsiaTheme="minorEastAsia" w:cstheme="minorEastAsia"/>
                <w:spacing w:val="12"/>
                <w:sz w:val="21"/>
                <w:szCs w:val="21"/>
              </w:rPr>
            </w:pPr>
            <w:r>
              <w:rPr>
                <w:rFonts w:hint="eastAsia" w:asciiTheme="minorEastAsia" w:hAnsiTheme="minorEastAsia" w:eastAsiaTheme="minorEastAsia" w:cstheme="minorEastAsia"/>
                <w:spacing w:val="12"/>
                <w:sz w:val="21"/>
                <w:szCs w:val="21"/>
              </w:rPr>
              <w:t>21.7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2442360">
            <w:pPr>
              <w:pStyle w:val="18"/>
              <w:spacing w:before="114" w:line="360" w:lineRule="auto"/>
              <w:ind w:left="1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特别说明：如遇“</w:t>
            </w:r>
            <w:r>
              <w:rPr>
                <w:rFonts w:hint="eastAsia" w:asciiTheme="minorEastAsia" w:hAnsiTheme="minorEastAsia" w:eastAsiaTheme="minorEastAsia" w:cstheme="minorEastAsia"/>
                <w:spacing w:val="12"/>
                <w:sz w:val="21"/>
                <w:szCs w:val="21"/>
                <w:lang w:eastAsia="zh-CN"/>
              </w:rPr>
              <w:t>广西政府采购云</w:t>
            </w:r>
            <w:r>
              <w:rPr>
                <w:rFonts w:hint="eastAsia" w:asciiTheme="minorEastAsia" w:hAnsiTheme="minorEastAsia" w:eastAsiaTheme="minorEastAsia" w:cstheme="minorEastAsia"/>
                <w:spacing w:val="12"/>
                <w:sz w:val="21"/>
                <w:szCs w:val="21"/>
              </w:rPr>
              <w:t>”平台电子化开标或评审程序调整的，按调整后程序执行。</w:t>
            </w:r>
          </w:p>
        </w:tc>
      </w:tr>
      <w:tr w14:paraId="5D7C7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94" w:type="pct"/>
            <w:vAlign w:val="top"/>
          </w:tcPr>
          <w:p w14:paraId="7002B227">
            <w:pPr>
              <w:pStyle w:val="18"/>
              <w:spacing w:before="146" w:line="189" w:lineRule="auto"/>
              <w:ind w:left="3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11</w:t>
            </w:r>
          </w:p>
        </w:tc>
        <w:tc>
          <w:tcPr>
            <w:tcW w:w="405" w:type="pct"/>
            <w:vAlign w:val="top"/>
          </w:tcPr>
          <w:p w14:paraId="1B955F29">
            <w:pPr>
              <w:pStyle w:val="18"/>
              <w:spacing w:before="146" w:line="189" w:lineRule="auto"/>
              <w:ind w:left="3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23</w:t>
            </w:r>
          </w:p>
        </w:tc>
        <w:tc>
          <w:tcPr>
            <w:tcW w:w="1054" w:type="pct"/>
            <w:vAlign w:val="top"/>
          </w:tcPr>
          <w:p w14:paraId="63C463ED">
            <w:pPr>
              <w:pStyle w:val="18"/>
              <w:spacing w:before="114" w:line="222" w:lineRule="auto"/>
              <w:ind w:left="37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评标委员会组成</w:t>
            </w:r>
          </w:p>
        </w:tc>
        <w:tc>
          <w:tcPr>
            <w:tcW w:w="3146" w:type="pct"/>
            <w:vAlign w:val="top"/>
          </w:tcPr>
          <w:p w14:paraId="65255D74">
            <w:pPr>
              <w:pStyle w:val="18"/>
              <w:spacing w:before="114" w:line="222" w:lineRule="auto"/>
              <w:ind w:left="1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评标委员会由采购人代表和评审专家组成，成员人数共5人。</w:t>
            </w:r>
          </w:p>
        </w:tc>
      </w:tr>
      <w:tr w14:paraId="186A0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94" w:type="pct"/>
            <w:vAlign w:val="top"/>
          </w:tcPr>
          <w:p w14:paraId="148BF63C">
            <w:pPr>
              <w:pStyle w:val="18"/>
              <w:spacing w:before="146" w:line="189" w:lineRule="auto"/>
              <w:ind w:left="3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12</w:t>
            </w:r>
          </w:p>
        </w:tc>
        <w:tc>
          <w:tcPr>
            <w:tcW w:w="405" w:type="pct"/>
            <w:vAlign w:val="top"/>
          </w:tcPr>
          <w:p w14:paraId="37386CCD">
            <w:pPr>
              <w:pStyle w:val="18"/>
              <w:spacing w:before="145" w:line="190" w:lineRule="auto"/>
              <w:ind w:left="2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24.1</w:t>
            </w:r>
          </w:p>
        </w:tc>
        <w:tc>
          <w:tcPr>
            <w:tcW w:w="1054" w:type="pct"/>
            <w:vAlign w:val="top"/>
          </w:tcPr>
          <w:p w14:paraId="47006632">
            <w:pPr>
              <w:pStyle w:val="18"/>
              <w:spacing w:before="113" w:line="223" w:lineRule="auto"/>
              <w:ind w:left="68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评标办法</w:t>
            </w:r>
          </w:p>
        </w:tc>
        <w:tc>
          <w:tcPr>
            <w:tcW w:w="3146" w:type="pct"/>
            <w:vAlign w:val="top"/>
          </w:tcPr>
          <w:p w14:paraId="20AFB4A3">
            <w:pPr>
              <w:pStyle w:val="18"/>
              <w:spacing w:before="113" w:line="223" w:lineRule="auto"/>
              <w:ind w:left="1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综合评分法，具体评标内容及标准详见第四章。</w:t>
            </w:r>
          </w:p>
        </w:tc>
      </w:tr>
      <w:tr w14:paraId="00E58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394" w:type="pct"/>
            <w:vAlign w:val="top"/>
          </w:tcPr>
          <w:p w14:paraId="6344C3E9">
            <w:pPr>
              <w:spacing w:line="243" w:lineRule="auto"/>
              <w:rPr>
                <w:rFonts w:hint="eastAsia" w:asciiTheme="minorEastAsia" w:hAnsiTheme="minorEastAsia" w:eastAsiaTheme="minorEastAsia" w:cstheme="minorEastAsia"/>
                <w:sz w:val="21"/>
                <w:szCs w:val="21"/>
              </w:rPr>
            </w:pPr>
          </w:p>
          <w:p w14:paraId="2B5224F1">
            <w:pPr>
              <w:spacing w:line="243" w:lineRule="auto"/>
              <w:rPr>
                <w:rFonts w:hint="eastAsia" w:asciiTheme="minorEastAsia" w:hAnsiTheme="minorEastAsia" w:eastAsiaTheme="minorEastAsia" w:cstheme="minorEastAsia"/>
                <w:sz w:val="21"/>
                <w:szCs w:val="21"/>
              </w:rPr>
            </w:pPr>
          </w:p>
          <w:p w14:paraId="60DBACAC">
            <w:pPr>
              <w:spacing w:line="243" w:lineRule="auto"/>
              <w:rPr>
                <w:rFonts w:hint="eastAsia" w:asciiTheme="minorEastAsia" w:hAnsiTheme="minorEastAsia" w:eastAsiaTheme="minorEastAsia" w:cstheme="minorEastAsia"/>
                <w:sz w:val="21"/>
                <w:szCs w:val="21"/>
              </w:rPr>
            </w:pPr>
          </w:p>
          <w:p w14:paraId="03BB4988">
            <w:pPr>
              <w:spacing w:line="244" w:lineRule="auto"/>
              <w:rPr>
                <w:rFonts w:hint="eastAsia" w:asciiTheme="minorEastAsia" w:hAnsiTheme="minorEastAsia" w:eastAsiaTheme="minorEastAsia" w:cstheme="minorEastAsia"/>
                <w:sz w:val="21"/>
                <w:szCs w:val="21"/>
              </w:rPr>
            </w:pPr>
          </w:p>
          <w:p w14:paraId="14D0A605">
            <w:pPr>
              <w:pStyle w:val="18"/>
              <w:spacing w:before="65" w:line="190" w:lineRule="auto"/>
              <w:ind w:left="3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13</w:t>
            </w:r>
          </w:p>
        </w:tc>
        <w:tc>
          <w:tcPr>
            <w:tcW w:w="405" w:type="pct"/>
            <w:vAlign w:val="top"/>
          </w:tcPr>
          <w:p w14:paraId="54BE80D2">
            <w:pPr>
              <w:spacing w:line="243" w:lineRule="auto"/>
              <w:rPr>
                <w:rFonts w:hint="eastAsia" w:asciiTheme="minorEastAsia" w:hAnsiTheme="minorEastAsia" w:eastAsiaTheme="minorEastAsia" w:cstheme="minorEastAsia"/>
                <w:sz w:val="21"/>
                <w:szCs w:val="21"/>
              </w:rPr>
            </w:pPr>
          </w:p>
          <w:p w14:paraId="5C0CCAF1">
            <w:pPr>
              <w:spacing w:line="243" w:lineRule="auto"/>
              <w:rPr>
                <w:rFonts w:hint="eastAsia" w:asciiTheme="minorEastAsia" w:hAnsiTheme="minorEastAsia" w:eastAsiaTheme="minorEastAsia" w:cstheme="minorEastAsia"/>
                <w:sz w:val="21"/>
                <w:szCs w:val="21"/>
              </w:rPr>
            </w:pPr>
          </w:p>
          <w:p w14:paraId="4797D27A">
            <w:pPr>
              <w:spacing w:line="243" w:lineRule="auto"/>
              <w:rPr>
                <w:rFonts w:hint="eastAsia" w:asciiTheme="minorEastAsia" w:hAnsiTheme="minorEastAsia" w:eastAsiaTheme="minorEastAsia" w:cstheme="minorEastAsia"/>
                <w:sz w:val="21"/>
                <w:szCs w:val="21"/>
              </w:rPr>
            </w:pPr>
          </w:p>
          <w:p w14:paraId="567EEDE5">
            <w:pPr>
              <w:spacing w:line="244" w:lineRule="auto"/>
              <w:rPr>
                <w:rFonts w:hint="eastAsia" w:asciiTheme="minorEastAsia" w:hAnsiTheme="minorEastAsia" w:eastAsiaTheme="minorEastAsia" w:cstheme="minorEastAsia"/>
                <w:sz w:val="21"/>
                <w:szCs w:val="21"/>
              </w:rPr>
            </w:pPr>
          </w:p>
          <w:p w14:paraId="78A9AC87">
            <w:pPr>
              <w:pStyle w:val="18"/>
              <w:spacing w:before="65" w:line="190" w:lineRule="auto"/>
              <w:ind w:left="3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31</w:t>
            </w:r>
          </w:p>
        </w:tc>
        <w:tc>
          <w:tcPr>
            <w:tcW w:w="1054" w:type="pct"/>
            <w:vAlign w:val="top"/>
          </w:tcPr>
          <w:p w14:paraId="4AB304AD">
            <w:pPr>
              <w:spacing w:line="314" w:lineRule="auto"/>
              <w:rPr>
                <w:rFonts w:hint="eastAsia" w:asciiTheme="minorEastAsia" w:hAnsiTheme="minorEastAsia" w:eastAsiaTheme="minorEastAsia" w:cstheme="minorEastAsia"/>
                <w:sz w:val="21"/>
                <w:szCs w:val="21"/>
              </w:rPr>
            </w:pPr>
          </w:p>
          <w:p w14:paraId="4ECC06C5">
            <w:pPr>
              <w:spacing w:line="314" w:lineRule="auto"/>
              <w:rPr>
                <w:rFonts w:hint="eastAsia" w:asciiTheme="minorEastAsia" w:hAnsiTheme="minorEastAsia" w:eastAsiaTheme="minorEastAsia" w:cstheme="minorEastAsia"/>
                <w:sz w:val="21"/>
                <w:szCs w:val="21"/>
              </w:rPr>
            </w:pPr>
          </w:p>
          <w:p w14:paraId="282A044C">
            <w:pPr>
              <w:spacing w:line="314" w:lineRule="auto"/>
              <w:rPr>
                <w:rFonts w:hint="eastAsia" w:asciiTheme="minorEastAsia" w:hAnsiTheme="minorEastAsia" w:eastAsiaTheme="minorEastAsia" w:cstheme="minorEastAsia"/>
                <w:sz w:val="21"/>
                <w:szCs w:val="21"/>
              </w:rPr>
            </w:pPr>
          </w:p>
          <w:p w14:paraId="2A1671C4">
            <w:pPr>
              <w:pStyle w:val="18"/>
              <w:spacing w:before="65" w:line="228" w:lineRule="auto"/>
              <w:ind w:left="68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信用查询</w:t>
            </w:r>
          </w:p>
        </w:tc>
        <w:tc>
          <w:tcPr>
            <w:tcW w:w="3146" w:type="pct"/>
            <w:vAlign w:val="top"/>
          </w:tcPr>
          <w:p w14:paraId="722DB0F9">
            <w:pPr>
              <w:pStyle w:val="18"/>
              <w:spacing w:before="92" w:line="322" w:lineRule="auto"/>
              <w:ind w:left="113" w:righ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根据《关于做好政府采购有关信用主体标识码登记及在政府采购活</w:t>
            </w:r>
            <w:r>
              <w:rPr>
                <w:rFonts w:hint="eastAsia" w:asciiTheme="minorEastAsia" w:hAnsiTheme="minorEastAsia" w:eastAsiaTheme="minorEastAsia" w:cstheme="minorEastAsia"/>
                <w:spacing w:val="11"/>
                <w:sz w:val="21"/>
                <w:szCs w:val="21"/>
              </w:rPr>
              <w:t>动中查询使用信用记录有关问题的通知》桂财采〔2016〕3</w:t>
            </w:r>
            <w:r>
              <w:rPr>
                <w:rFonts w:hint="eastAsia" w:asciiTheme="minorEastAsia" w:hAnsiTheme="minorEastAsia" w:eastAsiaTheme="minorEastAsia" w:cstheme="minorEastAsia"/>
                <w:spacing w:val="10"/>
                <w:sz w:val="21"/>
                <w:szCs w:val="21"/>
              </w:rPr>
              <w:t>7号的通</w:t>
            </w:r>
            <w:r>
              <w:rPr>
                <w:rFonts w:hint="eastAsia" w:asciiTheme="minorEastAsia" w:hAnsiTheme="minorEastAsia" w:eastAsiaTheme="minorEastAsia" w:cstheme="minorEastAsia"/>
                <w:spacing w:val="7"/>
                <w:sz w:val="21"/>
                <w:szCs w:val="21"/>
              </w:rPr>
              <w:t>知，由采购代理机构对第一中标候选供应商进行信用查询：</w:t>
            </w:r>
          </w:p>
          <w:p w14:paraId="26DDE8DD">
            <w:pPr>
              <w:pStyle w:val="18"/>
              <w:spacing w:before="32" w:line="315" w:lineRule="auto"/>
              <w:ind w:left="112" w:right="1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lang w:eastAsia="zh-CN"/>
              </w:rPr>
              <w:t>（</w:t>
            </w:r>
            <w:r>
              <w:rPr>
                <w:rFonts w:hint="eastAsia" w:asciiTheme="minorEastAsia" w:hAnsiTheme="minorEastAsia" w:eastAsiaTheme="minorEastAsia" w:cstheme="minorEastAsia"/>
                <w:spacing w:val="13"/>
                <w:sz w:val="21"/>
                <w:szCs w:val="21"/>
                <w:lang w:val="en-US" w:eastAsia="zh-CN"/>
              </w:rPr>
              <w:t>1</w:t>
            </w:r>
            <w:r>
              <w:rPr>
                <w:rFonts w:hint="eastAsia" w:asciiTheme="minorEastAsia" w:hAnsiTheme="minorEastAsia" w:eastAsiaTheme="minorEastAsia" w:cstheme="minorEastAsia"/>
                <w:spacing w:val="13"/>
                <w:sz w:val="21"/>
                <w:szCs w:val="21"/>
                <w:lang w:eastAsia="zh-CN"/>
              </w:rPr>
              <w:t>）</w:t>
            </w:r>
            <w:r>
              <w:rPr>
                <w:rFonts w:hint="eastAsia" w:asciiTheme="minorEastAsia" w:hAnsiTheme="minorEastAsia" w:eastAsiaTheme="minorEastAsia" w:cstheme="minorEastAsia"/>
                <w:spacing w:val="13"/>
                <w:sz w:val="21"/>
                <w:szCs w:val="21"/>
              </w:rPr>
              <w:t>查询渠道：“信用中国”网站(</w:t>
            </w:r>
            <w:r>
              <w:rPr>
                <w:rFonts w:hint="eastAsia" w:asciiTheme="minorEastAsia" w:hAnsiTheme="minorEastAsia" w:eastAsiaTheme="minorEastAsia" w:cstheme="minorEastAsia"/>
                <w:sz w:val="21"/>
                <w:szCs w:val="21"/>
              </w:rPr>
              <w:t>www</w:t>
            </w:r>
            <w:r>
              <w:rPr>
                <w:rFonts w:hint="eastAsia" w:asciiTheme="minorEastAsia" w:hAnsiTheme="minorEastAsia" w:eastAsiaTheme="minorEastAsia" w:cstheme="minorEastAsia"/>
                <w:spacing w:val="13"/>
                <w:sz w:val="21"/>
                <w:szCs w:val="21"/>
              </w:rPr>
              <w:t>.</w:t>
            </w:r>
            <w:r>
              <w:rPr>
                <w:rFonts w:hint="eastAsia" w:asciiTheme="minorEastAsia" w:hAnsiTheme="minorEastAsia" w:eastAsiaTheme="minorEastAsia" w:cstheme="minorEastAsia"/>
                <w:sz w:val="21"/>
                <w:szCs w:val="21"/>
              </w:rPr>
              <w:t>creditchina</w:t>
            </w:r>
            <w:r>
              <w:rPr>
                <w:rFonts w:hint="eastAsia" w:asciiTheme="minorEastAsia" w:hAnsiTheme="minorEastAsia" w:eastAsiaTheme="minorEastAsia" w:cstheme="minorEastAsia"/>
                <w:spacing w:val="13"/>
                <w:sz w:val="21"/>
                <w:szCs w:val="21"/>
              </w:rPr>
              <w:t>.</w:t>
            </w:r>
            <w:r>
              <w:rPr>
                <w:rFonts w:hint="eastAsia" w:asciiTheme="minorEastAsia" w:hAnsiTheme="minorEastAsia" w:eastAsiaTheme="minorEastAsia" w:cstheme="minorEastAsia"/>
                <w:sz w:val="21"/>
                <w:szCs w:val="21"/>
              </w:rPr>
              <w:t>gov</w:t>
            </w:r>
            <w:r>
              <w:rPr>
                <w:rFonts w:hint="eastAsia" w:asciiTheme="minorEastAsia" w:hAnsiTheme="minorEastAsia" w:eastAsiaTheme="minorEastAsia" w:cstheme="minorEastAsia"/>
                <w:spacing w:val="13"/>
                <w:sz w:val="21"/>
                <w:szCs w:val="21"/>
              </w:rPr>
              <w:t>.</w:t>
            </w:r>
            <w:r>
              <w:rPr>
                <w:rFonts w:hint="eastAsia" w:asciiTheme="minorEastAsia" w:hAnsiTheme="minorEastAsia" w:eastAsiaTheme="minorEastAsia" w:cstheme="minorEastAsia"/>
                <w:sz w:val="21"/>
                <w:szCs w:val="21"/>
              </w:rPr>
              <w:t>cn</w:t>
            </w:r>
            <w:r>
              <w:rPr>
                <w:rFonts w:hint="eastAsia" w:asciiTheme="minorEastAsia" w:hAnsiTheme="minorEastAsia" w:eastAsiaTheme="minorEastAsia" w:cstheme="minorEastAsia"/>
                <w:spacing w:val="13"/>
                <w:sz w:val="21"/>
                <w:szCs w:val="21"/>
              </w:rPr>
              <w:t>)、中国</w:t>
            </w:r>
            <w:r>
              <w:rPr>
                <w:rFonts w:hint="eastAsia" w:asciiTheme="minorEastAsia" w:hAnsiTheme="minorEastAsia" w:eastAsiaTheme="minorEastAsia" w:cstheme="minorEastAsia"/>
                <w:spacing w:val="11"/>
                <w:sz w:val="21"/>
                <w:szCs w:val="21"/>
              </w:rPr>
              <w:t>政府采购网(</w:t>
            </w:r>
            <w:r>
              <w:rPr>
                <w:rFonts w:hint="eastAsia" w:asciiTheme="minorEastAsia" w:hAnsiTheme="minorEastAsia" w:eastAsiaTheme="minorEastAsia" w:cstheme="minorEastAsia"/>
                <w:sz w:val="21"/>
                <w:szCs w:val="21"/>
              </w:rPr>
              <w:t>www</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z w:val="21"/>
                <w:szCs w:val="21"/>
              </w:rPr>
              <w:t>ccgp</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z w:val="21"/>
                <w:szCs w:val="21"/>
              </w:rPr>
              <w:t>gov</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z w:val="21"/>
                <w:szCs w:val="21"/>
              </w:rPr>
              <w:t>cn</w:t>
            </w:r>
            <w:r>
              <w:rPr>
                <w:rFonts w:hint="eastAsia" w:asciiTheme="minorEastAsia" w:hAnsiTheme="minorEastAsia" w:eastAsiaTheme="minorEastAsia" w:cstheme="minorEastAsia"/>
                <w:spacing w:val="11"/>
                <w:sz w:val="21"/>
                <w:szCs w:val="21"/>
              </w:rPr>
              <w:t>)等；</w:t>
            </w:r>
          </w:p>
          <w:p w14:paraId="485B7EDB">
            <w:pPr>
              <w:pStyle w:val="18"/>
              <w:spacing w:before="37" w:line="227" w:lineRule="auto"/>
              <w:ind w:left="113"/>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2</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查询截止时间：中标通知书发出前；</w:t>
            </w:r>
          </w:p>
          <w:p w14:paraId="56CE4BE5">
            <w:pPr>
              <w:pStyle w:val="18"/>
              <w:spacing w:before="91" w:line="317" w:lineRule="auto"/>
              <w:ind w:left="112" w:right="10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lang w:eastAsia="zh-CN"/>
              </w:rPr>
              <w:t>（</w:t>
            </w:r>
            <w:r>
              <w:rPr>
                <w:rFonts w:hint="eastAsia" w:asciiTheme="minorEastAsia" w:hAnsiTheme="minorEastAsia" w:eastAsiaTheme="minorEastAsia" w:cstheme="minorEastAsia"/>
                <w:spacing w:val="12"/>
                <w:sz w:val="21"/>
                <w:szCs w:val="21"/>
                <w:lang w:val="en-US" w:eastAsia="zh-CN"/>
              </w:rPr>
              <w:t>3</w:t>
            </w:r>
            <w:r>
              <w:rPr>
                <w:rFonts w:hint="eastAsia" w:asciiTheme="minorEastAsia" w:hAnsiTheme="minorEastAsia" w:eastAsiaTheme="minorEastAsia" w:cstheme="minorEastAsia"/>
                <w:spacing w:val="12"/>
                <w:sz w:val="21"/>
                <w:szCs w:val="21"/>
                <w:lang w:eastAsia="zh-CN"/>
              </w:rPr>
              <w:t>）</w:t>
            </w:r>
            <w:r>
              <w:rPr>
                <w:rFonts w:hint="eastAsia" w:asciiTheme="minorEastAsia" w:hAnsiTheme="minorEastAsia" w:eastAsiaTheme="minorEastAsia" w:cstheme="minorEastAsia"/>
                <w:spacing w:val="12"/>
                <w:sz w:val="21"/>
                <w:szCs w:val="21"/>
              </w:rPr>
              <w:t>信用信息查询记录和证据留存方式：在查询网站中直接打印查询</w:t>
            </w:r>
            <w:r>
              <w:rPr>
                <w:rFonts w:hint="eastAsia" w:asciiTheme="minorEastAsia" w:hAnsiTheme="minorEastAsia" w:eastAsiaTheme="minorEastAsia" w:cstheme="minorEastAsia"/>
                <w:spacing w:val="8"/>
                <w:sz w:val="21"/>
                <w:szCs w:val="21"/>
              </w:rPr>
              <w:t>记录，打印材料作为采购活动资料保存；</w:t>
            </w:r>
          </w:p>
          <w:p w14:paraId="6E318041">
            <w:pPr>
              <w:pStyle w:val="18"/>
              <w:spacing w:before="37" w:line="227" w:lineRule="auto"/>
              <w:ind w:left="113"/>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13"/>
                <w:sz w:val="21"/>
                <w:szCs w:val="21"/>
                <w:lang w:eastAsia="zh-CN"/>
              </w:rPr>
              <w:t>（</w:t>
            </w:r>
            <w:r>
              <w:rPr>
                <w:rFonts w:hint="eastAsia" w:asciiTheme="minorEastAsia" w:hAnsiTheme="minorEastAsia" w:eastAsiaTheme="minorEastAsia" w:cstheme="minorEastAsia"/>
                <w:spacing w:val="13"/>
                <w:sz w:val="21"/>
                <w:szCs w:val="21"/>
                <w:lang w:val="en-US" w:eastAsia="zh-CN"/>
              </w:rPr>
              <w:t>4</w:t>
            </w:r>
            <w:r>
              <w:rPr>
                <w:rFonts w:hint="eastAsia" w:asciiTheme="minorEastAsia" w:hAnsiTheme="minorEastAsia" w:eastAsiaTheme="minorEastAsia" w:cstheme="minorEastAsia"/>
                <w:spacing w:val="13"/>
                <w:sz w:val="21"/>
                <w:szCs w:val="21"/>
                <w:lang w:eastAsia="zh-CN"/>
              </w:rPr>
              <w:t>）</w:t>
            </w:r>
            <w:r>
              <w:rPr>
                <w:rFonts w:hint="eastAsia" w:asciiTheme="minorEastAsia" w:hAnsiTheme="minorEastAsia" w:eastAsiaTheme="minorEastAsia" w:cstheme="minorEastAsia"/>
                <w:spacing w:val="13"/>
                <w:sz w:val="21"/>
                <w:szCs w:val="21"/>
              </w:rPr>
              <w:t>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tc>
      </w:tr>
      <w:tr w14:paraId="59848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394" w:type="pct"/>
            <w:shd w:val="clear" w:color="auto" w:fill="auto"/>
            <w:vAlign w:val="top"/>
          </w:tcPr>
          <w:p w14:paraId="585CAE22">
            <w:pPr>
              <w:spacing w:line="265" w:lineRule="auto"/>
              <w:rPr>
                <w:rFonts w:hint="eastAsia" w:asciiTheme="minorEastAsia" w:hAnsiTheme="minorEastAsia" w:eastAsiaTheme="minorEastAsia" w:cstheme="minorEastAsia"/>
                <w:sz w:val="21"/>
                <w:szCs w:val="21"/>
              </w:rPr>
            </w:pPr>
          </w:p>
          <w:p w14:paraId="74007977">
            <w:pPr>
              <w:spacing w:line="265" w:lineRule="auto"/>
              <w:rPr>
                <w:rFonts w:hint="eastAsia" w:asciiTheme="minorEastAsia" w:hAnsiTheme="minorEastAsia" w:eastAsiaTheme="minorEastAsia" w:cstheme="minorEastAsia"/>
                <w:sz w:val="21"/>
                <w:szCs w:val="21"/>
              </w:rPr>
            </w:pPr>
          </w:p>
          <w:p w14:paraId="352E859D">
            <w:pPr>
              <w:spacing w:line="265" w:lineRule="auto"/>
              <w:rPr>
                <w:rFonts w:hint="eastAsia" w:asciiTheme="minorEastAsia" w:hAnsiTheme="minorEastAsia" w:eastAsiaTheme="minorEastAsia" w:cstheme="minorEastAsia"/>
                <w:sz w:val="21"/>
                <w:szCs w:val="21"/>
              </w:rPr>
            </w:pPr>
          </w:p>
          <w:p w14:paraId="6225716E">
            <w:pPr>
              <w:spacing w:line="265" w:lineRule="auto"/>
              <w:rPr>
                <w:rFonts w:hint="eastAsia" w:asciiTheme="minorEastAsia" w:hAnsiTheme="minorEastAsia" w:eastAsiaTheme="minorEastAsia" w:cstheme="minorEastAsia"/>
                <w:sz w:val="21"/>
                <w:szCs w:val="21"/>
              </w:rPr>
            </w:pPr>
          </w:p>
          <w:p w14:paraId="359F44B0">
            <w:pPr>
              <w:spacing w:line="265" w:lineRule="auto"/>
              <w:rPr>
                <w:rFonts w:hint="eastAsia" w:asciiTheme="minorEastAsia" w:hAnsiTheme="minorEastAsia" w:eastAsiaTheme="minorEastAsia" w:cstheme="minorEastAsia"/>
                <w:sz w:val="21"/>
                <w:szCs w:val="21"/>
              </w:rPr>
            </w:pPr>
          </w:p>
          <w:p w14:paraId="1C8CCD3E">
            <w:pPr>
              <w:spacing w:line="266" w:lineRule="auto"/>
              <w:rPr>
                <w:rFonts w:hint="eastAsia" w:asciiTheme="minorEastAsia" w:hAnsiTheme="minorEastAsia" w:eastAsiaTheme="minorEastAsia" w:cstheme="minorEastAsia"/>
                <w:sz w:val="21"/>
                <w:szCs w:val="21"/>
              </w:rPr>
            </w:pPr>
          </w:p>
          <w:p w14:paraId="59268118">
            <w:pPr>
              <w:spacing w:line="266" w:lineRule="auto"/>
              <w:rPr>
                <w:rFonts w:hint="eastAsia" w:asciiTheme="minorEastAsia" w:hAnsiTheme="minorEastAsia" w:eastAsiaTheme="minorEastAsia" w:cstheme="minorEastAsia"/>
                <w:sz w:val="21"/>
                <w:szCs w:val="21"/>
              </w:rPr>
            </w:pPr>
          </w:p>
          <w:p w14:paraId="761DAC15">
            <w:pPr>
              <w:spacing w:line="266" w:lineRule="auto"/>
              <w:rPr>
                <w:rFonts w:hint="eastAsia" w:asciiTheme="minorEastAsia" w:hAnsiTheme="minorEastAsia" w:eastAsiaTheme="minorEastAsia" w:cstheme="minorEastAsia"/>
                <w:sz w:val="21"/>
                <w:szCs w:val="21"/>
              </w:rPr>
            </w:pPr>
          </w:p>
          <w:p w14:paraId="5938FE81">
            <w:pPr>
              <w:pStyle w:val="18"/>
              <w:spacing w:before="65" w:line="189" w:lineRule="auto"/>
              <w:ind w:left="330"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7"/>
                <w:sz w:val="21"/>
                <w:szCs w:val="21"/>
              </w:rPr>
              <w:t>14</w:t>
            </w:r>
          </w:p>
        </w:tc>
        <w:tc>
          <w:tcPr>
            <w:tcW w:w="405" w:type="pct"/>
            <w:shd w:val="clear" w:color="auto" w:fill="auto"/>
            <w:vAlign w:val="top"/>
          </w:tcPr>
          <w:p w14:paraId="5E0173A7">
            <w:pPr>
              <w:spacing w:line="265" w:lineRule="auto"/>
              <w:rPr>
                <w:rFonts w:hint="eastAsia" w:asciiTheme="minorEastAsia" w:hAnsiTheme="minorEastAsia" w:eastAsiaTheme="minorEastAsia" w:cstheme="minorEastAsia"/>
                <w:sz w:val="21"/>
                <w:szCs w:val="21"/>
              </w:rPr>
            </w:pPr>
          </w:p>
          <w:p w14:paraId="3996B0E7">
            <w:pPr>
              <w:spacing w:line="265" w:lineRule="auto"/>
              <w:rPr>
                <w:rFonts w:hint="eastAsia" w:asciiTheme="minorEastAsia" w:hAnsiTheme="minorEastAsia" w:eastAsiaTheme="minorEastAsia" w:cstheme="minorEastAsia"/>
                <w:sz w:val="21"/>
                <w:szCs w:val="21"/>
              </w:rPr>
            </w:pPr>
          </w:p>
          <w:p w14:paraId="65AE1F19">
            <w:pPr>
              <w:spacing w:line="265" w:lineRule="auto"/>
              <w:rPr>
                <w:rFonts w:hint="eastAsia" w:asciiTheme="minorEastAsia" w:hAnsiTheme="minorEastAsia" w:eastAsiaTheme="minorEastAsia" w:cstheme="minorEastAsia"/>
                <w:sz w:val="21"/>
                <w:szCs w:val="21"/>
              </w:rPr>
            </w:pPr>
          </w:p>
          <w:p w14:paraId="474D5FD5">
            <w:pPr>
              <w:spacing w:line="265" w:lineRule="auto"/>
              <w:rPr>
                <w:rFonts w:hint="eastAsia" w:asciiTheme="minorEastAsia" w:hAnsiTheme="minorEastAsia" w:eastAsiaTheme="minorEastAsia" w:cstheme="minorEastAsia"/>
                <w:sz w:val="21"/>
                <w:szCs w:val="21"/>
              </w:rPr>
            </w:pPr>
          </w:p>
          <w:p w14:paraId="282B96D1">
            <w:pPr>
              <w:spacing w:line="265" w:lineRule="auto"/>
              <w:rPr>
                <w:rFonts w:hint="eastAsia" w:asciiTheme="minorEastAsia" w:hAnsiTheme="minorEastAsia" w:eastAsiaTheme="minorEastAsia" w:cstheme="minorEastAsia"/>
                <w:sz w:val="21"/>
                <w:szCs w:val="21"/>
              </w:rPr>
            </w:pPr>
          </w:p>
          <w:p w14:paraId="75F71F82">
            <w:pPr>
              <w:spacing w:line="266" w:lineRule="auto"/>
              <w:rPr>
                <w:rFonts w:hint="eastAsia" w:asciiTheme="minorEastAsia" w:hAnsiTheme="minorEastAsia" w:eastAsiaTheme="minorEastAsia" w:cstheme="minorEastAsia"/>
                <w:sz w:val="21"/>
                <w:szCs w:val="21"/>
              </w:rPr>
            </w:pPr>
          </w:p>
          <w:p w14:paraId="11CB0DCB">
            <w:pPr>
              <w:spacing w:line="266" w:lineRule="auto"/>
              <w:rPr>
                <w:rFonts w:hint="eastAsia" w:asciiTheme="minorEastAsia" w:hAnsiTheme="minorEastAsia" w:eastAsiaTheme="minorEastAsia" w:cstheme="minorEastAsia"/>
                <w:sz w:val="21"/>
                <w:szCs w:val="21"/>
              </w:rPr>
            </w:pPr>
          </w:p>
          <w:p w14:paraId="42C41E56">
            <w:pPr>
              <w:spacing w:line="266" w:lineRule="auto"/>
              <w:rPr>
                <w:rFonts w:hint="eastAsia" w:asciiTheme="minorEastAsia" w:hAnsiTheme="minorEastAsia" w:eastAsiaTheme="minorEastAsia" w:cstheme="minorEastAsia"/>
                <w:sz w:val="21"/>
                <w:szCs w:val="21"/>
              </w:rPr>
            </w:pPr>
          </w:p>
          <w:p w14:paraId="6C9FFC02">
            <w:pPr>
              <w:pStyle w:val="18"/>
              <w:spacing w:before="65" w:line="189" w:lineRule="auto"/>
              <w:ind w:left="329"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2"/>
                <w:sz w:val="21"/>
                <w:szCs w:val="21"/>
              </w:rPr>
              <w:t>32</w:t>
            </w:r>
          </w:p>
        </w:tc>
        <w:tc>
          <w:tcPr>
            <w:tcW w:w="1054" w:type="pct"/>
            <w:shd w:val="clear" w:color="auto" w:fill="auto"/>
            <w:vAlign w:val="top"/>
          </w:tcPr>
          <w:p w14:paraId="009363CE">
            <w:pPr>
              <w:spacing w:line="273" w:lineRule="auto"/>
              <w:rPr>
                <w:rFonts w:hint="eastAsia" w:asciiTheme="minorEastAsia" w:hAnsiTheme="minorEastAsia" w:eastAsiaTheme="minorEastAsia" w:cstheme="minorEastAsia"/>
                <w:sz w:val="21"/>
                <w:szCs w:val="21"/>
              </w:rPr>
            </w:pPr>
          </w:p>
          <w:p w14:paraId="595F36B3">
            <w:pPr>
              <w:spacing w:line="273" w:lineRule="auto"/>
              <w:rPr>
                <w:rFonts w:hint="eastAsia" w:asciiTheme="minorEastAsia" w:hAnsiTheme="minorEastAsia" w:eastAsiaTheme="minorEastAsia" w:cstheme="minorEastAsia"/>
                <w:sz w:val="21"/>
                <w:szCs w:val="21"/>
              </w:rPr>
            </w:pPr>
          </w:p>
          <w:p w14:paraId="274DFAC4">
            <w:pPr>
              <w:spacing w:line="273" w:lineRule="auto"/>
              <w:rPr>
                <w:rFonts w:hint="eastAsia" w:asciiTheme="minorEastAsia" w:hAnsiTheme="minorEastAsia" w:eastAsiaTheme="minorEastAsia" w:cstheme="minorEastAsia"/>
                <w:sz w:val="21"/>
                <w:szCs w:val="21"/>
              </w:rPr>
            </w:pPr>
          </w:p>
          <w:p w14:paraId="6ED68411">
            <w:pPr>
              <w:spacing w:line="273" w:lineRule="auto"/>
              <w:rPr>
                <w:rFonts w:hint="eastAsia" w:asciiTheme="minorEastAsia" w:hAnsiTheme="minorEastAsia" w:eastAsiaTheme="minorEastAsia" w:cstheme="minorEastAsia"/>
                <w:sz w:val="21"/>
                <w:szCs w:val="21"/>
              </w:rPr>
            </w:pPr>
          </w:p>
          <w:p w14:paraId="2FC8A77D">
            <w:pPr>
              <w:spacing w:line="273" w:lineRule="auto"/>
              <w:rPr>
                <w:rFonts w:hint="eastAsia" w:asciiTheme="minorEastAsia" w:hAnsiTheme="minorEastAsia" w:eastAsiaTheme="minorEastAsia" w:cstheme="minorEastAsia"/>
                <w:sz w:val="21"/>
                <w:szCs w:val="21"/>
              </w:rPr>
            </w:pPr>
          </w:p>
          <w:p w14:paraId="6412C94D">
            <w:pPr>
              <w:spacing w:line="274" w:lineRule="auto"/>
              <w:rPr>
                <w:rFonts w:hint="eastAsia" w:asciiTheme="minorEastAsia" w:hAnsiTheme="minorEastAsia" w:eastAsiaTheme="minorEastAsia" w:cstheme="minorEastAsia"/>
                <w:sz w:val="21"/>
                <w:szCs w:val="21"/>
              </w:rPr>
            </w:pPr>
          </w:p>
          <w:p w14:paraId="4E26C12A">
            <w:pPr>
              <w:spacing w:line="274" w:lineRule="auto"/>
              <w:rPr>
                <w:rFonts w:hint="eastAsia" w:asciiTheme="minorEastAsia" w:hAnsiTheme="minorEastAsia" w:eastAsiaTheme="minorEastAsia" w:cstheme="minorEastAsia"/>
                <w:sz w:val="21"/>
                <w:szCs w:val="21"/>
              </w:rPr>
            </w:pPr>
          </w:p>
          <w:p w14:paraId="30872D0D">
            <w:pPr>
              <w:pStyle w:val="18"/>
              <w:spacing w:before="65" w:line="317" w:lineRule="auto"/>
              <w:ind w:left="1007" w:leftChars="0" w:right="158" w:rightChars="0" w:hanging="824" w:firstLine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6"/>
                <w:sz w:val="21"/>
                <w:szCs w:val="21"/>
              </w:rPr>
              <w:t>中标公告及中标通知</w:t>
            </w:r>
            <w:r>
              <w:rPr>
                <w:rFonts w:hint="eastAsia" w:asciiTheme="minorEastAsia" w:hAnsiTheme="minorEastAsia" w:eastAsiaTheme="minorEastAsia" w:cstheme="minorEastAsia"/>
                <w:sz w:val="21"/>
                <w:szCs w:val="21"/>
              </w:rPr>
              <w:t>书</w:t>
            </w:r>
          </w:p>
        </w:tc>
        <w:tc>
          <w:tcPr>
            <w:tcW w:w="3146" w:type="pct"/>
            <w:shd w:val="clear" w:color="auto" w:fill="auto"/>
            <w:vAlign w:val="top"/>
          </w:tcPr>
          <w:p w14:paraId="625E8983">
            <w:pPr>
              <w:pStyle w:val="18"/>
              <w:spacing w:before="72" w:line="286" w:lineRule="auto"/>
              <w:ind w:left="113" w:right="109" w:firstLine="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32.1采购代理机构于评标结束后两个工作日内将评标报告送交采购</w:t>
            </w:r>
            <w:r>
              <w:rPr>
                <w:rFonts w:hint="eastAsia" w:asciiTheme="minorEastAsia" w:hAnsiTheme="minorEastAsia" w:eastAsiaTheme="minorEastAsia" w:cstheme="minorEastAsia"/>
                <w:spacing w:val="12"/>
                <w:sz w:val="21"/>
                <w:szCs w:val="21"/>
              </w:rPr>
              <w:t>人，采购人应当自收到评标报告五个工作日内在评标报告推荐的中标候选供应商中按顺序确定中标供应商；采购人在收到评标报告五个工作日内未按评标报告推荐的中标候选人顺序确定中标人，又不能说明合法理由的，视同按评标报告推荐的顺序确定排名第一的中标候选人为中标人。采购代理机构在中标供应商确定之日起两个工</w:t>
            </w:r>
            <w:r>
              <w:rPr>
                <w:rFonts w:hint="eastAsia" w:asciiTheme="minorEastAsia" w:hAnsiTheme="minorEastAsia" w:eastAsiaTheme="minorEastAsia" w:cstheme="minorEastAsia"/>
                <w:spacing w:val="8"/>
                <w:sz w:val="21"/>
                <w:szCs w:val="21"/>
              </w:rPr>
              <w:t>作日内在指定媒体上公告中标结果，中标公告期限为1个工作</w:t>
            </w:r>
            <w:r>
              <w:rPr>
                <w:rFonts w:hint="eastAsia" w:asciiTheme="minorEastAsia" w:hAnsiTheme="minorEastAsia" w:eastAsiaTheme="minorEastAsia" w:cstheme="minorEastAsia"/>
                <w:spacing w:val="7"/>
                <w:sz w:val="21"/>
                <w:szCs w:val="21"/>
              </w:rPr>
              <w:t>日。</w:t>
            </w:r>
          </w:p>
          <w:p w14:paraId="1D48CA75">
            <w:pPr>
              <w:pStyle w:val="18"/>
              <w:spacing w:before="77" w:line="278" w:lineRule="auto"/>
              <w:ind w:left="111" w:right="109" w:firstLine="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32.2中小企业在政府采购活动过程中，请根据自己的真实情况出具</w:t>
            </w:r>
            <w:r>
              <w:rPr>
                <w:rFonts w:hint="eastAsia" w:asciiTheme="minorEastAsia" w:hAnsiTheme="minorEastAsia" w:eastAsiaTheme="minorEastAsia" w:cstheme="minorEastAsia"/>
                <w:spacing w:val="10"/>
                <w:sz w:val="21"/>
                <w:szCs w:val="21"/>
              </w:rPr>
              <w:t>《中小企业声明函》。依法享受中小企业优惠政策的，采购人或采</w:t>
            </w:r>
            <w:r>
              <w:rPr>
                <w:rFonts w:hint="eastAsia" w:asciiTheme="minorEastAsia" w:hAnsiTheme="minorEastAsia" w:eastAsiaTheme="minorEastAsia" w:cstheme="minorEastAsia"/>
                <w:spacing w:val="11"/>
                <w:sz w:val="21"/>
                <w:szCs w:val="21"/>
              </w:rPr>
              <w:t>购代理机构在公告中标结果时，同时公告其</w:t>
            </w:r>
            <w:r>
              <w:rPr>
                <w:rFonts w:hint="eastAsia" w:asciiTheme="minorEastAsia" w:hAnsiTheme="minorEastAsia" w:eastAsiaTheme="minorEastAsia" w:cstheme="minorEastAsia"/>
                <w:spacing w:val="10"/>
                <w:sz w:val="21"/>
                <w:szCs w:val="21"/>
              </w:rPr>
              <w:t>《中小企业声明函》，</w:t>
            </w:r>
            <w:r>
              <w:rPr>
                <w:rFonts w:hint="eastAsia" w:asciiTheme="minorEastAsia" w:hAnsiTheme="minorEastAsia" w:eastAsiaTheme="minorEastAsia" w:cstheme="minorEastAsia"/>
                <w:spacing w:val="7"/>
                <w:sz w:val="21"/>
                <w:szCs w:val="21"/>
              </w:rPr>
              <w:t>接受社会监督。</w:t>
            </w:r>
          </w:p>
          <w:p w14:paraId="08C3FB80">
            <w:pPr>
              <w:pStyle w:val="18"/>
              <w:spacing w:before="74" w:line="269" w:lineRule="auto"/>
              <w:ind w:left="117" w:leftChars="0" w:right="109" w:rightChars="0"/>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pacing w:val="8"/>
                <w:sz w:val="21"/>
                <w:szCs w:val="21"/>
              </w:rPr>
              <w:t>32.3</w:t>
            </w:r>
            <w:r>
              <w:rPr>
                <w:rFonts w:hint="default" w:asciiTheme="minorEastAsia" w:hAnsiTheme="minorEastAsia" w:eastAsiaTheme="minorEastAsia" w:cstheme="minorEastAsia"/>
                <w:spacing w:val="12"/>
                <w:sz w:val="21"/>
                <w:szCs w:val="21"/>
              </w:rPr>
              <w:t>中标公告发布同时，采购代理机构通过政采云平台在线向中标人发出中标通知书，中标人应自行关注政采云平台信息，确保及时查收中标通知书</w:t>
            </w:r>
            <w:r>
              <w:rPr>
                <w:rFonts w:hint="eastAsia" w:asciiTheme="minorEastAsia" w:hAnsiTheme="minorEastAsia" w:eastAsiaTheme="minorEastAsia" w:cstheme="minorEastAsia"/>
                <w:spacing w:val="12"/>
                <w:sz w:val="21"/>
                <w:szCs w:val="21"/>
              </w:rPr>
              <w:t>。</w:t>
            </w:r>
          </w:p>
        </w:tc>
      </w:tr>
      <w:tr w14:paraId="6768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394" w:type="pct"/>
            <w:shd w:val="clear" w:color="auto" w:fill="auto"/>
            <w:vAlign w:val="top"/>
          </w:tcPr>
          <w:p w14:paraId="36F6EB73">
            <w:pPr>
              <w:pStyle w:val="18"/>
              <w:spacing w:before="184" w:line="190" w:lineRule="auto"/>
              <w:ind w:left="330"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7"/>
                <w:sz w:val="21"/>
                <w:szCs w:val="21"/>
              </w:rPr>
              <w:t>15</w:t>
            </w:r>
          </w:p>
        </w:tc>
        <w:tc>
          <w:tcPr>
            <w:tcW w:w="405" w:type="pct"/>
            <w:shd w:val="clear" w:color="auto" w:fill="auto"/>
            <w:vAlign w:val="top"/>
          </w:tcPr>
          <w:p w14:paraId="317AE57A">
            <w:pPr>
              <w:pStyle w:val="18"/>
              <w:spacing w:before="185" w:line="190" w:lineRule="auto"/>
              <w:ind w:left="223"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2"/>
                <w:sz w:val="21"/>
                <w:szCs w:val="21"/>
              </w:rPr>
              <w:t>33.1</w:t>
            </w:r>
          </w:p>
        </w:tc>
        <w:tc>
          <w:tcPr>
            <w:tcW w:w="1054" w:type="pct"/>
            <w:shd w:val="clear" w:color="auto" w:fill="auto"/>
            <w:vAlign w:val="top"/>
          </w:tcPr>
          <w:p w14:paraId="6775BF01">
            <w:pPr>
              <w:pStyle w:val="18"/>
              <w:spacing w:before="152" w:line="228" w:lineRule="auto"/>
              <w:ind w:left="378"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8"/>
                <w:sz w:val="21"/>
                <w:szCs w:val="21"/>
              </w:rPr>
              <w:t>履约保证金金额</w:t>
            </w:r>
          </w:p>
        </w:tc>
        <w:tc>
          <w:tcPr>
            <w:tcW w:w="3146" w:type="pct"/>
            <w:shd w:val="clear" w:color="auto" w:fill="auto"/>
            <w:vAlign w:val="top"/>
          </w:tcPr>
          <w:p w14:paraId="73F8D2E3">
            <w:pPr>
              <w:pStyle w:val="18"/>
              <w:spacing w:before="160" w:line="228" w:lineRule="auto"/>
              <w:ind w:left="115"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7"/>
                <w:sz w:val="21"/>
                <w:szCs w:val="21"/>
              </w:rPr>
              <w:t>无需缴纳履约保证金。</w:t>
            </w:r>
          </w:p>
        </w:tc>
      </w:tr>
      <w:tr w14:paraId="3C476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394" w:type="pct"/>
            <w:shd w:val="clear" w:color="auto" w:fill="auto"/>
            <w:vAlign w:val="top"/>
          </w:tcPr>
          <w:p w14:paraId="1B96E5CE">
            <w:pPr>
              <w:spacing w:line="256" w:lineRule="auto"/>
              <w:rPr>
                <w:rFonts w:hint="eastAsia" w:asciiTheme="minorEastAsia" w:hAnsiTheme="minorEastAsia" w:eastAsiaTheme="minorEastAsia" w:cstheme="minorEastAsia"/>
                <w:sz w:val="21"/>
                <w:szCs w:val="21"/>
              </w:rPr>
            </w:pPr>
          </w:p>
          <w:p w14:paraId="4259C0D1">
            <w:pPr>
              <w:pStyle w:val="18"/>
              <w:spacing w:before="65" w:line="190" w:lineRule="auto"/>
              <w:ind w:left="330"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7"/>
                <w:sz w:val="21"/>
                <w:szCs w:val="21"/>
              </w:rPr>
              <w:t>16</w:t>
            </w:r>
          </w:p>
        </w:tc>
        <w:tc>
          <w:tcPr>
            <w:tcW w:w="405" w:type="pct"/>
            <w:shd w:val="clear" w:color="auto" w:fill="auto"/>
            <w:vAlign w:val="top"/>
          </w:tcPr>
          <w:p w14:paraId="1A3F7B96">
            <w:pPr>
              <w:spacing w:line="256" w:lineRule="auto"/>
              <w:rPr>
                <w:rFonts w:hint="eastAsia" w:asciiTheme="minorEastAsia" w:hAnsiTheme="minorEastAsia" w:eastAsiaTheme="minorEastAsia" w:cstheme="minorEastAsia"/>
                <w:sz w:val="21"/>
                <w:szCs w:val="21"/>
              </w:rPr>
            </w:pPr>
          </w:p>
          <w:p w14:paraId="5184752F">
            <w:pPr>
              <w:pStyle w:val="18"/>
              <w:spacing w:before="65" w:line="190" w:lineRule="auto"/>
              <w:ind w:left="223"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2"/>
                <w:sz w:val="21"/>
                <w:szCs w:val="21"/>
              </w:rPr>
              <w:t>34.1</w:t>
            </w:r>
          </w:p>
        </w:tc>
        <w:tc>
          <w:tcPr>
            <w:tcW w:w="1054" w:type="pct"/>
            <w:shd w:val="clear" w:color="auto" w:fill="auto"/>
            <w:vAlign w:val="top"/>
          </w:tcPr>
          <w:p w14:paraId="0F354D0F">
            <w:pPr>
              <w:pStyle w:val="18"/>
              <w:spacing w:before="290" w:line="230" w:lineRule="auto"/>
              <w:ind w:left="478"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8"/>
                <w:sz w:val="21"/>
                <w:szCs w:val="21"/>
              </w:rPr>
              <w:t>签订合同时间</w:t>
            </w:r>
          </w:p>
        </w:tc>
        <w:tc>
          <w:tcPr>
            <w:tcW w:w="3146" w:type="pct"/>
            <w:shd w:val="clear" w:color="auto" w:fill="auto"/>
            <w:vAlign w:val="top"/>
          </w:tcPr>
          <w:p w14:paraId="6A11A52A">
            <w:pPr>
              <w:pStyle w:val="18"/>
              <w:spacing w:before="110" w:line="279" w:lineRule="auto"/>
              <w:ind w:left="115" w:leftChars="0" w:right="109" w:rightChars="0" w:firstLine="17" w:firstLine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10"/>
                <w:sz w:val="21"/>
                <w:szCs w:val="21"/>
              </w:rPr>
              <w:t>中标通知书发出之日起</w:t>
            </w:r>
            <w:r>
              <w:rPr>
                <w:rFonts w:hint="eastAsia" w:asciiTheme="minorEastAsia" w:hAnsiTheme="minorEastAsia" w:eastAsiaTheme="minorEastAsia" w:cstheme="minorEastAsia"/>
                <w:spacing w:val="10"/>
                <w:sz w:val="21"/>
                <w:szCs w:val="21"/>
                <w:lang w:val="en-US" w:eastAsia="zh-CN"/>
              </w:rPr>
              <w:t>25</w:t>
            </w:r>
            <w:r>
              <w:rPr>
                <w:rFonts w:hint="eastAsia" w:asciiTheme="minorEastAsia" w:hAnsiTheme="minorEastAsia" w:eastAsiaTheme="minorEastAsia" w:cstheme="minorEastAsia"/>
                <w:spacing w:val="10"/>
                <w:sz w:val="21"/>
                <w:szCs w:val="21"/>
              </w:rPr>
              <w:t>日内</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中标供应商领取中标通知书</w:t>
            </w:r>
            <w:r>
              <w:rPr>
                <w:rFonts w:hint="eastAsia" w:asciiTheme="minorEastAsia" w:hAnsiTheme="minorEastAsia" w:eastAsiaTheme="minorEastAsia" w:cstheme="minorEastAsia"/>
                <w:spacing w:val="8"/>
                <w:sz w:val="21"/>
                <w:szCs w:val="21"/>
              </w:rPr>
              <w:t>后，应按规定与采购人签订合同。</w:t>
            </w:r>
          </w:p>
        </w:tc>
      </w:tr>
      <w:tr w14:paraId="25967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394" w:type="pct"/>
            <w:shd w:val="clear" w:color="auto" w:fill="auto"/>
            <w:vAlign w:val="top"/>
          </w:tcPr>
          <w:p w14:paraId="0EE16D56">
            <w:pPr>
              <w:spacing w:line="267" w:lineRule="auto"/>
              <w:rPr>
                <w:rFonts w:hint="eastAsia" w:asciiTheme="minorEastAsia" w:hAnsiTheme="minorEastAsia" w:eastAsiaTheme="minorEastAsia" w:cstheme="minorEastAsia"/>
                <w:sz w:val="21"/>
                <w:szCs w:val="21"/>
              </w:rPr>
            </w:pPr>
          </w:p>
          <w:p w14:paraId="0B1F1D30">
            <w:pPr>
              <w:spacing w:line="267" w:lineRule="auto"/>
              <w:rPr>
                <w:rFonts w:hint="eastAsia" w:asciiTheme="minorEastAsia" w:hAnsiTheme="minorEastAsia" w:eastAsiaTheme="minorEastAsia" w:cstheme="minorEastAsia"/>
                <w:sz w:val="21"/>
                <w:szCs w:val="21"/>
              </w:rPr>
            </w:pPr>
          </w:p>
          <w:p w14:paraId="298ECEB5">
            <w:pPr>
              <w:pStyle w:val="18"/>
              <w:spacing w:before="65" w:line="190" w:lineRule="auto"/>
              <w:ind w:left="330"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7"/>
                <w:sz w:val="21"/>
                <w:szCs w:val="21"/>
              </w:rPr>
              <w:t>17</w:t>
            </w:r>
          </w:p>
        </w:tc>
        <w:tc>
          <w:tcPr>
            <w:tcW w:w="405" w:type="pct"/>
            <w:shd w:val="clear" w:color="auto" w:fill="auto"/>
            <w:vAlign w:val="top"/>
          </w:tcPr>
          <w:p w14:paraId="698C58E7">
            <w:pPr>
              <w:spacing w:line="268" w:lineRule="auto"/>
              <w:rPr>
                <w:rFonts w:hint="eastAsia" w:asciiTheme="minorEastAsia" w:hAnsiTheme="minorEastAsia" w:eastAsiaTheme="minorEastAsia" w:cstheme="minorEastAsia"/>
                <w:sz w:val="21"/>
                <w:szCs w:val="21"/>
              </w:rPr>
            </w:pPr>
          </w:p>
          <w:p w14:paraId="2C8883AF">
            <w:pPr>
              <w:spacing w:line="268" w:lineRule="auto"/>
              <w:rPr>
                <w:rFonts w:hint="eastAsia" w:asciiTheme="minorEastAsia" w:hAnsiTheme="minorEastAsia" w:eastAsiaTheme="minorEastAsia" w:cstheme="minorEastAsia"/>
                <w:sz w:val="21"/>
                <w:szCs w:val="21"/>
              </w:rPr>
            </w:pPr>
          </w:p>
          <w:p w14:paraId="7CE128A8">
            <w:pPr>
              <w:pStyle w:val="18"/>
              <w:spacing w:before="65" w:line="189" w:lineRule="auto"/>
              <w:ind w:left="223"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2"/>
                <w:sz w:val="21"/>
                <w:szCs w:val="21"/>
              </w:rPr>
              <w:t>34.5</w:t>
            </w:r>
          </w:p>
        </w:tc>
        <w:tc>
          <w:tcPr>
            <w:tcW w:w="1054" w:type="pct"/>
            <w:shd w:val="clear" w:color="auto" w:fill="auto"/>
            <w:vAlign w:val="top"/>
          </w:tcPr>
          <w:p w14:paraId="7BD5B830">
            <w:pPr>
              <w:spacing w:line="251" w:lineRule="auto"/>
              <w:rPr>
                <w:rFonts w:hint="eastAsia" w:asciiTheme="minorEastAsia" w:hAnsiTheme="minorEastAsia" w:eastAsiaTheme="minorEastAsia" w:cstheme="minorEastAsia"/>
                <w:sz w:val="21"/>
                <w:szCs w:val="21"/>
              </w:rPr>
            </w:pPr>
          </w:p>
          <w:p w14:paraId="4EC6183A">
            <w:pPr>
              <w:spacing w:line="251" w:lineRule="auto"/>
              <w:rPr>
                <w:rFonts w:hint="eastAsia" w:asciiTheme="minorEastAsia" w:hAnsiTheme="minorEastAsia" w:eastAsiaTheme="minorEastAsia" w:cstheme="minorEastAsia"/>
                <w:sz w:val="21"/>
                <w:szCs w:val="21"/>
              </w:rPr>
            </w:pPr>
          </w:p>
          <w:p w14:paraId="7AABBF99">
            <w:pPr>
              <w:pStyle w:val="18"/>
              <w:spacing w:before="65" w:line="228" w:lineRule="auto"/>
              <w:ind w:left="478"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8"/>
                <w:sz w:val="21"/>
                <w:szCs w:val="21"/>
              </w:rPr>
              <w:t>合同备案存档</w:t>
            </w:r>
          </w:p>
        </w:tc>
        <w:tc>
          <w:tcPr>
            <w:tcW w:w="3146" w:type="pct"/>
            <w:shd w:val="clear" w:color="auto" w:fill="auto"/>
            <w:vAlign w:val="top"/>
          </w:tcPr>
          <w:p w14:paraId="36640E7D">
            <w:pPr>
              <w:pStyle w:val="18"/>
              <w:spacing w:before="77" w:line="276" w:lineRule="auto"/>
              <w:ind w:left="111" w:leftChars="0" w:right="109" w:rightChars="0"/>
              <w:jc w:val="both"/>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10"/>
                <w:sz w:val="21"/>
                <w:szCs w:val="21"/>
              </w:rPr>
              <w:t>政府采购合同双方自签订之日起1个工作日内将合同原件一份交采</w:t>
            </w:r>
            <w:r>
              <w:rPr>
                <w:rFonts w:hint="eastAsia" w:asciiTheme="minorEastAsia" w:hAnsiTheme="minorEastAsia" w:eastAsiaTheme="minorEastAsia" w:cstheme="minorEastAsia"/>
                <w:spacing w:val="12"/>
                <w:sz w:val="21"/>
                <w:szCs w:val="21"/>
              </w:rPr>
              <w:t>购代理机构，采购代理机构将政府采购合同在省级以上人民政府财</w:t>
            </w:r>
            <w:r>
              <w:rPr>
                <w:rFonts w:hint="eastAsia" w:asciiTheme="minorEastAsia" w:hAnsiTheme="minorEastAsia" w:eastAsiaTheme="minorEastAsia" w:cstheme="minorEastAsia"/>
                <w:spacing w:val="11"/>
                <w:sz w:val="21"/>
                <w:szCs w:val="21"/>
              </w:rPr>
              <w:t>政部门指定媒体上公告</w:t>
            </w:r>
            <w:r>
              <w:rPr>
                <w:rFonts w:hint="eastAsia" w:ascii="宋体" w:hAnsi="宋体" w:eastAsia="Arial" w:cs="Arial"/>
                <w:snapToGrid w:val="0"/>
                <w:color w:val="000000"/>
                <w:kern w:val="0"/>
                <w:sz w:val="21"/>
                <w:szCs w:val="20"/>
                <w:highlight w:val="none"/>
                <w:lang w:val="en-US" w:eastAsia="en-US" w:bidi="ar-SA"/>
              </w:rPr>
              <w:t>并存档</w:t>
            </w:r>
            <w:r>
              <w:rPr>
                <w:rFonts w:hint="eastAsia" w:asciiTheme="minorEastAsia" w:hAnsiTheme="minorEastAsia" w:eastAsiaTheme="minorEastAsia" w:cstheme="minorEastAsia"/>
                <w:spacing w:val="9"/>
                <w:sz w:val="21"/>
                <w:szCs w:val="21"/>
              </w:rPr>
              <w:t>。</w:t>
            </w:r>
          </w:p>
        </w:tc>
      </w:tr>
      <w:tr w14:paraId="2ED06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394" w:type="pct"/>
            <w:shd w:val="clear" w:color="auto" w:fill="auto"/>
            <w:vAlign w:val="top"/>
          </w:tcPr>
          <w:p w14:paraId="1DDCA719">
            <w:pPr>
              <w:spacing w:line="436" w:lineRule="auto"/>
              <w:rPr>
                <w:rFonts w:hint="eastAsia" w:asciiTheme="minorEastAsia" w:hAnsiTheme="minorEastAsia" w:eastAsiaTheme="minorEastAsia" w:cstheme="minorEastAsia"/>
                <w:sz w:val="21"/>
                <w:szCs w:val="21"/>
              </w:rPr>
            </w:pPr>
          </w:p>
          <w:p w14:paraId="4B6CE5EF">
            <w:pPr>
              <w:pStyle w:val="18"/>
              <w:spacing w:before="65" w:line="190" w:lineRule="auto"/>
              <w:ind w:left="330"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7"/>
                <w:sz w:val="21"/>
                <w:szCs w:val="21"/>
              </w:rPr>
              <w:t>18</w:t>
            </w:r>
          </w:p>
        </w:tc>
        <w:tc>
          <w:tcPr>
            <w:tcW w:w="405" w:type="pct"/>
            <w:shd w:val="clear" w:color="auto" w:fill="auto"/>
            <w:vAlign w:val="top"/>
          </w:tcPr>
          <w:p w14:paraId="4C760D10">
            <w:pPr>
              <w:spacing w:line="436" w:lineRule="auto"/>
              <w:rPr>
                <w:rFonts w:hint="eastAsia" w:asciiTheme="minorEastAsia" w:hAnsiTheme="minorEastAsia" w:eastAsiaTheme="minorEastAsia" w:cstheme="minorEastAsia"/>
                <w:sz w:val="21"/>
                <w:szCs w:val="21"/>
              </w:rPr>
            </w:pPr>
          </w:p>
          <w:p w14:paraId="1ADEBA4F">
            <w:pPr>
              <w:pStyle w:val="18"/>
              <w:spacing w:before="65" w:line="190" w:lineRule="auto"/>
              <w:ind w:left="223"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2"/>
                <w:sz w:val="21"/>
                <w:szCs w:val="21"/>
              </w:rPr>
              <w:t>35.1</w:t>
            </w:r>
          </w:p>
        </w:tc>
        <w:tc>
          <w:tcPr>
            <w:tcW w:w="1054" w:type="pct"/>
            <w:shd w:val="clear" w:color="auto" w:fill="auto"/>
            <w:vAlign w:val="top"/>
          </w:tcPr>
          <w:p w14:paraId="4329A00E">
            <w:pPr>
              <w:spacing w:line="404" w:lineRule="auto"/>
              <w:rPr>
                <w:rFonts w:hint="eastAsia" w:asciiTheme="minorEastAsia" w:hAnsiTheme="minorEastAsia" w:eastAsiaTheme="minorEastAsia" w:cstheme="minorEastAsia"/>
                <w:sz w:val="21"/>
                <w:szCs w:val="21"/>
              </w:rPr>
            </w:pPr>
          </w:p>
          <w:p w14:paraId="2FEADAD3">
            <w:pPr>
              <w:pStyle w:val="18"/>
              <w:spacing w:before="65" w:line="228" w:lineRule="auto"/>
              <w:ind w:left="375"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8"/>
                <w:sz w:val="21"/>
                <w:szCs w:val="21"/>
              </w:rPr>
              <w:t>招标代理服务费</w:t>
            </w:r>
          </w:p>
        </w:tc>
        <w:tc>
          <w:tcPr>
            <w:tcW w:w="3146" w:type="pct"/>
            <w:shd w:val="clear" w:color="auto" w:fill="auto"/>
            <w:vAlign w:val="top"/>
          </w:tcPr>
          <w:p w14:paraId="43246FED">
            <w:pPr>
              <w:pStyle w:val="18"/>
              <w:spacing w:before="111" w:line="296" w:lineRule="auto"/>
              <w:ind w:left="115" w:leftChars="0" w:hanging="1" w:firstLine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4"/>
                <w:sz w:val="21"/>
                <w:szCs w:val="21"/>
              </w:rPr>
              <w:t>本项目招标代理服务费按本须知第35.</w:t>
            </w:r>
            <w:r>
              <w:rPr>
                <w:rFonts w:hint="eastAsia" w:asciiTheme="minorEastAsia" w:hAnsiTheme="minorEastAsia" w:eastAsiaTheme="minorEastAsia" w:cstheme="minorEastAsia"/>
                <w:spacing w:val="4"/>
                <w:sz w:val="21"/>
                <w:szCs w:val="21"/>
                <w:lang w:val="en-US" w:eastAsia="zh-CN"/>
              </w:rPr>
              <w:t>2</w:t>
            </w:r>
            <w:r>
              <w:rPr>
                <w:rFonts w:hint="eastAsia" w:asciiTheme="minorEastAsia" w:hAnsiTheme="minorEastAsia" w:eastAsiaTheme="minorEastAsia" w:cstheme="minorEastAsia"/>
                <w:spacing w:val="4"/>
                <w:sz w:val="21"/>
                <w:szCs w:val="21"/>
              </w:rPr>
              <w:t>条“招标代理服务收费标准”</w:t>
            </w:r>
            <w:r>
              <w:rPr>
                <w:rFonts w:hint="eastAsia" w:asciiTheme="minorEastAsia" w:hAnsiTheme="minorEastAsia" w:eastAsiaTheme="minorEastAsia" w:cstheme="minorEastAsia"/>
                <w:spacing w:val="7"/>
                <w:sz w:val="21"/>
                <w:szCs w:val="21"/>
              </w:rPr>
              <w:t>中服务类收费标准</w:t>
            </w:r>
            <w:r>
              <w:rPr>
                <w:rFonts w:hint="eastAsia" w:asciiTheme="minorEastAsia" w:hAnsiTheme="minorEastAsia" w:eastAsiaTheme="minorEastAsia" w:cstheme="minorEastAsia"/>
                <w:spacing w:val="7"/>
                <w:sz w:val="21"/>
                <w:szCs w:val="21"/>
                <w:lang w:val="en-US" w:eastAsia="zh-CN"/>
              </w:rPr>
              <w:t>的70%</w:t>
            </w:r>
            <w:r>
              <w:rPr>
                <w:rFonts w:hint="eastAsia" w:asciiTheme="minorEastAsia" w:hAnsiTheme="minorEastAsia" w:eastAsiaTheme="minorEastAsia" w:cstheme="minorEastAsia"/>
                <w:spacing w:val="7"/>
                <w:sz w:val="21"/>
                <w:szCs w:val="21"/>
              </w:rPr>
              <w:t>计算，由中标人在领取中标通知书前，向采购代</w:t>
            </w:r>
            <w:r>
              <w:rPr>
                <w:rFonts w:hint="eastAsia" w:asciiTheme="minorEastAsia" w:hAnsiTheme="minorEastAsia" w:eastAsiaTheme="minorEastAsia" w:cstheme="minorEastAsia"/>
                <w:spacing w:val="4"/>
                <w:sz w:val="21"/>
                <w:szCs w:val="21"/>
              </w:rPr>
              <w:t>理机构一次性支付。</w:t>
            </w:r>
          </w:p>
        </w:tc>
      </w:tr>
      <w:tr w14:paraId="064D0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394" w:type="pct"/>
            <w:shd w:val="clear" w:color="auto" w:fill="auto"/>
            <w:vAlign w:val="top"/>
          </w:tcPr>
          <w:p w14:paraId="58038CE7">
            <w:pPr>
              <w:spacing w:line="308" w:lineRule="auto"/>
              <w:rPr>
                <w:rFonts w:hint="eastAsia" w:asciiTheme="minorEastAsia" w:hAnsiTheme="minorEastAsia" w:eastAsiaTheme="minorEastAsia" w:cstheme="minorEastAsia"/>
                <w:sz w:val="21"/>
                <w:szCs w:val="21"/>
              </w:rPr>
            </w:pPr>
          </w:p>
          <w:p w14:paraId="0BD8FDCB">
            <w:pPr>
              <w:spacing w:line="308" w:lineRule="auto"/>
              <w:rPr>
                <w:rFonts w:hint="eastAsia" w:asciiTheme="minorEastAsia" w:hAnsiTheme="minorEastAsia" w:eastAsiaTheme="minorEastAsia" w:cstheme="minorEastAsia"/>
                <w:sz w:val="21"/>
                <w:szCs w:val="21"/>
              </w:rPr>
            </w:pPr>
          </w:p>
          <w:p w14:paraId="6ED302F9">
            <w:pPr>
              <w:pStyle w:val="18"/>
              <w:spacing w:before="65" w:line="190" w:lineRule="auto"/>
              <w:ind w:left="330"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7"/>
                <w:sz w:val="21"/>
                <w:szCs w:val="21"/>
              </w:rPr>
              <w:t>19</w:t>
            </w:r>
          </w:p>
        </w:tc>
        <w:tc>
          <w:tcPr>
            <w:tcW w:w="405" w:type="pct"/>
            <w:shd w:val="clear" w:color="auto" w:fill="auto"/>
            <w:vAlign w:val="top"/>
          </w:tcPr>
          <w:p w14:paraId="638D1194">
            <w:pPr>
              <w:spacing w:line="308" w:lineRule="auto"/>
              <w:rPr>
                <w:rFonts w:hint="eastAsia" w:asciiTheme="minorEastAsia" w:hAnsiTheme="minorEastAsia" w:eastAsiaTheme="minorEastAsia" w:cstheme="minorEastAsia"/>
                <w:sz w:val="21"/>
                <w:szCs w:val="21"/>
              </w:rPr>
            </w:pPr>
          </w:p>
          <w:p w14:paraId="5F0029AE">
            <w:pPr>
              <w:spacing w:line="309" w:lineRule="auto"/>
              <w:rPr>
                <w:rFonts w:hint="eastAsia" w:asciiTheme="minorEastAsia" w:hAnsiTheme="minorEastAsia" w:eastAsiaTheme="minorEastAsia" w:cstheme="minorEastAsia"/>
                <w:sz w:val="21"/>
                <w:szCs w:val="21"/>
              </w:rPr>
            </w:pPr>
          </w:p>
          <w:p w14:paraId="38A406D3">
            <w:pPr>
              <w:pStyle w:val="18"/>
              <w:spacing w:before="65" w:line="189" w:lineRule="auto"/>
              <w:ind w:left="329"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2"/>
                <w:sz w:val="21"/>
                <w:szCs w:val="21"/>
              </w:rPr>
              <w:t>37</w:t>
            </w:r>
          </w:p>
        </w:tc>
        <w:tc>
          <w:tcPr>
            <w:tcW w:w="1054" w:type="pct"/>
            <w:shd w:val="clear" w:color="auto" w:fill="auto"/>
            <w:vAlign w:val="top"/>
          </w:tcPr>
          <w:p w14:paraId="5B9D5C1A">
            <w:pPr>
              <w:spacing w:line="292" w:lineRule="auto"/>
              <w:rPr>
                <w:rFonts w:hint="eastAsia" w:asciiTheme="minorEastAsia" w:hAnsiTheme="minorEastAsia" w:eastAsiaTheme="minorEastAsia" w:cstheme="minorEastAsia"/>
                <w:sz w:val="21"/>
                <w:szCs w:val="21"/>
              </w:rPr>
            </w:pPr>
          </w:p>
          <w:p w14:paraId="6FAC752E">
            <w:pPr>
              <w:spacing w:line="292" w:lineRule="auto"/>
              <w:rPr>
                <w:rFonts w:hint="eastAsia" w:asciiTheme="minorEastAsia" w:hAnsiTheme="minorEastAsia" w:eastAsiaTheme="minorEastAsia" w:cstheme="minorEastAsia"/>
                <w:sz w:val="21"/>
                <w:szCs w:val="21"/>
              </w:rPr>
            </w:pPr>
          </w:p>
          <w:p w14:paraId="7E734BD7">
            <w:pPr>
              <w:pStyle w:val="18"/>
              <w:spacing w:before="65" w:line="228" w:lineRule="auto"/>
              <w:ind w:left="794"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7"/>
                <w:sz w:val="21"/>
                <w:szCs w:val="21"/>
              </w:rPr>
              <w:t>解释权</w:t>
            </w:r>
          </w:p>
        </w:tc>
        <w:tc>
          <w:tcPr>
            <w:tcW w:w="3146" w:type="pct"/>
            <w:shd w:val="clear" w:color="auto" w:fill="auto"/>
            <w:vAlign w:val="top"/>
          </w:tcPr>
          <w:p w14:paraId="60A920A6">
            <w:pPr>
              <w:pStyle w:val="18"/>
              <w:spacing w:before="112" w:line="305" w:lineRule="auto"/>
              <w:ind w:left="114" w:leftChars="0" w:right="109" w:rightChars="0"/>
              <w:jc w:val="both"/>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12"/>
                <w:sz w:val="21"/>
                <w:szCs w:val="21"/>
              </w:rPr>
              <w:t>本招标文件是根据《中华人民共和国政府采购法》、《</w:t>
            </w:r>
            <w:r>
              <w:rPr>
                <w:rFonts w:hint="eastAsia" w:asciiTheme="minorEastAsia" w:hAnsiTheme="minorEastAsia" w:eastAsiaTheme="minorEastAsia" w:cstheme="minorEastAsia"/>
                <w:spacing w:val="12"/>
                <w:sz w:val="21"/>
                <w:szCs w:val="21"/>
                <w:lang w:eastAsia="zh-CN"/>
              </w:rPr>
              <w:t>中华人民共和国政府采购法实施条例</w:t>
            </w:r>
            <w:r>
              <w:rPr>
                <w:rFonts w:hint="eastAsia" w:asciiTheme="minorEastAsia" w:hAnsiTheme="minorEastAsia" w:eastAsiaTheme="minorEastAsia" w:cstheme="minorEastAsia"/>
                <w:spacing w:val="7"/>
                <w:sz w:val="21"/>
                <w:szCs w:val="21"/>
              </w:rPr>
              <w:t>》及财政部令第87号《政府采购货物和服</w:t>
            </w:r>
            <w:r>
              <w:rPr>
                <w:rFonts w:hint="eastAsia" w:asciiTheme="minorEastAsia" w:hAnsiTheme="minorEastAsia" w:eastAsiaTheme="minorEastAsia" w:cstheme="minorEastAsia"/>
                <w:spacing w:val="12"/>
                <w:sz w:val="21"/>
                <w:szCs w:val="21"/>
              </w:rPr>
              <w:t>务招标投标管理办法》和政府采购管理有关规定编制，本招标文件</w:t>
            </w:r>
            <w:r>
              <w:rPr>
                <w:rFonts w:hint="eastAsia" w:asciiTheme="minorEastAsia" w:hAnsiTheme="minorEastAsia" w:eastAsiaTheme="minorEastAsia" w:cstheme="minorEastAsia"/>
                <w:spacing w:val="8"/>
                <w:sz w:val="21"/>
                <w:szCs w:val="21"/>
              </w:rPr>
              <w:t>的解释权属于采购代理机构。</w:t>
            </w:r>
          </w:p>
        </w:tc>
      </w:tr>
      <w:tr w14:paraId="14D6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394" w:type="pct"/>
            <w:shd w:val="clear" w:color="auto" w:fill="auto"/>
            <w:vAlign w:val="top"/>
          </w:tcPr>
          <w:p w14:paraId="2CF3BFBF">
            <w:pPr>
              <w:pStyle w:val="18"/>
              <w:spacing w:before="197" w:line="189" w:lineRule="auto"/>
              <w:ind w:left="317"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1"/>
                <w:sz w:val="21"/>
                <w:szCs w:val="21"/>
              </w:rPr>
              <w:t>20</w:t>
            </w:r>
          </w:p>
        </w:tc>
        <w:tc>
          <w:tcPr>
            <w:tcW w:w="405" w:type="pct"/>
            <w:shd w:val="clear" w:color="auto" w:fill="auto"/>
            <w:vAlign w:val="top"/>
          </w:tcPr>
          <w:p w14:paraId="1EADC63A">
            <w:pPr>
              <w:pStyle w:val="18"/>
              <w:spacing w:before="197" w:line="189" w:lineRule="auto"/>
              <w:ind w:left="329"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2"/>
                <w:sz w:val="21"/>
                <w:szCs w:val="21"/>
              </w:rPr>
              <w:t>38</w:t>
            </w:r>
          </w:p>
        </w:tc>
        <w:tc>
          <w:tcPr>
            <w:tcW w:w="1054" w:type="pct"/>
            <w:shd w:val="clear" w:color="auto" w:fill="auto"/>
            <w:vAlign w:val="top"/>
          </w:tcPr>
          <w:p w14:paraId="2D2CA7D7">
            <w:pPr>
              <w:pStyle w:val="18"/>
              <w:spacing w:before="164" w:line="227" w:lineRule="auto"/>
              <w:ind w:left="478"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8"/>
                <w:sz w:val="21"/>
                <w:szCs w:val="21"/>
              </w:rPr>
              <w:t>监督管理机构</w:t>
            </w:r>
          </w:p>
        </w:tc>
        <w:tc>
          <w:tcPr>
            <w:tcW w:w="3146" w:type="pct"/>
            <w:shd w:val="clear" w:color="auto" w:fill="auto"/>
            <w:vAlign w:val="top"/>
          </w:tcPr>
          <w:p w14:paraId="241B9BC7">
            <w:pPr>
              <w:pStyle w:val="18"/>
              <w:spacing w:before="164" w:line="227" w:lineRule="auto"/>
              <w:ind w:left="117"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7"/>
                <w:sz w:val="21"/>
                <w:szCs w:val="21"/>
              </w:rPr>
              <w:t>兴安县人民政府采购管理办公室</w:t>
            </w:r>
            <w:r>
              <w:rPr>
                <w:rFonts w:hint="eastAsia" w:asciiTheme="minorEastAsia" w:hAnsiTheme="minorEastAsia" w:eastAsiaTheme="minorEastAsia" w:cstheme="minorEastAsia"/>
                <w:spacing w:val="7"/>
                <w:sz w:val="21"/>
                <w:szCs w:val="21"/>
                <w:lang w:val="en-US" w:eastAsia="zh-CN"/>
              </w:rPr>
              <w:t xml:space="preserve"> </w:t>
            </w:r>
            <w:r>
              <w:rPr>
                <w:rFonts w:hint="eastAsia" w:asciiTheme="minorEastAsia" w:hAnsiTheme="minorEastAsia" w:eastAsiaTheme="minorEastAsia" w:cstheme="minorEastAsia"/>
                <w:spacing w:val="7"/>
                <w:sz w:val="21"/>
                <w:szCs w:val="21"/>
              </w:rPr>
              <w:t>联系电话：0773-6220651</w:t>
            </w:r>
          </w:p>
        </w:tc>
      </w:tr>
    </w:tbl>
    <w:p w14:paraId="77D08B4A">
      <w:pPr>
        <w:rPr>
          <w:rFonts w:ascii="Arial" w:hAnsi="Arial" w:eastAsia="Arial" w:cs="Arial"/>
          <w:sz w:val="21"/>
          <w:szCs w:val="21"/>
        </w:rPr>
        <w:sectPr>
          <w:footerReference r:id="rId6" w:type="default"/>
          <w:pgSz w:w="11906" w:h="16839"/>
          <w:pgMar w:top="1418" w:right="818" w:bottom="1355" w:left="818" w:header="0" w:footer="1193" w:gutter="0"/>
          <w:pgNumType w:fmt="decimal"/>
          <w:cols w:space="720" w:num="1"/>
        </w:sectPr>
      </w:pPr>
    </w:p>
    <w:p w14:paraId="1F434289">
      <w:pPr>
        <w:spacing w:line="244" w:lineRule="auto"/>
        <w:rPr>
          <w:rFonts w:ascii="Arial"/>
          <w:sz w:val="21"/>
        </w:rPr>
      </w:pPr>
    </w:p>
    <w:p w14:paraId="1A95F197">
      <w:pPr>
        <w:pStyle w:val="6"/>
        <w:spacing w:before="91" w:line="221" w:lineRule="auto"/>
        <w:ind w:left="3980"/>
        <w:rPr>
          <w:sz w:val="28"/>
          <w:szCs w:val="28"/>
        </w:rPr>
      </w:pPr>
      <w:r>
        <w:rPr>
          <w:b/>
          <w:bCs/>
          <w:spacing w:val="-6"/>
          <w:sz w:val="28"/>
          <w:szCs w:val="28"/>
        </w:rPr>
        <w:t>一、总则</w:t>
      </w:r>
    </w:p>
    <w:p w14:paraId="101B9853">
      <w:pPr>
        <w:pStyle w:val="6"/>
        <w:spacing w:before="93" w:line="228" w:lineRule="auto"/>
        <w:ind w:left="426"/>
        <w:rPr>
          <w:sz w:val="21"/>
          <w:szCs w:val="21"/>
        </w:rPr>
      </w:pPr>
      <w:r>
        <w:rPr>
          <w:b/>
          <w:bCs/>
          <w:spacing w:val="5"/>
          <w:sz w:val="21"/>
          <w:szCs w:val="21"/>
        </w:rPr>
        <w:t>1.项目名称及项目编号</w:t>
      </w:r>
    </w:p>
    <w:p w14:paraId="0BAF9A85">
      <w:pPr>
        <w:pStyle w:val="6"/>
        <w:spacing w:before="113" w:line="228" w:lineRule="auto"/>
        <w:ind w:left="724"/>
        <w:rPr>
          <w:sz w:val="21"/>
          <w:szCs w:val="21"/>
        </w:rPr>
      </w:pPr>
      <w:r>
        <w:rPr>
          <w:spacing w:val="9"/>
          <w:sz w:val="21"/>
          <w:szCs w:val="21"/>
        </w:rPr>
        <w:t>项目名称：兴安县城北及乡镇污水处理厂运营管理服务</w:t>
      </w:r>
    </w:p>
    <w:p w14:paraId="4526A2E3">
      <w:pPr>
        <w:pStyle w:val="6"/>
        <w:spacing w:before="113" w:line="226" w:lineRule="auto"/>
        <w:ind w:left="724"/>
        <w:rPr>
          <w:sz w:val="21"/>
          <w:szCs w:val="21"/>
        </w:rPr>
      </w:pPr>
      <w:r>
        <w:rPr>
          <w:spacing w:val="7"/>
          <w:sz w:val="21"/>
          <w:szCs w:val="21"/>
        </w:rPr>
        <w:t>项目编号：GLZC2026-G3-250017-GXHS</w:t>
      </w:r>
    </w:p>
    <w:p w14:paraId="71F18F9E">
      <w:pPr>
        <w:pStyle w:val="6"/>
        <w:spacing w:before="115" w:line="228" w:lineRule="auto"/>
        <w:ind w:left="413"/>
        <w:rPr>
          <w:sz w:val="21"/>
          <w:szCs w:val="21"/>
        </w:rPr>
      </w:pPr>
      <w:r>
        <w:rPr>
          <w:b/>
          <w:bCs/>
          <w:spacing w:val="3"/>
          <w:sz w:val="21"/>
          <w:szCs w:val="21"/>
        </w:rPr>
        <w:t>2.适应范围</w:t>
      </w:r>
    </w:p>
    <w:p w14:paraId="4C00C3E8">
      <w:pPr>
        <w:pStyle w:val="6"/>
        <w:spacing w:before="112" w:line="318" w:lineRule="auto"/>
        <w:ind w:left="1" w:right="120" w:firstLine="420"/>
        <w:rPr>
          <w:sz w:val="21"/>
          <w:szCs w:val="21"/>
        </w:rPr>
      </w:pPr>
      <w:r>
        <w:rPr>
          <w:spacing w:val="10"/>
          <w:sz w:val="21"/>
          <w:szCs w:val="21"/>
        </w:rPr>
        <w:t>本招标文件适用本招标采购项目的招标、投标、评标、合同履约、验收、付款等</w:t>
      </w:r>
      <w:r>
        <w:rPr>
          <w:spacing w:val="9"/>
          <w:sz w:val="21"/>
          <w:szCs w:val="21"/>
        </w:rPr>
        <w:t>行为（法律、</w:t>
      </w:r>
      <w:r>
        <w:rPr>
          <w:spacing w:val="7"/>
          <w:sz w:val="21"/>
          <w:szCs w:val="21"/>
        </w:rPr>
        <w:t>法规另有规定的，从其规定）。</w:t>
      </w:r>
    </w:p>
    <w:p w14:paraId="08E3EA19">
      <w:pPr>
        <w:pStyle w:val="6"/>
        <w:spacing w:before="32" w:line="228" w:lineRule="auto"/>
        <w:ind w:left="439"/>
        <w:rPr>
          <w:sz w:val="21"/>
          <w:szCs w:val="21"/>
        </w:rPr>
      </w:pPr>
      <w:r>
        <w:rPr>
          <w:b/>
          <w:bCs/>
          <w:spacing w:val="-1"/>
          <w:sz w:val="21"/>
          <w:szCs w:val="21"/>
        </w:rPr>
        <w:t>3.定义</w:t>
      </w:r>
    </w:p>
    <w:p w14:paraId="48A33D9D">
      <w:pPr>
        <w:pStyle w:val="6"/>
        <w:spacing w:before="105" w:line="220" w:lineRule="auto"/>
        <w:ind w:left="439"/>
        <w:rPr>
          <w:sz w:val="21"/>
          <w:szCs w:val="21"/>
        </w:rPr>
      </w:pPr>
      <w:r>
        <w:rPr>
          <w:spacing w:val="1"/>
          <w:sz w:val="21"/>
          <w:szCs w:val="21"/>
        </w:rPr>
        <w:t>3.1“投标人”是指响应招标、参加投标竞争的法人</w:t>
      </w:r>
      <w:r>
        <w:rPr>
          <w:sz w:val="21"/>
          <w:szCs w:val="21"/>
        </w:rPr>
        <w:t>、其他组织。</w:t>
      </w:r>
    </w:p>
    <w:p w14:paraId="45CEC2DF">
      <w:pPr>
        <w:pStyle w:val="6"/>
        <w:spacing w:before="104" w:line="318" w:lineRule="auto"/>
        <w:ind w:left="24" w:right="87" w:firstLine="414"/>
        <w:rPr>
          <w:sz w:val="21"/>
          <w:szCs w:val="21"/>
        </w:rPr>
      </w:pPr>
      <w:r>
        <w:rPr>
          <w:spacing w:val="7"/>
          <w:sz w:val="21"/>
          <w:szCs w:val="21"/>
        </w:rPr>
        <w:t>3.2“服务”系指按招标文件规定，投标人须承担的</w:t>
      </w:r>
      <w:r>
        <w:rPr>
          <w:spacing w:val="7"/>
          <w:sz w:val="21"/>
          <w:szCs w:val="21"/>
          <w:u w:val="single" w:color="auto"/>
        </w:rPr>
        <w:t>兴安县城北及乡</w:t>
      </w:r>
      <w:r>
        <w:rPr>
          <w:spacing w:val="6"/>
          <w:sz w:val="21"/>
          <w:szCs w:val="21"/>
          <w:u w:val="single" w:color="auto"/>
        </w:rPr>
        <w:t>镇污水处理厂运营管理服务</w:t>
      </w:r>
      <w:r>
        <w:rPr>
          <w:spacing w:val="5"/>
          <w:sz w:val="21"/>
          <w:szCs w:val="21"/>
        </w:rPr>
        <w:t>以及其他类似的义务。</w:t>
      </w:r>
    </w:p>
    <w:p w14:paraId="5B350063">
      <w:pPr>
        <w:pStyle w:val="6"/>
        <w:spacing w:before="105" w:line="220" w:lineRule="auto"/>
        <w:ind w:left="439"/>
        <w:rPr>
          <w:rFonts w:hint="eastAsia" w:eastAsia="宋体"/>
          <w:spacing w:val="1"/>
          <w:sz w:val="21"/>
          <w:szCs w:val="21"/>
          <w:lang w:eastAsia="zh-CN"/>
        </w:rPr>
      </w:pPr>
      <w:r>
        <w:rPr>
          <w:spacing w:val="1"/>
          <w:sz w:val="21"/>
          <w:szCs w:val="21"/>
        </w:rPr>
        <w:t>3.3“项目”系指投标人按招标文件规定向采购人提供的</w:t>
      </w:r>
      <w:r>
        <w:rPr>
          <w:rFonts w:hint="eastAsia"/>
          <w:spacing w:val="1"/>
          <w:sz w:val="21"/>
          <w:szCs w:val="21"/>
          <w:lang w:val="en-US" w:eastAsia="zh-CN"/>
        </w:rPr>
        <w:t>服务</w:t>
      </w:r>
      <w:r>
        <w:rPr>
          <w:spacing w:val="1"/>
          <w:sz w:val="21"/>
          <w:szCs w:val="21"/>
        </w:rPr>
        <w:t>。</w:t>
      </w:r>
    </w:p>
    <w:p w14:paraId="7CA74DE8">
      <w:pPr>
        <w:pStyle w:val="6"/>
        <w:spacing w:before="115" w:line="228" w:lineRule="auto"/>
        <w:ind w:left="413"/>
        <w:rPr>
          <w:rFonts w:ascii="宋体" w:hAnsi="宋体" w:eastAsia="宋体" w:cs="宋体"/>
          <w:b w:val="0"/>
          <w:bCs w:val="0"/>
          <w:spacing w:val="3"/>
          <w:sz w:val="21"/>
          <w:szCs w:val="21"/>
        </w:rPr>
      </w:pPr>
      <w:r>
        <w:rPr>
          <w:rFonts w:ascii="宋体" w:hAnsi="宋体" w:eastAsia="宋体" w:cs="宋体"/>
          <w:b w:val="0"/>
          <w:bCs w:val="0"/>
          <w:spacing w:val="3"/>
          <w:sz w:val="21"/>
          <w:szCs w:val="21"/>
        </w:rPr>
        <w:t>3.4“书面形式”包括信函、传真、电报。</w:t>
      </w:r>
    </w:p>
    <w:p w14:paraId="2EBF94FB">
      <w:pPr>
        <w:pStyle w:val="6"/>
        <w:spacing w:before="115" w:line="228" w:lineRule="auto"/>
        <w:ind w:left="413"/>
        <w:rPr>
          <w:rFonts w:ascii="宋体" w:hAnsi="宋体" w:eastAsia="宋体" w:cs="宋体"/>
          <w:b/>
          <w:bCs/>
          <w:spacing w:val="3"/>
          <w:sz w:val="21"/>
          <w:szCs w:val="21"/>
        </w:rPr>
      </w:pPr>
      <w:r>
        <w:rPr>
          <w:rFonts w:ascii="宋体" w:hAnsi="宋体" w:eastAsia="宋体" w:cs="宋体"/>
          <w:b/>
          <w:bCs/>
          <w:spacing w:val="3"/>
          <w:sz w:val="21"/>
          <w:szCs w:val="21"/>
        </w:rPr>
        <w:t>4.招标方式、评分办法</w:t>
      </w:r>
    </w:p>
    <w:p w14:paraId="25757F21">
      <w:pPr>
        <w:pStyle w:val="6"/>
        <w:spacing w:before="115" w:line="228" w:lineRule="auto"/>
        <w:ind w:left="413"/>
        <w:rPr>
          <w:rFonts w:ascii="宋体" w:hAnsi="宋体" w:eastAsia="宋体" w:cs="宋体"/>
          <w:b w:val="0"/>
          <w:bCs w:val="0"/>
          <w:spacing w:val="3"/>
          <w:sz w:val="21"/>
          <w:szCs w:val="21"/>
        </w:rPr>
      </w:pPr>
      <w:r>
        <w:rPr>
          <w:rFonts w:ascii="宋体" w:hAnsi="宋体" w:eastAsia="宋体" w:cs="宋体"/>
          <w:b w:val="0"/>
          <w:bCs w:val="0"/>
          <w:spacing w:val="3"/>
          <w:sz w:val="21"/>
          <w:szCs w:val="21"/>
        </w:rPr>
        <w:t>公开招标、综合评分法</w:t>
      </w:r>
    </w:p>
    <w:p w14:paraId="1F14D501">
      <w:pPr>
        <w:pStyle w:val="6"/>
        <w:spacing w:before="112" w:line="228" w:lineRule="auto"/>
        <w:ind w:left="439"/>
        <w:rPr>
          <w:sz w:val="21"/>
          <w:szCs w:val="21"/>
        </w:rPr>
      </w:pPr>
      <w:r>
        <w:rPr>
          <w:b/>
          <w:bCs/>
          <w:spacing w:val="7"/>
          <w:sz w:val="21"/>
          <w:szCs w:val="21"/>
        </w:rPr>
        <w:t>5.投标人资格及资格条件特别说明</w:t>
      </w:r>
    </w:p>
    <w:p w14:paraId="13F05A58">
      <w:pPr>
        <w:pStyle w:val="6"/>
        <w:spacing w:before="113" w:line="228" w:lineRule="auto"/>
        <w:ind w:left="439"/>
        <w:rPr>
          <w:sz w:val="21"/>
          <w:szCs w:val="21"/>
        </w:rPr>
      </w:pPr>
      <w:r>
        <w:rPr>
          <w:b/>
          <w:bCs/>
          <w:spacing w:val="3"/>
          <w:sz w:val="21"/>
          <w:szCs w:val="21"/>
        </w:rPr>
        <w:t>5.1投标人资格</w:t>
      </w:r>
    </w:p>
    <w:p w14:paraId="07E48E30">
      <w:pPr>
        <w:pStyle w:val="6"/>
        <w:spacing w:before="147" w:line="227" w:lineRule="auto"/>
        <w:ind w:left="430"/>
        <w:rPr>
          <w:sz w:val="21"/>
          <w:szCs w:val="21"/>
        </w:rPr>
      </w:pPr>
      <w:r>
        <w:rPr>
          <w:spacing w:val="8"/>
          <w:sz w:val="21"/>
          <w:szCs w:val="21"/>
        </w:rPr>
        <w:t>（1）满足《中华人民共和国政府采购法》第二十二条规定；</w:t>
      </w:r>
    </w:p>
    <w:p w14:paraId="092705FB">
      <w:pPr>
        <w:pStyle w:val="6"/>
        <w:spacing w:before="152" w:line="227" w:lineRule="auto"/>
        <w:ind w:left="430"/>
        <w:rPr>
          <w:sz w:val="21"/>
          <w:szCs w:val="21"/>
        </w:rPr>
      </w:pPr>
      <w:r>
        <w:rPr>
          <w:spacing w:val="8"/>
          <w:sz w:val="21"/>
          <w:szCs w:val="21"/>
        </w:rPr>
        <w:t>（2）落实政府采购政策需满足的资格要求：无；</w:t>
      </w:r>
    </w:p>
    <w:p w14:paraId="55763C78">
      <w:pPr>
        <w:pStyle w:val="6"/>
        <w:spacing w:before="155" w:line="227" w:lineRule="auto"/>
        <w:ind w:left="430"/>
        <w:rPr>
          <w:sz w:val="21"/>
          <w:szCs w:val="21"/>
        </w:rPr>
      </w:pPr>
      <w:r>
        <w:rPr>
          <w:spacing w:val="7"/>
          <w:sz w:val="21"/>
          <w:szCs w:val="21"/>
        </w:rPr>
        <w:t>（3）本项目的特定资格要求：无。</w:t>
      </w:r>
    </w:p>
    <w:p w14:paraId="1C1AEFB6">
      <w:pPr>
        <w:pStyle w:val="6"/>
        <w:spacing w:before="121" w:line="228" w:lineRule="auto"/>
        <w:ind w:left="439"/>
        <w:rPr>
          <w:sz w:val="21"/>
          <w:szCs w:val="21"/>
        </w:rPr>
      </w:pPr>
      <w:r>
        <w:rPr>
          <w:b/>
          <w:bCs/>
          <w:spacing w:val="4"/>
          <w:sz w:val="21"/>
          <w:szCs w:val="21"/>
        </w:rPr>
        <w:t>5.2资格条件特别说明</w:t>
      </w:r>
    </w:p>
    <w:p w14:paraId="3735CA2D">
      <w:pPr>
        <w:pStyle w:val="6"/>
        <w:spacing w:before="114" w:line="297" w:lineRule="auto"/>
        <w:ind w:left="3" w:right="85" w:firstLine="442"/>
        <w:rPr>
          <w:sz w:val="21"/>
          <w:szCs w:val="21"/>
        </w:rPr>
      </w:pPr>
      <w:r>
        <w:rPr>
          <w:spacing w:val="8"/>
          <w:sz w:val="21"/>
          <w:szCs w:val="21"/>
        </w:rPr>
        <w:t>（1）单位负责人为同一人或者存在直接控</w:t>
      </w:r>
      <w:r>
        <w:rPr>
          <w:spacing w:val="7"/>
          <w:sz w:val="21"/>
          <w:szCs w:val="21"/>
        </w:rPr>
        <w:t>股、管理关系的不同供应商，不得参加同一合同项下</w:t>
      </w:r>
      <w:r>
        <w:rPr>
          <w:spacing w:val="11"/>
          <w:sz w:val="21"/>
          <w:szCs w:val="21"/>
        </w:rPr>
        <w:t>的政府采购活动。除单一来源采购项目外，为采购项目提供整</w:t>
      </w:r>
      <w:r>
        <w:rPr>
          <w:spacing w:val="10"/>
          <w:sz w:val="21"/>
          <w:szCs w:val="21"/>
        </w:rPr>
        <w:t>体设计、规范编制或者项目管理、监</w:t>
      </w:r>
      <w:r>
        <w:rPr>
          <w:spacing w:val="9"/>
          <w:sz w:val="21"/>
          <w:szCs w:val="21"/>
        </w:rPr>
        <w:t>理、检测等服务的供应商，不得再参加该采购项目的其他采购活动。</w:t>
      </w:r>
    </w:p>
    <w:p w14:paraId="61102BF6">
      <w:pPr>
        <w:pStyle w:val="6"/>
        <w:keepNext w:val="0"/>
        <w:keepLines w:val="0"/>
        <w:pageBreakBefore w:val="0"/>
        <w:widowControl/>
        <w:kinsoku w:val="0"/>
        <w:wordWrap/>
        <w:overflowPunct/>
        <w:topLinePunct w:val="0"/>
        <w:autoSpaceDE w:val="0"/>
        <w:autoSpaceDN w:val="0"/>
        <w:bidi w:val="0"/>
        <w:adjustRightInd w:val="0"/>
        <w:snapToGrid w:val="0"/>
        <w:spacing w:before="115" w:line="298" w:lineRule="auto"/>
        <w:ind w:right="85" w:firstLine="442"/>
        <w:jc w:val="both"/>
        <w:textAlignment w:val="baseline"/>
        <w:rPr>
          <w:sz w:val="21"/>
          <w:szCs w:val="21"/>
        </w:rPr>
      </w:pPr>
      <w:r>
        <w:rPr>
          <w:spacing w:val="9"/>
          <w:sz w:val="21"/>
          <w:szCs w:val="21"/>
        </w:rPr>
        <w:t>（2）对在“信用中国”网站(</w:t>
      </w:r>
      <w:r>
        <w:rPr>
          <w:sz w:val="21"/>
          <w:szCs w:val="21"/>
        </w:rPr>
        <w:t>www</w:t>
      </w:r>
      <w:r>
        <w:rPr>
          <w:spacing w:val="9"/>
          <w:sz w:val="21"/>
          <w:szCs w:val="21"/>
        </w:rPr>
        <w:t>.</w:t>
      </w:r>
      <w:r>
        <w:rPr>
          <w:sz w:val="21"/>
          <w:szCs w:val="21"/>
        </w:rPr>
        <w:t>creditchina</w:t>
      </w:r>
      <w:r>
        <w:rPr>
          <w:spacing w:val="9"/>
          <w:sz w:val="21"/>
          <w:szCs w:val="21"/>
        </w:rPr>
        <w:t>.</w:t>
      </w:r>
      <w:r>
        <w:rPr>
          <w:sz w:val="21"/>
          <w:szCs w:val="21"/>
        </w:rPr>
        <w:t>gov</w:t>
      </w:r>
      <w:r>
        <w:rPr>
          <w:spacing w:val="9"/>
          <w:sz w:val="21"/>
          <w:szCs w:val="21"/>
        </w:rPr>
        <w:t>.</w:t>
      </w:r>
      <w:r>
        <w:rPr>
          <w:sz w:val="21"/>
          <w:szCs w:val="21"/>
        </w:rPr>
        <w:t>cn</w:t>
      </w:r>
      <w:r>
        <w:rPr>
          <w:spacing w:val="9"/>
          <w:sz w:val="21"/>
          <w:szCs w:val="21"/>
        </w:rPr>
        <w:t>)、中国政府采购网(</w:t>
      </w:r>
      <w:r>
        <w:rPr>
          <w:sz w:val="21"/>
          <w:szCs w:val="21"/>
        </w:rPr>
        <w:t>www</w:t>
      </w:r>
      <w:r>
        <w:rPr>
          <w:spacing w:val="8"/>
          <w:sz w:val="21"/>
          <w:szCs w:val="21"/>
        </w:rPr>
        <w:t>.</w:t>
      </w:r>
      <w:r>
        <w:rPr>
          <w:sz w:val="21"/>
          <w:szCs w:val="21"/>
        </w:rPr>
        <w:t>ccgp</w:t>
      </w:r>
      <w:r>
        <w:rPr>
          <w:spacing w:val="8"/>
          <w:sz w:val="21"/>
          <w:szCs w:val="21"/>
        </w:rPr>
        <w:t>.</w:t>
      </w:r>
      <w:r>
        <w:rPr>
          <w:sz w:val="21"/>
          <w:szCs w:val="21"/>
        </w:rPr>
        <w:t>gov</w:t>
      </w:r>
      <w:r>
        <w:rPr>
          <w:spacing w:val="8"/>
          <w:sz w:val="21"/>
          <w:szCs w:val="21"/>
        </w:rPr>
        <w:t>.</w:t>
      </w:r>
      <w:r>
        <w:rPr>
          <w:sz w:val="21"/>
          <w:szCs w:val="21"/>
        </w:rPr>
        <w:t>cn</w:t>
      </w:r>
      <w:r>
        <w:rPr>
          <w:spacing w:val="8"/>
          <w:sz w:val="21"/>
          <w:szCs w:val="21"/>
        </w:rPr>
        <w:t>)</w:t>
      </w:r>
      <w:r>
        <w:rPr>
          <w:spacing w:val="11"/>
          <w:sz w:val="21"/>
          <w:szCs w:val="21"/>
        </w:rPr>
        <w:t>被列入失信被执行人、重大税收违法案件当事人名单、政府采购严重</w:t>
      </w:r>
      <w:r>
        <w:rPr>
          <w:spacing w:val="10"/>
          <w:sz w:val="21"/>
          <w:szCs w:val="21"/>
        </w:rPr>
        <w:t>违法失信行为记录名单及其他不符合《中华人民共和国政府采购法》第二十二</w:t>
      </w:r>
      <w:r>
        <w:rPr>
          <w:spacing w:val="9"/>
          <w:sz w:val="21"/>
          <w:szCs w:val="21"/>
        </w:rPr>
        <w:t>条规定条件的供应商，不得参与政府采购活动。</w:t>
      </w:r>
    </w:p>
    <w:p w14:paraId="34B4C2AA">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firstLine="446" w:firstLineChars="200"/>
        <w:textAlignment w:val="baseline"/>
        <w:rPr>
          <w:b/>
          <w:bCs/>
          <w:spacing w:val="6"/>
          <w:sz w:val="21"/>
          <w:szCs w:val="21"/>
        </w:rPr>
      </w:pPr>
      <w:r>
        <w:rPr>
          <w:b/>
          <w:bCs/>
          <w:spacing w:val="6"/>
          <w:sz w:val="21"/>
          <w:szCs w:val="21"/>
        </w:rPr>
        <w:t>6.参与电子投标的准备工作</w:t>
      </w:r>
    </w:p>
    <w:p w14:paraId="2B7B1707">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sz w:val="21"/>
          <w:szCs w:val="21"/>
        </w:rPr>
      </w:pPr>
      <w:r>
        <w:rPr>
          <w:rFonts w:hint="eastAsia"/>
          <w:sz w:val="21"/>
          <w:szCs w:val="21"/>
        </w:rPr>
        <w:t>6</w:t>
      </w:r>
      <w:r>
        <w:rPr>
          <w:rFonts w:hint="eastAsia"/>
          <w:sz w:val="21"/>
          <w:szCs w:val="21"/>
          <w:lang w:val="en-US" w:eastAsia="zh-CN"/>
        </w:rPr>
        <w:t>.</w:t>
      </w:r>
      <w:r>
        <w:rPr>
          <w:rFonts w:hint="eastAsia"/>
          <w:sz w:val="21"/>
          <w:szCs w:val="21"/>
        </w:rPr>
        <w:t>1本项目实行全流程电子化采购，投标人通过</w:t>
      </w:r>
      <w:r>
        <w:rPr>
          <w:rFonts w:hint="eastAsia"/>
          <w:sz w:val="21"/>
          <w:szCs w:val="21"/>
          <w:lang w:eastAsia="zh-CN"/>
        </w:rPr>
        <w:t>“广西政府采购云平台”</w:t>
      </w:r>
      <w:r>
        <w:rPr>
          <w:rFonts w:hint="eastAsia"/>
          <w:sz w:val="21"/>
          <w:szCs w:val="21"/>
        </w:rPr>
        <w:t>参与电子投标，并应做好以下相关准备工作：①在</w:t>
      </w:r>
      <w:r>
        <w:rPr>
          <w:rFonts w:hint="eastAsia"/>
          <w:sz w:val="21"/>
          <w:szCs w:val="21"/>
          <w:lang w:eastAsia="zh-CN"/>
        </w:rPr>
        <w:t>“广西政府采购云平台”</w:t>
      </w:r>
      <w:r>
        <w:rPr>
          <w:rFonts w:hint="eastAsia"/>
          <w:sz w:val="21"/>
          <w:szCs w:val="21"/>
        </w:rPr>
        <w:t>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hint="eastAsia"/>
          <w:sz w:val="21"/>
          <w:szCs w:val="21"/>
          <w:lang w:eastAsia="zh-CN"/>
        </w:rPr>
        <w:t>广西政府采购云平台</w:t>
      </w:r>
      <w:r>
        <w:rPr>
          <w:rFonts w:hint="eastAsia"/>
          <w:sz w:val="21"/>
          <w:szCs w:val="21"/>
        </w:rPr>
        <w:t>电子投标客户端”）并安装成功，投标人应当在提交投标文件截止时间前在</w:t>
      </w:r>
      <w:r>
        <w:rPr>
          <w:rFonts w:hint="eastAsia"/>
          <w:sz w:val="21"/>
          <w:szCs w:val="21"/>
          <w:lang w:eastAsia="zh-CN"/>
        </w:rPr>
        <w:t>“广西政府采购云平台”</w:t>
      </w:r>
      <w:r>
        <w:rPr>
          <w:rFonts w:hint="eastAsia"/>
          <w:sz w:val="21"/>
          <w:szCs w:val="21"/>
        </w:rPr>
        <w:t>完成身份认证，确保能够对相关数据电文进行加密和使用电子签章；④自备计算机和网络设备并确保能接入互联网（费用由投标人自行承担，设备确保可进行视频通话和读取</w:t>
      </w:r>
      <w:r>
        <w:rPr>
          <w:rFonts w:hint="eastAsia"/>
          <w:sz w:val="21"/>
          <w:szCs w:val="21"/>
          <w:lang w:eastAsia="zh-CN"/>
        </w:rPr>
        <w:t>广西政府采购云平台</w:t>
      </w:r>
      <w:r>
        <w:rPr>
          <w:rFonts w:hint="eastAsia"/>
          <w:sz w:val="21"/>
          <w:szCs w:val="21"/>
        </w:rPr>
        <w:t>CA证书）。因投标人未做好相关准备工作等自身原因导致无法参加本项目电子投标或投标失败的，造成的一切后果，由投标人自行承担。</w:t>
      </w:r>
    </w:p>
    <w:p w14:paraId="23CADDC7">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sz w:val="21"/>
          <w:szCs w:val="21"/>
        </w:rPr>
      </w:pPr>
      <w:r>
        <w:rPr>
          <w:rFonts w:hint="eastAsia"/>
          <w:sz w:val="21"/>
          <w:szCs w:val="21"/>
        </w:rPr>
        <w:t>6</w:t>
      </w:r>
      <w:r>
        <w:rPr>
          <w:rFonts w:hint="eastAsia"/>
          <w:sz w:val="21"/>
          <w:szCs w:val="21"/>
          <w:lang w:val="en-US" w:eastAsia="zh-CN"/>
        </w:rPr>
        <w:t>.</w:t>
      </w:r>
      <w:r>
        <w:rPr>
          <w:rFonts w:hint="eastAsia"/>
          <w:sz w:val="21"/>
          <w:szCs w:val="21"/>
        </w:rPr>
        <w:t>2电子投标具体操作流程参考《政府采购项目电子交易管理操作指南-供应商》（详见桂林市政府采购网—采购资讯—重要通知）；如遇平台技术问题详询</w:t>
      </w:r>
      <w:r>
        <w:rPr>
          <w:rFonts w:hint="eastAsia"/>
          <w:sz w:val="21"/>
          <w:szCs w:val="21"/>
          <w:lang w:eastAsia="zh-CN"/>
        </w:rPr>
        <w:t>95763</w:t>
      </w:r>
      <w:r>
        <w:rPr>
          <w:rFonts w:hint="eastAsia"/>
          <w:sz w:val="21"/>
          <w:szCs w:val="21"/>
        </w:rPr>
        <w:t>。</w:t>
      </w:r>
    </w:p>
    <w:p w14:paraId="126DBB63">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sz w:val="21"/>
          <w:szCs w:val="21"/>
        </w:rPr>
      </w:pPr>
      <w:r>
        <w:rPr>
          <w:rFonts w:hint="eastAsia"/>
          <w:sz w:val="21"/>
          <w:szCs w:val="21"/>
        </w:rPr>
        <w:t>6</w:t>
      </w:r>
      <w:r>
        <w:rPr>
          <w:rFonts w:hint="eastAsia"/>
          <w:sz w:val="21"/>
          <w:szCs w:val="21"/>
          <w:lang w:val="en-US" w:eastAsia="zh-CN"/>
        </w:rPr>
        <w:t>.</w:t>
      </w:r>
      <w:r>
        <w:rPr>
          <w:rFonts w:hint="eastAsia"/>
          <w:sz w:val="21"/>
          <w:szCs w:val="21"/>
        </w:rPr>
        <w:t>3不论投标结果如何，投标人均应自行承担所有与投标有关的全部费用。</w:t>
      </w:r>
    </w:p>
    <w:p w14:paraId="4FFB17BE">
      <w:pPr>
        <w:pStyle w:val="6"/>
        <w:keepNext w:val="0"/>
        <w:keepLines w:val="0"/>
        <w:pageBreakBefore w:val="0"/>
        <w:widowControl/>
        <w:kinsoku w:val="0"/>
        <w:wordWrap/>
        <w:overflowPunct/>
        <w:topLinePunct w:val="0"/>
        <w:autoSpaceDE w:val="0"/>
        <w:autoSpaceDN w:val="0"/>
        <w:bidi w:val="0"/>
        <w:adjustRightInd w:val="0"/>
        <w:snapToGrid w:val="0"/>
        <w:spacing w:before="113" w:line="360" w:lineRule="auto"/>
        <w:ind w:left="440"/>
        <w:textAlignment w:val="baseline"/>
        <w:rPr>
          <w:sz w:val="21"/>
          <w:szCs w:val="21"/>
        </w:rPr>
      </w:pPr>
      <w:r>
        <w:rPr>
          <w:b/>
          <w:bCs/>
          <w:spacing w:val="5"/>
          <w:sz w:val="21"/>
          <w:szCs w:val="21"/>
        </w:rPr>
        <w:t>7.联合体投标要求</w:t>
      </w:r>
    </w:p>
    <w:p w14:paraId="3C562549">
      <w:pPr>
        <w:pStyle w:val="6"/>
        <w:spacing w:line="240" w:lineRule="auto"/>
        <w:ind w:left="0" w:firstLine="452" w:firstLineChars="200"/>
        <w:rPr>
          <w:sz w:val="21"/>
          <w:szCs w:val="21"/>
        </w:rPr>
      </w:pPr>
      <w:r>
        <w:rPr>
          <w:spacing w:val="8"/>
          <w:sz w:val="21"/>
          <w:szCs w:val="21"/>
        </w:rPr>
        <w:t>本项目不接受联合体投标。</w:t>
      </w:r>
    </w:p>
    <w:p w14:paraId="2D9B71A9">
      <w:pPr>
        <w:pStyle w:val="6"/>
        <w:spacing w:before="115" w:line="228" w:lineRule="auto"/>
        <w:ind w:left="436"/>
        <w:rPr>
          <w:sz w:val="21"/>
          <w:szCs w:val="21"/>
        </w:rPr>
      </w:pPr>
      <w:r>
        <w:rPr>
          <w:b/>
          <w:bCs/>
          <w:spacing w:val="5"/>
          <w:sz w:val="21"/>
          <w:szCs w:val="21"/>
        </w:rPr>
        <w:t>8.转包与分包</w:t>
      </w:r>
    </w:p>
    <w:p w14:paraId="14DE0F2D">
      <w:pPr>
        <w:pStyle w:val="6"/>
        <w:spacing w:before="112" w:line="227" w:lineRule="auto"/>
        <w:ind w:left="436"/>
        <w:rPr>
          <w:sz w:val="21"/>
          <w:szCs w:val="21"/>
        </w:rPr>
      </w:pPr>
      <w:r>
        <w:rPr>
          <w:spacing w:val="6"/>
          <w:sz w:val="21"/>
          <w:szCs w:val="21"/>
        </w:rPr>
        <w:t>8.1本项目不允许转包。</w:t>
      </w:r>
    </w:p>
    <w:p w14:paraId="4E4DC8DE">
      <w:pPr>
        <w:pStyle w:val="6"/>
        <w:spacing w:before="114" w:line="227" w:lineRule="auto"/>
        <w:ind w:left="436"/>
        <w:rPr>
          <w:sz w:val="21"/>
          <w:szCs w:val="21"/>
        </w:rPr>
      </w:pPr>
      <w:r>
        <w:rPr>
          <w:spacing w:val="6"/>
          <w:sz w:val="21"/>
          <w:szCs w:val="21"/>
        </w:rPr>
        <w:t>8.2本项目不接受分包。</w:t>
      </w:r>
    </w:p>
    <w:p w14:paraId="3C59A20D">
      <w:pPr>
        <w:pStyle w:val="6"/>
        <w:spacing w:before="114" w:line="228" w:lineRule="auto"/>
        <w:ind w:left="436"/>
        <w:rPr>
          <w:sz w:val="21"/>
          <w:szCs w:val="21"/>
        </w:rPr>
      </w:pPr>
      <w:r>
        <w:rPr>
          <w:b/>
          <w:bCs/>
          <w:spacing w:val="5"/>
          <w:sz w:val="21"/>
          <w:szCs w:val="21"/>
        </w:rPr>
        <w:t>9.特别说明</w:t>
      </w:r>
    </w:p>
    <w:p w14:paraId="1883BCC0">
      <w:pPr>
        <w:pStyle w:val="6"/>
        <w:spacing w:before="113" w:line="227" w:lineRule="auto"/>
        <w:ind w:left="436"/>
        <w:rPr>
          <w:sz w:val="21"/>
          <w:szCs w:val="21"/>
        </w:rPr>
      </w:pPr>
      <w:r>
        <w:rPr>
          <w:spacing w:val="9"/>
          <w:sz w:val="21"/>
          <w:szCs w:val="21"/>
        </w:rPr>
        <w:t>9.1关联供应商不得参加同一合同项下政府采购活动，否则</w:t>
      </w:r>
      <w:r>
        <w:rPr>
          <w:spacing w:val="8"/>
          <w:sz w:val="21"/>
          <w:szCs w:val="21"/>
        </w:rPr>
        <w:t>投标文件将被视为无效：</w:t>
      </w:r>
    </w:p>
    <w:p w14:paraId="4E507A34">
      <w:pPr>
        <w:pStyle w:val="6"/>
        <w:spacing w:before="114" w:line="280" w:lineRule="auto"/>
        <w:ind w:left="17" w:right="70" w:firstLine="413"/>
        <w:rPr>
          <w:sz w:val="21"/>
          <w:szCs w:val="21"/>
        </w:rPr>
      </w:pPr>
      <w:r>
        <w:rPr>
          <w:spacing w:val="8"/>
          <w:sz w:val="21"/>
          <w:szCs w:val="21"/>
        </w:rPr>
        <w:t>（1）单位负责人为同一人或者存在直接控股、管理关系的不同供应商，不得</w:t>
      </w:r>
      <w:r>
        <w:rPr>
          <w:spacing w:val="7"/>
          <w:sz w:val="21"/>
          <w:szCs w:val="21"/>
        </w:rPr>
        <w:t>参加同一合同项下</w:t>
      </w:r>
      <w:r>
        <w:rPr>
          <w:spacing w:val="5"/>
          <w:sz w:val="21"/>
          <w:szCs w:val="21"/>
        </w:rPr>
        <w:t>的政府采购活动。</w:t>
      </w:r>
    </w:p>
    <w:p w14:paraId="69E0B6C0">
      <w:pPr>
        <w:pStyle w:val="6"/>
        <w:spacing w:before="113" w:line="280" w:lineRule="auto"/>
        <w:ind w:left="2" w:right="70" w:firstLine="442"/>
        <w:rPr>
          <w:sz w:val="21"/>
          <w:szCs w:val="21"/>
        </w:rPr>
      </w:pPr>
      <w:r>
        <w:rPr>
          <w:spacing w:val="8"/>
          <w:sz w:val="21"/>
          <w:szCs w:val="21"/>
        </w:rPr>
        <w:t>（2）为本采购项目提供整体设计、规范编</w:t>
      </w:r>
      <w:r>
        <w:rPr>
          <w:spacing w:val="7"/>
          <w:sz w:val="21"/>
          <w:szCs w:val="21"/>
        </w:rPr>
        <w:t>制或者项目管理、监理、检测等服务的供应商，不得再参加本次采购活动。</w:t>
      </w:r>
    </w:p>
    <w:p w14:paraId="43BD44F3">
      <w:pPr>
        <w:pStyle w:val="6"/>
        <w:spacing w:before="114" w:line="280" w:lineRule="auto"/>
        <w:ind w:left="17" w:right="71" w:firstLine="418"/>
        <w:rPr>
          <w:sz w:val="21"/>
          <w:szCs w:val="21"/>
        </w:rPr>
      </w:pPr>
      <w:r>
        <w:rPr>
          <w:spacing w:val="11"/>
          <w:sz w:val="21"/>
          <w:szCs w:val="21"/>
        </w:rPr>
        <w:t>9.2投标人应仔细阅读招标文件的所有内容，按照招标文件的要求提交投标文件，并</w:t>
      </w:r>
      <w:r>
        <w:rPr>
          <w:spacing w:val="10"/>
          <w:sz w:val="21"/>
          <w:szCs w:val="21"/>
        </w:rPr>
        <w:t>对所提供</w:t>
      </w:r>
      <w:r>
        <w:rPr>
          <w:spacing w:val="7"/>
          <w:sz w:val="21"/>
          <w:szCs w:val="21"/>
        </w:rPr>
        <w:t>的全部资料的真实性承担法律责任。</w:t>
      </w:r>
    </w:p>
    <w:p w14:paraId="5BF635C7">
      <w:pPr>
        <w:pStyle w:val="6"/>
        <w:spacing w:before="114" w:line="280" w:lineRule="auto"/>
        <w:ind w:left="17" w:right="71" w:firstLine="418"/>
        <w:rPr>
          <w:rFonts w:ascii="宋体" w:hAnsi="宋体" w:eastAsia="宋体" w:cs="宋体"/>
          <w:spacing w:val="11"/>
          <w:sz w:val="21"/>
          <w:szCs w:val="21"/>
        </w:rPr>
      </w:pPr>
      <w:r>
        <w:rPr>
          <w:rFonts w:ascii="宋体" w:hAnsi="宋体" w:eastAsia="宋体" w:cs="宋体"/>
          <w:spacing w:val="11"/>
          <w:sz w:val="21"/>
          <w:szCs w:val="21"/>
        </w:rPr>
        <w:t>9.3</w:t>
      </w:r>
      <w:r>
        <w:rPr>
          <w:rFonts w:hint="eastAsia" w:ascii="宋体" w:hAnsi="宋体" w:eastAsia="宋体" w:cs="宋体"/>
          <w:spacing w:val="11"/>
          <w:sz w:val="21"/>
          <w:szCs w:val="21"/>
        </w:rPr>
        <w:t>投标人在投标活动中提供任何虚假材料，其投标无效，并报监管部门查处；中标后发现的，中标人须依照《中华人民共和国消费者权益保护法》赔偿采购人，且民事赔偿并不免除违法投标人的行政与刑事责任。</w:t>
      </w:r>
    </w:p>
    <w:p w14:paraId="147B4943">
      <w:pPr>
        <w:pStyle w:val="6"/>
        <w:spacing w:before="114" w:line="228" w:lineRule="auto"/>
        <w:ind w:left="426"/>
        <w:rPr>
          <w:sz w:val="21"/>
          <w:szCs w:val="21"/>
        </w:rPr>
      </w:pPr>
      <w:r>
        <w:rPr>
          <w:b/>
          <w:bCs/>
          <w:spacing w:val="3"/>
          <w:sz w:val="21"/>
          <w:szCs w:val="21"/>
        </w:rPr>
        <w:t>10.质疑和投诉</w:t>
      </w:r>
    </w:p>
    <w:p w14:paraId="5307069A">
      <w:pPr>
        <w:pStyle w:val="6"/>
        <w:spacing w:before="111" w:line="325" w:lineRule="auto"/>
        <w:ind w:right="68" w:firstLine="449"/>
        <w:rPr>
          <w:sz w:val="21"/>
          <w:szCs w:val="21"/>
        </w:rPr>
      </w:pPr>
      <w:r>
        <w:rPr>
          <w:spacing w:val="8"/>
          <w:sz w:val="21"/>
          <w:szCs w:val="21"/>
        </w:rPr>
        <w:t>10.1投标人认为招标文件使自己的合法权益受到损害的，应当在本项目公告期限届满之日起七</w:t>
      </w:r>
      <w:r>
        <w:rPr>
          <w:spacing w:val="11"/>
          <w:sz w:val="21"/>
          <w:szCs w:val="21"/>
        </w:rPr>
        <w:t>个工作日内以书面形式向采购代理机构提出质疑；投标人认为招标过</w:t>
      </w:r>
      <w:r>
        <w:rPr>
          <w:spacing w:val="10"/>
          <w:sz w:val="21"/>
          <w:szCs w:val="21"/>
        </w:rPr>
        <w:t>程或中标结果使自己的合法权益受到损害的，应当在各采购程序环节结束之日或中标公告期限届满之日</w:t>
      </w:r>
      <w:r>
        <w:rPr>
          <w:spacing w:val="9"/>
          <w:sz w:val="21"/>
          <w:szCs w:val="21"/>
        </w:rPr>
        <w:t>起七个工作日内，以书面形式向采购代理机构提出质疑。否则，采购代理机构有权拒收。</w:t>
      </w:r>
    </w:p>
    <w:p w14:paraId="0AAAB64E">
      <w:pPr>
        <w:pStyle w:val="6"/>
        <w:spacing w:before="34" w:line="317" w:lineRule="auto"/>
        <w:ind w:right="71" w:firstLine="434"/>
        <w:rPr>
          <w:sz w:val="21"/>
          <w:szCs w:val="21"/>
        </w:rPr>
      </w:pPr>
      <w:r>
        <w:rPr>
          <w:spacing w:val="10"/>
          <w:sz w:val="21"/>
          <w:szCs w:val="21"/>
        </w:rPr>
        <w:t>采购代理机构应认真做好质疑处理工作，对于质疑供应商在法定质疑期内提出的质疑函，应</w:t>
      </w:r>
      <w:r>
        <w:rPr>
          <w:spacing w:val="9"/>
          <w:sz w:val="21"/>
          <w:szCs w:val="21"/>
        </w:rPr>
        <w:t>在收到质疑函后7个工作日内作出答复，并以书面形式通知质疑供应商和</w:t>
      </w:r>
      <w:r>
        <w:rPr>
          <w:spacing w:val="8"/>
          <w:sz w:val="21"/>
          <w:szCs w:val="21"/>
        </w:rPr>
        <w:t>其他有关供应商。</w:t>
      </w:r>
    </w:p>
    <w:p w14:paraId="259E9CFF">
      <w:pPr>
        <w:pStyle w:val="6"/>
        <w:spacing w:before="33" w:line="317" w:lineRule="auto"/>
        <w:ind w:left="14" w:right="71" w:firstLine="423"/>
        <w:rPr>
          <w:sz w:val="21"/>
          <w:szCs w:val="21"/>
        </w:rPr>
      </w:pPr>
      <w:r>
        <w:rPr>
          <w:spacing w:val="10"/>
          <w:sz w:val="21"/>
          <w:szCs w:val="21"/>
        </w:rPr>
        <w:t>投标人在法定质疑期内应一次性提出与项目相关的质疑，投标人在提出与项目相关的质疑前应</w:t>
      </w:r>
      <w:r>
        <w:rPr>
          <w:spacing w:val="9"/>
          <w:sz w:val="21"/>
          <w:szCs w:val="21"/>
        </w:rPr>
        <w:t>当做好全面且详细的工作，代理机构不再受理投标人针对同一采购程序环节的再次质疑。</w:t>
      </w:r>
    </w:p>
    <w:p w14:paraId="1C56A0D4">
      <w:pPr>
        <w:pStyle w:val="6"/>
        <w:spacing w:before="31" w:line="280" w:lineRule="auto"/>
        <w:ind w:left="24" w:right="70" w:firstLine="426"/>
        <w:rPr>
          <w:sz w:val="21"/>
          <w:szCs w:val="21"/>
        </w:rPr>
      </w:pPr>
      <w:r>
        <w:rPr>
          <w:spacing w:val="8"/>
          <w:sz w:val="21"/>
          <w:szCs w:val="21"/>
        </w:rPr>
        <w:t>10.2投标人对采购代理机构的答复不满意或者采购代理机构未在规定的时间内作出答复的，可以在答复期满后十五个工作日内向桂林市政府采购监督管理机构投诉。</w:t>
      </w:r>
    </w:p>
    <w:p w14:paraId="78CE207F">
      <w:pPr>
        <w:pStyle w:val="6"/>
        <w:spacing w:before="114" w:line="280" w:lineRule="auto"/>
        <w:ind w:left="1" w:right="70" w:firstLine="449"/>
        <w:rPr>
          <w:sz w:val="21"/>
          <w:szCs w:val="21"/>
        </w:rPr>
      </w:pPr>
      <w:r>
        <w:rPr>
          <w:spacing w:val="8"/>
          <w:sz w:val="21"/>
          <w:szCs w:val="21"/>
        </w:rPr>
        <w:t>10.3质疑、投诉应当采用书面形式，质疑书、投诉书实行实名制，均应明确阐述招标文件、招</w:t>
      </w:r>
      <w:r>
        <w:rPr>
          <w:spacing w:val="9"/>
          <w:sz w:val="21"/>
          <w:szCs w:val="21"/>
        </w:rPr>
        <w:t>标过程或中标结果中使自己合法权益受到损害的实质性内容，并提供必要的证明材料。</w:t>
      </w:r>
    </w:p>
    <w:p w14:paraId="4B40ABE1">
      <w:pPr>
        <w:pStyle w:val="6"/>
        <w:spacing w:before="113" w:line="318" w:lineRule="auto"/>
        <w:ind w:left="1" w:right="71" w:firstLine="436"/>
        <w:rPr>
          <w:sz w:val="21"/>
          <w:szCs w:val="21"/>
        </w:rPr>
      </w:pPr>
      <w:r>
        <w:rPr>
          <w:spacing w:val="10"/>
          <w:sz w:val="21"/>
          <w:szCs w:val="21"/>
        </w:rPr>
        <w:t>投标人提出质疑应当提交质疑函和必要的证明材料，针对同一采购程序环节的质疑必须在法定</w:t>
      </w:r>
      <w:r>
        <w:rPr>
          <w:spacing w:val="9"/>
          <w:sz w:val="21"/>
          <w:szCs w:val="21"/>
        </w:rPr>
        <w:t>质疑期内一次性提出。质疑函应当包括下列内容：</w:t>
      </w:r>
    </w:p>
    <w:p w14:paraId="25E22D09">
      <w:pPr>
        <w:pStyle w:val="6"/>
        <w:spacing w:before="32" w:line="227" w:lineRule="auto"/>
        <w:ind w:left="445"/>
        <w:rPr>
          <w:sz w:val="21"/>
          <w:szCs w:val="21"/>
        </w:rPr>
      </w:pPr>
      <w:r>
        <w:rPr>
          <w:spacing w:val="9"/>
          <w:sz w:val="21"/>
          <w:szCs w:val="21"/>
        </w:rPr>
        <w:t>（1）供应商的姓名或者名称、地址、邮编、</w:t>
      </w:r>
      <w:r>
        <w:rPr>
          <w:spacing w:val="8"/>
          <w:sz w:val="21"/>
          <w:szCs w:val="21"/>
        </w:rPr>
        <w:t>联系人及联系电话；</w:t>
      </w:r>
    </w:p>
    <w:p w14:paraId="39751C5A">
      <w:pPr>
        <w:pStyle w:val="6"/>
        <w:spacing w:before="114" w:line="228" w:lineRule="auto"/>
        <w:ind w:left="445"/>
        <w:rPr>
          <w:sz w:val="21"/>
          <w:szCs w:val="21"/>
        </w:rPr>
      </w:pPr>
      <w:r>
        <w:rPr>
          <w:spacing w:val="7"/>
          <w:sz w:val="21"/>
          <w:szCs w:val="21"/>
        </w:rPr>
        <w:t>（2）质疑项目的名称、编号；</w:t>
      </w:r>
    </w:p>
    <w:p w14:paraId="7229B666">
      <w:pPr>
        <w:pStyle w:val="6"/>
        <w:spacing w:before="113" w:line="228" w:lineRule="auto"/>
        <w:ind w:left="445"/>
        <w:rPr>
          <w:rFonts w:ascii="宋体" w:hAnsi="宋体" w:eastAsia="宋体" w:cs="宋体"/>
          <w:spacing w:val="7"/>
          <w:sz w:val="21"/>
          <w:szCs w:val="21"/>
          <w:lang w:val="en-US" w:eastAsia="en-US"/>
        </w:rPr>
      </w:pPr>
      <w:r>
        <w:rPr>
          <w:spacing w:val="8"/>
          <w:sz w:val="21"/>
          <w:szCs w:val="21"/>
        </w:rPr>
        <w:t>（3）具体、明确的质疑事项和与质疑事项相关的请求；</w:t>
      </w:r>
    </w:p>
    <w:p w14:paraId="2944FE4C">
      <w:pPr>
        <w:pStyle w:val="6"/>
        <w:spacing w:before="114" w:line="228" w:lineRule="auto"/>
        <w:ind w:left="445"/>
        <w:rPr>
          <w:rFonts w:ascii="宋体" w:hAnsi="宋体" w:eastAsia="宋体" w:cs="宋体"/>
          <w:spacing w:val="7"/>
          <w:sz w:val="21"/>
          <w:szCs w:val="21"/>
        </w:rPr>
      </w:pPr>
      <w:r>
        <w:rPr>
          <w:rFonts w:ascii="宋体" w:hAnsi="宋体" w:eastAsia="宋体" w:cs="宋体"/>
          <w:spacing w:val="7"/>
          <w:sz w:val="21"/>
          <w:szCs w:val="21"/>
        </w:rPr>
        <w:t>（4）事实依据；</w:t>
      </w:r>
    </w:p>
    <w:p w14:paraId="107D4536">
      <w:pPr>
        <w:pStyle w:val="6"/>
        <w:spacing w:before="114" w:line="228" w:lineRule="auto"/>
        <w:ind w:left="445"/>
        <w:rPr>
          <w:sz w:val="21"/>
          <w:szCs w:val="21"/>
        </w:rPr>
      </w:pPr>
      <w:r>
        <w:rPr>
          <w:rFonts w:ascii="宋体" w:hAnsi="宋体" w:eastAsia="宋体" w:cs="宋体"/>
          <w:spacing w:val="7"/>
          <w:sz w:val="21"/>
          <w:szCs w:val="21"/>
        </w:rPr>
        <w:t>（5）必要的法律依据</w:t>
      </w:r>
      <w:r>
        <w:rPr>
          <w:spacing w:val="6"/>
          <w:sz w:val="21"/>
          <w:szCs w:val="21"/>
        </w:rPr>
        <w:t>；</w:t>
      </w:r>
    </w:p>
    <w:p w14:paraId="694FB5C0">
      <w:pPr>
        <w:pStyle w:val="6"/>
        <w:spacing w:before="114" w:line="228" w:lineRule="auto"/>
        <w:ind w:left="443"/>
        <w:rPr>
          <w:sz w:val="21"/>
          <w:szCs w:val="21"/>
        </w:rPr>
      </w:pPr>
      <w:r>
        <w:rPr>
          <w:spacing w:val="6"/>
          <w:sz w:val="21"/>
          <w:szCs w:val="21"/>
        </w:rPr>
        <w:t>（6）提出质疑的日期。</w:t>
      </w:r>
    </w:p>
    <w:p w14:paraId="6E01B3E0">
      <w:pPr>
        <w:pStyle w:val="6"/>
        <w:spacing w:before="129" w:line="335" w:lineRule="auto"/>
        <w:ind w:left="6" w:right="2" w:firstLine="427"/>
        <w:rPr>
          <w:sz w:val="21"/>
          <w:szCs w:val="21"/>
        </w:rPr>
      </w:pPr>
      <w:r>
        <w:rPr>
          <w:spacing w:val="10"/>
          <w:sz w:val="21"/>
          <w:szCs w:val="21"/>
        </w:rPr>
        <w:t>供应商为法人或者其他组织的，应当由法定代表人、主要负责人，或者其授权代表签字或者盖</w:t>
      </w:r>
      <w:r>
        <w:rPr>
          <w:spacing w:val="6"/>
          <w:sz w:val="21"/>
          <w:szCs w:val="21"/>
        </w:rPr>
        <w:t>章，并加盖公章。</w:t>
      </w:r>
    </w:p>
    <w:p w14:paraId="25A771DF">
      <w:pPr>
        <w:pStyle w:val="6"/>
        <w:keepNext w:val="0"/>
        <w:keepLines w:val="0"/>
        <w:pageBreakBefore w:val="0"/>
        <w:widowControl/>
        <w:kinsoku w:val="0"/>
        <w:wordWrap/>
        <w:overflowPunct/>
        <w:topLinePunct w:val="0"/>
        <w:autoSpaceDE w:val="0"/>
        <w:autoSpaceDN w:val="0"/>
        <w:bidi w:val="0"/>
        <w:adjustRightInd w:val="0"/>
        <w:snapToGrid w:val="0"/>
        <w:spacing w:before="114" w:line="300" w:lineRule="exact"/>
        <w:ind w:left="445"/>
        <w:textAlignment w:val="baseline"/>
        <w:rPr>
          <w:rFonts w:ascii="宋体" w:hAnsi="宋体" w:eastAsia="宋体" w:cs="宋体"/>
          <w:spacing w:val="7"/>
          <w:sz w:val="21"/>
          <w:szCs w:val="21"/>
        </w:rPr>
      </w:pPr>
      <w:r>
        <w:rPr>
          <w:rFonts w:ascii="宋体" w:hAnsi="宋体" w:eastAsia="宋体" w:cs="宋体"/>
          <w:spacing w:val="7"/>
          <w:sz w:val="21"/>
          <w:szCs w:val="21"/>
        </w:rPr>
        <w:t>接收质疑函方式：以书面形式</w:t>
      </w:r>
    </w:p>
    <w:p w14:paraId="001E1E98">
      <w:pPr>
        <w:pStyle w:val="6"/>
        <w:keepNext w:val="0"/>
        <w:keepLines w:val="0"/>
        <w:pageBreakBefore w:val="0"/>
        <w:widowControl/>
        <w:kinsoku w:val="0"/>
        <w:wordWrap/>
        <w:overflowPunct/>
        <w:topLinePunct w:val="0"/>
        <w:autoSpaceDE w:val="0"/>
        <w:autoSpaceDN w:val="0"/>
        <w:bidi w:val="0"/>
        <w:adjustRightInd w:val="0"/>
        <w:snapToGrid w:val="0"/>
        <w:spacing w:before="114" w:line="300" w:lineRule="exact"/>
        <w:ind w:left="442"/>
        <w:textAlignment w:val="baseline"/>
        <w:rPr>
          <w:rFonts w:hint="eastAsia" w:ascii="宋体" w:hAnsi="宋体" w:eastAsia="宋体" w:cs="宋体"/>
          <w:spacing w:val="7"/>
          <w:sz w:val="21"/>
          <w:szCs w:val="21"/>
          <w:lang w:val="en-US" w:eastAsia="zh-CN"/>
        </w:rPr>
      </w:pPr>
      <w:r>
        <w:rPr>
          <w:rFonts w:ascii="宋体" w:hAnsi="宋体" w:eastAsia="宋体" w:cs="宋体"/>
          <w:spacing w:val="7"/>
          <w:sz w:val="21"/>
          <w:szCs w:val="21"/>
        </w:rPr>
        <w:t>质疑联系部门及联系方式：</w:t>
      </w:r>
      <w:r>
        <w:rPr>
          <w:rFonts w:hint="eastAsia" w:cs="宋体"/>
          <w:spacing w:val="7"/>
          <w:sz w:val="21"/>
          <w:szCs w:val="21"/>
          <w:lang w:eastAsia="zh-CN"/>
        </w:rPr>
        <w:t>广西合士嘉项目咨询有限公司</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联系人：</w:t>
      </w:r>
      <w:r>
        <w:rPr>
          <w:rFonts w:hint="eastAsia" w:cs="宋体"/>
          <w:spacing w:val="7"/>
          <w:sz w:val="21"/>
          <w:szCs w:val="21"/>
          <w:lang w:val="en-US" w:eastAsia="zh-CN"/>
        </w:rPr>
        <w:t>刘</w:t>
      </w:r>
      <w:r>
        <w:rPr>
          <w:rFonts w:hint="eastAsia" w:ascii="宋体" w:hAnsi="宋体" w:eastAsia="宋体" w:cs="宋体"/>
          <w:spacing w:val="7"/>
          <w:sz w:val="21"/>
          <w:szCs w:val="21"/>
          <w:lang w:val="en-US" w:eastAsia="zh-CN"/>
        </w:rPr>
        <w:t xml:space="preserve">工 </w:t>
      </w:r>
    </w:p>
    <w:p w14:paraId="6EF14AA2">
      <w:pPr>
        <w:pStyle w:val="6"/>
        <w:keepNext w:val="0"/>
        <w:keepLines w:val="0"/>
        <w:pageBreakBefore w:val="0"/>
        <w:widowControl/>
        <w:kinsoku w:val="0"/>
        <w:wordWrap/>
        <w:overflowPunct/>
        <w:topLinePunct w:val="0"/>
        <w:autoSpaceDE w:val="0"/>
        <w:autoSpaceDN w:val="0"/>
        <w:bidi w:val="0"/>
        <w:adjustRightInd w:val="0"/>
        <w:snapToGrid w:val="0"/>
        <w:spacing w:before="114" w:line="300" w:lineRule="exact"/>
        <w:ind w:left="442"/>
        <w:textAlignment w:val="baseline"/>
        <w:rPr>
          <w:rFonts w:hint="default" w:ascii="宋体" w:hAnsi="宋体" w:eastAsia="宋体" w:cs="宋体"/>
          <w:spacing w:val="7"/>
          <w:sz w:val="21"/>
          <w:szCs w:val="21"/>
          <w:lang w:val="en-US"/>
        </w:rPr>
      </w:pPr>
      <w:r>
        <w:rPr>
          <w:rFonts w:hint="eastAsia" w:ascii="宋体" w:hAnsi="宋体" w:eastAsia="宋体" w:cs="宋体"/>
          <w:spacing w:val="7"/>
          <w:sz w:val="21"/>
          <w:szCs w:val="21"/>
          <w:lang w:val="en-US" w:eastAsia="zh-CN"/>
        </w:rPr>
        <w:t>联系方式</w:t>
      </w:r>
      <w:r>
        <w:rPr>
          <w:rFonts w:hint="eastAsia" w:cs="宋体"/>
          <w:spacing w:val="7"/>
          <w:sz w:val="21"/>
          <w:szCs w:val="21"/>
          <w:lang w:val="en-US" w:eastAsia="zh-CN"/>
        </w:rPr>
        <w:t>：</w:t>
      </w:r>
      <w:r>
        <w:rPr>
          <w:rFonts w:hint="eastAsia" w:ascii="宋体" w:hAnsi="宋体" w:eastAsia="宋体" w:cs="宋体"/>
          <w:spacing w:val="7"/>
          <w:sz w:val="21"/>
          <w:szCs w:val="21"/>
        </w:rPr>
        <w:t>0773-5636767</w:t>
      </w:r>
    </w:p>
    <w:p w14:paraId="27CF23AE">
      <w:pPr>
        <w:spacing w:line="270" w:lineRule="auto"/>
        <w:rPr>
          <w:rFonts w:ascii="Arial"/>
          <w:sz w:val="21"/>
        </w:rPr>
      </w:pPr>
    </w:p>
    <w:p w14:paraId="76182C7A">
      <w:pPr>
        <w:pStyle w:val="6"/>
        <w:spacing w:before="91" w:line="220" w:lineRule="auto"/>
        <w:ind w:left="3916"/>
        <w:rPr>
          <w:sz w:val="28"/>
          <w:szCs w:val="28"/>
        </w:rPr>
      </w:pPr>
      <w:r>
        <w:rPr>
          <w:b/>
          <w:bCs/>
          <w:spacing w:val="-5"/>
          <w:sz w:val="28"/>
          <w:szCs w:val="28"/>
        </w:rPr>
        <w:t>二、招标文件</w:t>
      </w:r>
    </w:p>
    <w:p w14:paraId="3F1EDEA9">
      <w:pPr>
        <w:pStyle w:val="6"/>
        <w:spacing w:before="88" w:line="228" w:lineRule="auto"/>
        <w:ind w:left="451"/>
        <w:rPr>
          <w:sz w:val="21"/>
          <w:szCs w:val="21"/>
        </w:rPr>
      </w:pPr>
      <w:r>
        <w:rPr>
          <w:b/>
          <w:bCs/>
          <w:spacing w:val="4"/>
          <w:sz w:val="21"/>
          <w:szCs w:val="21"/>
        </w:rPr>
        <w:t>11.招标文件的构成</w:t>
      </w:r>
    </w:p>
    <w:p w14:paraId="64296761">
      <w:pPr>
        <w:pStyle w:val="6"/>
        <w:spacing w:before="114" w:line="226" w:lineRule="auto"/>
        <w:ind w:left="446"/>
        <w:rPr>
          <w:sz w:val="21"/>
          <w:szCs w:val="21"/>
        </w:rPr>
      </w:pPr>
      <w:r>
        <w:rPr>
          <w:spacing w:val="5"/>
          <w:sz w:val="21"/>
          <w:szCs w:val="21"/>
        </w:rPr>
        <w:t>（1）招标公告；</w:t>
      </w:r>
    </w:p>
    <w:p w14:paraId="387F8685">
      <w:pPr>
        <w:pStyle w:val="6"/>
        <w:spacing w:before="115" w:line="228" w:lineRule="auto"/>
        <w:ind w:left="446"/>
        <w:rPr>
          <w:sz w:val="21"/>
          <w:szCs w:val="21"/>
        </w:rPr>
      </w:pPr>
      <w:r>
        <w:rPr>
          <w:spacing w:val="5"/>
          <w:sz w:val="21"/>
          <w:szCs w:val="21"/>
        </w:rPr>
        <w:t>（2）投标人须知；</w:t>
      </w:r>
    </w:p>
    <w:p w14:paraId="7AB44A1C">
      <w:pPr>
        <w:pStyle w:val="6"/>
        <w:spacing w:before="113" w:line="227" w:lineRule="auto"/>
        <w:ind w:left="446"/>
        <w:rPr>
          <w:sz w:val="21"/>
          <w:szCs w:val="21"/>
        </w:rPr>
      </w:pPr>
      <w:r>
        <w:rPr>
          <w:spacing w:val="6"/>
          <w:sz w:val="21"/>
          <w:szCs w:val="21"/>
        </w:rPr>
        <w:t>（3）服务采购需求；</w:t>
      </w:r>
    </w:p>
    <w:p w14:paraId="73321EA1">
      <w:pPr>
        <w:pStyle w:val="6"/>
        <w:spacing w:before="113" w:line="228" w:lineRule="auto"/>
        <w:ind w:left="446"/>
        <w:rPr>
          <w:sz w:val="21"/>
          <w:szCs w:val="21"/>
        </w:rPr>
      </w:pPr>
      <w:r>
        <w:rPr>
          <w:spacing w:val="5"/>
          <w:sz w:val="21"/>
          <w:szCs w:val="21"/>
        </w:rPr>
        <w:t>（4）评标办法；</w:t>
      </w:r>
    </w:p>
    <w:p w14:paraId="57A400A5">
      <w:pPr>
        <w:pStyle w:val="6"/>
        <w:spacing w:before="114" w:line="227" w:lineRule="auto"/>
        <w:ind w:left="446"/>
        <w:rPr>
          <w:sz w:val="21"/>
          <w:szCs w:val="21"/>
        </w:rPr>
      </w:pPr>
      <w:r>
        <w:rPr>
          <w:spacing w:val="8"/>
          <w:sz w:val="21"/>
          <w:szCs w:val="21"/>
        </w:rPr>
        <w:t>（5）政府采购合同（合同主要条款及格式</w:t>
      </w:r>
      <w:r>
        <w:rPr>
          <w:spacing w:val="6"/>
          <w:sz w:val="21"/>
          <w:szCs w:val="21"/>
        </w:rPr>
        <w:t>）；</w:t>
      </w:r>
    </w:p>
    <w:p w14:paraId="20DC3CB3">
      <w:pPr>
        <w:pStyle w:val="6"/>
        <w:spacing w:before="114" w:line="228" w:lineRule="auto"/>
        <w:ind w:left="446"/>
        <w:rPr>
          <w:sz w:val="21"/>
          <w:szCs w:val="21"/>
        </w:rPr>
      </w:pPr>
      <w:r>
        <w:rPr>
          <w:spacing w:val="6"/>
          <w:sz w:val="21"/>
          <w:szCs w:val="21"/>
        </w:rPr>
        <w:t>（6）投标文件（格式）。</w:t>
      </w:r>
    </w:p>
    <w:p w14:paraId="6BBFF69A">
      <w:pPr>
        <w:pStyle w:val="6"/>
        <w:spacing w:before="113" w:line="228" w:lineRule="auto"/>
        <w:ind w:left="451"/>
        <w:rPr>
          <w:sz w:val="21"/>
          <w:szCs w:val="21"/>
        </w:rPr>
      </w:pPr>
      <w:r>
        <w:rPr>
          <w:b/>
          <w:bCs/>
          <w:spacing w:val="5"/>
          <w:sz w:val="21"/>
          <w:szCs w:val="21"/>
        </w:rPr>
        <w:t>12.招标文件的澄清与修改</w:t>
      </w:r>
    </w:p>
    <w:p w14:paraId="2849E640">
      <w:pPr>
        <w:pStyle w:val="6"/>
        <w:keepNext w:val="0"/>
        <w:keepLines w:val="0"/>
        <w:pageBreakBefore w:val="0"/>
        <w:widowControl/>
        <w:kinsoku w:val="0"/>
        <w:wordWrap/>
        <w:overflowPunct/>
        <w:topLinePunct w:val="0"/>
        <w:autoSpaceDE w:val="0"/>
        <w:autoSpaceDN w:val="0"/>
        <w:bidi w:val="0"/>
        <w:adjustRightInd w:val="0"/>
        <w:snapToGrid w:val="0"/>
        <w:spacing w:line="400" w:lineRule="exact"/>
        <w:ind w:firstLine="452" w:firstLineChars="200"/>
        <w:textAlignment w:val="baseline"/>
        <w:rPr>
          <w:rFonts w:ascii="宋体" w:hAnsi="宋体" w:eastAsia="宋体" w:cs="宋体"/>
          <w:spacing w:val="8"/>
          <w:sz w:val="21"/>
          <w:szCs w:val="21"/>
        </w:rPr>
      </w:pPr>
      <w:r>
        <w:rPr>
          <w:rFonts w:ascii="宋体" w:hAnsi="宋体" w:eastAsia="宋体" w:cs="宋体"/>
          <w:spacing w:val="8"/>
          <w:sz w:val="21"/>
          <w:szCs w:val="21"/>
        </w:rPr>
        <w:t>12.1投标人必须认真阅读招标文件，发现其中有误或有不合理要求的，投标人必须在本项目公告期限届满之日起七个工作日内以书面形式要求采购代理机构澄清。</w:t>
      </w:r>
    </w:p>
    <w:p w14:paraId="5BD610FB">
      <w:pPr>
        <w:pStyle w:val="6"/>
        <w:keepNext w:val="0"/>
        <w:keepLines w:val="0"/>
        <w:pageBreakBefore w:val="0"/>
        <w:widowControl/>
        <w:kinsoku w:val="0"/>
        <w:wordWrap/>
        <w:overflowPunct/>
        <w:topLinePunct w:val="0"/>
        <w:autoSpaceDE w:val="0"/>
        <w:autoSpaceDN w:val="0"/>
        <w:bidi w:val="0"/>
        <w:adjustRightInd w:val="0"/>
        <w:snapToGrid w:val="0"/>
        <w:spacing w:line="400" w:lineRule="exact"/>
        <w:ind w:firstLine="452" w:firstLineChars="200"/>
        <w:textAlignment w:val="baseline"/>
        <w:rPr>
          <w:sz w:val="21"/>
          <w:szCs w:val="21"/>
        </w:rPr>
      </w:pPr>
      <w:r>
        <w:rPr>
          <w:spacing w:val="8"/>
          <w:sz w:val="21"/>
          <w:szCs w:val="21"/>
        </w:rPr>
        <w:t>12.2采购代理机构可以对已发出的招标文件进行必要的澄清或者修改，但不得改变采购标的和</w:t>
      </w:r>
      <w:r>
        <w:rPr>
          <w:spacing w:val="11"/>
          <w:sz w:val="21"/>
          <w:szCs w:val="21"/>
        </w:rPr>
        <w:t>资格条件。澄清或者修改应当在原公告发布媒体上发布澄清公告。</w:t>
      </w:r>
      <w:r>
        <w:rPr>
          <w:spacing w:val="10"/>
          <w:sz w:val="21"/>
          <w:szCs w:val="21"/>
        </w:rPr>
        <w:t>澄清或者修改的内容为招标文件</w:t>
      </w:r>
      <w:r>
        <w:rPr>
          <w:spacing w:val="11"/>
          <w:sz w:val="21"/>
          <w:szCs w:val="21"/>
        </w:rPr>
        <w:t>的组成部分。澄清或者修改的内容可能影响投标文件编制的，采购</w:t>
      </w:r>
      <w:r>
        <w:rPr>
          <w:spacing w:val="10"/>
          <w:sz w:val="21"/>
          <w:szCs w:val="21"/>
        </w:rPr>
        <w:t>代理机构应当在投标截止时间至</w:t>
      </w:r>
      <w:r>
        <w:rPr>
          <w:spacing w:val="7"/>
          <w:sz w:val="21"/>
          <w:szCs w:val="21"/>
        </w:rPr>
        <w:t>少15日前在本招标项目招标公告发布的同一媒体上发布</w:t>
      </w:r>
      <w:r>
        <w:rPr>
          <w:spacing w:val="6"/>
          <w:sz w:val="21"/>
          <w:szCs w:val="21"/>
        </w:rPr>
        <w:t>更正公告</w:t>
      </w:r>
      <w:r>
        <w:rPr>
          <w:rFonts w:hint="eastAsia"/>
          <w:spacing w:val="6"/>
          <w:sz w:val="21"/>
          <w:szCs w:val="21"/>
          <w:lang w:val="en-US" w:eastAsia="zh-CN"/>
        </w:rPr>
        <w:t>,供应商自行登录招标公告发布的相关网站【中国政府采购网（www.ccgp.gov.cn）、广西壮族自治区政府采购网（zfcg.gxzf.gov.cn）、桂林市政府采购网（zfcg.czj.guilin.gov.cn）】查询</w:t>
      </w:r>
      <w:r>
        <w:rPr>
          <w:spacing w:val="6"/>
          <w:sz w:val="21"/>
          <w:szCs w:val="21"/>
        </w:rPr>
        <w:t>；不足15日的，采购代理机构应</w:t>
      </w:r>
      <w:r>
        <w:rPr>
          <w:spacing w:val="8"/>
          <w:sz w:val="21"/>
          <w:szCs w:val="21"/>
        </w:rPr>
        <w:t>当顺延提交投标文件的截止时间。</w:t>
      </w:r>
    </w:p>
    <w:p w14:paraId="5885E3CE">
      <w:pPr>
        <w:pStyle w:val="6"/>
        <w:keepNext w:val="0"/>
        <w:keepLines w:val="0"/>
        <w:pageBreakBefore w:val="0"/>
        <w:widowControl/>
        <w:kinsoku w:val="0"/>
        <w:wordWrap/>
        <w:overflowPunct/>
        <w:topLinePunct w:val="0"/>
        <w:autoSpaceDE w:val="0"/>
        <w:autoSpaceDN w:val="0"/>
        <w:bidi w:val="0"/>
        <w:adjustRightInd w:val="0"/>
        <w:snapToGrid w:val="0"/>
        <w:spacing w:before="117" w:line="360" w:lineRule="auto"/>
        <w:ind w:firstLine="451"/>
        <w:textAlignment w:val="baseline"/>
        <w:rPr>
          <w:rFonts w:ascii="宋体" w:hAnsi="宋体" w:eastAsia="宋体" w:cs="宋体"/>
          <w:b/>
          <w:bCs/>
          <w:spacing w:val="7"/>
          <w:sz w:val="21"/>
          <w:szCs w:val="21"/>
        </w:rPr>
      </w:pPr>
      <w:r>
        <w:rPr>
          <w:rFonts w:ascii="宋体" w:hAnsi="宋体" w:eastAsia="宋体" w:cs="宋体"/>
          <w:b/>
          <w:bCs/>
          <w:spacing w:val="7"/>
          <w:sz w:val="21"/>
          <w:szCs w:val="21"/>
        </w:rPr>
        <w:t>12.3投标人应实时关注本项目信息公告相关网站了解澄清、修改等与项目有关的内容，如因投标人未及时登录本项目信息公告相关网站了解澄清、修改等与项目有关内容的，其不利后果由投标人自行承担责任。</w:t>
      </w:r>
    </w:p>
    <w:p w14:paraId="23BDBD12">
      <w:pPr>
        <w:pStyle w:val="6"/>
        <w:keepNext w:val="0"/>
        <w:keepLines w:val="0"/>
        <w:pageBreakBefore w:val="0"/>
        <w:widowControl/>
        <w:kinsoku w:val="0"/>
        <w:wordWrap/>
        <w:overflowPunct/>
        <w:topLinePunct w:val="0"/>
        <w:autoSpaceDE w:val="0"/>
        <w:autoSpaceDN w:val="0"/>
        <w:bidi w:val="0"/>
        <w:adjustRightInd w:val="0"/>
        <w:snapToGrid w:val="0"/>
        <w:spacing w:before="101" w:line="360" w:lineRule="auto"/>
        <w:ind w:left="2" w:right="2" w:firstLine="448"/>
        <w:textAlignment w:val="baseline"/>
        <w:rPr>
          <w:sz w:val="21"/>
          <w:szCs w:val="21"/>
        </w:rPr>
      </w:pPr>
      <w:r>
        <w:rPr>
          <w:spacing w:val="8"/>
          <w:sz w:val="21"/>
          <w:szCs w:val="21"/>
        </w:rPr>
        <w:t>12.4必要的澄清、修改的内容为招标文件的组成部分。当澄清、修改通知就同一内容的表</w:t>
      </w:r>
      <w:r>
        <w:rPr>
          <w:spacing w:val="7"/>
          <w:sz w:val="21"/>
          <w:szCs w:val="21"/>
        </w:rPr>
        <w:t>述不</w:t>
      </w:r>
      <w:r>
        <w:rPr>
          <w:spacing w:val="6"/>
          <w:sz w:val="21"/>
          <w:szCs w:val="21"/>
        </w:rPr>
        <w:t>一致时，以最后发出的书面文件为准。</w:t>
      </w:r>
    </w:p>
    <w:p w14:paraId="33FB0A38">
      <w:pPr>
        <w:pStyle w:val="6"/>
        <w:keepNext w:val="0"/>
        <w:keepLines w:val="0"/>
        <w:pageBreakBefore w:val="0"/>
        <w:widowControl/>
        <w:kinsoku w:val="0"/>
        <w:wordWrap/>
        <w:overflowPunct/>
        <w:topLinePunct w:val="0"/>
        <w:autoSpaceDE w:val="0"/>
        <w:autoSpaceDN w:val="0"/>
        <w:bidi w:val="0"/>
        <w:adjustRightInd w:val="0"/>
        <w:snapToGrid w:val="0"/>
        <w:spacing w:before="114" w:line="360" w:lineRule="auto"/>
        <w:ind w:left="2" w:right="22" w:firstLine="448"/>
        <w:textAlignment w:val="baseline"/>
        <w:rPr>
          <w:sz w:val="21"/>
          <w:szCs w:val="21"/>
        </w:rPr>
      </w:pPr>
      <w:r>
        <w:rPr>
          <w:spacing w:val="8"/>
          <w:sz w:val="21"/>
          <w:szCs w:val="21"/>
        </w:rPr>
        <w:t>12.5招标文件的澄清、修改都应该通过采购代理机</w:t>
      </w:r>
      <w:r>
        <w:rPr>
          <w:spacing w:val="7"/>
          <w:sz w:val="21"/>
          <w:szCs w:val="21"/>
        </w:rPr>
        <w:t>构以法定形式发布，采购人非通过本机构，</w:t>
      </w:r>
      <w:r>
        <w:rPr>
          <w:spacing w:val="8"/>
          <w:sz w:val="21"/>
          <w:szCs w:val="21"/>
        </w:rPr>
        <w:t>不得擅自澄清、修改招标文件。</w:t>
      </w:r>
    </w:p>
    <w:p w14:paraId="295D509B">
      <w:pPr>
        <w:pStyle w:val="6"/>
        <w:keepNext w:val="0"/>
        <w:keepLines w:val="0"/>
        <w:pageBreakBefore w:val="0"/>
        <w:widowControl/>
        <w:kinsoku w:val="0"/>
        <w:wordWrap/>
        <w:overflowPunct/>
        <w:topLinePunct w:val="0"/>
        <w:autoSpaceDE w:val="0"/>
        <w:autoSpaceDN w:val="0"/>
        <w:bidi w:val="0"/>
        <w:adjustRightInd w:val="0"/>
        <w:snapToGrid w:val="0"/>
        <w:spacing w:before="114" w:line="360" w:lineRule="auto"/>
        <w:ind w:left="39" w:right="2" w:firstLine="412"/>
        <w:textAlignment w:val="baseline"/>
        <w:rPr>
          <w:rFonts w:ascii="Arial"/>
          <w:sz w:val="21"/>
          <w:szCs w:val="21"/>
        </w:rPr>
      </w:pPr>
      <w:r>
        <w:rPr>
          <w:spacing w:val="8"/>
          <w:sz w:val="21"/>
          <w:szCs w:val="21"/>
        </w:rPr>
        <w:t>12.6采购人或者采购代理机构可以视采购具体情况，延长投标截止时间和开标时间，并在本项</w:t>
      </w:r>
      <w:r>
        <w:rPr>
          <w:spacing w:val="7"/>
          <w:sz w:val="21"/>
          <w:szCs w:val="21"/>
        </w:rPr>
        <w:t>目招标公告发布的同一媒体上发布变更公告。</w:t>
      </w:r>
    </w:p>
    <w:p w14:paraId="01125CC7">
      <w:pPr>
        <w:pStyle w:val="6"/>
        <w:spacing w:before="92" w:line="220" w:lineRule="auto"/>
        <w:ind w:left="3489"/>
        <w:rPr>
          <w:sz w:val="21"/>
          <w:szCs w:val="21"/>
        </w:rPr>
      </w:pPr>
      <w:r>
        <w:rPr>
          <w:b/>
          <w:bCs/>
          <w:spacing w:val="-4"/>
          <w:sz w:val="21"/>
          <w:szCs w:val="21"/>
        </w:rPr>
        <w:t>三、投标文件的编制</w:t>
      </w:r>
    </w:p>
    <w:p w14:paraId="11BF6AA4">
      <w:pPr>
        <w:pStyle w:val="6"/>
        <w:spacing w:before="88" w:line="228" w:lineRule="auto"/>
        <w:ind w:left="434"/>
        <w:rPr>
          <w:sz w:val="21"/>
          <w:szCs w:val="21"/>
        </w:rPr>
      </w:pPr>
      <w:r>
        <w:rPr>
          <w:spacing w:val="6"/>
          <w:sz w:val="21"/>
          <w:szCs w:val="21"/>
        </w:rPr>
        <w:t>13.投标文件的组成及要求</w:t>
      </w:r>
    </w:p>
    <w:p w14:paraId="68E8BB28">
      <w:pPr>
        <w:pStyle w:val="6"/>
        <w:keepNext w:val="0"/>
        <w:keepLines w:val="0"/>
        <w:pageBreakBefore w:val="0"/>
        <w:widowControl/>
        <w:kinsoku w:val="0"/>
        <w:wordWrap/>
        <w:overflowPunct/>
        <w:topLinePunct w:val="0"/>
        <w:autoSpaceDE w:val="0"/>
        <w:autoSpaceDN w:val="0"/>
        <w:bidi w:val="0"/>
        <w:adjustRightInd w:val="0"/>
        <w:snapToGrid w:val="0"/>
        <w:spacing w:before="113" w:line="360" w:lineRule="auto"/>
        <w:ind w:left="449"/>
        <w:textAlignment w:val="baseline"/>
        <w:rPr>
          <w:lang w:val="en-US" w:eastAsia="en-US"/>
        </w:rPr>
      </w:pPr>
      <w:r>
        <w:rPr>
          <w:spacing w:val="7"/>
          <w:sz w:val="21"/>
          <w:szCs w:val="21"/>
        </w:rPr>
        <w:t>13.1投标文件组成【格式见第六章“投标文件（格式）”】</w:t>
      </w:r>
    </w:p>
    <w:p w14:paraId="50CC5C95">
      <w:pPr>
        <w:keepNext w:val="0"/>
        <w:keepLines w:val="0"/>
        <w:pageBreakBefore w:val="0"/>
        <w:widowControl/>
        <w:tabs>
          <w:tab w:val="left" w:pos="2059"/>
        </w:tabs>
        <w:kinsoku w:val="0"/>
        <w:wordWrap/>
        <w:overflowPunct/>
        <w:topLinePunct w:val="0"/>
        <w:autoSpaceDE w:val="0"/>
        <w:autoSpaceDN w:val="0"/>
        <w:bidi w:val="0"/>
        <w:adjustRightInd w:val="0"/>
        <w:snapToGrid w:val="0"/>
        <w:spacing w:line="360" w:lineRule="auto"/>
        <w:ind w:firstLine="458" w:firstLineChars="200"/>
        <w:jc w:val="left"/>
        <w:textAlignment w:val="baseline"/>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13.1.1资格性响应证明材料：</w:t>
      </w:r>
    </w:p>
    <w:p w14:paraId="7C7B7CB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sz w:val="21"/>
          <w:szCs w:val="21"/>
        </w:rPr>
      </w:pPr>
      <w:r>
        <w:rPr>
          <w:spacing w:val="9"/>
          <w:sz w:val="21"/>
          <w:szCs w:val="21"/>
        </w:rPr>
        <w:t>（1）投标人相应的法定代表人(负责人)身份证正反面复印件</w:t>
      </w:r>
      <w:r>
        <w:rPr>
          <w:b/>
          <w:bCs/>
          <w:spacing w:val="8"/>
          <w:sz w:val="21"/>
          <w:szCs w:val="21"/>
        </w:rPr>
        <w:t>（必须提供</w:t>
      </w:r>
      <w:r>
        <w:rPr>
          <w:b/>
          <w:bCs/>
          <w:sz w:val="21"/>
          <w:szCs w:val="21"/>
        </w:rPr>
        <w:t>）</w:t>
      </w:r>
      <w:r>
        <w:rPr>
          <w:sz w:val="21"/>
          <w:szCs w:val="21"/>
        </w:rPr>
        <w:t>；</w:t>
      </w:r>
    </w:p>
    <w:p w14:paraId="3D256AC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sz w:val="21"/>
          <w:szCs w:val="21"/>
        </w:rPr>
      </w:pPr>
      <w:r>
        <w:rPr>
          <w:spacing w:val="8"/>
          <w:sz w:val="21"/>
          <w:szCs w:val="21"/>
        </w:rPr>
        <w:t>（2）投标人的授权委托书原件、委托代理人身份证正反面复印件以及由县级</w:t>
      </w:r>
      <w:r>
        <w:rPr>
          <w:spacing w:val="7"/>
          <w:sz w:val="21"/>
          <w:szCs w:val="21"/>
        </w:rPr>
        <w:t>以上（含县级）社</w:t>
      </w:r>
      <w:r>
        <w:rPr>
          <w:spacing w:val="8"/>
          <w:sz w:val="21"/>
          <w:szCs w:val="21"/>
        </w:rPr>
        <w:t>会养老保险经办机构出具的投标人为委托代理人交纳</w:t>
      </w:r>
      <w:r>
        <w:rPr>
          <w:rFonts w:hint="eastAsia"/>
          <w:b w:val="0"/>
          <w:bCs w:val="0"/>
          <w:spacing w:val="8"/>
          <w:sz w:val="21"/>
          <w:szCs w:val="21"/>
          <w:lang w:eastAsia="zh-CN"/>
        </w:rPr>
        <w:t>2026</w:t>
      </w:r>
      <w:r>
        <w:rPr>
          <w:b w:val="0"/>
          <w:bCs w:val="0"/>
          <w:spacing w:val="7"/>
          <w:sz w:val="21"/>
          <w:szCs w:val="21"/>
        </w:rPr>
        <w:t>年</w:t>
      </w:r>
      <w:r>
        <w:rPr>
          <w:rFonts w:hint="eastAsia"/>
          <w:b w:val="0"/>
          <w:bCs w:val="0"/>
          <w:spacing w:val="7"/>
          <w:sz w:val="21"/>
          <w:szCs w:val="21"/>
          <w:lang w:val="en-US" w:eastAsia="zh-CN"/>
        </w:rPr>
        <w:t>1</w:t>
      </w:r>
      <w:r>
        <w:rPr>
          <w:b w:val="0"/>
          <w:bCs w:val="0"/>
          <w:spacing w:val="7"/>
          <w:sz w:val="21"/>
          <w:szCs w:val="21"/>
        </w:rPr>
        <w:t>月至投标截止时间内</w:t>
      </w:r>
      <w:r>
        <w:rPr>
          <w:rFonts w:hint="eastAsia"/>
          <w:b w:val="0"/>
          <w:bCs w:val="0"/>
          <w:spacing w:val="7"/>
          <w:sz w:val="21"/>
          <w:szCs w:val="21"/>
          <w:lang w:val="en-US" w:eastAsia="zh-CN"/>
        </w:rPr>
        <w:t>任意一</w:t>
      </w:r>
      <w:r>
        <w:rPr>
          <w:b w:val="0"/>
          <w:bCs w:val="0"/>
          <w:spacing w:val="7"/>
          <w:sz w:val="21"/>
          <w:szCs w:val="21"/>
        </w:rPr>
        <w:t>个月社保</w:t>
      </w:r>
      <w:r>
        <w:rPr>
          <w:b w:val="0"/>
          <w:bCs w:val="0"/>
          <w:spacing w:val="6"/>
          <w:sz w:val="21"/>
          <w:szCs w:val="21"/>
        </w:rPr>
        <w:t>证明复印件</w:t>
      </w:r>
      <w:r>
        <w:rPr>
          <w:rFonts w:hint="eastAsia"/>
          <w:b w:val="0"/>
          <w:bCs w:val="0"/>
          <w:spacing w:val="6"/>
          <w:sz w:val="21"/>
          <w:szCs w:val="21"/>
          <w:lang w:eastAsia="zh-CN"/>
        </w:rPr>
        <w:t>）</w:t>
      </w:r>
      <w:r>
        <w:rPr>
          <w:b w:val="0"/>
          <w:bCs w:val="0"/>
          <w:spacing w:val="6"/>
          <w:sz w:val="21"/>
          <w:szCs w:val="21"/>
        </w:rPr>
        <w:t>【自然人投标的应提供由县级以上（含县级）社会养老保险经办机构出具的</w:t>
      </w:r>
      <w:r>
        <w:rPr>
          <w:rFonts w:hint="eastAsia"/>
          <w:b w:val="0"/>
          <w:bCs w:val="0"/>
          <w:spacing w:val="6"/>
          <w:sz w:val="21"/>
          <w:szCs w:val="21"/>
          <w:lang w:eastAsia="zh-CN"/>
        </w:rPr>
        <w:t>2026</w:t>
      </w:r>
      <w:r>
        <w:rPr>
          <w:b w:val="0"/>
          <w:bCs w:val="0"/>
          <w:spacing w:val="6"/>
          <w:sz w:val="21"/>
          <w:szCs w:val="21"/>
        </w:rPr>
        <w:t>年</w:t>
      </w:r>
      <w:r>
        <w:rPr>
          <w:rFonts w:hint="eastAsia"/>
          <w:b w:val="0"/>
          <w:bCs w:val="0"/>
          <w:spacing w:val="6"/>
          <w:sz w:val="21"/>
          <w:szCs w:val="21"/>
          <w:lang w:val="en-US" w:eastAsia="zh-CN"/>
        </w:rPr>
        <w:t>1</w:t>
      </w:r>
      <w:r>
        <w:rPr>
          <w:b w:val="0"/>
          <w:bCs w:val="0"/>
          <w:spacing w:val="6"/>
          <w:sz w:val="21"/>
          <w:szCs w:val="21"/>
        </w:rPr>
        <w:t>月</w:t>
      </w:r>
      <w:r>
        <w:rPr>
          <w:b w:val="0"/>
          <w:bCs w:val="0"/>
          <w:spacing w:val="9"/>
          <w:sz w:val="21"/>
          <w:szCs w:val="21"/>
        </w:rPr>
        <w:t>至投标截止时间内</w:t>
      </w:r>
      <w:r>
        <w:rPr>
          <w:rFonts w:hint="eastAsia"/>
          <w:b w:val="0"/>
          <w:bCs w:val="0"/>
          <w:spacing w:val="9"/>
          <w:sz w:val="21"/>
          <w:szCs w:val="21"/>
          <w:lang w:val="en-US" w:eastAsia="zh-CN"/>
        </w:rPr>
        <w:t>任意一</w:t>
      </w:r>
      <w:r>
        <w:rPr>
          <w:b w:val="0"/>
          <w:bCs w:val="0"/>
          <w:spacing w:val="9"/>
          <w:sz w:val="21"/>
          <w:szCs w:val="21"/>
        </w:rPr>
        <w:t>个月社保证明复印件；如投标人为事业单位</w:t>
      </w:r>
      <w:r>
        <w:rPr>
          <w:b w:val="0"/>
          <w:bCs w:val="0"/>
          <w:spacing w:val="8"/>
          <w:sz w:val="21"/>
          <w:szCs w:val="21"/>
        </w:rPr>
        <w:t>，只需提供事业单位法人证书</w:t>
      </w:r>
      <w:r>
        <w:rPr>
          <w:b w:val="0"/>
          <w:bCs w:val="0"/>
          <w:spacing w:val="9"/>
          <w:sz w:val="21"/>
          <w:szCs w:val="21"/>
        </w:rPr>
        <w:t>和单位人事部门盖章的包含委托代理人在内的在职人员名册</w:t>
      </w:r>
      <w:r>
        <w:rPr>
          <w:b w:val="0"/>
          <w:bCs w:val="0"/>
          <w:spacing w:val="8"/>
          <w:sz w:val="21"/>
          <w:szCs w:val="21"/>
        </w:rPr>
        <w:t>复印件】</w:t>
      </w:r>
      <w:r>
        <w:rPr>
          <w:b/>
          <w:bCs/>
          <w:spacing w:val="8"/>
          <w:sz w:val="21"/>
          <w:szCs w:val="21"/>
        </w:rPr>
        <w:t>（委托代理时必须提供；若为新成立的企业，请根据实际情况提供</w:t>
      </w:r>
      <w:r>
        <w:rPr>
          <w:b/>
          <w:bCs/>
          <w:sz w:val="21"/>
          <w:szCs w:val="21"/>
        </w:rPr>
        <w:t>）</w:t>
      </w:r>
      <w:r>
        <w:rPr>
          <w:sz w:val="21"/>
          <w:szCs w:val="21"/>
        </w:rPr>
        <w:t>；</w:t>
      </w:r>
    </w:p>
    <w:p w14:paraId="2E1FAD0B">
      <w:pPr>
        <w:pStyle w:val="6"/>
        <w:keepNext w:val="0"/>
        <w:keepLines w:val="0"/>
        <w:pageBreakBefore w:val="0"/>
        <w:widowControl/>
        <w:kinsoku w:val="0"/>
        <w:wordWrap/>
        <w:overflowPunct/>
        <w:topLinePunct w:val="0"/>
        <w:autoSpaceDE w:val="0"/>
        <w:autoSpaceDN w:val="0"/>
        <w:bidi w:val="0"/>
        <w:adjustRightInd w:val="0"/>
        <w:snapToGrid w:val="0"/>
        <w:spacing w:before="44" w:line="240" w:lineRule="auto"/>
        <w:ind w:left="430"/>
        <w:textAlignment w:val="baseline"/>
        <w:rPr>
          <w:sz w:val="21"/>
          <w:szCs w:val="21"/>
        </w:rPr>
      </w:pPr>
      <w:r>
        <w:rPr>
          <w:spacing w:val="9"/>
          <w:sz w:val="21"/>
          <w:szCs w:val="21"/>
        </w:rPr>
        <w:t>（3）投标人的法人或者其他组织营业执照等证明文件复印件</w:t>
      </w:r>
      <w:r>
        <w:rPr>
          <w:b/>
          <w:bCs/>
          <w:spacing w:val="9"/>
          <w:sz w:val="21"/>
          <w:szCs w:val="21"/>
        </w:rPr>
        <w:t>（必须提供</w:t>
      </w:r>
      <w:r>
        <w:rPr>
          <w:b/>
          <w:bCs/>
          <w:spacing w:val="2"/>
          <w:sz w:val="21"/>
          <w:szCs w:val="21"/>
        </w:rPr>
        <w:t>）</w:t>
      </w:r>
      <w:r>
        <w:rPr>
          <w:spacing w:val="2"/>
          <w:sz w:val="21"/>
          <w:szCs w:val="21"/>
        </w:rPr>
        <w:t>；</w:t>
      </w:r>
    </w:p>
    <w:p w14:paraId="68021651">
      <w:pPr>
        <w:pStyle w:val="6"/>
        <w:keepNext w:val="0"/>
        <w:keepLines w:val="0"/>
        <w:pageBreakBefore w:val="0"/>
        <w:widowControl/>
        <w:kinsoku w:val="0"/>
        <w:wordWrap/>
        <w:overflowPunct/>
        <w:topLinePunct w:val="0"/>
        <w:autoSpaceDE w:val="0"/>
        <w:autoSpaceDN w:val="0"/>
        <w:bidi w:val="0"/>
        <w:adjustRightInd w:val="0"/>
        <w:snapToGrid w:val="0"/>
        <w:spacing w:before="162" w:line="360" w:lineRule="auto"/>
        <w:ind w:firstLine="420"/>
        <w:jc w:val="both"/>
        <w:textAlignment w:val="baseline"/>
        <w:rPr>
          <w:sz w:val="21"/>
          <w:szCs w:val="21"/>
        </w:rPr>
      </w:pPr>
      <w:r>
        <w:rPr>
          <w:spacing w:val="11"/>
          <w:sz w:val="21"/>
          <w:szCs w:val="21"/>
        </w:rPr>
        <w:t>注：①法人包括企业法人、机关法人、事业单位法人和社会团体法人</w:t>
      </w:r>
      <w:r>
        <w:rPr>
          <w:spacing w:val="10"/>
          <w:sz w:val="21"/>
          <w:szCs w:val="21"/>
        </w:rPr>
        <w:t>；其他组织主要包括合伙</w:t>
      </w:r>
      <w:r>
        <w:rPr>
          <w:spacing w:val="8"/>
          <w:sz w:val="21"/>
          <w:szCs w:val="21"/>
        </w:rPr>
        <w:t>企业、非企业专业服务机构、个体工商户、农村承包经营户。②如投标人为企业（包括合伙企业</w:t>
      </w:r>
      <w:r>
        <w:rPr>
          <w:spacing w:val="-12"/>
          <w:sz w:val="21"/>
          <w:szCs w:val="21"/>
        </w:rPr>
        <w:t>），</w:t>
      </w:r>
      <w:r>
        <w:rPr>
          <w:spacing w:val="10"/>
          <w:sz w:val="21"/>
          <w:szCs w:val="21"/>
        </w:rPr>
        <w:t>应提供市场监督管理部门（或行政审批部门）注册的有效“企业法人营业执照”或“营业执照</w:t>
      </w:r>
      <w:r>
        <w:rPr>
          <w:spacing w:val="9"/>
          <w:sz w:val="21"/>
          <w:szCs w:val="21"/>
        </w:rPr>
        <w:t>；投</w:t>
      </w:r>
      <w:r>
        <w:rPr>
          <w:spacing w:val="10"/>
          <w:sz w:val="21"/>
          <w:szCs w:val="21"/>
        </w:rPr>
        <w:t>标人为事业单位，应提供有效的“事业单位法人证书”；投标人为非企业专业服务机构的，应</w:t>
      </w:r>
      <w:r>
        <w:rPr>
          <w:spacing w:val="9"/>
          <w:sz w:val="21"/>
          <w:szCs w:val="21"/>
        </w:rPr>
        <w:t>提供</w:t>
      </w:r>
      <w:r>
        <w:rPr>
          <w:spacing w:val="10"/>
          <w:sz w:val="21"/>
          <w:szCs w:val="21"/>
        </w:rPr>
        <w:t>执业许可证等证明文件；投标人为个体工商户，应提供有效的“个体工商户营业执照”。③如投标</w:t>
      </w:r>
      <w:r>
        <w:rPr>
          <w:spacing w:val="11"/>
          <w:sz w:val="21"/>
          <w:szCs w:val="21"/>
        </w:rPr>
        <w:t>人为企业法人的分支机构的，除应提供营业执照复印件外，还应提供其</w:t>
      </w:r>
      <w:r>
        <w:rPr>
          <w:spacing w:val="10"/>
          <w:sz w:val="21"/>
          <w:szCs w:val="21"/>
        </w:rPr>
        <w:t>所属的总公司授权其参加政</w:t>
      </w:r>
      <w:r>
        <w:rPr>
          <w:spacing w:val="9"/>
          <w:sz w:val="21"/>
          <w:szCs w:val="21"/>
        </w:rPr>
        <w:t>府采购的授权文件或总公司颁布的授权其独立开展经营业务活动的证明材料复印件。</w:t>
      </w:r>
    </w:p>
    <w:p w14:paraId="7884570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spacing w:val="8"/>
          <w:sz w:val="21"/>
          <w:szCs w:val="21"/>
        </w:rPr>
      </w:pPr>
      <w:r>
        <w:rPr>
          <w:spacing w:val="8"/>
          <w:sz w:val="21"/>
          <w:szCs w:val="21"/>
        </w:rPr>
        <w:t>（4）投标人参加政府采购活动前三年内在经营活动中没有重大违法记录及有关信用信息的书面声明</w:t>
      </w:r>
      <w:r>
        <w:rPr>
          <w:b/>
          <w:bCs/>
          <w:spacing w:val="8"/>
          <w:sz w:val="21"/>
          <w:szCs w:val="21"/>
        </w:rPr>
        <w:t>（必须提供）</w:t>
      </w:r>
      <w:r>
        <w:rPr>
          <w:spacing w:val="8"/>
          <w:sz w:val="21"/>
          <w:szCs w:val="21"/>
        </w:rPr>
        <w:t>；</w:t>
      </w:r>
    </w:p>
    <w:p w14:paraId="694C0A9B">
      <w:pPr>
        <w:pStyle w:val="6"/>
        <w:spacing w:line="240" w:lineRule="auto"/>
        <w:ind w:left="0" w:firstLine="452" w:firstLineChars="200"/>
        <w:rPr>
          <w:sz w:val="21"/>
          <w:szCs w:val="21"/>
        </w:rPr>
      </w:pPr>
      <w:r>
        <w:rPr>
          <w:spacing w:val="8"/>
          <w:sz w:val="21"/>
          <w:szCs w:val="21"/>
        </w:rPr>
        <w:t>（5）投标人参加本项目无围标串标行为的承诺函</w:t>
      </w:r>
      <w:r>
        <w:rPr>
          <w:b/>
          <w:bCs/>
          <w:spacing w:val="8"/>
          <w:sz w:val="21"/>
          <w:szCs w:val="21"/>
        </w:rPr>
        <w:t>（必须提供）</w:t>
      </w:r>
      <w:r>
        <w:rPr>
          <w:spacing w:val="8"/>
          <w:sz w:val="21"/>
          <w:szCs w:val="21"/>
        </w:rPr>
        <w:t>。</w:t>
      </w:r>
    </w:p>
    <w:p w14:paraId="54BAC618">
      <w:pPr>
        <w:pStyle w:val="6"/>
        <w:keepNext w:val="0"/>
        <w:keepLines w:val="0"/>
        <w:pageBreakBefore w:val="0"/>
        <w:widowControl/>
        <w:kinsoku w:val="0"/>
        <w:wordWrap/>
        <w:overflowPunct/>
        <w:topLinePunct w:val="0"/>
        <w:autoSpaceDE w:val="0"/>
        <w:autoSpaceDN w:val="0"/>
        <w:bidi w:val="0"/>
        <w:adjustRightInd w:val="0"/>
        <w:snapToGrid w:val="0"/>
        <w:spacing w:before="114" w:line="360" w:lineRule="auto"/>
        <w:ind w:left="330"/>
        <w:textAlignment w:val="baseline"/>
        <w:rPr>
          <w:sz w:val="21"/>
          <w:szCs w:val="21"/>
        </w:rPr>
      </w:pPr>
      <w:r>
        <w:rPr>
          <w:b/>
          <w:bCs/>
          <w:spacing w:val="4"/>
          <w:sz w:val="21"/>
          <w:szCs w:val="21"/>
        </w:rPr>
        <w:t>13.1.2商务、技术性响应证明材料：</w:t>
      </w:r>
    </w:p>
    <w:p w14:paraId="1DC56DC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2" w:firstLineChars="200"/>
        <w:textAlignment w:val="baseline"/>
        <w:outlineLvl w:val="9"/>
        <w:rPr>
          <w:sz w:val="21"/>
          <w:szCs w:val="21"/>
        </w:rPr>
      </w:pPr>
      <w:r>
        <w:rPr>
          <w:spacing w:val="8"/>
          <w:sz w:val="21"/>
          <w:szCs w:val="21"/>
        </w:rPr>
        <w:t>（1）投标报价表</w:t>
      </w:r>
      <w:r>
        <w:rPr>
          <w:b/>
          <w:bCs/>
          <w:spacing w:val="8"/>
          <w:sz w:val="21"/>
          <w:szCs w:val="21"/>
        </w:rPr>
        <w:t>（必须提供</w:t>
      </w:r>
      <w:r>
        <w:rPr>
          <w:b/>
          <w:bCs/>
          <w:sz w:val="21"/>
          <w:szCs w:val="21"/>
        </w:rPr>
        <w:t>）</w:t>
      </w:r>
      <w:r>
        <w:rPr>
          <w:sz w:val="21"/>
          <w:szCs w:val="21"/>
        </w:rPr>
        <w:t>；</w:t>
      </w:r>
    </w:p>
    <w:p w14:paraId="7B0F313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2" w:firstLineChars="200"/>
        <w:textAlignment w:val="baseline"/>
        <w:outlineLvl w:val="9"/>
        <w:rPr>
          <w:sz w:val="21"/>
          <w:szCs w:val="21"/>
        </w:rPr>
      </w:pPr>
      <w:r>
        <w:rPr>
          <w:spacing w:val="8"/>
          <w:sz w:val="21"/>
          <w:szCs w:val="21"/>
        </w:rPr>
        <w:t>（2）技术规格偏离表</w:t>
      </w:r>
      <w:r>
        <w:rPr>
          <w:b/>
          <w:bCs/>
          <w:spacing w:val="8"/>
          <w:sz w:val="21"/>
          <w:szCs w:val="21"/>
        </w:rPr>
        <w:t>（必须提供</w:t>
      </w:r>
      <w:r>
        <w:rPr>
          <w:b/>
          <w:bCs/>
          <w:spacing w:val="2"/>
          <w:sz w:val="21"/>
          <w:szCs w:val="21"/>
        </w:rPr>
        <w:t>）</w:t>
      </w:r>
      <w:r>
        <w:rPr>
          <w:spacing w:val="2"/>
          <w:sz w:val="21"/>
          <w:szCs w:val="21"/>
        </w:rPr>
        <w:t>；</w:t>
      </w:r>
    </w:p>
    <w:p w14:paraId="5A1F86E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52" w:firstLineChars="200"/>
        <w:textAlignment w:val="baseline"/>
        <w:outlineLvl w:val="9"/>
        <w:rPr>
          <w:rFonts w:hint="eastAsia" w:eastAsia="宋体"/>
          <w:sz w:val="21"/>
          <w:szCs w:val="21"/>
          <w:lang w:eastAsia="zh-CN"/>
        </w:rPr>
      </w:pPr>
      <w:r>
        <w:rPr>
          <w:spacing w:val="8"/>
          <w:sz w:val="21"/>
          <w:szCs w:val="21"/>
        </w:rPr>
        <w:t>（3）投标人的服务承诺书</w:t>
      </w:r>
      <w:r>
        <w:rPr>
          <w:rFonts w:hint="eastAsia"/>
          <w:b/>
          <w:bCs/>
          <w:spacing w:val="8"/>
          <w:sz w:val="21"/>
          <w:szCs w:val="21"/>
          <w:lang w:eastAsia="zh-CN"/>
        </w:rPr>
        <w:t>（</w:t>
      </w:r>
      <w:r>
        <w:rPr>
          <w:rFonts w:hint="eastAsia"/>
          <w:b/>
          <w:bCs/>
          <w:spacing w:val="8"/>
          <w:sz w:val="21"/>
          <w:szCs w:val="21"/>
          <w:lang w:val="en-US" w:eastAsia="zh-CN"/>
        </w:rPr>
        <w:t>必须提供</w:t>
      </w:r>
      <w:r>
        <w:rPr>
          <w:rFonts w:hint="eastAsia"/>
          <w:b/>
          <w:bCs/>
          <w:spacing w:val="8"/>
          <w:sz w:val="21"/>
          <w:szCs w:val="21"/>
          <w:lang w:eastAsia="zh-CN"/>
        </w:rPr>
        <w:t>）；</w:t>
      </w:r>
    </w:p>
    <w:p w14:paraId="712F081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30" w:leftChars="0" w:firstLine="0" w:firstLineChars="0"/>
        <w:textAlignment w:val="baseline"/>
        <w:outlineLvl w:val="9"/>
        <w:rPr>
          <w:sz w:val="21"/>
          <w:szCs w:val="21"/>
        </w:rPr>
      </w:pPr>
      <w:r>
        <w:rPr>
          <w:spacing w:val="10"/>
          <w:sz w:val="21"/>
          <w:szCs w:val="21"/>
        </w:rPr>
        <w:t>（4）服务实施方案（根据服务</w:t>
      </w:r>
      <w:r>
        <w:rPr>
          <w:rFonts w:hint="eastAsia"/>
          <w:spacing w:val="10"/>
          <w:sz w:val="21"/>
          <w:szCs w:val="21"/>
          <w:lang w:val="en-US" w:eastAsia="zh-CN"/>
        </w:rPr>
        <w:t>采购</w:t>
      </w:r>
      <w:r>
        <w:rPr>
          <w:spacing w:val="10"/>
          <w:sz w:val="21"/>
          <w:szCs w:val="21"/>
        </w:rPr>
        <w:t>需求和评标办法自行编制</w:t>
      </w:r>
      <w:r>
        <w:rPr>
          <w:spacing w:val="-2"/>
          <w:sz w:val="21"/>
          <w:szCs w:val="21"/>
        </w:rPr>
        <w:t>）</w:t>
      </w:r>
      <w:r>
        <w:rPr>
          <w:b/>
          <w:bCs/>
          <w:spacing w:val="-2"/>
          <w:sz w:val="21"/>
          <w:szCs w:val="21"/>
        </w:rPr>
        <w:t>（</w:t>
      </w:r>
      <w:r>
        <w:rPr>
          <w:b/>
          <w:bCs/>
          <w:spacing w:val="10"/>
          <w:sz w:val="21"/>
          <w:szCs w:val="21"/>
        </w:rPr>
        <w:t>如有，请提供</w:t>
      </w:r>
      <w:r>
        <w:rPr>
          <w:b/>
          <w:bCs/>
          <w:spacing w:val="-2"/>
          <w:sz w:val="21"/>
          <w:szCs w:val="21"/>
        </w:rPr>
        <w:t>）</w:t>
      </w:r>
      <w:r>
        <w:rPr>
          <w:spacing w:val="-2"/>
          <w:sz w:val="21"/>
          <w:szCs w:val="21"/>
        </w:rPr>
        <w:t>；</w:t>
      </w:r>
    </w:p>
    <w:p w14:paraId="2FEB5CC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20" w:leftChars="0" w:right="0" w:firstLine="0" w:firstLineChars="0"/>
        <w:textAlignment w:val="baseline"/>
        <w:outlineLvl w:val="9"/>
        <w:rPr>
          <w:sz w:val="21"/>
          <w:szCs w:val="21"/>
        </w:rPr>
      </w:pPr>
      <w:r>
        <w:rPr>
          <w:spacing w:val="8"/>
          <w:sz w:val="21"/>
          <w:szCs w:val="21"/>
        </w:rPr>
        <w:t>（5）“服务采购需求”中要求必须提供的</w:t>
      </w:r>
      <w:r>
        <w:rPr>
          <w:spacing w:val="7"/>
          <w:sz w:val="21"/>
          <w:szCs w:val="21"/>
        </w:rPr>
        <w:t>有效证明文件</w:t>
      </w:r>
      <w:r>
        <w:rPr>
          <w:rFonts w:hint="eastAsia"/>
          <w:b/>
          <w:bCs/>
          <w:spacing w:val="7"/>
          <w:sz w:val="21"/>
          <w:szCs w:val="21"/>
          <w:lang w:eastAsia="zh-CN"/>
        </w:rPr>
        <w:t>（</w:t>
      </w:r>
      <w:r>
        <w:rPr>
          <w:rFonts w:hint="eastAsia"/>
          <w:b/>
          <w:bCs/>
          <w:spacing w:val="7"/>
          <w:sz w:val="21"/>
          <w:szCs w:val="21"/>
          <w:lang w:val="en-US" w:eastAsia="zh-CN"/>
        </w:rPr>
        <w:t>如有，请提供</w:t>
      </w:r>
      <w:r>
        <w:rPr>
          <w:rFonts w:hint="eastAsia"/>
          <w:b/>
          <w:bCs/>
          <w:spacing w:val="7"/>
          <w:sz w:val="21"/>
          <w:szCs w:val="21"/>
          <w:lang w:eastAsia="zh-CN"/>
        </w:rPr>
        <w:t>）</w:t>
      </w:r>
      <w:r>
        <w:rPr>
          <w:sz w:val="21"/>
          <w:szCs w:val="21"/>
        </w:rPr>
        <w:t>；</w:t>
      </w:r>
    </w:p>
    <w:p w14:paraId="24219F2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20" w:leftChars="0" w:right="0" w:firstLine="0" w:firstLineChars="0"/>
        <w:textAlignment w:val="baseline"/>
        <w:outlineLvl w:val="9"/>
        <w:rPr>
          <w:sz w:val="21"/>
          <w:szCs w:val="21"/>
        </w:rPr>
      </w:pPr>
      <w:r>
        <w:rPr>
          <w:spacing w:val="8"/>
          <w:sz w:val="21"/>
          <w:szCs w:val="21"/>
        </w:rPr>
        <w:t>（6）项目实施人员一览表</w:t>
      </w:r>
      <w:r>
        <w:rPr>
          <w:b/>
          <w:bCs/>
          <w:spacing w:val="8"/>
          <w:sz w:val="21"/>
          <w:szCs w:val="21"/>
        </w:rPr>
        <w:t>（格式自拟，如有，请提供</w:t>
      </w:r>
      <w:r>
        <w:rPr>
          <w:b/>
          <w:bCs/>
          <w:spacing w:val="1"/>
          <w:sz w:val="21"/>
          <w:szCs w:val="21"/>
        </w:rPr>
        <w:t>）</w:t>
      </w:r>
      <w:r>
        <w:rPr>
          <w:spacing w:val="1"/>
          <w:sz w:val="21"/>
          <w:szCs w:val="21"/>
        </w:rPr>
        <w:t>；</w:t>
      </w:r>
    </w:p>
    <w:p w14:paraId="64B80D5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both"/>
        <w:textAlignment w:val="baseline"/>
        <w:rPr>
          <w:sz w:val="21"/>
          <w:szCs w:val="21"/>
        </w:rPr>
      </w:pPr>
      <w:r>
        <w:rPr>
          <w:spacing w:val="9"/>
          <w:sz w:val="21"/>
          <w:szCs w:val="21"/>
        </w:rPr>
        <w:t>（7）投标人202</w:t>
      </w:r>
      <w:r>
        <w:rPr>
          <w:rFonts w:hint="eastAsia"/>
          <w:spacing w:val="9"/>
          <w:sz w:val="21"/>
          <w:szCs w:val="21"/>
          <w:lang w:val="en-US" w:eastAsia="zh-CN"/>
        </w:rPr>
        <w:t>2</w:t>
      </w:r>
      <w:r>
        <w:rPr>
          <w:spacing w:val="9"/>
          <w:sz w:val="21"/>
          <w:szCs w:val="21"/>
        </w:rPr>
        <w:t>年以来具有同类服务项目的业绩证明材料【无不良记录，提供合同复印件或</w:t>
      </w:r>
      <w:r>
        <w:rPr>
          <w:spacing w:val="8"/>
          <w:sz w:val="21"/>
          <w:szCs w:val="21"/>
        </w:rPr>
        <w:t>中标（成交）通知书，并能清晰反映</w:t>
      </w:r>
      <w:r>
        <w:rPr>
          <w:rFonts w:hint="eastAsia"/>
          <w:spacing w:val="8"/>
          <w:sz w:val="21"/>
          <w:szCs w:val="21"/>
          <w:lang w:val="en-US" w:eastAsia="zh-CN"/>
        </w:rPr>
        <w:t>该</w:t>
      </w:r>
      <w:r>
        <w:rPr>
          <w:spacing w:val="8"/>
          <w:sz w:val="21"/>
          <w:szCs w:val="21"/>
        </w:rPr>
        <w:t>项目名</w:t>
      </w:r>
      <w:r>
        <w:rPr>
          <w:spacing w:val="7"/>
          <w:sz w:val="21"/>
          <w:szCs w:val="21"/>
        </w:rPr>
        <w:t>称、类型、日期等内容】</w:t>
      </w:r>
      <w:r>
        <w:rPr>
          <w:b/>
          <w:bCs/>
          <w:spacing w:val="7"/>
          <w:sz w:val="21"/>
          <w:szCs w:val="21"/>
        </w:rPr>
        <w:t>（如有，请提供</w:t>
      </w:r>
      <w:r>
        <w:rPr>
          <w:b/>
          <w:bCs/>
          <w:spacing w:val="-2"/>
          <w:sz w:val="21"/>
          <w:szCs w:val="21"/>
        </w:rPr>
        <w:t>）</w:t>
      </w:r>
      <w:r>
        <w:rPr>
          <w:sz w:val="21"/>
          <w:szCs w:val="21"/>
        </w:rPr>
        <w:t>；</w:t>
      </w:r>
    </w:p>
    <w:p w14:paraId="39108F9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both"/>
        <w:textAlignment w:val="baseline"/>
        <w:rPr>
          <w:rFonts w:hint="eastAsia" w:eastAsia="宋体"/>
          <w:sz w:val="21"/>
          <w:szCs w:val="21"/>
          <w:lang w:eastAsia="zh-CN"/>
        </w:rPr>
      </w:pPr>
      <w:r>
        <w:rPr>
          <w:spacing w:val="9"/>
          <w:sz w:val="21"/>
          <w:szCs w:val="21"/>
        </w:rPr>
        <w:t>（8）投标人的履约能力相关证明材料</w:t>
      </w:r>
      <w:r>
        <w:rPr>
          <w:b/>
          <w:bCs/>
          <w:spacing w:val="9"/>
          <w:sz w:val="21"/>
          <w:szCs w:val="21"/>
        </w:rPr>
        <w:t>（如有</w:t>
      </w:r>
      <w:r>
        <w:rPr>
          <w:b/>
          <w:bCs/>
          <w:spacing w:val="8"/>
          <w:sz w:val="21"/>
          <w:szCs w:val="21"/>
        </w:rPr>
        <w:t>，请提供</w:t>
      </w:r>
      <w:r>
        <w:rPr>
          <w:b/>
          <w:bCs/>
          <w:sz w:val="21"/>
          <w:szCs w:val="21"/>
        </w:rPr>
        <w:t>）</w:t>
      </w:r>
      <w:r>
        <w:rPr>
          <w:sz w:val="21"/>
          <w:szCs w:val="21"/>
        </w:rPr>
        <w:t>；</w:t>
      </w:r>
    </w:p>
    <w:p w14:paraId="5F3CCFE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both"/>
        <w:textAlignment w:val="baseline"/>
        <w:rPr>
          <w:rFonts w:hint="eastAsia" w:eastAsia="宋体"/>
          <w:sz w:val="21"/>
          <w:szCs w:val="21"/>
          <w:lang w:eastAsia="zh-CN"/>
        </w:rPr>
      </w:pPr>
      <w:r>
        <w:rPr>
          <w:spacing w:val="9"/>
          <w:sz w:val="21"/>
          <w:szCs w:val="21"/>
        </w:rPr>
        <w:t>（9）中小企业声明函（见附件</w:t>
      </w:r>
      <w:r>
        <w:rPr>
          <w:spacing w:val="-15"/>
          <w:sz w:val="21"/>
          <w:szCs w:val="21"/>
        </w:rPr>
        <w:t>）（</w:t>
      </w:r>
      <w:r>
        <w:rPr>
          <w:spacing w:val="9"/>
          <w:sz w:val="21"/>
          <w:szCs w:val="21"/>
        </w:rPr>
        <w:t>如投标人为中小微型企业的，格式见附件，投标人对</w:t>
      </w:r>
      <w:r>
        <w:rPr>
          <w:spacing w:val="8"/>
          <w:sz w:val="21"/>
          <w:szCs w:val="21"/>
        </w:rPr>
        <w:t>出具的</w:t>
      </w:r>
      <w:r>
        <w:rPr>
          <w:spacing w:val="11"/>
          <w:sz w:val="21"/>
          <w:szCs w:val="21"/>
        </w:rPr>
        <w:t>声明函真实性负责，中标结果将同时公告企业《中小企业声明函》，接受社会监督</w:t>
      </w:r>
      <w:r>
        <w:rPr>
          <w:spacing w:val="4"/>
          <w:sz w:val="21"/>
          <w:szCs w:val="21"/>
        </w:rPr>
        <w:t>）</w:t>
      </w:r>
      <w:r>
        <w:rPr>
          <w:b/>
          <w:bCs/>
          <w:spacing w:val="4"/>
          <w:sz w:val="21"/>
          <w:szCs w:val="21"/>
        </w:rPr>
        <w:t>（</w:t>
      </w:r>
      <w:r>
        <w:rPr>
          <w:b/>
          <w:bCs/>
          <w:spacing w:val="11"/>
          <w:sz w:val="21"/>
          <w:szCs w:val="21"/>
        </w:rPr>
        <w:t>如有，请提</w:t>
      </w:r>
      <w:r>
        <w:rPr>
          <w:b/>
          <w:bCs/>
          <w:sz w:val="21"/>
          <w:szCs w:val="21"/>
        </w:rPr>
        <w:t>供）</w:t>
      </w:r>
      <w:r>
        <w:rPr>
          <w:sz w:val="21"/>
          <w:szCs w:val="21"/>
        </w:rPr>
        <w:t>；</w:t>
      </w:r>
    </w:p>
    <w:p w14:paraId="4D57C14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8" w:firstLineChars="200"/>
        <w:jc w:val="both"/>
        <w:textAlignment w:val="baseline"/>
        <w:rPr>
          <w:sz w:val="21"/>
          <w:szCs w:val="21"/>
        </w:rPr>
      </w:pPr>
      <w:r>
        <w:rPr>
          <w:spacing w:val="2"/>
          <w:sz w:val="21"/>
          <w:szCs w:val="21"/>
        </w:rPr>
        <w:t>（10）符合条件的残疾人福利性单位参加政府采购活动时，提供《残疾人福利性单</w:t>
      </w:r>
      <w:r>
        <w:rPr>
          <w:spacing w:val="1"/>
          <w:sz w:val="21"/>
          <w:szCs w:val="21"/>
        </w:rPr>
        <w:t>位声明函》，</w:t>
      </w:r>
      <w:r>
        <w:rPr>
          <w:spacing w:val="9"/>
          <w:sz w:val="21"/>
          <w:szCs w:val="21"/>
        </w:rPr>
        <w:t>并对声明的真实性负责</w:t>
      </w:r>
      <w:r>
        <w:rPr>
          <w:b/>
          <w:bCs/>
          <w:spacing w:val="9"/>
          <w:sz w:val="21"/>
          <w:szCs w:val="21"/>
        </w:rPr>
        <w:t>（如有，请提供</w:t>
      </w:r>
      <w:r>
        <w:rPr>
          <w:b/>
          <w:bCs/>
          <w:sz w:val="21"/>
          <w:szCs w:val="21"/>
        </w:rPr>
        <w:t>）</w:t>
      </w:r>
      <w:r>
        <w:rPr>
          <w:sz w:val="21"/>
          <w:szCs w:val="21"/>
        </w:rPr>
        <w:t>；</w:t>
      </w:r>
    </w:p>
    <w:p w14:paraId="4D3B1956">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456" w:firstLineChars="200"/>
        <w:jc w:val="both"/>
        <w:textAlignment w:val="baseline"/>
        <w:rPr>
          <w:lang w:val="en-US" w:eastAsia="en-US"/>
        </w:rPr>
      </w:pPr>
      <w:r>
        <w:rPr>
          <w:spacing w:val="9"/>
          <w:sz w:val="21"/>
          <w:szCs w:val="21"/>
        </w:rPr>
        <w:t>（11）投标人可结合本项目的评标办法视自身情况自行提交相关证明材料</w:t>
      </w:r>
      <w:r>
        <w:rPr>
          <w:b/>
          <w:bCs/>
          <w:spacing w:val="8"/>
          <w:sz w:val="21"/>
          <w:szCs w:val="21"/>
        </w:rPr>
        <w:t>（如有，请提供）</w:t>
      </w:r>
      <w:r>
        <w:rPr>
          <w:spacing w:val="8"/>
          <w:sz w:val="21"/>
          <w:szCs w:val="21"/>
        </w:rPr>
        <w:t>。</w:t>
      </w:r>
    </w:p>
    <w:p w14:paraId="05A518A0">
      <w:pPr>
        <w:keepNext w:val="0"/>
        <w:keepLines w:val="0"/>
        <w:pageBreakBefore w:val="0"/>
        <w:widowControl/>
        <w:tabs>
          <w:tab w:val="left" w:pos="861"/>
        </w:tabs>
        <w:kinsoku w:val="0"/>
        <w:wordWrap/>
        <w:overflowPunct/>
        <w:topLinePunct w:val="0"/>
        <w:autoSpaceDE w:val="0"/>
        <w:autoSpaceDN w:val="0"/>
        <w:bidi w:val="0"/>
        <w:adjustRightInd w:val="0"/>
        <w:snapToGrid w:val="0"/>
        <w:spacing w:line="400" w:lineRule="exact"/>
        <w:ind w:firstLine="440" w:firstLineChars="200"/>
        <w:jc w:val="both"/>
        <w:textAlignment w:val="baseline"/>
        <w:rPr>
          <w:rFonts w:ascii="宋体" w:hAnsi="宋体" w:eastAsia="宋体" w:cs="宋体"/>
          <w:snapToGrid w:val="0"/>
          <w:color w:val="000000"/>
          <w:spacing w:val="8"/>
          <w:kern w:val="0"/>
          <w:sz w:val="21"/>
          <w:szCs w:val="21"/>
          <w:lang w:val="en-US" w:eastAsia="en-US" w:bidi="ar-SA"/>
        </w:rPr>
      </w:pPr>
      <w:r>
        <w:rPr>
          <w:b/>
          <w:bCs/>
          <w:spacing w:val="5"/>
          <w:sz w:val="21"/>
          <w:szCs w:val="21"/>
        </w:rPr>
        <w:t>投标人提供的以上相关证明材料必须真实有效，属于“必须提供”的文件应加盖投标人</w:t>
      </w:r>
      <w:r>
        <w:rPr>
          <w:b/>
          <w:bCs/>
          <w:sz w:val="21"/>
          <w:szCs w:val="21"/>
        </w:rPr>
        <w:t>CA</w:t>
      </w:r>
      <w:r>
        <w:rPr>
          <w:b/>
          <w:bCs/>
          <w:spacing w:val="5"/>
          <w:sz w:val="21"/>
          <w:szCs w:val="21"/>
        </w:rPr>
        <w:t>认证</w:t>
      </w:r>
      <w:r>
        <w:rPr>
          <w:b/>
          <w:bCs/>
          <w:spacing w:val="7"/>
          <w:sz w:val="21"/>
          <w:szCs w:val="21"/>
        </w:rPr>
        <w:t>证书签章，否则投标文件按无效处理；其中“必须提供”的文件“投标文件（格式）”中有</w:t>
      </w:r>
      <w:r>
        <w:rPr>
          <w:b/>
          <w:bCs/>
          <w:spacing w:val="6"/>
          <w:sz w:val="21"/>
          <w:szCs w:val="21"/>
        </w:rPr>
        <w:t>要求法</w:t>
      </w:r>
      <w:r>
        <w:rPr>
          <w:b/>
          <w:bCs/>
          <w:spacing w:val="8"/>
          <w:sz w:val="21"/>
          <w:szCs w:val="21"/>
        </w:rPr>
        <w:t>定代表人(负责人)或相应的授权委托代理人在规定位置签字的，可使用法定代表人(负责人)或相应的授权委托代理人个人</w:t>
      </w:r>
      <w:r>
        <w:rPr>
          <w:b/>
          <w:bCs/>
          <w:sz w:val="21"/>
          <w:szCs w:val="21"/>
        </w:rPr>
        <w:t>CA</w:t>
      </w:r>
      <w:r>
        <w:rPr>
          <w:b/>
          <w:bCs/>
          <w:spacing w:val="8"/>
          <w:sz w:val="21"/>
          <w:szCs w:val="21"/>
        </w:rPr>
        <w:t>认证证书签章，没有办理</w:t>
      </w:r>
      <w:r>
        <w:rPr>
          <w:rFonts w:hint="eastAsia"/>
          <w:b/>
          <w:bCs/>
          <w:spacing w:val="8"/>
          <w:sz w:val="21"/>
          <w:szCs w:val="21"/>
          <w:lang w:eastAsia="zh-CN"/>
        </w:rPr>
        <w:t>广西政府采购云</w:t>
      </w:r>
      <w:r>
        <w:rPr>
          <w:b/>
          <w:bCs/>
          <w:spacing w:val="8"/>
          <w:sz w:val="21"/>
          <w:szCs w:val="21"/>
        </w:rPr>
        <w:t>个人</w:t>
      </w:r>
      <w:r>
        <w:rPr>
          <w:b/>
          <w:bCs/>
          <w:sz w:val="21"/>
          <w:szCs w:val="21"/>
        </w:rPr>
        <w:t>CA</w:t>
      </w:r>
      <w:r>
        <w:rPr>
          <w:b/>
          <w:bCs/>
          <w:spacing w:val="8"/>
          <w:sz w:val="21"/>
          <w:szCs w:val="21"/>
        </w:rPr>
        <w:t>认证证书签章的可在投标文件中涉及签字的位置手写签字后扫描或者拍照做成</w:t>
      </w:r>
      <w:r>
        <w:rPr>
          <w:b/>
          <w:bCs/>
          <w:sz w:val="21"/>
          <w:szCs w:val="21"/>
        </w:rPr>
        <w:t>PDF</w:t>
      </w:r>
      <w:r>
        <w:rPr>
          <w:b/>
          <w:bCs/>
          <w:spacing w:val="8"/>
          <w:sz w:val="21"/>
          <w:szCs w:val="21"/>
        </w:rPr>
        <w:t>的格式上传，无个人</w:t>
      </w:r>
      <w:r>
        <w:rPr>
          <w:b/>
          <w:bCs/>
          <w:sz w:val="21"/>
          <w:szCs w:val="21"/>
        </w:rPr>
        <w:t>CA</w:t>
      </w:r>
      <w:r>
        <w:rPr>
          <w:b/>
          <w:bCs/>
          <w:spacing w:val="8"/>
          <w:sz w:val="21"/>
          <w:szCs w:val="21"/>
        </w:rPr>
        <w:t>认证证书签章</w:t>
      </w:r>
      <w:r>
        <w:rPr>
          <w:rFonts w:hint="eastAsia" w:eastAsia="宋体"/>
          <w:b/>
          <w:bCs/>
          <w:spacing w:val="8"/>
          <w:sz w:val="21"/>
          <w:szCs w:val="21"/>
          <w:lang w:val="en-US" w:eastAsia="zh-CN"/>
        </w:rPr>
        <w:t>或</w:t>
      </w:r>
      <w:r>
        <w:rPr>
          <w:b/>
          <w:bCs/>
          <w:spacing w:val="8"/>
          <w:sz w:val="21"/>
          <w:szCs w:val="21"/>
        </w:rPr>
        <w:t>手写</w:t>
      </w:r>
      <w:r>
        <w:rPr>
          <w:b/>
          <w:bCs/>
          <w:spacing w:val="7"/>
          <w:sz w:val="21"/>
          <w:szCs w:val="21"/>
        </w:rPr>
        <w:t>签字的，投标文件按无效处理。</w:t>
      </w:r>
    </w:p>
    <w:p w14:paraId="1104B447">
      <w:pPr>
        <w:keepNext w:val="0"/>
        <w:keepLines w:val="0"/>
        <w:pageBreakBefore w:val="0"/>
        <w:widowControl/>
        <w:tabs>
          <w:tab w:val="left" w:pos="861"/>
        </w:tabs>
        <w:kinsoku w:val="0"/>
        <w:wordWrap/>
        <w:overflowPunct/>
        <w:topLinePunct w:val="0"/>
        <w:autoSpaceDE w:val="0"/>
        <w:autoSpaceDN w:val="0"/>
        <w:bidi w:val="0"/>
        <w:adjustRightInd w:val="0"/>
        <w:snapToGrid w:val="0"/>
        <w:spacing w:line="400" w:lineRule="exact"/>
        <w:ind w:firstLine="452" w:firstLineChars="200"/>
        <w:jc w:val="left"/>
        <w:textAlignment w:val="baseline"/>
        <w:rPr>
          <w:sz w:val="21"/>
          <w:szCs w:val="21"/>
        </w:rPr>
      </w:pPr>
      <w:r>
        <w:rPr>
          <w:rFonts w:hint="eastAsia" w:ascii="宋体" w:hAnsi="宋体" w:eastAsia="宋体" w:cs="宋体"/>
          <w:snapToGrid w:val="0"/>
          <w:color w:val="000000"/>
          <w:spacing w:val="8"/>
          <w:kern w:val="0"/>
          <w:sz w:val="21"/>
          <w:szCs w:val="21"/>
          <w:lang w:val="en-US" w:eastAsia="zh-CN" w:bidi="ar-SA"/>
        </w:rPr>
        <w:t>13.2</w:t>
      </w:r>
      <w:r>
        <w:rPr>
          <w:rFonts w:ascii="宋体" w:hAnsi="宋体" w:eastAsia="宋体" w:cs="宋体"/>
          <w:snapToGrid w:val="0"/>
          <w:color w:val="000000"/>
          <w:spacing w:val="8"/>
          <w:kern w:val="0"/>
          <w:sz w:val="21"/>
          <w:szCs w:val="21"/>
          <w:lang w:val="en-US" w:eastAsia="en-US" w:bidi="ar-SA"/>
        </w:rPr>
        <w:t>投</w:t>
      </w:r>
      <w:r>
        <w:rPr>
          <w:spacing w:val="7"/>
          <w:sz w:val="21"/>
          <w:szCs w:val="21"/>
        </w:rPr>
        <w:t>标人必须按招标文件第六章“投标文件（格式）”编制投标文</w:t>
      </w:r>
      <w:r>
        <w:rPr>
          <w:spacing w:val="6"/>
          <w:sz w:val="21"/>
          <w:szCs w:val="21"/>
        </w:rPr>
        <w:t>件。</w:t>
      </w:r>
    </w:p>
    <w:p w14:paraId="050E9797">
      <w:pPr>
        <w:pStyle w:val="6"/>
        <w:spacing w:before="113" w:line="228" w:lineRule="auto"/>
        <w:ind w:left="436"/>
        <w:rPr>
          <w:sz w:val="21"/>
          <w:szCs w:val="21"/>
        </w:rPr>
      </w:pPr>
      <w:r>
        <w:rPr>
          <w:spacing w:val="8"/>
          <w:sz w:val="21"/>
          <w:szCs w:val="21"/>
        </w:rPr>
        <w:t>13.3投标文件必须对招标文件提出的要求和条件作</w:t>
      </w:r>
      <w:r>
        <w:rPr>
          <w:spacing w:val="7"/>
          <w:sz w:val="21"/>
          <w:szCs w:val="21"/>
        </w:rPr>
        <w:t>出明确响应。</w:t>
      </w:r>
    </w:p>
    <w:p w14:paraId="1D625BCC">
      <w:pPr>
        <w:pStyle w:val="6"/>
        <w:spacing w:before="113" w:line="228" w:lineRule="auto"/>
        <w:ind w:left="436"/>
        <w:rPr>
          <w:sz w:val="21"/>
          <w:szCs w:val="21"/>
        </w:rPr>
      </w:pPr>
      <w:r>
        <w:rPr>
          <w:b/>
          <w:bCs/>
          <w:spacing w:val="5"/>
          <w:sz w:val="21"/>
          <w:szCs w:val="21"/>
        </w:rPr>
        <w:t>14.投标文件的语言及计量</w:t>
      </w:r>
    </w:p>
    <w:p w14:paraId="6E8681DC">
      <w:pPr>
        <w:pStyle w:val="6"/>
        <w:keepNext w:val="0"/>
        <w:keepLines w:val="0"/>
        <w:pageBreakBefore w:val="0"/>
        <w:widowControl/>
        <w:kinsoku w:val="0"/>
        <w:wordWrap/>
        <w:overflowPunct/>
        <w:topLinePunct w:val="0"/>
        <w:autoSpaceDE w:val="0"/>
        <w:autoSpaceDN w:val="0"/>
        <w:bidi w:val="0"/>
        <w:adjustRightInd w:val="0"/>
        <w:snapToGrid w:val="0"/>
        <w:spacing w:before="113" w:line="297" w:lineRule="auto"/>
        <w:ind w:left="20" w:firstLine="415"/>
        <w:jc w:val="both"/>
        <w:textAlignment w:val="baseline"/>
        <w:rPr>
          <w:sz w:val="21"/>
          <w:szCs w:val="21"/>
        </w:rPr>
      </w:pPr>
      <w:r>
        <w:rPr>
          <w:spacing w:val="8"/>
          <w:sz w:val="21"/>
          <w:szCs w:val="21"/>
        </w:rPr>
        <w:t>14.1投标文件以及投标人与采购人或者采购代理机构就有关投标事宜的所有来往函电，均必须</w:t>
      </w:r>
      <w:r>
        <w:rPr>
          <w:spacing w:val="10"/>
          <w:sz w:val="21"/>
          <w:szCs w:val="21"/>
        </w:rPr>
        <w:t>以中文汉语书写。投标人提交的支持文件和印刷的文献可以使用别的语言，但其相应内容必须附有</w:t>
      </w:r>
      <w:r>
        <w:rPr>
          <w:spacing w:val="8"/>
          <w:sz w:val="21"/>
          <w:szCs w:val="21"/>
        </w:rPr>
        <w:t>中文翻译文本，在解释投标文件时以中文翻译文本为主。</w:t>
      </w:r>
    </w:p>
    <w:p w14:paraId="25423807">
      <w:pPr>
        <w:pStyle w:val="6"/>
        <w:keepNext w:val="0"/>
        <w:keepLines w:val="0"/>
        <w:pageBreakBefore w:val="0"/>
        <w:widowControl/>
        <w:kinsoku w:val="0"/>
        <w:wordWrap/>
        <w:overflowPunct/>
        <w:topLinePunct w:val="0"/>
        <w:autoSpaceDE w:val="0"/>
        <w:autoSpaceDN w:val="0"/>
        <w:bidi w:val="0"/>
        <w:adjustRightInd w:val="0"/>
        <w:snapToGrid w:val="0"/>
        <w:spacing w:before="114" w:line="280" w:lineRule="auto"/>
        <w:ind w:left="1" w:right="1" w:firstLine="434"/>
        <w:jc w:val="both"/>
        <w:textAlignment w:val="baseline"/>
        <w:rPr>
          <w:sz w:val="21"/>
          <w:szCs w:val="21"/>
        </w:rPr>
      </w:pPr>
      <w:r>
        <w:rPr>
          <w:spacing w:val="8"/>
          <w:sz w:val="21"/>
          <w:szCs w:val="21"/>
        </w:rPr>
        <w:t>14.2投标计量单位，招标文件已有明确规定的，使用招标文件规定的计量单位；招标文件没有</w:t>
      </w:r>
      <w:r>
        <w:rPr>
          <w:spacing w:val="9"/>
          <w:sz w:val="21"/>
          <w:szCs w:val="21"/>
        </w:rPr>
        <w:t>规定的，必须采用中华人民共和国法定计量单位（货币单位：人民币</w:t>
      </w:r>
      <w:r>
        <w:rPr>
          <w:rFonts w:hint="eastAsia"/>
          <w:spacing w:val="9"/>
          <w:sz w:val="21"/>
          <w:szCs w:val="21"/>
          <w:lang w:val="en-US" w:eastAsia="zh-CN"/>
        </w:rPr>
        <w:t>元</w:t>
      </w:r>
      <w:r>
        <w:rPr>
          <w:spacing w:val="18"/>
          <w:sz w:val="21"/>
          <w:szCs w:val="21"/>
        </w:rPr>
        <w:t>），</w:t>
      </w:r>
      <w:r>
        <w:rPr>
          <w:spacing w:val="9"/>
          <w:sz w:val="21"/>
          <w:szCs w:val="21"/>
        </w:rPr>
        <w:t>否则视同未响应。</w:t>
      </w:r>
    </w:p>
    <w:p w14:paraId="755409A3">
      <w:pPr>
        <w:pStyle w:val="6"/>
        <w:keepNext w:val="0"/>
        <w:keepLines w:val="0"/>
        <w:pageBreakBefore w:val="0"/>
        <w:widowControl/>
        <w:kinsoku w:val="0"/>
        <w:wordWrap/>
        <w:overflowPunct/>
        <w:topLinePunct w:val="0"/>
        <w:autoSpaceDE w:val="0"/>
        <w:autoSpaceDN w:val="0"/>
        <w:bidi w:val="0"/>
        <w:adjustRightInd w:val="0"/>
        <w:snapToGrid w:val="0"/>
        <w:spacing w:before="114" w:line="226" w:lineRule="auto"/>
        <w:ind w:left="436"/>
        <w:jc w:val="both"/>
        <w:textAlignment w:val="baseline"/>
        <w:rPr>
          <w:sz w:val="21"/>
          <w:szCs w:val="21"/>
        </w:rPr>
      </w:pPr>
      <w:r>
        <w:rPr>
          <w:b/>
          <w:bCs/>
          <w:spacing w:val="1"/>
          <w:sz w:val="21"/>
          <w:szCs w:val="21"/>
        </w:rPr>
        <w:t>15.投标报价</w:t>
      </w:r>
    </w:p>
    <w:p w14:paraId="49A99D52">
      <w:pPr>
        <w:pStyle w:val="6"/>
        <w:keepNext w:val="0"/>
        <w:keepLines w:val="0"/>
        <w:pageBreakBefore w:val="0"/>
        <w:widowControl/>
        <w:kinsoku w:val="0"/>
        <w:wordWrap/>
        <w:overflowPunct/>
        <w:topLinePunct w:val="0"/>
        <w:autoSpaceDE w:val="0"/>
        <w:autoSpaceDN w:val="0"/>
        <w:bidi w:val="0"/>
        <w:adjustRightInd w:val="0"/>
        <w:snapToGrid w:val="0"/>
        <w:spacing w:line="380" w:lineRule="exact"/>
        <w:ind w:firstLine="456" w:firstLineChars="200"/>
        <w:jc w:val="both"/>
        <w:textAlignment w:val="baseline"/>
        <w:rPr>
          <w:rFonts w:hint="eastAsia"/>
          <w:spacing w:val="9"/>
          <w:sz w:val="21"/>
          <w:szCs w:val="21"/>
        </w:rPr>
      </w:pPr>
      <w:r>
        <w:rPr>
          <w:rFonts w:hint="eastAsia"/>
          <w:spacing w:val="9"/>
          <w:sz w:val="21"/>
          <w:szCs w:val="21"/>
        </w:rPr>
        <w:t>15.1投标报价应按招标文件中第六章“投标文件（格式）”填写</w:t>
      </w:r>
      <w:r>
        <w:rPr>
          <w:rFonts w:hint="eastAsia"/>
          <w:spacing w:val="9"/>
          <w:sz w:val="21"/>
          <w:szCs w:val="21"/>
          <w:lang w:eastAsia="zh-CN"/>
        </w:rPr>
        <w:t>，</w:t>
      </w:r>
      <w:r>
        <w:rPr>
          <w:rFonts w:hint="eastAsia"/>
          <w:spacing w:val="9"/>
          <w:sz w:val="21"/>
          <w:szCs w:val="21"/>
        </w:rPr>
        <w:t>本项目采购预算金额：</w:t>
      </w:r>
      <w:r>
        <w:rPr>
          <w:rFonts w:hint="eastAsia"/>
          <w:b/>
          <w:bCs/>
          <w:spacing w:val="9"/>
          <w:sz w:val="21"/>
          <w:szCs w:val="21"/>
          <w:lang w:val="en-US" w:eastAsia="zh-CN"/>
        </w:rPr>
        <w:t>人民币</w:t>
      </w:r>
      <w:r>
        <w:rPr>
          <w:rFonts w:hint="eastAsia"/>
          <w:b/>
          <w:bCs/>
          <w:spacing w:val="9"/>
          <w:sz w:val="21"/>
          <w:szCs w:val="21"/>
          <w:lang w:eastAsia="zh-CN"/>
        </w:rPr>
        <w:t>叁佰万元整（¥</w:t>
      </w:r>
      <w:r>
        <w:rPr>
          <w:rFonts w:hint="eastAsia"/>
          <w:b/>
          <w:bCs/>
          <w:spacing w:val="9"/>
          <w:sz w:val="21"/>
          <w:szCs w:val="21"/>
          <w:lang w:val="en-US" w:eastAsia="zh-CN"/>
        </w:rPr>
        <w:t>3000000.00</w:t>
      </w:r>
      <w:r>
        <w:rPr>
          <w:rFonts w:hint="eastAsia"/>
          <w:b/>
          <w:bCs/>
          <w:spacing w:val="9"/>
          <w:sz w:val="21"/>
          <w:szCs w:val="21"/>
          <w:lang w:eastAsia="zh-CN"/>
        </w:rPr>
        <w:t>）</w:t>
      </w:r>
      <w:r>
        <w:rPr>
          <w:rFonts w:hint="eastAsia"/>
          <w:spacing w:val="9"/>
          <w:sz w:val="21"/>
          <w:szCs w:val="21"/>
          <w:lang w:eastAsia="zh-CN"/>
        </w:rPr>
        <w:t>，</w:t>
      </w:r>
      <w:r>
        <w:rPr>
          <w:rFonts w:hint="eastAsia"/>
          <w:spacing w:val="9"/>
          <w:sz w:val="21"/>
          <w:szCs w:val="21"/>
        </w:rPr>
        <w:t>投标总报价超过采购预算金额，投标文件按无效处理。</w:t>
      </w:r>
    </w:p>
    <w:p w14:paraId="197643B5">
      <w:pPr>
        <w:pStyle w:val="6"/>
        <w:keepNext w:val="0"/>
        <w:keepLines w:val="0"/>
        <w:pageBreakBefore w:val="0"/>
        <w:widowControl/>
        <w:kinsoku w:val="0"/>
        <w:wordWrap/>
        <w:overflowPunct/>
        <w:topLinePunct w:val="0"/>
        <w:autoSpaceDE w:val="0"/>
        <w:autoSpaceDN w:val="0"/>
        <w:bidi w:val="0"/>
        <w:adjustRightInd w:val="0"/>
        <w:snapToGrid w:val="0"/>
        <w:spacing w:line="380" w:lineRule="exact"/>
        <w:ind w:firstLine="456" w:firstLineChars="200"/>
        <w:jc w:val="both"/>
        <w:textAlignment w:val="baseline"/>
        <w:rPr>
          <w:rFonts w:hint="eastAsia"/>
          <w:spacing w:val="9"/>
          <w:sz w:val="21"/>
          <w:szCs w:val="21"/>
        </w:rPr>
      </w:pPr>
      <w:r>
        <w:rPr>
          <w:rFonts w:hint="eastAsia"/>
          <w:spacing w:val="9"/>
          <w:sz w:val="21"/>
          <w:szCs w:val="21"/>
        </w:rPr>
        <w:t>15.2投标人必须就“</w:t>
      </w:r>
      <w:r>
        <w:rPr>
          <w:rFonts w:hint="eastAsia"/>
          <w:spacing w:val="9"/>
          <w:sz w:val="21"/>
          <w:szCs w:val="21"/>
          <w:lang w:eastAsia="zh-CN"/>
        </w:rPr>
        <w:t>服务采购需求</w:t>
      </w:r>
      <w:r>
        <w:rPr>
          <w:rFonts w:hint="eastAsia"/>
          <w:spacing w:val="9"/>
          <w:sz w:val="21"/>
          <w:szCs w:val="21"/>
        </w:rPr>
        <w:t>”中的所有内容作完整唯一报价，否则，其投标将被拒绝；投标文件只允许有一个报价，有选择的或有条件的报价将不予接受。</w:t>
      </w:r>
    </w:p>
    <w:p w14:paraId="4CE2CA27">
      <w:pPr>
        <w:pStyle w:val="6"/>
        <w:keepNext w:val="0"/>
        <w:keepLines w:val="0"/>
        <w:pageBreakBefore w:val="0"/>
        <w:widowControl/>
        <w:kinsoku w:val="0"/>
        <w:wordWrap/>
        <w:overflowPunct/>
        <w:topLinePunct w:val="0"/>
        <w:autoSpaceDE w:val="0"/>
        <w:autoSpaceDN w:val="0"/>
        <w:bidi w:val="0"/>
        <w:adjustRightInd w:val="0"/>
        <w:snapToGrid w:val="0"/>
        <w:spacing w:before="99" w:line="315" w:lineRule="auto"/>
        <w:ind w:firstLine="436"/>
        <w:jc w:val="both"/>
        <w:textAlignment w:val="baseline"/>
        <w:rPr>
          <w:sz w:val="21"/>
          <w:szCs w:val="21"/>
        </w:rPr>
      </w:pPr>
      <w:r>
        <w:rPr>
          <w:spacing w:val="9"/>
          <w:sz w:val="21"/>
          <w:szCs w:val="21"/>
        </w:rPr>
        <w:t>15.3投标人的投标报价包括本次采购范</w:t>
      </w:r>
      <w:r>
        <w:rPr>
          <w:spacing w:val="8"/>
          <w:sz w:val="21"/>
          <w:szCs w:val="21"/>
        </w:rPr>
        <w:t>围内的服务价款、服务所用耗材、人工费、差旅费（含</w:t>
      </w:r>
      <w:r>
        <w:rPr>
          <w:spacing w:val="11"/>
          <w:sz w:val="21"/>
          <w:szCs w:val="21"/>
        </w:rPr>
        <w:t>出差补助、交通费、食宿费等）、管理费用、保险、报送、验收、维护</w:t>
      </w:r>
      <w:r>
        <w:rPr>
          <w:spacing w:val="10"/>
          <w:sz w:val="21"/>
          <w:szCs w:val="21"/>
        </w:rPr>
        <w:t>、资料收集及数据处理费、</w:t>
      </w:r>
      <w:r>
        <w:rPr>
          <w:spacing w:val="11"/>
          <w:sz w:val="21"/>
          <w:szCs w:val="21"/>
        </w:rPr>
        <w:t>实地调查费、资料打印及装订费、税费、配合费、政策性文件规定的各</w:t>
      </w:r>
      <w:r>
        <w:rPr>
          <w:spacing w:val="10"/>
          <w:sz w:val="21"/>
          <w:szCs w:val="21"/>
        </w:rPr>
        <w:t>项费用及所有风险、责任、</w:t>
      </w:r>
      <w:r>
        <w:rPr>
          <w:spacing w:val="11"/>
          <w:sz w:val="21"/>
          <w:szCs w:val="21"/>
        </w:rPr>
        <w:t>合同实施过程中的应预见和不可预见费用等完成合同规定责任和义务的</w:t>
      </w:r>
      <w:r>
        <w:rPr>
          <w:spacing w:val="10"/>
          <w:sz w:val="21"/>
          <w:szCs w:val="21"/>
        </w:rPr>
        <w:t>一切费用，供应商综合考虑</w:t>
      </w:r>
      <w:r>
        <w:rPr>
          <w:spacing w:val="11"/>
          <w:sz w:val="21"/>
          <w:szCs w:val="21"/>
        </w:rPr>
        <w:t>在报价中。在合同实施时，采购人将不予支付成交供应商没有列入的项</w:t>
      </w:r>
      <w:r>
        <w:rPr>
          <w:spacing w:val="10"/>
          <w:sz w:val="21"/>
          <w:szCs w:val="21"/>
        </w:rPr>
        <w:t>目费用，并认为此项目的费</w:t>
      </w:r>
      <w:r>
        <w:rPr>
          <w:spacing w:val="8"/>
          <w:sz w:val="21"/>
          <w:szCs w:val="21"/>
        </w:rPr>
        <w:t>用已包括在总报价中。</w:t>
      </w:r>
    </w:p>
    <w:p w14:paraId="4FEB185B">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4" w:firstLineChars="200"/>
        <w:textAlignment w:val="baseline"/>
        <w:rPr>
          <w:sz w:val="21"/>
          <w:szCs w:val="21"/>
        </w:rPr>
      </w:pPr>
      <w:r>
        <w:rPr>
          <w:b/>
          <w:bCs/>
          <w:spacing w:val="3"/>
          <w:sz w:val="21"/>
          <w:szCs w:val="21"/>
        </w:rPr>
        <w:t>16.投标有效期</w:t>
      </w:r>
    </w:p>
    <w:p w14:paraId="35143172">
      <w:pPr>
        <w:pStyle w:val="6"/>
        <w:keepNext w:val="0"/>
        <w:keepLines w:val="0"/>
        <w:pageBreakBefore w:val="0"/>
        <w:widowControl/>
        <w:kinsoku w:val="0"/>
        <w:wordWrap/>
        <w:overflowPunct/>
        <w:topLinePunct w:val="0"/>
        <w:autoSpaceDE w:val="0"/>
        <w:autoSpaceDN w:val="0"/>
        <w:bidi w:val="0"/>
        <w:adjustRightInd w:val="0"/>
        <w:snapToGrid w:val="0"/>
        <w:spacing w:line="400" w:lineRule="exact"/>
        <w:ind w:right="0" w:firstLine="404" w:firstLineChars="200"/>
        <w:jc w:val="both"/>
        <w:textAlignment w:val="baseline"/>
        <w:rPr>
          <w:sz w:val="21"/>
          <w:szCs w:val="21"/>
        </w:rPr>
      </w:pPr>
      <w:r>
        <w:rPr>
          <w:spacing w:val="-4"/>
          <w:sz w:val="21"/>
          <w:szCs w:val="21"/>
        </w:rPr>
        <w:t>16.1</w:t>
      </w:r>
      <w:r>
        <w:rPr>
          <w:b/>
          <w:bCs/>
          <w:spacing w:val="-4"/>
          <w:sz w:val="21"/>
          <w:szCs w:val="21"/>
        </w:rPr>
        <w:t>投标有效期：投标截止时间之日起90天。</w:t>
      </w:r>
    </w:p>
    <w:p w14:paraId="2AE5CAC3">
      <w:pPr>
        <w:pStyle w:val="6"/>
        <w:keepNext w:val="0"/>
        <w:keepLines w:val="0"/>
        <w:pageBreakBefore w:val="0"/>
        <w:widowControl/>
        <w:kinsoku w:val="0"/>
        <w:wordWrap/>
        <w:overflowPunct/>
        <w:topLinePunct w:val="0"/>
        <w:autoSpaceDE w:val="0"/>
        <w:autoSpaceDN w:val="0"/>
        <w:bidi w:val="0"/>
        <w:adjustRightInd w:val="0"/>
        <w:snapToGrid w:val="0"/>
        <w:spacing w:line="400" w:lineRule="exact"/>
        <w:ind w:right="0" w:firstLine="452" w:firstLineChars="200"/>
        <w:jc w:val="both"/>
        <w:textAlignment w:val="baseline"/>
        <w:rPr>
          <w:sz w:val="21"/>
          <w:szCs w:val="21"/>
        </w:rPr>
      </w:pPr>
      <w:r>
        <w:rPr>
          <w:spacing w:val="8"/>
          <w:sz w:val="21"/>
          <w:szCs w:val="21"/>
        </w:rPr>
        <w:t>16.2出现特殊情况下，需要延长投标有效期的，采购代理机构以书面形式通知投标人延长投标</w:t>
      </w:r>
      <w:r>
        <w:rPr>
          <w:spacing w:val="9"/>
          <w:sz w:val="21"/>
          <w:szCs w:val="21"/>
        </w:rPr>
        <w:t>有效期。投标人同意延长的，不能修改投标文件。投标人拒绝延长的，其投标无效。</w:t>
      </w:r>
    </w:p>
    <w:p w14:paraId="3DCFB403">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sz w:val="21"/>
          <w:szCs w:val="21"/>
        </w:rPr>
      </w:pPr>
      <w:r>
        <w:rPr>
          <w:b/>
          <w:bCs/>
          <w:spacing w:val="4"/>
          <w:sz w:val="21"/>
          <w:szCs w:val="21"/>
        </w:rPr>
        <w:t>17.电子投标文件的制作、加密要求</w:t>
      </w:r>
    </w:p>
    <w:p w14:paraId="5A6F039D">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jc w:val="both"/>
        <w:textAlignment w:val="baseline"/>
        <w:rPr>
          <w:sz w:val="21"/>
          <w:szCs w:val="21"/>
        </w:rPr>
      </w:pPr>
      <w:r>
        <w:rPr>
          <w:spacing w:val="6"/>
          <w:sz w:val="21"/>
          <w:szCs w:val="21"/>
        </w:rPr>
        <w:t>17.1投标人制作电子投标文件前，应登陆“</w:t>
      </w:r>
      <w:r>
        <w:rPr>
          <w:rFonts w:hint="eastAsia"/>
          <w:spacing w:val="6"/>
          <w:sz w:val="21"/>
          <w:szCs w:val="21"/>
          <w:lang w:eastAsia="zh-CN"/>
        </w:rPr>
        <w:t>广西政府采购云</w:t>
      </w:r>
      <w:r>
        <w:rPr>
          <w:spacing w:val="6"/>
          <w:sz w:val="21"/>
          <w:szCs w:val="21"/>
        </w:rPr>
        <w:t>”平台进行“申请获取采购文件”操作，否</w:t>
      </w:r>
      <w:r>
        <w:rPr>
          <w:spacing w:val="9"/>
          <w:sz w:val="21"/>
          <w:szCs w:val="21"/>
        </w:rPr>
        <w:t>则，有可能导致无法在线编制投标文件并参与投标，其不利后果由投标人自行承担。</w:t>
      </w:r>
    </w:p>
    <w:p w14:paraId="069828DC">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jc w:val="both"/>
        <w:textAlignment w:val="baseline"/>
        <w:rPr>
          <w:sz w:val="21"/>
          <w:szCs w:val="21"/>
        </w:rPr>
      </w:pPr>
      <w:r>
        <w:rPr>
          <w:spacing w:val="8"/>
          <w:sz w:val="21"/>
          <w:szCs w:val="21"/>
        </w:rPr>
        <w:t>17.2投标人下载或获取招标文件后，登录“</w:t>
      </w:r>
      <w:r>
        <w:rPr>
          <w:rFonts w:hint="eastAsia"/>
          <w:spacing w:val="8"/>
          <w:sz w:val="21"/>
          <w:szCs w:val="21"/>
          <w:lang w:eastAsia="zh-CN"/>
        </w:rPr>
        <w:t>广西政府采购云</w:t>
      </w:r>
      <w:r>
        <w:rPr>
          <w:spacing w:val="8"/>
          <w:sz w:val="21"/>
          <w:szCs w:val="21"/>
        </w:rPr>
        <w:t>电子投标客户端</w:t>
      </w:r>
      <w:r>
        <w:rPr>
          <w:spacing w:val="7"/>
          <w:sz w:val="21"/>
          <w:szCs w:val="21"/>
        </w:rPr>
        <w:t>”，按照本招标文件规定的</w:t>
      </w:r>
      <w:r>
        <w:rPr>
          <w:spacing w:val="8"/>
          <w:sz w:val="21"/>
          <w:szCs w:val="21"/>
        </w:rPr>
        <w:t>投标文件格式、顺序以及“</w:t>
      </w:r>
      <w:r>
        <w:rPr>
          <w:rFonts w:hint="eastAsia"/>
          <w:spacing w:val="8"/>
          <w:sz w:val="21"/>
          <w:szCs w:val="21"/>
          <w:lang w:eastAsia="zh-CN"/>
        </w:rPr>
        <w:t>广西政府采购云</w:t>
      </w:r>
      <w:r>
        <w:rPr>
          <w:spacing w:val="8"/>
          <w:sz w:val="21"/>
          <w:szCs w:val="21"/>
        </w:rPr>
        <w:t>”平台的要求，通过“</w:t>
      </w:r>
      <w:r>
        <w:rPr>
          <w:rFonts w:hint="eastAsia"/>
          <w:spacing w:val="8"/>
          <w:sz w:val="21"/>
          <w:szCs w:val="21"/>
          <w:lang w:eastAsia="zh-CN"/>
        </w:rPr>
        <w:t>广西政府采购云</w:t>
      </w:r>
      <w:r>
        <w:rPr>
          <w:spacing w:val="8"/>
          <w:sz w:val="21"/>
          <w:szCs w:val="21"/>
        </w:rPr>
        <w:t>电子投标客户端”编制电子投标文</w:t>
      </w:r>
      <w:r>
        <w:rPr>
          <w:sz w:val="21"/>
          <w:szCs w:val="21"/>
        </w:rPr>
        <w:t>件。</w:t>
      </w:r>
    </w:p>
    <w:p w14:paraId="6F3C94BC">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jc w:val="both"/>
        <w:textAlignment w:val="baseline"/>
        <w:rPr>
          <w:sz w:val="21"/>
          <w:szCs w:val="21"/>
        </w:rPr>
      </w:pPr>
      <w:r>
        <w:rPr>
          <w:spacing w:val="7"/>
          <w:sz w:val="21"/>
          <w:szCs w:val="21"/>
        </w:rPr>
        <w:t>17.3投标人应按“</w:t>
      </w:r>
      <w:r>
        <w:rPr>
          <w:rFonts w:hint="eastAsia"/>
          <w:spacing w:val="7"/>
          <w:sz w:val="21"/>
          <w:szCs w:val="21"/>
          <w:lang w:eastAsia="zh-CN"/>
        </w:rPr>
        <w:t>广西政府采购云</w:t>
      </w:r>
      <w:r>
        <w:rPr>
          <w:spacing w:val="7"/>
          <w:sz w:val="21"/>
          <w:szCs w:val="21"/>
        </w:rPr>
        <w:t>电子投标客户端”载明的“标书关联”功能进行电子投标文件相应内</w:t>
      </w:r>
      <w:r>
        <w:rPr>
          <w:spacing w:val="10"/>
          <w:sz w:val="21"/>
          <w:szCs w:val="21"/>
        </w:rPr>
        <w:t>容的关联定位，以便评标委员会在评审时点击相应评审项可直接定位</w:t>
      </w:r>
      <w:r>
        <w:rPr>
          <w:spacing w:val="9"/>
          <w:sz w:val="21"/>
          <w:szCs w:val="21"/>
        </w:rPr>
        <w:t>到该评审内容；如投标人的电</w:t>
      </w:r>
      <w:r>
        <w:rPr>
          <w:spacing w:val="10"/>
          <w:sz w:val="21"/>
          <w:szCs w:val="21"/>
        </w:rPr>
        <w:t>子投标文件未能关联定位相应内容，或者关联定位的内容与该评审项不</w:t>
      </w:r>
      <w:r>
        <w:rPr>
          <w:spacing w:val="9"/>
          <w:sz w:val="21"/>
          <w:szCs w:val="21"/>
        </w:rPr>
        <w:t>符，导致评标委员会无法查询并做出对投标人不利的评审，相关后果由投标人自行承担。</w:t>
      </w:r>
    </w:p>
    <w:p w14:paraId="3753D754">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jc w:val="both"/>
        <w:textAlignment w:val="baseline"/>
        <w:rPr>
          <w:sz w:val="21"/>
          <w:szCs w:val="21"/>
        </w:rPr>
      </w:pPr>
      <w:r>
        <w:rPr>
          <w:spacing w:val="8"/>
          <w:sz w:val="21"/>
          <w:szCs w:val="21"/>
        </w:rPr>
        <w:t>17.4电子投标文件不得涂改，若有修改错漏处，须由法定代表人（负责人）或授权委托</w:t>
      </w:r>
      <w:r>
        <w:rPr>
          <w:spacing w:val="7"/>
          <w:sz w:val="21"/>
          <w:szCs w:val="21"/>
        </w:rPr>
        <w:t>代理人</w:t>
      </w:r>
      <w:r>
        <w:rPr>
          <w:spacing w:val="9"/>
          <w:sz w:val="21"/>
          <w:szCs w:val="21"/>
        </w:rPr>
        <w:t>通过“</w:t>
      </w:r>
      <w:r>
        <w:rPr>
          <w:rFonts w:hint="eastAsia"/>
          <w:spacing w:val="9"/>
          <w:sz w:val="21"/>
          <w:szCs w:val="21"/>
          <w:lang w:eastAsia="zh-CN"/>
        </w:rPr>
        <w:t>广西政府采购云</w:t>
      </w:r>
      <w:r>
        <w:rPr>
          <w:spacing w:val="9"/>
          <w:sz w:val="21"/>
          <w:szCs w:val="21"/>
        </w:rPr>
        <w:t>电子投标客户端”采用</w:t>
      </w:r>
      <w:r>
        <w:rPr>
          <w:rFonts w:hint="eastAsia"/>
          <w:spacing w:val="9"/>
          <w:sz w:val="21"/>
          <w:szCs w:val="21"/>
          <w:lang w:eastAsia="zh-CN"/>
        </w:rPr>
        <w:t>广西政府采购云</w:t>
      </w:r>
      <w:r>
        <w:rPr>
          <w:spacing w:val="9"/>
          <w:sz w:val="21"/>
          <w:szCs w:val="21"/>
        </w:rPr>
        <w:t>个人</w:t>
      </w:r>
      <w:r>
        <w:rPr>
          <w:sz w:val="21"/>
          <w:szCs w:val="21"/>
        </w:rPr>
        <w:t>CA</w:t>
      </w:r>
      <w:r>
        <w:rPr>
          <w:spacing w:val="9"/>
          <w:sz w:val="21"/>
          <w:szCs w:val="21"/>
        </w:rPr>
        <w:t>认证证书签章</w:t>
      </w:r>
      <w:r>
        <w:rPr>
          <w:spacing w:val="8"/>
          <w:sz w:val="21"/>
          <w:szCs w:val="21"/>
        </w:rPr>
        <w:t>，没有办理</w:t>
      </w:r>
      <w:r>
        <w:rPr>
          <w:rFonts w:hint="eastAsia"/>
          <w:spacing w:val="8"/>
          <w:sz w:val="21"/>
          <w:szCs w:val="21"/>
          <w:lang w:eastAsia="zh-CN"/>
        </w:rPr>
        <w:t>广西政府采购云</w:t>
      </w:r>
      <w:r>
        <w:rPr>
          <w:spacing w:val="8"/>
          <w:sz w:val="21"/>
          <w:szCs w:val="21"/>
        </w:rPr>
        <w:t>个人</w:t>
      </w:r>
      <w:r>
        <w:rPr>
          <w:sz w:val="21"/>
          <w:szCs w:val="21"/>
        </w:rPr>
        <w:t>CA</w:t>
      </w:r>
      <w:r>
        <w:rPr>
          <w:spacing w:val="8"/>
          <w:sz w:val="21"/>
          <w:szCs w:val="21"/>
        </w:rPr>
        <w:t>认证证书签章的，在投标文件中响应位置手写签字后扫描或者拍照做成</w:t>
      </w:r>
      <w:r>
        <w:rPr>
          <w:sz w:val="21"/>
          <w:szCs w:val="21"/>
        </w:rPr>
        <w:t>PDF</w:t>
      </w:r>
      <w:r>
        <w:rPr>
          <w:spacing w:val="8"/>
          <w:sz w:val="21"/>
          <w:szCs w:val="21"/>
        </w:rPr>
        <w:t>的格式上传。因投标文件字迹</w:t>
      </w:r>
      <w:r>
        <w:rPr>
          <w:spacing w:val="9"/>
          <w:sz w:val="21"/>
          <w:szCs w:val="21"/>
        </w:rPr>
        <w:t>潦草、表达不清、内容不完整、编排混乱导致投标文件被误读、漏读，或者在</w:t>
      </w:r>
      <w:r>
        <w:rPr>
          <w:spacing w:val="8"/>
          <w:sz w:val="21"/>
          <w:szCs w:val="21"/>
        </w:rPr>
        <w:t>按招标文件规定的部</w:t>
      </w:r>
      <w:r>
        <w:rPr>
          <w:spacing w:val="9"/>
          <w:sz w:val="21"/>
          <w:szCs w:val="21"/>
        </w:rPr>
        <w:t>位查找不到相关内容的，其不利后果由投标人自行承担。</w:t>
      </w:r>
    </w:p>
    <w:p w14:paraId="015DFF15">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jc w:val="both"/>
        <w:textAlignment w:val="baseline"/>
        <w:rPr>
          <w:sz w:val="21"/>
          <w:szCs w:val="21"/>
        </w:rPr>
      </w:pPr>
      <w:r>
        <w:rPr>
          <w:spacing w:val="8"/>
          <w:sz w:val="21"/>
          <w:szCs w:val="21"/>
        </w:rPr>
        <w:t>17.5投标人编制、生成电子投标文件后应当加密投标文件。投标人未按规定编制并加密的投标</w:t>
      </w:r>
      <w:r>
        <w:rPr>
          <w:spacing w:val="6"/>
          <w:sz w:val="21"/>
          <w:szCs w:val="21"/>
        </w:rPr>
        <w:t>文件，“</w:t>
      </w:r>
      <w:r>
        <w:rPr>
          <w:rFonts w:hint="eastAsia"/>
          <w:spacing w:val="6"/>
          <w:sz w:val="21"/>
          <w:szCs w:val="21"/>
          <w:lang w:eastAsia="zh-CN"/>
        </w:rPr>
        <w:t>广西政府采购云</w:t>
      </w:r>
      <w:r>
        <w:rPr>
          <w:spacing w:val="6"/>
          <w:sz w:val="21"/>
          <w:szCs w:val="21"/>
        </w:rPr>
        <w:t>”平台将予以拒收。</w:t>
      </w:r>
    </w:p>
    <w:p w14:paraId="6BF657C4">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jc w:val="both"/>
        <w:textAlignment w:val="baseline"/>
        <w:rPr>
          <w:b w:val="0"/>
          <w:bCs w:val="0"/>
          <w:sz w:val="21"/>
          <w:szCs w:val="21"/>
        </w:rPr>
      </w:pPr>
      <w:r>
        <w:rPr>
          <w:b w:val="0"/>
          <w:bCs w:val="0"/>
          <w:spacing w:val="4"/>
          <w:sz w:val="21"/>
          <w:szCs w:val="21"/>
        </w:rPr>
        <w:t>17.6供应商公章及签字</w:t>
      </w:r>
    </w:p>
    <w:p w14:paraId="40FDA571">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jc w:val="both"/>
        <w:textAlignment w:val="baseline"/>
        <w:rPr>
          <w:sz w:val="21"/>
          <w:szCs w:val="21"/>
        </w:rPr>
      </w:pPr>
      <w:r>
        <w:rPr>
          <w:spacing w:val="8"/>
          <w:sz w:val="21"/>
          <w:szCs w:val="21"/>
        </w:rPr>
        <w:t>17.6.1本招标文件中描述投标人的“公章”是指</w:t>
      </w:r>
      <w:r>
        <w:rPr>
          <w:spacing w:val="7"/>
          <w:sz w:val="21"/>
          <w:szCs w:val="21"/>
        </w:rPr>
        <w:t>投标人通过指定电子化政府采购平台办理数字</w:t>
      </w:r>
      <w:r>
        <w:rPr>
          <w:spacing w:val="9"/>
          <w:sz w:val="21"/>
          <w:szCs w:val="21"/>
        </w:rPr>
        <w:t>证书（</w:t>
      </w:r>
      <w:r>
        <w:rPr>
          <w:sz w:val="21"/>
          <w:szCs w:val="21"/>
        </w:rPr>
        <w:t>CA</w:t>
      </w:r>
      <w:r>
        <w:rPr>
          <w:spacing w:val="9"/>
          <w:sz w:val="21"/>
          <w:szCs w:val="21"/>
        </w:rPr>
        <w:t>认证证书）获得的以法定主体行为名称制作的电子印章。</w:t>
      </w:r>
    </w:p>
    <w:p w14:paraId="7E0D73E2">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jc w:val="both"/>
        <w:textAlignment w:val="baseline"/>
        <w:rPr>
          <w:sz w:val="21"/>
          <w:szCs w:val="21"/>
        </w:rPr>
      </w:pPr>
      <w:r>
        <w:rPr>
          <w:spacing w:val="10"/>
          <w:sz w:val="21"/>
          <w:szCs w:val="21"/>
        </w:rPr>
        <w:t>17.6.2本招标文件中要求投标人对其电子投标文件的相关内容加</w:t>
      </w:r>
      <w:r>
        <w:rPr>
          <w:spacing w:val="9"/>
          <w:sz w:val="21"/>
          <w:szCs w:val="21"/>
        </w:rPr>
        <w:t>盖公章的，均指采用</w:t>
      </w:r>
      <w:r>
        <w:rPr>
          <w:sz w:val="21"/>
          <w:szCs w:val="21"/>
        </w:rPr>
        <w:t>CA</w:t>
      </w:r>
      <w:r>
        <w:rPr>
          <w:spacing w:val="9"/>
          <w:sz w:val="21"/>
          <w:szCs w:val="21"/>
        </w:rPr>
        <w:t>认证</w:t>
      </w:r>
      <w:r>
        <w:rPr>
          <w:spacing w:val="5"/>
          <w:sz w:val="21"/>
          <w:szCs w:val="21"/>
        </w:rPr>
        <w:t>证书签章。</w:t>
      </w:r>
    </w:p>
    <w:p w14:paraId="6A798E8D">
      <w:pPr>
        <w:pStyle w:val="6"/>
        <w:keepNext w:val="0"/>
        <w:keepLines w:val="0"/>
        <w:pageBreakBefore w:val="0"/>
        <w:widowControl/>
        <w:kinsoku w:val="0"/>
        <w:wordWrap/>
        <w:overflowPunct/>
        <w:topLinePunct w:val="0"/>
        <w:autoSpaceDE w:val="0"/>
        <w:autoSpaceDN w:val="0"/>
        <w:bidi w:val="0"/>
        <w:adjustRightInd w:val="0"/>
        <w:snapToGrid w:val="0"/>
        <w:spacing w:before="120" w:line="297" w:lineRule="auto"/>
        <w:ind w:firstLine="435"/>
        <w:jc w:val="both"/>
        <w:textAlignment w:val="baseline"/>
        <w:rPr>
          <w:sz w:val="21"/>
          <w:szCs w:val="21"/>
        </w:rPr>
      </w:pPr>
      <w:r>
        <w:rPr>
          <w:spacing w:val="8"/>
          <w:sz w:val="21"/>
          <w:szCs w:val="21"/>
        </w:rPr>
        <w:t>17.6.3本招标文件中描述投标人的“签字”是指</w:t>
      </w:r>
      <w:r>
        <w:rPr>
          <w:spacing w:val="7"/>
          <w:sz w:val="21"/>
          <w:szCs w:val="21"/>
        </w:rPr>
        <w:t>投标人通过指定电子化政府采购平台办理数字</w:t>
      </w:r>
      <w:r>
        <w:rPr>
          <w:spacing w:val="10"/>
          <w:sz w:val="21"/>
          <w:szCs w:val="21"/>
        </w:rPr>
        <w:t>证书（</w:t>
      </w:r>
      <w:r>
        <w:rPr>
          <w:sz w:val="21"/>
          <w:szCs w:val="21"/>
        </w:rPr>
        <w:t>CA</w:t>
      </w:r>
      <w:r>
        <w:rPr>
          <w:spacing w:val="10"/>
          <w:sz w:val="21"/>
          <w:szCs w:val="21"/>
        </w:rPr>
        <w:t>认证证书）获得的以投标人法定代表人</w:t>
      </w:r>
      <w:r>
        <w:rPr>
          <w:spacing w:val="9"/>
          <w:sz w:val="21"/>
          <w:szCs w:val="21"/>
        </w:rPr>
        <w:t>（负责人）或者委托代理人姓名制作的个人电子印章或手写签字。没有办理个人</w:t>
      </w:r>
      <w:r>
        <w:rPr>
          <w:sz w:val="21"/>
          <w:szCs w:val="21"/>
        </w:rPr>
        <w:t>CA</w:t>
      </w:r>
      <w:r>
        <w:rPr>
          <w:spacing w:val="9"/>
          <w:sz w:val="21"/>
          <w:szCs w:val="21"/>
        </w:rPr>
        <w:t>认证证书的，可以为手写签字的形式。</w:t>
      </w:r>
    </w:p>
    <w:p w14:paraId="2EDFF0DC">
      <w:pPr>
        <w:pStyle w:val="6"/>
        <w:spacing w:before="114" w:line="228" w:lineRule="auto"/>
        <w:ind w:left="436"/>
        <w:rPr>
          <w:sz w:val="21"/>
          <w:szCs w:val="21"/>
        </w:rPr>
      </w:pPr>
      <w:r>
        <w:rPr>
          <w:b/>
          <w:bCs/>
          <w:spacing w:val="4"/>
          <w:sz w:val="21"/>
          <w:szCs w:val="21"/>
        </w:rPr>
        <w:t>18.投标文件的递交</w:t>
      </w:r>
    </w:p>
    <w:p w14:paraId="5AD44D0C">
      <w:pPr>
        <w:pStyle w:val="6"/>
        <w:spacing w:before="113" w:line="228" w:lineRule="auto"/>
        <w:ind w:left="436"/>
        <w:rPr>
          <w:sz w:val="21"/>
          <w:szCs w:val="21"/>
        </w:rPr>
      </w:pPr>
      <w:r>
        <w:rPr>
          <w:spacing w:val="4"/>
          <w:sz w:val="21"/>
          <w:szCs w:val="21"/>
        </w:rPr>
        <w:t>18.1投标文件递交要求：</w:t>
      </w:r>
    </w:p>
    <w:p w14:paraId="702FDBC8">
      <w:pPr>
        <w:pStyle w:val="6"/>
        <w:spacing w:before="113" w:line="228" w:lineRule="auto"/>
        <w:ind w:left="423"/>
        <w:rPr>
          <w:sz w:val="21"/>
          <w:szCs w:val="21"/>
        </w:rPr>
      </w:pPr>
      <w:r>
        <w:rPr>
          <w:spacing w:val="1"/>
          <w:sz w:val="21"/>
          <w:szCs w:val="21"/>
        </w:rPr>
        <w:t>投标截止时间：</w:t>
      </w:r>
      <w:r>
        <w:rPr>
          <w:rFonts w:hint="eastAsia"/>
          <w:spacing w:val="1"/>
          <w:sz w:val="21"/>
          <w:szCs w:val="21"/>
          <w:lang w:eastAsia="zh-CN"/>
        </w:rPr>
        <w:t>2026</w:t>
      </w:r>
      <w:r>
        <w:rPr>
          <w:spacing w:val="1"/>
          <w:sz w:val="21"/>
          <w:szCs w:val="21"/>
        </w:rPr>
        <w:t>年0</w:t>
      </w:r>
      <w:r>
        <w:rPr>
          <w:rFonts w:hint="eastAsia"/>
          <w:spacing w:val="1"/>
          <w:sz w:val="21"/>
          <w:szCs w:val="21"/>
          <w:lang w:val="en-US" w:eastAsia="zh-CN"/>
        </w:rPr>
        <w:t>4</w:t>
      </w:r>
      <w:r>
        <w:rPr>
          <w:spacing w:val="1"/>
          <w:sz w:val="21"/>
          <w:szCs w:val="21"/>
        </w:rPr>
        <w:t>月</w:t>
      </w:r>
      <w:r>
        <w:rPr>
          <w:rFonts w:hint="eastAsia"/>
          <w:spacing w:val="1"/>
          <w:sz w:val="21"/>
          <w:szCs w:val="21"/>
          <w:lang w:val="en-US" w:eastAsia="zh-CN"/>
        </w:rPr>
        <w:t>13日 0</w:t>
      </w:r>
      <w:r>
        <w:rPr>
          <w:spacing w:val="1"/>
          <w:sz w:val="21"/>
          <w:szCs w:val="21"/>
        </w:rPr>
        <w:t>9时3</w:t>
      </w:r>
      <w:r>
        <w:rPr>
          <w:sz w:val="21"/>
          <w:szCs w:val="21"/>
        </w:rPr>
        <w:t>0分</w:t>
      </w:r>
      <w:r>
        <w:rPr>
          <w:rFonts w:hint="eastAsia"/>
          <w:sz w:val="21"/>
          <w:szCs w:val="21"/>
          <w:lang w:eastAsia="zh-CN"/>
        </w:rPr>
        <w:t>（</w:t>
      </w:r>
      <w:r>
        <w:rPr>
          <w:rFonts w:hint="eastAsia"/>
          <w:sz w:val="21"/>
          <w:szCs w:val="21"/>
          <w:lang w:val="en-US" w:eastAsia="zh-CN"/>
        </w:rPr>
        <w:t>北京时间</w:t>
      </w:r>
      <w:r>
        <w:rPr>
          <w:rFonts w:hint="eastAsia"/>
          <w:sz w:val="21"/>
          <w:szCs w:val="21"/>
          <w:lang w:eastAsia="zh-CN"/>
        </w:rPr>
        <w:t>）</w:t>
      </w:r>
      <w:r>
        <w:rPr>
          <w:sz w:val="21"/>
          <w:szCs w:val="21"/>
        </w:rPr>
        <w:t>。</w:t>
      </w:r>
    </w:p>
    <w:p w14:paraId="0889CB35">
      <w:pPr>
        <w:pStyle w:val="6"/>
        <w:spacing w:before="114" w:line="317" w:lineRule="auto"/>
        <w:ind w:firstLine="423"/>
        <w:rPr>
          <w:sz w:val="21"/>
          <w:szCs w:val="21"/>
        </w:rPr>
      </w:pPr>
      <w:r>
        <w:rPr>
          <w:spacing w:val="10"/>
          <w:sz w:val="21"/>
          <w:szCs w:val="21"/>
        </w:rPr>
        <w:t>投标文件递交地点：通过“</w:t>
      </w:r>
      <w:r>
        <w:rPr>
          <w:rFonts w:hint="eastAsia"/>
          <w:spacing w:val="10"/>
          <w:sz w:val="21"/>
          <w:szCs w:val="21"/>
          <w:lang w:eastAsia="zh-CN"/>
        </w:rPr>
        <w:t>广西政府采购云</w:t>
      </w:r>
      <w:r>
        <w:rPr>
          <w:spacing w:val="10"/>
          <w:sz w:val="21"/>
          <w:szCs w:val="21"/>
        </w:rPr>
        <w:t>”平台在线提交，逾期递交的投标文件将予以拒</w:t>
      </w:r>
      <w:r>
        <w:rPr>
          <w:spacing w:val="9"/>
          <w:sz w:val="21"/>
          <w:szCs w:val="21"/>
        </w:rPr>
        <w:t>收。投标文</w:t>
      </w:r>
      <w:r>
        <w:rPr>
          <w:spacing w:val="8"/>
          <w:sz w:val="21"/>
          <w:szCs w:val="21"/>
        </w:rPr>
        <w:t>件递交成功后，投标人在必须在“</w:t>
      </w:r>
      <w:r>
        <w:rPr>
          <w:rFonts w:hint="eastAsia"/>
          <w:spacing w:val="8"/>
          <w:sz w:val="21"/>
          <w:szCs w:val="21"/>
          <w:lang w:eastAsia="zh-CN"/>
        </w:rPr>
        <w:t>广西政府采购云</w:t>
      </w:r>
      <w:r>
        <w:rPr>
          <w:spacing w:val="8"/>
          <w:sz w:val="21"/>
          <w:szCs w:val="21"/>
        </w:rPr>
        <w:t>”平台自行下载投标回执。</w:t>
      </w:r>
    </w:p>
    <w:p w14:paraId="03B127BF">
      <w:pPr>
        <w:pStyle w:val="6"/>
        <w:spacing w:before="32" w:line="228" w:lineRule="auto"/>
        <w:ind w:left="450"/>
        <w:rPr>
          <w:sz w:val="21"/>
          <w:szCs w:val="21"/>
        </w:rPr>
      </w:pPr>
      <w:r>
        <w:rPr>
          <w:spacing w:val="7"/>
          <w:sz w:val="21"/>
          <w:szCs w:val="21"/>
        </w:rPr>
        <w:t>18.2除招标文件另有规定外，投标人所递交的投标文件不予退还。</w:t>
      </w:r>
    </w:p>
    <w:p w14:paraId="58210F69">
      <w:pPr>
        <w:pStyle w:val="6"/>
        <w:spacing w:before="96" w:line="228" w:lineRule="auto"/>
        <w:ind w:left="436"/>
        <w:rPr>
          <w:sz w:val="21"/>
          <w:szCs w:val="21"/>
        </w:rPr>
      </w:pPr>
      <w:r>
        <w:rPr>
          <w:b/>
          <w:bCs/>
          <w:spacing w:val="6"/>
          <w:sz w:val="21"/>
          <w:szCs w:val="21"/>
        </w:rPr>
        <w:t>19.投标文件的补充、修改和撤回</w:t>
      </w:r>
    </w:p>
    <w:p w14:paraId="1ECC42EA">
      <w:pPr>
        <w:pStyle w:val="6"/>
        <w:spacing w:before="92" w:line="307" w:lineRule="auto"/>
        <w:ind w:firstLine="422"/>
        <w:rPr>
          <w:sz w:val="21"/>
          <w:szCs w:val="21"/>
        </w:rPr>
      </w:pPr>
      <w:r>
        <w:rPr>
          <w:rFonts w:hint="eastAsia"/>
          <w:spacing w:val="9"/>
          <w:sz w:val="21"/>
          <w:szCs w:val="21"/>
        </w:rPr>
        <w:t>投标人应当在提交投标文件截止时间前，将生成的电子投标文件上传提交至</w:t>
      </w:r>
      <w:r>
        <w:rPr>
          <w:rFonts w:hint="eastAsia"/>
          <w:spacing w:val="9"/>
          <w:sz w:val="21"/>
          <w:szCs w:val="21"/>
          <w:lang w:eastAsia="zh-CN"/>
        </w:rPr>
        <w:t>“广西政府采购云平台”</w:t>
      </w:r>
      <w:r>
        <w:rPr>
          <w:rFonts w:hint="eastAsia"/>
          <w:spacing w:val="9"/>
          <w:sz w:val="21"/>
          <w:szCs w:val="21"/>
        </w:rPr>
        <w:t>。投标文件提交截止时间前可以补充、修改或撤回电子投标文件，补充、修改电子投标文件的，应当先行撤回原文件，补充、修改后重新传输提交。在投标文件提交截止时间后的投标文件有效期内，投标人不得撤回其投标文件。提交投标文件截止时间前未成功将电子投标文件上传</w:t>
      </w:r>
      <w:r>
        <w:rPr>
          <w:rFonts w:hint="eastAsia"/>
          <w:spacing w:val="9"/>
          <w:sz w:val="21"/>
          <w:szCs w:val="21"/>
          <w:lang w:eastAsia="zh-CN"/>
        </w:rPr>
        <w:t>“广西政府采购云平台”</w:t>
      </w:r>
      <w:r>
        <w:rPr>
          <w:rFonts w:hint="eastAsia"/>
          <w:spacing w:val="9"/>
          <w:sz w:val="21"/>
          <w:szCs w:val="21"/>
        </w:rPr>
        <w:t>的，视为未提交投标文件。</w:t>
      </w:r>
      <w:r>
        <w:rPr>
          <w:spacing w:val="9"/>
          <w:sz w:val="21"/>
          <w:szCs w:val="21"/>
        </w:rPr>
        <w:t>在投标文件递交截止时间后的投标文件有效期内，投标人不得撤回其投标文件。</w:t>
      </w:r>
    </w:p>
    <w:p w14:paraId="7F58B38E">
      <w:pPr>
        <w:spacing w:line="254" w:lineRule="auto"/>
        <w:rPr>
          <w:rFonts w:ascii="Arial"/>
          <w:sz w:val="21"/>
          <w:szCs w:val="21"/>
        </w:rPr>
      </w:pPr>
    </w:p>
    <w:p w14:paraId="65C9A51E">
      <w:pPr>
        <w:pStyle w:val="6"/>
        <w:spacing w:before="92" w:line="221" w:lineRule="auto"/>
        <w:ind w:left="4282"/>
        <w:rPr>
          <w:sz w:val="21"/>
          <w:szCs w:val="21"/>
        </w:rPr>
      </w:pPr>
      <w:r>
        <w:rPr>
          <w:b/>
          <w:bCs/>
          <w:spacing w:val="-12"/>
          <w:sz w:val="21"/>
          <w:szCs w:val="21"/>
        </w:rPr>
        <w:t>四、开标</w:t>
      </w:r>
    </w:p>
    <w:p w14:paraId="7A426DCA">
      <w:pPr>
        <w:pStyle w:val="6"/>
        <w:spacing w:before="85" w:line="228" w:lineRule="auto"/>
        <w:ind w:left="437"/>
        <w:rPr>
          <w:sz w:val="21"/>
          <w:szCs w:val="21"/>
        </w:rPr>
      </w:pPr>
      <w:r>
        <w:rPr>
          <w:b/>
          <w:bCs/>
          <w:spacing w:val="5"/>
          <w:sz w:val="21"/>
          <w:szCs w:val="21"/>
        </w:rPr>
        <w:t>20.开标时间及地点</w:t>
      </w:r>
    </w:p>
    <w:p w14:paraId="4E19C92B">
      <w:pPr>
        <w:pStyle w:val="6"/>
        <w:spacing w:before="113" w:line="228" w:lineRule="auto"/>
        <w:ind w:left="437"/>
        <w:rPr>
          <w:sz w:val="21"/>
          <w:szCs w:val="21"/>
        </w:rPr>
      </w:pPr>
      <w:r>
        <w:rPr>
          <w:spacing w:val="5"/>
          <w:sz w:val="21"/>
          <w:szCs w:val="21"/>
        </w:rPr>
        <w:t>20.1开标时间及地点：</w:t>
      </w:r>
    </w:p>
    <w:p w14:paraId="12869932">
      <w:pPr>
        <w:pStyle w:val="6"/>
        <w:spacing w:before="112" w:line="228" w:lineRule="auto"/>
        <w:ind w:left="436"/>
        <w:rPr>
          <w:sz w:val="21"/>
          <w:szCs w:val="21"/>
        </w:rPr>
      </w:pPr>
      <w:r>
        <w:rPr>
          <w:sz w:val="21"/>
          <w:szCs w:val="21"/>
        </w:rPr>
        <w:t>开标时间：</w:t>
      </w:r>
      <w:r>
        <w:rPr>
          <w:rFonts w:hint="eastAsia"/>
          <w:sz w:val="21"/>
          <w:szCs w:val="21"/>
          <w:lang w:eastAsia="zh-CN"/>
        </w:rPr>
        <w:t>2026</w:t>
      </w:r>
      <w:r>
        <w:rPr>
          <w:sz w:val="21"/>
          <w:szCs w:val="21"/>
        </w:rPr>
        <w:t>年0</w:t>
      </w:r>
      <w:r>
        <w:rPr>
          <w:rFonts w:hint="eastAsia"/>
          <w:sz w:val="21"/>
          <w:szCs w:val="21"/>
          <w:lang w:val="en-US" w:eastAsia="zh-CN"/>
        </w:rPr>
        <w:t>4</w:t>
      </w:r>
      <w:r>
        <w:rPr>
          <w:sz w:val="21"/>
          <w:szCs w:val="21"/>
        </w:rPr>
        <w:t>月</w:t>
      </w:r>
      <w:r>
        <w:rPr>
          <w:rFonts w:hint="eastAsia"/>
          <w:sz w:val="21"/>
          <w:szCs w:val="21"/>
          <w:lang w:val="en-US" w:eastAsia="zh-CN"/>
        </w:rPr>
        <w:t>13日 0</w:t>
      </w:r>
      <w:r>
        <w:rPr>
          <w:sz w:val="21"/>
          <w:szCs w:val="21"/>
        </w:rPr>
        <w:t>9时30分</w:t>
      </w:r>
      <w:r>
        <w:rPr>
          <w:rFonts w:hint="eastAsia"/>
          <w:sz w:val="21"/>
          <w:szCs w:val="21"/>
          <w:lang w:eastAsia="zh-CN"/>
        </w:rPr>
        <w:t>（</w:t>
      </w:r>
      <w:r>
        <w:rPr>
          <w:rFonts w:hint="eastAsia"/>
          <w:sz w:val="21"/>
          <w:szCs w:val="21"/>
          <w:lang w:val="en-US" w:eastAsia="zh-CN"/>
        </w:rPr>
        <w:t>北京时间</w:t>
      </w:r>
      <w:r>
        <w:rPr>
          <w:rFonts w:hint="eastAsia"/>
          <w:sz w:val="21"/>
          <w:szCs w:val="21"/>
          <w:lang w:eastAsia="zh-CN"/>
        </w:rPr>
        <w:t>）</w:t>
      </w:r>
      <w:r>
        <w:rPr>
          <w:sz w:val="21"/>
          <w:szCs w:val="21"/>
        </w:rPr>
        <w:t>；</w:t>
      </w:r>
    </w:p>
    <w:p w14:paraId="29386553">
      <w:pPr>
        <w:pStyle w:val="6"/>
        <w:spacing w:before="113" w:line="227" w:lineRule="auto"/>
        <w:ind w:left="436"/>
        <w:rPr>
          <w:sz w:val="21"/>
          <w:szCs w:val="21"/>
        </w:rPr>
      </w:pPr>
      <w:r>
        <w:rPr>
          <w:spacing w:val="7"/>
          <w:sz w:val="21"/>
          <w:szCs w:val="21"/>
        </w:rPr>
        <w:t>开标地点：通过“</w:t>
      </w:r>
      <w:r>
        <w:rPr>
          <w:rFonts w:hint="eastAsia"/>
          <w:spacing w:val="7"/>
          <w:sz w:val="21"/>
          <w:szCs w:val="21"/>
          <w:lang w:eastAsia="zh-CN"/>
        </w:rPr>
        <w:t>广西政府采购云</w:t>
      </w:r>
      <w:r>
        <w:rPr>
          <w:spacing w:val="7"/>
          <w:sz w:val="21"/>
          <w:szCs w:val="21"/>
        </w:rPr>
        <w:t>”平台在线解密、开标。</w:t>
      </w:r>
    </w:p>
    <w:p w14:paraId="3D85789F">
      <w:pPr>
        <w:pStyle w:val="6"/>
        <w:spacing w:before="114" w:line="227" w:lineRule="auto"/>
        <w:ind w:left="437"/>
        <w:rPr>
          <w:spacing w:val="7"/>
          <w:sz w:val="21"/>
          <w:szCs w:val="21"/>
        </w:rPr>
      </w:pPr>
      <w:r>
        <w:rPr>
          <w:spacing w:val="8"/>
          <w:sz w:val="21"/>
          <w:szCs w:val="21"/>
        </w:rPr>
        <w:t>20.2投标人不足3家的，不得开标，采购人或者采购代理机构应当重新</w:t>
      </w:r>
      <w:r>
        <w:rPr>
          <w:spacing w:val="7"/>
          <w:sz w:val="21"/>
          <w:szCs w:val="21"/>
        </w:rPr>
        <w:t>组织采购。</w:t>
      </w:r>
    </w:p>
    <w:p w14:paraId="75634C7D">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firstLine="448" w:firstLineChars="200"/>
        <w:textAlignment w:val="baseline"/>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20.3如有特殊情况，采购代理机构延长截止时间和开标时间，采购代理机构和投标人的权利和义务将受到新的截止时间和开标时间的约束。</w:t>
      </w:r>
    </w:p>
    <w:p w14:paraId="4370810B">
      <w:pPr>
        <w:pStyle w:val="6"/>
        <w:spacing w:before="115" w:line="228" w:lineRule="auto"/>
        <w:ind w:left="437"/>
        <w:rPr>
          <w:sz w:val="21"/>
          <w:szCs w:val="21"/>
        </w:rPr>
      </w:pPr>
      <w:r>
        <w:rPr>
          <w:b/>
          <w:bCs/>
          <w:spacing w:val="4"/>
          <w:sz w:val="21"/>
          <w:szCs w:val="21"/>
        </w:rPr>
        <w:t>21.开标程序</w:t>
      </w:r>
    </w:p>
    <w:p w14:paraId="1356C835">
      <w:pPr>
        <w:pStyle w:val="6"/>
        <w:spacing w:before="113" w:line="317" w:lineRule="auto"/>
        <w:ind w:left="1" w:firstLine="436"/>
        <w:rPr>
          <w:sz w:val="21"/>
          <w:szCs w:val="21"/>
        </w:rPr>
      </w:pPr>
      <w:r>
        <w:rPr>
          <w:spacing w:val="8"/>
          <w:sz w:val="21"/>
          <w:szCs w:val="21"/>
        </w:rPr>
        <w:t>21.1采购代理机构将按照招标文件规定的时间通过“</w:t>
      </w:r>
      <w:r>
        <w:rPr>
          <w:rFonts w:hint="eastAsia"/>
          <w:spacing w:val="8"/>
          <w:sz w:val="21"/>
          <w:szCs w:val="21"/>
          <w:lang w:eastAsia="zh-CN"/>
        </w:rPr>
        <w:t>广西政府采购云</w:t>
      </w:r>
      <w:r>
        <w:rPr>
          <w:spacing w:val="8"/>
          <w:sz w:val="21"/>
          <w:szCs w:val="21"/>
        </w:rPr>
        <w:t>”平台</w:t>
      </w:r>
      <w:r>
        <w:rPr>
          <w:spacing w:val="7"/>
          <w:sz w:val="21"/>
          <w:szCs w:val="21"/>
        </w:rPr>
        <w:t>在线组织开标、解密开启投</w:t>
      </w:r>
      <w:r>
        <w:rPr>
          <w:spacing w:val="10"/>
          <w:sz w:val="21"/>
          <w:szCs w:val="21"/>
        </w:rPr>
        <w:t>标文件，投标人的法定代表人(负责人)或其委托代理人应当保持“</w:t>
      </w:r>
      <w:r>
        <w:rPr>
          <w:rFonts w:hint="eastAsia"/>
          <w:spacing w:val="10"/>
          <w:sz w:val="21"/>
          <w:szCs w:val="21"/>
          <w:lang w:eastAsia="zh-CN"/>
        </w:rPr>
        <w:t>广西政府采购云</w:t>
      </w:r>
      <w:r>
        <w:rPr>
          <w:spacing w:val="9"/>
          <w:sz w:val="21"/>
          <w:szCs w:val="21"/>
        </w:rPr>
        <w:t>”平台实时在线，并通过</w:t>
      </w:r>
      <w:r>
        <w:rPr>
          <w:spacing w:val="10"/>
          <w:sz w:val="21"/>
          <w:szCs w:val="21"/>
        </w:rPr>
        <w:t>“</w:t>
      </w:r>
      <w:r>
        <w:rPr>
          <w:rFonts w:hint="eastAsia"/>
          <w:spacing w:val="10"/>
          <w:sz w:val="21"/>
          <w:szCs w:val="21"/>
          <w:lang w:eastAsia="zh-CN"/>
        </w:rPr>
        <w:t>广西政府采购云</w:t>
      </w:r>
      <w:r>
        <w:rPr>
          <w:spacing w:val="10"/>
          <w:sz w:val="21"/>
          <w:szCs w:val="21"/>
        </w:rPr>
        <w:t>”平台在线出席开标会议。投标人如不出席开标会议的，视同认可开标结果，事后不得对</w:t>
      </w:r>
      <w:r>
        <w:rPr>
          <w:spacing w:val="11"/>
          <w:sz w:val="21"/>
          <w:szCs w:val="21"/>
        </w:rPr>
        <w:t>采购相关人员、开标过程和开标结果提出异议，因投标人未保持实时在</w:t>
      </w:r>
      <w:r>
        <w:rPr>
          <w:spacing w:val="10"/>
          <w:sz w:val="21"/>
          <w:szCs w:val="21"/>
        </w:rPr>
        <w:t>线，而导致投标文件无法按</w:t>
      </w:r>
      <w:r>
        <w:rPr>
          <w:spacing w:val="8"/>
          <w:sz w:val="21"/>
          <w:szCs w:val="21"/>
        </w:rPr>
        <w:t>时解密等一切后果由投标人自行承担。</w:t>
      </w:r>
    </w:p>
    <w:p w14:paraId="7D82CDFE">
      <w:pPr>
        <w:pStyle w:val="6"/>
        <w:spacing w:before="26" w:line="324" w:lineRule="auto"/>
        <w:ind w:left="9" w:right="105" w:firstLine="437"/>
        <w:rPr>
          <w:sz w:val="21"/>
          <w:szCs w:val="21"/>
        </w:rPr>
      </w:pPr>
      <w:r>
        <w:rPr>
          <w:spacing w:val="8"/>
          <w:sz w:val="21"/>
          <w:szCs w:val="21"/>
        </w:rPr>
        <w:t>21.2投标文件解密：</w:t>
      </w:r>
      <w:r>
        <w:rPr>
          <w:rFonts w:hint="eastAsia"/>
          <w:spacing w:val="8"/>
          <w:sz w:val="21"/>
          <w:szCs w:val="21"/>
        </w:rPr>
        <w:t>系统向各投标人发出电子加密投标文件【开始解密】通知，由投标人按招标文件规定的时间内自行进行投标文件解密。投标人在规定的时间内无法完成已递交的“电子加密投标文件”解密，如已按规定递交了电子备份投标文件的，将由采购组织机构按“</w:t>
      </w:r>
      <w:r>
        <w:rPr>
          <w:rFonts w:hint="eastAsia"/>
          <w:spacing w:val="8"/>
          <w:sz w:val="21"/>
          <w:szCs w:val="21"/>
          <w:lang w:eastAsia="zh-CN"/>
        </w:rPr>
        <w:t>广西政府采购云平台</w:t>
      </w:r>
      <w:r>
        <w:rPr>
          <w:rFonts w:hint="eastAsia"/>
          <w:spacing w:val="8"/>
          <w:sz w:val="21"/>
          <w:szCs w:val="21"/>
        </w:rPr>
        <w:t>”操作规范将备份投标文件上传至“</w:t>
      </w:r>
      <w:r>
        <w:rPr>
          <w:rFonts w:hint="eastAsia"/>
          <w:spacing w:val="8"/>
          <w:sz w:val="21"/>
          <w:szCs w:val="21"/>
          <w:lang w:eastAsia="zh-CN"/>
        </w:rPr>
        <w:t>广西政府采购云平台</w:t>
      </w:r>
      <w:r>
        <w:rPr>
          <w:rFonts w:hint="eastAsia"/>
          <w:spacing w:val="8"/>
          <w:sz w:val="21"/>
          <w:szCs w:val="21"/>
        </w:rPr>
        <w:t>”，上传成功后，“电子加密投标文件”自动失效。如未提供备份电子投标文件，将不进行再次解密程序。无法在线解密视为投标人放弃投标。</w:t>
      </w:r>
      <w:r>
        <w:rPr>
          <w:rFonts w:hint="eastAsia"/>
          <w:b/>
          <w:bCs/>
          <w:spacing w:val="8"/>
          <w:sz w:val="21"/>
          <w:szCs w:val="21"/>
        </w:rPr>
        <w:t>在线解密时间为30分钟</w:t>
      </w:r>
      <w:r>
        <w:rPr>
          <w:rFonts w:hint="eastAsia"/>
          <w:spacing w:val="8"/>
          <w:sz w:val="21"/>
          <w:szCs w:val="21"/>
        </w:rPr>
        <w:t>。</w:t>
      </w:r>
    </w:p>
    <w:p w14:paraId="65FC3852">
      <w:pPr>
        <w:pStyle w:val="6"/>
        <w:spacing w:before="113" w:line="228" w:lineRule="auto"/>
        <w:ind w:left="447"/>
        <w:rPr>
          <w:sz w:val="21"/>
          <w:szCs w:val="21"/>
        </w:rPr>
      </w:pPr>
      <w:r>
        <w:rPr>
          <w:spacing w:val="8"/>
          <w:sz w:val="21"/>
          <w:szCs w:val="21"/>
        </w:rPr>
        <w:t>21.3投标文件解密结束后，开标活动组织人员在线开启投标文件。</w:t>
      </w:r>
    </w:p>
    <w:p w14:paraId="559C59DB">
      <w:pPr>
        <w:pStyle w:val="6"/>
        <w:spacing w:before="113" w:line="280" w:lineRule="auto"/>
        <w:ind w:left="20" w:right="176" w:firstLine="426"/>
        <w:rPr>
          <w:sz w:val="21"/>
          <w:szCs w:val="21"/>
        </w:rPr>
      </w:pPr>
      <w:r>
        <w:rPr>
          <w:spacing w:val="8"/>
          <w:sz w:val="21"/>
          <w:szCs w:val="21"/>
        </w:rPr>
        <w:t>21.4开启投标人报价文件，电子开标大厅记录显示并记录投标人投标报价表的投标报价、折扣</w:t>
      </w:r>
      <w:r>
        <w:rPr>
          <w:spacing w:val="5"/>
          <w:sz w:val="21"/>
          <w:szCs w:val="21"/>
        </w:rPr>
        <w:t>（如有）等。</w:t>
      </w:r>
    </w:p>
    <w:p w14:paraId="73AD10FC">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44" w:firstLineChars="200"/>
        <w:textAlignment w:val="baseline"/>
        <w:rPr>
          <w:sz w:val="21"/>
          <w:szCs w:val="21"/>
        </w:rPr>
      </w:pPr>
      <w:r>
        <w:rPr>
          <w:spacing w:val="6"/>
          <w:sz w:val="21"/>
          <w:szCs w:val="21"/>
        </w:rPr>
        <w:t>21.5投标人线上确认投标报价。</w:t>
      </w:r>
    </w:p>
    <w:p w14:paraId="00E46F22">
      <w:pPr>
        <w:pStyle w:val="6"/>
        <w:keepNext w:val="0"/>
        <w:keepLines w:val="0"/>
        <w:pageBreakBefore w:val="0"/>
        <w:widowControl/>
        <w:kinsoku w:val="0"/>
        <w:wordWrap/>
        <w:overflowPunct/>
        <w:topLinePunct w:val="0"/>
        <w:autoSpaceDE w:val="0"/>
        <w:autoSpaceDN w:val="0"/>
        <w:bidi w:val="0"/>
        <w:adjustRightInd w:val="0"/>
        <w:snapToGrid w:val="0"/>
        <w:spacing w:line="400" w:lineRule="exact"/>
        <w:jc w:val="right"/>
        <w:textAlignment w:val="baseline"/>
        <w:rPr>
          <w:spacing w:val="7"/>
          <w:sz w:val="21"/>
          <w:szCs w:val="21"/>
        </w:rPr>
      </w:pPr>
      <w:r>
        <w:rPr>
          <w:rFonts w:hint="eastAsia"/>
          <w:spacing w:val="8"/>
          <w:sz w:val="21"/>
          <w:szCs w:val="21"/>
          <w:lang w:val="en-US" w:eastAsia="zh-CN"/>
        </w:rPr>
        <w:t xml:space="preserve">   </w:t>
      </w:r>
      <w:r>
        <w:rPr>
          <w:spacing w:val="8"/>
          <w:sz w:val="21"/>
          <w:szCs w:val="21"/>
        </w:rPr>
        <w:t>21.6如发现开标结果与所提交的报价文件不一致的，由</w:t>
      </w:r>
      <w:r>
        <w:rPr>
          <w:spacing w:val="7"/>
          <w:sz w:val="21"/>
          <w:szCs w:val="21"/>
        </w:rPr>
        <w:t>评标委员会根据报价文件内容进行修</w:t>
      </w:r>
    </w:p>
    <w:p w14:paraId="481FDCE4">
      <w:pPr>
        <w:bidi w:val="0"/>
        <w:jc w:val="left"/>
        <w:rPr>
          <w:rFonts w:hint="default"/>
          <w:lang w:val="en-US" w:eastAsia="zh-CN"/>
        </w:rPr>
      </w:pPr>
      <w:r>
        <w:rPr>
          <w:rFonts w:hint="eastAsia"/>
          <w:lang w:val="en-US" w:eastAsia="zh-CN"/>
        </w:rPr>
        <w:t>正。</w:t>
      </w:r>
    </w:p>
    <w:p w14:paraId="33976D6C">
      <w:pPr>
        <w:pStyle w:val="6"/>
        <w:spacing w:before="116" w:line="297" w:lineRule="auto"/>
        <w:ind w:left="10" w:right="174" w:firstLine="436"/>
        <w:rPr>
          <w:sz w:val="21"/>
          <w:szCs w:val="21"/>
        </w:rPr>
      </w:pPr>
      <w:r>
        <w:rPr>
          <w:spacing w:val="8"/>
          <w:sz w:val="21"/>
          <w:szCs w:val="21"/>
        </w:rPr>
        <w:t>21.7投标人代表对开标过程和开标记录有疑义，以及认为采购人、采购代理机构相关工作人员</w:t>
      </w:r>
      <w:r>
        <w:rPr>
          <w:spacing w:val="11"/>
          <w:sz w:val="21"/>
          <w:szCs w:val="21"/>
        </w:rPr>
        <w:t>有需要回避的情形的，应当场提出询问或者回避申请。采购人、采购</w:t>
      </w:r>
      <w:r>
        <w:rPr>
          <w:spacing w:val="10"/>
          <w:sz w:val="21"/>
          <w:szCs w:val="21"/>
        </w:rPr>
        <w:t>代理机构对投标人代表提出的</w:t>
      </w:r>
      <w:r>
        <w:rPr>
          <w:spacing w:val="8"/>
          <w:sz w:val="21"/>
          <w:szCs w:val="21"/>
        </w:rPr>
        <w:t>询问或者回避申请应当及时处理。</w:t>
      </w:r>
    </w:p>
    <w:p w14:paraId="691CDE13">
      <w:pPr>
        <w:tabs>
          <w:tab w:val="left" w:pos="1305"/>
        </w:tabs>
        <w:spacing w:line="380" w:lineRule="exact"/>
        <w:ind w:firstLine="420" w:firstLineChars="200"/>
        <w:jc w:val="left"/>
        <w:rPr>
          <w:b/>
          <w:bCs/>
          <w:color w:val="000000"/>
          <w:szCs w:val="21"/>
          <w:highlight w:val="none"/>
        </w:rPr>
      </w:pPr>
      <w:r>
        <w:rPr>
          <w:rFonts w:hint="eastAsia" w:ascii="宋体" w:hAnsi="宋体"/>
          <w:b/>
          <w:bCs/>
          <w:color w:val="000000"/>
          <w:szCs w:val="21"/>
          <w:highlight w:val="none"/>
        </w:rPr>
        <w:t>特别说明：如遇“</w:t>
      </w:r>
      <w:r>
        <w:rPr>
          <w:rFonts w:hint="eastAsia" w:ascii="宋体" w:hAnsi="宋体"/>
          <w:b/>
          <w:bCs/>
          <w:color w:val="000000"/>
          <w:szCs w:val="21"/>
          <w:highlight w:val="none"/>
          <w:lang w:eastAsia="zh-CN"/>
        </w:rPr>
        <w:t>广西政府采购云平台</w:t>
      </w:r>
      <w:r>
        <w:rPr>
          <w:rFonts w:hint="eastAsia" w:ascii="宋体" w:hAnsi="宋体"/>
          <w:b/>
          <w:bCs/>
          <w:color w:val="000000"/>
          <w:szCs w:val="21"/>
          <w:highlight w:val="none"/>
        </w:rPr>
        <w:t>”电子化开标或评审程序调整的，按调整后程序执行。</w:t>
      </w:r>
      <w:r>
        <w:rPr>
          <w:b/>
          <w:bCs/>
          <w:color w:val="000000"/>
          <w:szCs w:val="21"/>
          <w:highlight w:val="none"/>
        </w:rPr>
        <w:tab/>
      </w:r>
    </w:p>
    <w:p w14:paraId="355C742E">
      <w:pPr>
        <w:spacing w:line="321" w:lineRule="auto"/>
        <w:rPr>
          <w:rFonts w:ascii="Arial"/>
          <w:sz w:val="21"/>
        </w:rPr>
      </w:pPr>
    </w:p>
    <w:p w14:paraId="2A7266A1">
      <w:pPr>
        <w:pStyle w:val="6"/>
        <w:spacing w:before="92" w:line="220" w:lineRule="auto"/>
        <w:ind w:left="3847"/>
        <w:rPr>
          <w:sz w:val="28"/>
          <w:szCs w:val="28"/>
        </w:rPr>
      </w:pPr>
      <w:r>
        <w:rPr>
          <w:b/>
          <w:bCs/>
          <w:spacing w:val="-4"/>
          <w:sz w:val="28"/>
          <w:szCs w:val="28"/>
        </w:rPr>
        <w:t>五、资格性审查</w:t>
      </w:r>
    </w:p>
    <w:p w14:paraId="5F53CE77">
      <w:pPr>
        <w:pStyle w:val="6"/>
        <w:spacing w:before="85" w:line="228" w:lineRule="auto"/>
        <w:ind w:left="432"/>
        <w:rPr>
          <w:sz w:val="21"/>
          <w:szCs w:val="21"/>
        </w:rPr>
      </w:pPr>
      <w:r>
        <w:rPr>
          <w:b/>
          <w:bCs/>
          <w:spacing w:val="3"/>
          <w:sz w:val="21"/>
          <w:szCs w:val="21"/>
        </w:rPr>
        <w:t>22.资格性审查</w:t>
      </w:r>
    </w:p>
    <w:p w14:paraId="69AE774A">
      <w:pPr>
        <w:pStyle w:val="6"/>
        <w:keepNext w:val="0"/>
        <w:keepLines w:val="0"/>
        <w:pageBreakBefore w:val="0"/>
        <w:widowControl/>
        <w:kinsoku w:val="0"/>
        <w:wordWrap/>
        <w:overflowPunct/>
        <w:topLinePunct w:val="0"/>
        <w:autoSpaceDE w:val="0"/>
        <w:autoSpaceDN w:val="0"/>
        <w:bidi w:val="0"/>
        <w:adjustRightInd w:val="0"/>
        <w:snapToGrid w:val="0"/>
        <w:spacing w:before="113" w:line="400" w:lineRule="exact"/>
        <w:ind w:left="12" w:right="176" w:firstLine="420"/>
        <w:textAlignment w:val="baseline"/>
        <w:rPr>
          <w:b/>
          <w:bCs/>
          <w:sz w:val="21"/>
          <w:szCs w:val="21"/>
        </w:rPr>
      </w:pPr>
      <w:r>
        <w:rPr>
          <w:b/>
          <w:bCs/>
          <w:spacing w:val="9"/>
          <w:sz w:val="21"/>
          <w:szCs w:val="21"/>
        </w:rPr>
        <w:t>22.1公开招标采购项目开标结束后，采购人或者采购代理</w:t>
      </w:r>
      <w:r>
        <w:rPr>
          <w:b/>
          <w:bCs/>
          <w:spacing w:val="8"/>
          <w:sz w:val="21"/>
          <w:szCs w:val="21"/>
        </w:rPr>
        <w:t>机构应当依法对投标人的资格进行审</w:t>
      </w:r>
      <w:r>
        <w:rPr>
          <w:b/>
          <w:bCs/>
          <w:spacing w:val="7"/>
          <w:sz w:val="21"/>
          <w:szCs w:val="21"/>
        </w:rPr>
        <w:t>查。合格投标人不足3家的，不得评标。</w:t>
      </w:r>
    </w:p>
    <w:p w14:paraId="4E1AC787">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textAlignment w:val="baseline"/>
        <w:rPr>
          <w:sz w:val="21"/>
          <w:szCs w:val="21"/>
        </w:rPr>
      </w:pPr>
      <w:r>
        <w:rPr>
          <w:b/>
          <w:bCs/>
          <w:spacing w:val="-2"/>
          <w:sz w:val="21"/>
          <w:szCs w:val="21"/>
        </w:rPr>
        <w:t>22.2</w:t>
      </w:r>
      <w:r>
        <w:rPr>
          <w:rFonts w:hint="eastAsia" w:asciiTheme="minorEastAsia" w:hAnsiTheme="minorEastAsia" w:eastAsiaTheme="minorEastAsia" w:cstheme="minorEastAsia"/>
          <w:b/>
          <w:color w:val="000000"/>
          <w:szCs w:val="21"/>
          <w:highlight w:val="none"/>
        </w:rPr>
        <w:t>采购人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14:paraId="389E9555">
      <w:pPr>
        <w:spacing w:line="38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查询渠道：《国家企业信用信息公示系统》（网址：</w:t>
      </w:r>
      <w:r>
        <w:rPr>
          <w:rFonts w:ascii="宋体" w:hAnsi="宋体"/>
          <w:color w:val="000000"/>
          <w:szCs w:val="21"/>
          <w:highlight w:val="none"/>
        </w:rPr>
        <w:fldChar w:fldCharType="begin"/>
      </w:r>
      <w:r>
        <w:rPr>
          <w:rFonts w:ascii="宋体" w:hAnsi="宋体"/>
          <w:color w:val="000000"/>
          <w:szCs w:val="21"/>
          <w:highlight w:val="none"/>
        </w:rPr>
        <w:instrText xml:space="preserve"> HYPERLINK "http://www.gsxt.gov.cn/index.html" </w:instrText>
      </w:r>
      <w:r>
        <w:rPr>
          <w:rFonts w:ascii="宋体" w:hAnsi="宋体"/>
          <w:color w:val="000000"/>
          <w:szCs w:val="21"/>
          <w:highlight w:val="none"/>
        </w:rPr>
        <w:fldChar w:fldCharType="separate"/>
      </w:r>
      <w:r>
        <w:rPr>
          <w:rFonts w:ascii="宋体" w:hAnsi="宋体"/>
          <w:color w:val="000000"/>
          <w:szCs w:val="21"/>
          <w:highlight w:val="none"/>
        </w:rPr>
        <w:t>http</w:t>
      </w:r>
      <w:r>
        <w:rPr>
          <w:rFonts w:hint="eastAsia" w:ascii="宋体" w:hAnsi="宋体"/>
          <w:color w:val="000000"/>
          <w:szCs w:val="21"/>
          <w:highlight w:val="none"/>
          <w:lang w:eastAsia="zh-CN"/>
        </w:rPr>
        <w:t>：</w:t>
      </w:r>
      <w:r>
        <w:rPr>
          <w:rFonts w:ascii="宋体" w:hAnsi="宋体"/>
          <w:color w:val="000000"/>
          <w:szCs w:val="21"/>
          <w:highlight w:val="none"/>
        </w:rPr>
        <w:t>//www</w:t>
      </w:r>
      <w:r>
        <w:rPr>
          <w:rFonts w:hint="eastAsia" w:ascii="宋体" w:hAnsi="宋体"/>
          <w:color w:val="000000"/>
          <w:szCs w:val="21"/>
          <w:highlight w:val="none"/>
          <w:lang w:val="en-US" w:eastAsia="zh-CN"/>
        </w:rPr>
        <w:t>.</w:t>
      </w:r>
      <w:r>
        <w:rPr>
          <w:rFonts w:ascii="宋体" w:hAnsi="宋体"/>
          <w:color w:val="000000"/>
          <w:szCs w:val="21"/>
          <w:highlight w:val="none"/>
        </w:rPr>
        <w:t>gsxt</w:t>
      </w:r>
      <w:r>
        <w:rPr>
          <w:rFonts w:hint="eastAsia" w:ascii="宋体" w:hAnsi="宋体"/>
          <w:color w:val="000000"/>
          <w:szCs w:val="21"/>
          <w:highlight w:val="none"/>
          <w:lang w:val="en-US" w:eastAsia="zh-CN"/>
        </w:rPr>
        <w:t>.</w:t>
      </w:r>
      <w:r>
        <w:rPr>
          <w:rFonts w:ascii="宋体" w:hAnsi="宋体"/>
          <w:color w:val="000000"/>
          <w:szCs w:val="21"/>
          <w:highlight w:val="none"/>
        </w:rPr>
        <w:t>gov</w:t>
      </w:r>
      <w:r>
        <w:rPr>
          <w:rFonts w:hint="eastAsia" w:ascii="宋体" w:hAnsi="宋体"/>
          <w:color w:val="000000"/>
          <w:szCs w:val="21"/>
          <w:highlight w:val="none"/>
          <w:lang w:val="en-US" w:eastAsia="zh-CN"/>
        </w:rPr>
        <w:t>.</w:t>
      </w:r>
      <w:r>
        <w:rPr>
          <w:rFonts w:ascii="宋体" w:hAnsi="宋体"/>
          <w:color w:val="000000"/>
          <w:szCs w:val="21"/>
          <w:highlight w:val="none"/>
        </w:rPr>
        <w:t>cn/index</w:t>
      </w:r>
      <w:r>
        <w:rPr>
          <w:rFonts w:hint="eastAsia" w:ascii="宋体" w:hAnsi="宋体"/>
          <w:color w:val="000000"/>
          <w:szCs w:val="21"/>
          <w:highlight w:val="none"/>
          <w:lang w:val="en-US" w:eastAsia="zh-CN"/>
        </w:rPr>
        <w:t>.</w:t>
      </w:r>
      <w:r>
        <w:rPr>
          <w:rFonts w:ascii="宋体" w:hAnsi="宋体"/>
          <w:color w:val="000000"/>
          <w:szCs w:val="21"/>
          <w:highlight w:val="none"/>
        </w:rPr>
        <w:t>html</w:t>
      </w:r>
      <w:r>
        <w:rPr>
          <w:rFonts w:ascii="宋体" w:hAnsi="宋体"/>
          <w:color w:val="000000"/>
          <w:szCs w:val="21"/>
          <w:highlight w:val="none"/>
        </w:rPr>
        <w:fldChar w:fldCharType="end"/>
      </w:r>
      <w:r>
        <w:rPr>
          <w:rFonts w:hint="eastAsia" w:ascii="宋体" w:hAnsi="宋体"/>
          <w:color w:val="000000"/>
          <w:szCs w:val="21"/>
          <w:highlight w:val="none"/>
        </w:rPr>
        <w:t>）</w:t>
      </w:r>
    </w:p>
    <w:p w14:paraId="50CC0A5A">
      <w:pPr>
        <w:spacing w:line="38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审查流程：</w:t>
      </w:r>
    </w:p>
    <w:p w14:paraId="4AE12E62">
      <w:pPr>
        <w:spacing w:line="380" w:lineRule="exact"/>
        <w:ind w:firstLine="420" w:firstLineChars="200"/>
        <w:rPr>
          <w:rFonts w:ascii="宋体" w:hAnsi="宋体"/>
          <w:color w:val="000000"/>
          <w:szCs w:val="21"/>
          <w:highlight w:val="none"/>
        </w:rPr>
      </w:pPr>
      <w:r>
        <w:rPr>
          <w:rFonts w:hint="eastAsia" w:ascii="宋体" w:hAnsi="宋体"/>
          <w:color w:val="000000"/>
          <w:szCs w:val="21"/>
          <w:highlight w:val="none"/>
        </w:rPr>
        <w:t>（1）进入《国家企业信用信息公示系统》（网址：</w:t>
      </w:r>
      <w:r>
        <w:rPr>
          <w:rFonts w:ascii="宋体" w:hAnsi="宋体"/>
          <w:color w:val="000000"/>
          <w:szCs w:val="21"/>
          <w:highlight w:val="none"/>
        </w:rPr>
        <w:t>http</w:t>
      </w:r>
      <w:r>
        <w:rPr>
          <w:rFonts w:hint="eastAsia" w:ascii="宋体" w:hAnsi="宋体"/>
          <w:color w:val="000000"/>
          <w:szCs w:val="21"/>
          <w:highlight w:val="none"/>
          <w:lang w:eastAsia="zh-CN"/>
        </w:rPr>
        <w:t>：</w:t>
      </w:r>
      <w:r>
        <w:rPr>
          <w:rFonts w:ascii="宋体" w:hAnsi="宋体"/>
          <w:color w:val="000000"/>
          <w:szCs w:val="21"/>
          <w:highlight w:val="none"/>
        </w:rPr>
        <w:t>//www</w:t>
      </w:r>
      <w:r>
        <w:rPr>
          <w:rFonts w:hint="eastAsia" w:ascii="宋体" w:hAnsi="宋体"/>
          <w:color w:val="000000"/>
          <w:szCs w:val="21"/>
          <w:highlight w:val="none"/>
          <w:lang w:val="en-US" w:eastAsia="zh-CN"/>
        </w:rPr>
        <w:t>.</w:t>
      </w:r>
      <w:r>
        <w:rPr>
          <w:rFonts w:ascii="宋体" w:hAnsi="宋体"/>
          <w:color w:val="000000"/>
          <w:szCs w:val="21"/>
          <w:highlight w:val="none"/>
        </w:rPr>
        <w:t>Gsxt</w:t>
      </w:r>
      <w:r>
        <w:rPr>
          <w:rFonts w:hint="eastAsia" w:ascii="宋体" w:hAnsi="宋体"/>
          <w:color w:val="000000"/>
          <w:szCs w:val="21"/>
          <w:highlight w:val="none"/>
          <w:lang w:val="en-US" w:eastAsia="zh-CN"/>
        </w:rPr>
        <w:t>.</w:t>
      </w:r>
      <w:r>
        <w:rPr>
          <w:rFonts w:ascii="宋体" w:hAnsi="宋体"/>
          <w:color w:val="000000"/>
          <w:szCs w:val="21"/>
          <w:highlight w:val="none"/>
        </w:rPr>
        <w:t>Gov</w:t>
      </w:r>
      <w:r>
        <w:rPr>
          <w:rFonts w:hint="eastAsia" w:ascii="宋体" w:hAnsi="宋体"/>
          <w:color w:val="000000"/>
          <w:szCs w:val="21"/>
          <w:highlight w:val="none"/>
          <w:lang w:val="en-US" w:eastAsia="zh-CN"/>
        </w:rPr>
        <w:t>.</w:t>
      </w:r>
      <w:r>
        <w:rPr>
          <w:rFonts w:ascii="宋体" w:hAnsi="宋体"/>
          <w:color w:val="000000"/>
          <w:szCs w:val="21"/>
          <w:highlight w:val="none"/>
        </w:rPr>
        <w:t>cn/index</w:t>
      </w:r>
      <w:r>
        <w:rPr>
          <w:rFonts w:hint="eastAsia" w:ascii="宋体" w:hAnsi="宋体"/>
          <w:color w:val="000000"/>
          <w:szCs w:val="21"/>
          <w:highlight w:val="none"/>
          <w:lang w:val="en-US" w:eastAsia="zh-CN"/>
        </w:rPr>
        <w:t>.</w:t>
      </w:r>
      <w:r>
        <w:rPr>
          <w:rFonts w:ascii="宋体" w:hAnsi="宋体"/>
          <w:color w:val="000000"/>
          <w:szCs w:val="21"/>
          <w:highlight w:val="none"/>
        </w:rPr>
        <w:t>html</w:t>
      </w:r>
      <w:r>
        <w:rPr>
          <w:rFonts w:hint="eastAsia" w:ascii="宋体" w:hAnsi="宋体"/>
          <w:color w:val="000000"/>
          <w:szCs w:val="21"/>
          <w:highlight w:val="none"/>
        </w:rPr>
        <w:t>），输入企业名称，进入企业信息主页面；</w:t>
      </w:r>
    </w:p>
    <w:p w14:paraId="13F7626D">
      <w:pPr>
        <w:spacing w:line="380" w:lineRule="exact"/>
        <w:ind w:firstLine="420" w:firstLineChars="200"/>
        <w:rPr>
          <w:rFonts w:ascii="宋体" w:hAnsi="宋体"/>
          <w:color w:val="000000"/>
          <w:szCs w:val="21"/>
          <w:highlight w:val="none"/>
        </w:rPr>
      </w:pPr>
      <w:r>
        <w:rPr>
          <w:rFonts w:hint="eastAsia" w:ascii="宋体" w:hAnsi="宋体"/>
          <w:color w:val="000000"/>
          <w:szCs w:val="21"/>
          <w:highlight w:val="none"/>
        </w:rPr>
        <w:t>（2）查看主页“股东及出资信息”栏，或年报中的“股东及出资信息”栏信息；</w:t>
      </w:r>
    </w:p>
    <w:p w14:paraId="4176EC58">
      <w:pPr>
        <w:spacing w:line="38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（3）将各投标人的股东及出资信息进行比对，得出审查结论；</w:t>
      </w:r>
    </w:p>
    <w:p w14:paraId="3F89CB66">
      <w:pPr>
        <w:snapToGrid w:val="0"/>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（4）将相关资料作为评审资料打印存档。</w:t>
      </w:r>
    </w:p>
    <w:p w14:paraId="2441338A">
      <w:pPr>
        <w:pStyle w:val="6"/>
        <w:spacing w:before="106" w:line="285" w:lineRule="auto"/>
        <w:ind w:left="2" w:firstLine="406" w:firstLineChars="200"/>
        <w:jc w:val="both"/>
        <w:rPr>
          <w:sz w:val="21"/>
          <w:szCs w:val="21"/>
        </w:rPr>
      </w:pPr>
      <w:r>
        <w:rPr>
          <w:b/>
          <w:bCs/>
          <w:spacing w:val="-4"/>
          <w:sz w:val="21"/>
          <w:szCs w:val="21"/>
        </w:rPr>
        <w:t>注：以上审查过程中，如出现查询企业网页主页面无法显示股东及出资信息</w:t>
      </w:r>
      <w:r>
        <w:rPr>
          <w:b/>
          <w:bCs/>
          <w:spacing w:val="-5"/>
          <w:sz w:val="21"/>
          <w:szCs w:val="21"/>
        </w:rPr>
        <w:t>的或仅以主</w:t>
      </w:r>
      <w:r>
        <w:rPr>
          <w:b/>
          <w:bCs/>
          <w:spacing w:val="-4"/>
          <w:sz w:val="21"/>
          <w:szCs w:val="21"/>
        </w:rPr>
        <w:t>页面信息内容无法认定投标人之间存在单位负责人为同一人或者存在直接控</w:t>
      </w:r>
      <w:r>
        <w:rPr>
          <w:b/>
          <w:bCs/>
          <w:spacing w:val="-5"/>
          <w:sz w:val="21"/>
          <w:szCs w:val="21"/>
        </w:rPr>
        <w:t>股、管理关</w:t>
      </w:r>
      <w:r>
        <w:rPr>
          <w:b/>
          <w:bCs/>
          <w:spacing w:val="-4"/>
          <w:sz w:val="21"/>
          <w:szCs w:val="21"/>
        </w:rPr>
        <w:t>系的，当时审查程序可继续进行，待评审结束后将对以上投标人作进一步核</w:t>
      </w:r>
      <w:r>
        <w:rPr>
          <w:b/>
          <w:bCs/>
          <w:spacing w:val="-5"/>
          <w:sz w:val="21"/>
          <w:szCs w:val="21"/>
        </w:rPr>
        <w:t>实确认，如</w:t>
      </w:r>
      <w:r>
        <w:rPr>
          <w:b/>
          <w:bCs/>
          <w:spacing w:val="-2"/>
          <w:sz w:val="21"/>
          <w:szCs w:val="21"/>
        </w:rPr>
        <w:t>确认投标人之间存在有上述关联供应商情形的，关联供应商均按投标无效处理。</w:t>
      </w:r>
    </w:p>
    <w:p w14:paraId="4FD8E144">
      <w:pPr>
        <w:spacing w:line="252" w:lineRule="auto"/>
        <w:rPr>
          <w:rFonts w:ascii="Arial"/>
          <w:sz w:val="21"/>
          <w:szCs w:val="21"/>
        </w:rPr>
      </w:pPr>
    </w:p>
    <w:p w14:paraId="34E8BCBD">
      <w:pPr>
        <w:pStyle w:val="6"/>
        <w:spacing w:before="91" w:line="221" w:lineRule="auto"/>
        <w:ind w:left="3977"/>
        <w:rPr>
          <w:sz w:val="21"/>
          <w:szCs w:val="21"/>
        </w:rPr>
      </w:pPr>
      <w:r>
        <w:rPr>
          <w:b/>
          <w:bCs/>
          <w:spacing w:val="-6"/>
          <w:sz w:val="21"/>
          <w:szCs w:val="21"/>
        </w:rPr>
        <w:t>六、评标</w:t>
      </w:r>
    </w:p>
    <w:p w14:paraId="31DB85D0">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firstLine="442" w:firstLineChars="200"/>
        <w:textAlignment w:val="baseline"/>
        <w:rPr>
          <w:sz w:val="21"/>
          <w:szCs w:val="21"/>
        </w:rPr>
      </w:pPr>
      <w:r>
        <w:rPr>
          <w:b/>
          <w:bCs/>
          <w:spacing w:val="5"/>
          <w:sz w:val="21"/>
          <w:szCs w:val="21"/>
        </w:rPr>
        <w:t>23.评标委员会组成</w:t>
      </w:r>
    </w:p>
    <w:p w14:paraId="33A2AE58">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firstLine="452" w:firstLineChars="200"/>
        <w:textAlignment w:val="baseline"/>
        <w:rPr>
          <w:sz w:val="21"/>
          <w:szCs w:val="21"/>
        </w:rPr>
      </w:pPr>
      <w:r>
        <w:rPr>
          <w:spacing w:val="8"/>
          <w:sz w:val="21"/>
          <w:szCs w:val="21"/>
        </w:rPr>
        <w:t>评标委员会由采购人代表和评审专家组成，成员人数共5人。</w:t>
      </w:r>
    </w:p>
    <w:p w14:paraId="2974519B">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firstLine="438" w:firstLineChars="200"/>
        <w:textAlignment w:val="baseline"/>
        <w:rPr>
          <w:sz w:val="21"/>
          <w:szCs w:val="21"/>
        </w:rPr>
      </w:pPr>
      <w:r>
        <w:rPr>
          <w:b/>
          <w:bCs/>
          <w:spacing w:val="4"/>
          <w:sz w:val="21"/>
          <w:szCs w:val="21"/>
        </w:rPr>
        <w:t>24.评标办法</w:t>
      </w:r>
    </w:p>
    <w:p w14:paraId="342EA388">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firstLine="452" w:firstLineChars="200"/>
        <w:textAlignment w:val="baseline"/>
        <w:rPr>
          <w:sz w:val="21"/>
          <w:szCs w:val="21"/>
        </w:rPr>
      </w:pPr>
      <w:r>
        <w:rPr>
          <w:spacing w:val="8"/>
          <w:sz w:val="21"/>
          <w:szCs w:val="21"/>
        </w:rPr>
        <w:t>24.1评标办法：综合评分法，具体评标内容及标准详见第四章。</w:t>
      </w:r>
    </w:p>
    <w:p w14:paraId="41FAF95F">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firstLine="452" w:firstLineChars="200"/>
        <w:textAlignment w:val="baseline"/>
        <w:rPr>
          <w:sz w:val="21"/>
          <w:szCs w:val="21"/>
        </w:rPr>
      </w:pPr>
      <w:r>
        <w:rPr>
          <w:spacing w:val="8"/>
          <w:sz w:val="21"/>
          <w:szCs w:val="21"/>
        </w:rPr>
        <w:t>24.2评标委员会应按招标文件进行评标，不得擅自更改评标办法。</w:t>
      </w:r>
    </w:p>
    <w:p w14:paraId="3DD2C3D8">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firstLine="426" w:firstLineChars="200"/>
        <w:textAlignment w:val="baseline"/>
        <w:rPr>
          <w:sz w:val="21"/>
          <w:szCs w:val="21"/>
        </w:rPr>
      </w:pPr>
      <w:r>
        <w:rPr>
          <w:b/>
          <w:bCs/>
          <w:spacing w:val="1"/>
          <w:sz w:val="21"/>
          <w:szCs w:val="21"/>
        </w:rPr>
        <w:t>25.评标</w:t>
      </w:r>
    </w:p>
    <w:p w14:paraId="69C7001B">
      <w:pPr>
        <w:pStyle w:val="6"/>
        <w:keepNext w:val="0"/>
        <w:keepLines w:val="0"/>
        <w:pageBreakBefore w:val="0"/>
        <w:widowControl/>
        <w:kinsoku w:val="0"/>
        <w:wordWrap/>
        <w:overflowPunct/>
        <w:topLinePunct w:val="0"/>
        <w:autoSpaceDE w:val="0"/>
        <w:autoSpaceDN w:val="0"/>
        <w:bidi w:val="0"/>
        <w:adjustRightInd w:val="0"/>
        <w:snapToGrid w:val="0"/>
        <w:spacing w:before="115" w:line="360" w:lineRule="auto"/>
        <w:ind w:firstLine="423"/>
        <w:textAlignment w:val="baseline"/>
        <w:rPr>
          <w:sz w:val="21"/>
          <w:szCs w:val="21"/>
        </w:rPr>
      </w:pPr>
      <w:r>
        <w:rPr>
          <w:spacing w:val="9"/>
          <w:sz w:val="21"/>
          <w:szCs w:val="21"/>
        </w:rPr>
        <w:t>25.1采购代理机构负责组织评标工作，宣布评标工作纪律，公布投标人名单</w:t>
      </w:r>
      <w:r>
        <w:rPr>
          <w:spacing w:val="8"/>
          <w:sz w:val="21"/>
          <w:szCs w:val="21"/>
        </w:rPr>
        <w:t>，告知评审专家应</w:t>
      </w:r>
      <w:r>
        <w:rPr>
          <w:spacing w:val="11"/>
          <w:sz w:val="21"/>
          <w:szCs w:val="21"/>
        </w:rPr>
        <w:t>当回避的情形，组织评标委员会推选评标组长，采购人代表不得担任组</w:t>
      </w:r>
      <w:r>
        <w:rPr>
          <w:spacing w:val="10"/>
          <w:sz w:val="21"/>
          <w:szCs w:val="21"/>
        </w:rPr>
        <w:t>长。在评标期间由桂林市公</w:t>
      </w:r>
      <w:r>
        <w:rPr>
          <w:spacing w:val="11"/>
          <w:sz w:val="21"/>
          <w:szCs w:val="21"/>
        </w:rPr>
        <w:t>共资源交易中心采取必要的通讯管理措施并保证评标活动不受外界干扰</w:t>
      </w:r>
      <w:r>
        <w:rPr>
          <w:spacing w:val="10"/>
          <w:sz w:val="21"/>
          <w:szCs w:val="21"/>
        </w:rPr>
        <w:t>。采购代理机构根据评标委</w:t>
      </w:r>
      <w:r>
        <w:rPr>
          <w:spacing w:val="11"/>
          <w:sz w:val="21"/>
          <w:szCs w:val="21"/>
        </w:rPr>
        <w:t>员会的要求介绍政府采购相关政策法规、招标文件；维护评标秩序，监</w:t>
      </w:r>
      <w:r>
        <w:rPr>
          <w:spacing w:val="10"/>
          <w:sz w:val="21"/>
          <w:szCs w:val="21"/>
        </w:rPr>
        <w:t>督评标委员会依照招标文件</w:t>
      </w:r>
      <w:r>
        <w:rPr>
          <w:spacing w:val="11"/>
          <w:sz w:val="21"/>
          <w:szCs w:val="21"/>
        </w:rPr>
        <w:t>规定的评标程序、方法和标准进行独立评审，及时制止和纠正采购人代</w:t>
      </w:r>
      <w:r>
        <w:rPr>
          <w:spacing w:val="10"/>
          <w:sz w:val="21"/>
          <w:szCs w:val="21"/>
        </w:rPr>
        <w:t>表、评审专家的倾向性言论</w:t>
      </w:r>
      <w:r>
        <w:rPr>
          <w:spacing w:val="11"/>
          <w:sz w:val="21"/>
          <w:szCs w:val="21"/>
        </w:rPr>
        <w:t>或者违法违规行为；核对评标结果，有投标无效情形的，要求评标委员</w:t>
      </w:r>
      <w:r>
        <w:rPr>
          <w:spacing w:val="10"/>
          <w:sz w:val="21"/>
          <w:szCs w:val="21"/>
        </w:rPr>
        <w:t>会复核或者书面说明理由，</w:t>
      </w:r>
      <w:r>
        <w:rPr>
          <w:spacing w:val="11"/>
          <w:sz w:val="21"/>
          <w:szCs w:val="21"/>
        </w:rPr>
        <w:t>评标委员会拒绝的，应予记录并向本级财政部门报告；评审工作完成后</w:t>
      </w:r>
      <w:r>
        <w:rPr>
          <w:spacing w:val="10"/>
          <w:sz w:val="21"/>
          <w:szCs w:val="21"/>
        </w:rPr>
        <w:t>，按照规定向评审专家支付</w:t>
      </w:r>
      <w:r>
        <w:rPr>
          <w:spacing w:val="9"/>
          <w:sz w:val="21"/>
          <w:szCs w:val="21"/>
        </w:rPr>
        <w:t>劳务报酬和异地评审差旅费，不得向评审专家以外的其他人员支付评审劳务报酬。</w:t>
      </w:r>
    </w:p>
    <w:p w14:paraId="46540C8F">
      <w:pPr>
        <w:pStyle w:val="6"/>
        <w:keepNext w:val="0"/>
        <w:keepLines w:val="0"/>
        <w:pageBreakBefore w:val="0"/>
        <w:widowControl/>
        <w:kinsoku w:val="0"/>
        <w:wordWrap/>
        <w:overflowPunct/>
        <w:topLinePunct w:val="0"/>
        <w:autoSpaceDE w:val="0"/>
        <w:autoSpaceDN w:val="0"/>
        <w:bidi w:val="0"/>
        <w:adjustRightInd w:val="0"/>
        <w:snapToGrid w:val="0"/>
        <w:spacing w:before="112" w:line="360" w:lineRule="auto"/>
        <w:ind w:left="1" w:right="2" w:firstLine="421"/>
        <w:textAlignment w:val="baseline"/>
        <w:rPr>
          <w:sz w:val="21"/>
          <w:szCs w:val="21"/>
        </w:rPr>
      </w:pPr>
      <w:r>
        <w:rPr>
          <w:spacing w:val="9"/>
          <w:sz w:val="21"/>
          <w:szCs w:val="21"/>
        </w:rPr>
        <w:t>25.2评标委员会负责具体评标事务；审查、评价投标文件是否符合招标文件</w:t>
      </w:r>
      <w:r>
        <w:rPr>
          <w:spacing w:val="8"/>
          <w:sz w:val="21"/>
          <w:szCs w:val="21"/>
        </w:rPr>
        <w:t>的商务、技术等实</w:t>
      </w:r>
      <w:r>
        <w:rPr>
          <w:spacing w:val="10"/>
          <w:sz w:val="21"/>
          <w:szCs w:val="21"/>
        </w:rPr>
        <w:t>质性要求；要求投标人对投标文件有关事项作出澄清或者说明；对投标</w:t>
      </w:r>
      <w:r>
        <w:rPr>
          <w:spacing w:val="9"/>
          <w:sz w:val="21"/>
          <w:szCs w:val="21"/>
        </w:rPr>
        <w:t>文件进行比较和评价；确定</w:t>
      </w:r>
      <w:r>
        <w:rPr>
          <w:spacing w:val="8"/>
          <w:sz w:val="21"/>
          <w:szCs w:val="21"/>
        </w:rPr>
        <w:t>中标候选人名单，以及根据采购人委托直接确定中标人；向采购人、采购代理机构</w:t>
      </w:r>
      <w:r>
        <w:rPr>
          <w:spacing w:val="7"/>
          <w:sz w:val="21"/>
          <w:szCs w:val="21"/>
        </w:rPr>
        <w:t>或者有关部门报</w:t>
      </w:r>
      <w:r>
        <w:rPr>
          <w:spacing w:val="8"/>
          <w:sz w:val="21"/>
          <w:szCs w:val="21"/>
        </w:rPr>
        <w:t>告评标中发现的违法行为。</w:t>
      </w:r>
    </w:p>
    <w:p w14:paraId="0F304868">
      <w:pPr>
        <w:pStyle w:val="6"/>
        <w:keepNext w:val="0"/>
        <w:keepLines w:val="0"/>
        <w:pageBreakBefore w:val="0"/>
        <w:widowControl/>
        <w:kinsoku w:val="0"/>
        <w:wordWrap/>
        <w:overflowPunct/>
        <w:topLinePunct w:val="0"/>
        <w:autoSpaceDE w:val="0"/>
        <w:autoSpaceDN w:val="0"/>
        <w:bidi w:val="0"/>
        <w:adjustRightInd w:val="0"/>
        <w:snapToGrid w:val="0"/>
        <w:spacing w:before="115" w:line="360" w:lineRule="auto"/>
        <w:ind w:left="2" w:right="2" w:firstLine="420"/>
        <w:textAlignment w:val="baseline"/>
        <w:rPr>
          <w:sz w:val="21"/>
          <w:szCs w:val="21"/>
        </w:rPr>
      </w:pPr>
      <w:r>
        <w:rPr>
          <w:spacing w:val="9"/>
          <w:sz w:val="21"/>
          <w:szCs w:val="21"/>
        </w:rPr>
        <w:t>25.3在评标过程中，评标委员会任何人不得对某个投标人发表任何倾向性意</w:t>
      </w:r>
      <w:r>
        <w:rPr>
          <w:spacing w:val="8"/>
          <w:sz w:val="21"/>
          <w:szCs w:val="21"/>
        </w:rPr>
        <w:t>见，不得向其他专家评委明示或者暗示自己的评审意见。</w:t>
      </w:r>
    </w:p>
    <w:p w14:paraId="3FDA1DBC">
      <w:pPr>
        <w:pStyle w:val="6"/>
        <w:keepNext w:val="0"/>
        <w:keepLines w:val="0"/>
        <w:pageBreakBefore w:val="0"/>
        <w:widowControl/>
        <w:kinsoku w:val="0"/>
        <w:wordWrap/>
        <w:overflowPunct/>
        <w:topLinePunct w:val="0"/>
        <w:autoSpaceDE w:val="0"/>
        <w:autoSpaceDN w:val="0"/>
        <w:bidi w:val="0"/>
        <w:adjustRightInd w:val="0"/>
        <w:snapToGrid w:val="0"/>
        <w:spacing w:before="114" w:line="360" w:lineRule="auto"/>
        <w:ind w:left="2" w:right="2" w:firstLine="420"/>
        <w:textAlignment w:val="baseline"/>
        <w:rPr>
          <w:sz w:val="21"/>
          <w:szCs w:val="21"/>
        </w:rPr>
      </w:pPr>
      <w:r>
        <w:rPr>
          <w:spacing w:val="9"/>
          <w:sz w:val="21"/>
          <w:szCs w:val="21"/>
        </w:rPr>
        <w:t>25.4评标委员会应当对符合资格的投标人的投标文件进行符合性审查，以确</w:t>
      </w:r>
      <w:r>
        <w:rPr>
          <w:spacing w:val="8"/>
          <w:sz w:val="21"/>
          <w:szCs w:val="21"/>
        </w:rPr>
        <w:t>定其是否满足招标</w:t>
      </w:r>
      <w:r>
        <w:rPr>
          <w:spacing w:val="7"/>
          <w:sz w:val="21"/>
          <w:szCs w:val="21"/>
        </w:rPr>
        <w:t>文件的实质性要求。</w:t>
      </w:r>
    </w:p>
    <w:p w14:paraId="58AD11AE">
      <w:pPr>
        <w:pStyle w:val="6"/>
        <w:keepNext w:val="0"/>
        <w:keepLines w:val="0"/>
        <w:pageBreakBefore w:val="0"/>
        <w:widowControl/>
        <w:kinsoku w:val="0"/>
        <w:wordWrap/>
        <w:overflowPunct/>
        <w:topLinePunct w:val="0"/>
        <w:autoSpaceDE w:val="0"/>
        <w:autoSpaceDN w:val="0"/>
        <w:bidi w:val="0"/>
        <w:adjustRightInd w:val="0"/>
        <w:snapToGrid w:val="0"/>
        <w:spacing w:before="112" w:line="360" w:lineRule="auto"/>
        <w:ind w:left="1" w:right="2" w:firstLine="421"/>
        <w:textAlignment w:val="baseline"/>
        <w:rPr>
          <w:sz w:val="21"/>
          <w:szCs w:val="21"/>
        </w:rPr>
      </w:pPr>
      <w:r>
        <w:rPr>
          <w:spacing w:val="9"/>
          <w:sz w:val="21"/>
          <w:szCs w:val="21"/>
        </w:rPr>
        <w:t>25.5对于投标文件中含义不明确、同类问题表述不一致或者有明显文字和计</w:t>
      </w:r>
      <w:r>
        <w:rPr>
          <w:spacing w:val="8"/>
          <w:sz w:val="21"/>
          <w:szCs w:val="21"/>
        </w:rPr>
        <w:t>算错误的内容，评</w:t>
      </w:r>
      <w:r>
        <w:rPr>
          <w:spacing w:val="9"/>
          <w:sz w:val="21"/>
          <w:szCs w:val="21"/>
        </w:rPr>
        <w:t>标委员会应当以书面形式要求投标人作出必要的澄清、说明或者补正。</w:t>
      </w:r>
    </w:p>
    <w:p w14:paraId="04EE2197">
      <w:pPr>
        <w:pStyle w:val="6"/>
        <w:keepNext w:val="0"/>
        <w:keepLines w:val="0"/>
        <w:pageBreakBefore w:val="0"/>
        <w:widowControl/>
        <w:kinsoku w:val="0"/>
        <w:wordWrap/>
        <w:overflowPunct/>
        <w:topLinePunct w:val="0"/>
        <w:autoSpaceDE w:val="0"/>
        <w:autoSpaceDN w:val="0"/>
        <w:bidi w:val="0"/>
        <w:adjustRightInd w:val="0"/>
        <w:snapToGrid w:val="0"/>
        <w:spacing w:before="130" w:line="360" w:lineRule="auto"/>
        <w:ind w:firstLine="420"/>
        <w:jc w:val="both"/>
        <w:textAlignment w:val="baseline"/>
        <w:rPr>
          <w:sz w:val="21"/>
          <w:szCs w:val="21"/>
        </w:rPr>
      </w:pPr>
      <w:r>
        <w:rPr>
          <w:spacing w:val="10"/>
          <w:sz w:val="21"/>
          <w:szCs w:val="21"/>
        </w:rPr>
        <w:t>投标人的澄清、说明或者补正应当通过“</w:t>
      </w:r>
      <w:r>
        <w:rPr>
          <w:rFonts w:hint="eastAsia"/>
          <w:spacing w:val="10"/>
          <w:sz w:val="21"/>
          <w:szCs w:val="21"/>
          <w:lang w:eastAsia="zh-CN"/>
        </w:rPr>
        <w:t>广西政府采购云</w:t>
      </w:r>
      <w:r>
        <w:rPr>
          <w:spacing w:val="10"/>
          <w:sz w:val="21"/>
          <w:szCs w:val="21"/>
        </w:rPr>
        <w:t>”平台采用在线书面形式，并加盖投标</w:t>
      </w:r>
      <w:r>
        <w:rPr>
          <w:spacing w:val="9"/>
          <w:sz w:val="21"/>
          <w:szCs w:val="21"/>
        </w:rPr>
        <w:t>人公章</w:t>
      </w:r>
      <w:r>
        <w:rPr>
          <w:spacing w:val="7"/>
          <w:sz w:val="21"/>
          <w:szCs w:val="21"/>
        </w:rPr>
        <w:t>（</w:t>
      </w:r>
      <w:r>
        <w:rPr>
          <w:sz w:val="21"/>
          <w:szCs w:val="21"/>
        </w:rPr>
        <w:t>CA</w:t>
      </w:r>
      <w:r>
        <w:rPr>
          <w:spacing w:val="7"/>
          <w:sz w:val="21"/>
          <w:szCs w:val="21"/>
        </w:rPr>
        <w:t>认证证书签章</w:t>
      </w:r>
      <w:r>
        <w:rPr>
          <w:spacing w:val="2"/>
          <w:sz w:val="21"/>
          <w:szCs w:val="21"/>
        </w:rPr>
        <w:t>），</w:t>
      </w:r>
      <w:r>
        <w:rPr>
          <w:spacing w:val="7"/>
          <w:sz w:val="21"/>
          <w:szCs w:val="21"/>
        </w:rPr>
        <w:t>或者由法定代表人（负责人）或其授权委托代理人个人</w:t>
      </w:r>
      <w:r>
        <w:rPr>
          <w:sz w:val="21"/>
          <w:szCs w:val="21"/>
        </w:rPr>
        <w:t>CA</w:t>
      </w:r>
      <w:r>
        <w:rPr>
          <w:spacing w:val="7"/>
          <w:sz w:val="21"/>
          <w:szCs w:val="21"/>
        </w:rPr>
        <w:t>认证证书签章（没</w:t>
      </w:r>
      <w:r>
        <w:rPr>
          <w:spacing w:val="13"/>
          <w:sz w:val="21"/>
          <w:szCs w:val="21"/>
        </w:rPr>
        <w:t>有办理</w:t>
      </w:r>
      <w:r>
        <w:rPr>
          <w:rFonts w:hint="eastAsia"/>
          <w:spacing w:val="13"/>
          <w:sz w:val="21"/>
          <w:szCs w:val="21"/>
          <w:lang w:eastAsia="zh-CN"/>
        </w:rPr>
        <w:t>广西政府采购云</w:t>
      </w:r>
      <w:r>
        <w:rPr>
          <w:spacing w:val="13"/>
          <w:sz w:val="21"/>
          <w:szCs w:val="21"/>
        </w:rPr>
        <w:t>个人</w:t>
      </w:r>
      <w:r>
        <w:rPr>
          <w:sz w:val="21"/>
          <w:szCs w:val="21"/>
        </w:rPr>
        <w:t>CA</w:t>
      </w:r>
      <w:r>
        <w:rPr>
          <w:spacing w:val="13"/>
          <w:sz w:val="21"/>
          <w:szCs w:val="21"/>
        </w:rPr>
        <w:t>认证证书签章的可在响应文件中涉及签字的位置手写签字后扫描或者拍照</w:t>
      </w:r>
      <w:r>
        <w:rPr>
          <w:spacing w:val="9"/>
          <w:sz w:val="21"/>
          <w:szCs w:val="21"/>
        </w:rPr>
        <w:t>做成</w:t>
      </w:r>
      <w:r>
        <w:rPr>
          <w:sz w:val="21"/>
          <w:szCs w:val="21"/>
        </w:rPr>
        <w:t>PDF</w:t>
      </w:r>
      <w:r>
        <w:rPr>
          <w:spacing w:val="9"/>
          <w:sz w:val="21"/>
          <w:szCs w:val="21"/>
        </w:rPr>
        <w:t>的格式上传</w:t>
      </w:r>
      <w:r>
        <w:rPr>
          <w:spacing w:val="-6"/>
          <w:sz w:val="21"/>
          <w:szCs w:val="21"/>
        </w:rPr>
        <w:t>），</w:t>
      </w:r>
      <w:r>
        <w:rPr>
          <w:spacing w:val="9"/>
          <w:sz w:val="21"/>
          <w:szCs w:val="21"/>
        </w:rPr>
        <w:t>投标人的澄清、说明或者补正不得超出投标文件的范围或者改变投标文件</w:t>
      </w:r>
      <w:r>
        <w:rPr>
          <w:spacing w:val="7"/>
          <w:sz w:val="21"/>
          <w:szCs w:val="21"/>
        </w:rPr>
        <w:t>的实质性内容。</w:t>
      </w:r>
    </w:p>
    <w:p w14:paraId="2DB1D878">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56" w:firstLineChars="200"/>
        <w:jc w:val="both"/>
        <w:textAlignment w:val="baseline"/>
        <w:rPr>
          <w:sz w:val="21"/>
          <w:szCs w:val="21"/>
        </w:rPr>
      </w:pPr>
      <w:r>
        <w:rPr>
          <w:spacing w:val="9"/>
          <w:sz w:val="21"/>
          <w:szCs w:val="21"/>
        </w:rPr>
        <w:t>25.6评标委员会应当按照招标文件中规定的评标方法和标准，对符合性审查合格的投标文</w:t>
      </w:r>
    </w:p>
    <w:p w14:paraId="2DA5AFE2">
      <w:pPr>
        <w:keepNext w:val="0"/>
        <w:keepLines w:val="0"/>
        <w:pageBreakBefore w:val="0"/>
        <w:widowControl/>
        <w:tabs>
          <w:tab w:val="left" w:pos="1611"/>
        </w:tabs>
        <w:kinsoku w:val="0"/>
        <w:wordWrap/>
        <w:overflowPunct/>
        <w:topLinePunct w:val="0"/>
        <w:autoSpaceDE w:val="0"/>
        <w:autoSpaceDN w:val="0"/>
        <w:bidi w:val="0"/>
        <w:adjustRightInd w:val="0"/>
        <w:snapToGrid w:val="0"/>
        <w:spacing w:line="360" w:lineRule="auto"/>
        <w:jc w:val="left"/>
        <w:textAlignment w:val="baseline"/>
        <w:rPr>
          <w:sz w:val="21"/>
          <w:szCs w:val="21"/>
        </w:rPr>
      </w:pPr>
      <w:r>
        <w:rPr>
          <w:rFonts w:hint="eastAsia" w:eastAsia="宋体"/>
          <w:spacing w:val="8"/>
          <w:sz w:val="21"/>
          <w:szCs w:val="21"/>
          <w:lang w:val="en-US" w:eastAsia="zh-CN"/>
        </w:rPr>
        <w:t>件进</w:t>
      </w:r>
      <w:r>
        <w:rPr>
          <w:spacing w:val="8"/>
          <w:sz w:val="21"/>
          <w:szCs w:val="21"/>
        </w:rPr>
        <w:t>行商务和技术评估，综合比较与评价。</w:t>
      </w:r>
    </w:p>
    <w:p w14:paraId="0D6028FE">
      <w:pPr>
        <w:pStyle w:val="6"/>
        <w:keepNext w:val="0"/>
        <w:keepLines w:val="0"/>
        <w:pageBreakBefore w:val="0"/>
        <w:widowControl/>
        <w:kinsoku w:val="0"/>
        <w:wordWrap/>
        <w:overflowPunct/>
        <w:topLinePunct w:val="0"/>
        <w:autoSpaceDE w:val="0"/>
        <w:autoSpaceDN w:val="0"/>
        <w:bidi w:val="0"/>
        <w:adjustRightInd w:val="0"/>
        <w:snapToGrid w:val="0"/>
        <w:spacing w:before="114" w:line="360" w:lineRule="auto"/>
        <w:ind w:left="3" w:firstLine="420"/>
        <w:textAlignment w:val="baseline"/>
        <w:rPr>
          <w:sz w:val="21"/>
          <w:szCs w:val="21"/>
        </w:rPr>
      </w:pPr>
      <w:r>
        <w:rPr>
          <w:spacing w:val="6"/>
          <w:sz w:val="21"/>
          <w:szCs w:val="21"/>
        </w:rPr>
        <w:t>25.7评标委员会成员应当独立对每个投标人的投标文件进行评价，最终汇总每个投标</w:t>
      </w:r>
      <w:r>
        <w:rPr>
          <w:spacing w:val="5"/>
          <w:sz w:val="21"/>
          <w:szCs w:val="21"/>
        </w:rPr>
        <w:t>人的得分。</w:t>
      </w:r>
      <w:r>
        <w:rPr>
          <w:spacing w:val="9"/>
          <w:sz w:val="21"/>
          <w:szCs w:val="21"/>
        </w:rPr>
        <w:t>各投标人的得分为所有评委的有效评分的算术平均数。</w:t>
      </w:r>
    </w:p>
    <w:p w14:paraId="09F6BC50">
      <w:pPr>
        <w:pStyle w:val="6"/>
        <w:keepNext w:val="0"/>
        <w:keepLines w:val="0"/>
        <w:pageBreakBefore w:val="0"/>
        <w:widowControl/>
        <w:kinsoku w:val="0"/>
        <w:wordWrap/>
        <w:overflowPunct/>
        <w:topLinePunct w:val="0"/>
        <w:autoSpaceDE w:val="0"/>
        <w:autoSpaceDN w:val="0"/>
        <w:bidi w:val="0"/>
        <w:adjustRightInd w:val="0"/>
        <w:snapToGrid w:val="0"/>
        <w:spacing w:before="7" w:line="360" w:lineRule="auto"/>
        <w:ind w:left="6" w:right="71" w:firstLine="478"/>
        <w:textAlignment w:val="baseline"/>
        <w:rPr>
          <w:sz w:val="21"/>
          <w:szCs w:val="21"/>
        </w:rPr>
      </w:pPr>
      <w:r>
        <w:rPr>
          <w:b/>
          <w:bCs/>
          <w:sz w:val="21"/>
          <w:szCs w:val="21"/>
        </w:rPr>
        <w:t>25.8投标文件报价出现前后不一致的，除招标文件另有规定外，按照下列规定修</w:t>
      </w:r>
      <w:r>
        <w:rPr>
          <w:b/>
          <w:bCs/>
          <w:spacing w:val="-10"/>
          <w:sz w:val="21"/>
          <w:szCs w:val="21"/>
        </w:rPr>
        <w:t>正：</w:t>
      </w:r>
    </w:p>
    <w:p w14:paraId="786B3980">
      <w:pPr>
        <w:pStyle w:val="13"/>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firstLine="420" w:firstLineChars="200"/>
        <w:textAlignment w:val="baseline"/>
        <w:rPr>
          <w:color w:val="000000"/>
          <w:kern w:val="2"/>
          <w:sz w:val="21"/>
          <w:szCs w:val="21"/>
          <w:highlight w:val="none"/>
        </w:rPr>
      </w:pPr>
      <w:r>
        <w:rPr>
          <w:color w:val="000000"/>
          <w:kern w:val="2"/>
          <w:sz w:val="21"/>
          <w:szCs w:val="21"/>
          <w:highlight w:val="none"/>
        </w:rPr>
        <w:t>（</w:t>
      </w:r>
      <w:r>
        <w:rPr>
          <w:rFonts w:hint="eastAsia"/>
          <w:color w:val="000000"/>
          <w:kern w:val="2"/>
          <w:sz w:val="21"/>
          <w:szCs w:val="21"/>
          <w:highlight w:val="none"/>
        </w:rPr>
        <w:t>1</w:t>
      </w:r>
      <w:r>
        <w:rPr>
          <w:color w:val="000000"/>
          <w:kern w:val="2"/>
          <w:sz w:val="21"/>
          <w:szCs w:val="21"/>
          <w:highlight w:val="none"/>
        </w:rPr>
        <w:t>）投标文件中</w:t>
      </w:r>
      <w:r>
        <w:rPr>
          <w:rFonts w:hint="eastAsia"/>
          <w:color w:val="000000"/>
          <w:kern w:val="2"/>
          <w:sz w:val="21"/>
          <w:szCs w:val="21"/>
          <w:highlight w:val="none"/>
        </w:rPr>
        <w:t>投标报价表</w:t>
      </w:r>
      <w:r>
        <w:rPr>
          <w:color w:val="000000"/>
          <w:kern w:val="2"/>
          <w:sz w:val="21"/>
          <w:szCs w:val="21"/>
          <w:highlight w:val="none"/>
        </w:rPr>
        <w:t>内容与投标文件中相应内容不一致的，以</w:t>
      </w:r>
      <w:r>
        <w:rPr>
          <w:rFonts w:hint="eastAsia"/>
          <w:color w:val="000000"/>
          <w:kern w:val="2"/>
          <w:sz w:val="21"/>
          <w:szCs w:val="21"/>
          <w:highlight w:val="none"/>
        </w:rPr>
        <w:t>投标报价表</w:t>
      </w:r>
      <w:r>
        <w:rPr>
          <w:color w:val="000000"/>
          <w:kern w:val="2"/>
          <w:sz w:val="21"/>
          <w:szCs w:val="21"/>
          <w:highlight w:val="none"/>
        </w:rPr>
        <w:t>为准；</w:t>
      </w:r>
    </w:p>
    <w:p w14:paraId="6831936F">
      <w:pPr>
        <w:pStyle w:val="13"/>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360" w:lineRule="auto"/>
        <w:textAlignment w:val="baseline"/>
        <w:rPr>
          <w:color w:val="000000"/>
          <w:kern w:val="2"/>
          <w:sz w:val="21"/>
          <w:szCs w:val="21"/>
          <w:highlight w:val="none"/>
        </w:rPr>
      </w:pPr>
      <w:r>
        <w:rPr>
          <w:color w:val="000000"/>
          <w:kern w:val="2"/>
          <w:sz w:val="21"/>
          <w:szCs w:val="21"/>
          <w:highlight w:val="none"/>
        </w:rPr>
        <w:t>　　（</w:t>
      </w:r>
      <w:r>
        <w:rPr>
          <w:rFonts w:hint="eastAsia"/>
          <w:color w:val="000000"/>
          <w:kern w:val="2"/>
          <w:sz w:val="21"/>
          <w:szCs w:val="21"/>
          <w:highlight w:val="none"/>
        </w:rPr>
        <w:t>2</w:t>
      </w:r>
      <w:r>
        <w:rPr>
          <w:color w:val="000000"/>
          <w:kern w:val="2"/>
          <w:sz w:val="21"/>
          <w:szCs w:val="21"/>
          <w:highlight w:val="none"/>
        </w:rPr>
        <w:t>）大写金额和小写金额不一致的，以大写金额为准；</w:t>
      </w:r>
    </w:p>
    <w:p w14:paraId="65E2F3C5">
      <w:pPr>
        <w:pStyle w:val="13"/>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360" w:lineRule="auto"/>
        <w:textAlignment w:val="baseline"/>
        <w:rPr>
          <w:color w:val="000000"/>
          <w:kern w:val="2"/>
          <w:sz w:val="21"/>
          <w:szCs w:val="21"/>
          <w:highlight w:val="none"/>
        </w:rPr>
      </w:pPr>
      <w:r>
        <w:rPr>
          <w:color w:val="000000"/>
          <w:kern w:val="2"/>
          <w:sz w:val="21"/>
          <w:szCs w:val="21"/>
          <w:highlight w:val="none"/>
        </w:rPr>
        <w:t>　　（</w:t>
      </w:r>
      <w:r>
        <w:rPr>
          <w:rFonts w:hint="eastAsia"/>
          <w:color w:val="000000"/>
          <w:kern w:val="2"/>
          <w:sz w:val="21"/>
          <w:szCs w:val="21"/>
          <w:highlight w:val="none"/>
        </w:rPr>
        <w:t>3</w:t>
      </w:r>
      <w:r>
        <w:rPr>
          <w:color w:val="000000"/>
          <w:kern w:val="2"/>
          <w:sz w:val="21"/>
          <w:szCs w:val="21"/>
          <w:highlight w:val="none"/>
        </w:rPr>
        <w:t>）单价金额小数点或者百分比有明显错位的，以</w:t>
      </w:r>
      <w:r>
        <w:rPr>
          <w:rFonts w:hint="eastAsia"/>
          <w:color w:val="000000"/>
          <w:kern w:val="2"/>
          <w:sz w:val="21"/>
          <w:szCs w:val="21"/>
          <w:highlight w:val="none"/>
        </w:rPr>
        <w:t>报价</w:t>
      </w:r>
      <w:r>
        <w:rPr>
          <w:color w:val="000000"/>
          <w:kern w:val="2"/>
          <w:sz w:val="21"/>
          <w:szCs w:val="21"/>
          <w:highlight w:val="none"/>
        </w:rPr>
        <w:t>表的总价为准，并修改单价；</w:t>
      </w:r>
    </w:p>
    <w:p w14:paraId="268A6A04">
      <w:pPr>
        <w:pStyle w:val="13"/>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360" w:lineRule="auto"/>
        <w:textAlignment w:val="baseline"/>
        <w:rPr>
          <w:color w:val="000000"/>
          <w:kern w:val="2"/>
          <w:sz w:val="21"/>
          <w:szCs w:val="21"/>
          <w:highlight w:val="none"/>
        </w:rPr>
      </w:pPr>
      <w:r>
        <w:rPr>
          <w:color w:val="000000"/>
          <w:kern w:val="2"/>
          <w:sz w:val="21"/>
          <w:szCs w:val="21"/>
          <w:highlight w:val="none"/>
        </w:rPr>
        <w:t>　　（</w:t>
      </w:r>
      <w:r>
        <w:rPr>
          <w:rFonts w:hint="eastAsia"/>
          <w:color w:val="000000"/>
          <w:kern w:val="2"/>
          <w:sz w:val="21"/>
          <w:szCs w:val="21"/>
          <w:highlight w:val="none"/>
        </w:rPr>
        <w:t>4</w:t>
      </w:r>
      <w:r>
        <w:rPr>
          <w:color w:val="000000"/>
          <w:kern w:val="2"/>
          <w:sz w:val="21"/>
          <w:szCs w:val="21"/>
          <w:highlight w:val="none"/>
        </w:rPr>
        <w:t>）总价金额与按单价汇总金额不一致的，以单价金额计算结果为准。</w:t>
      </w:r>
    </w:p>
    <w:p w14:paraId="6FFF559C">
      <w:pPr>
        <w:pStyle w:val="13"/>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360" w:lineRule="auto"/>
        <w:textAlignment w:val="baseline"/>
        <w:rPr>
          <w:color w:val="000000"/>
          <w:kern w:val="2"/>
          <w:sz w:val="21"/>
          <w:szCs w:val="21"/>
          <w:highlight w:val="none"/>
        </w:rPr>
      </w:pPr>
      <w:r>
        <w:rPr>
          <w:color w:val="000000"/>
          <w:kern w:val="2"/>
          <w:sz w:val="21"/>
          <w:szCs w:val="21"/>
          <w:highlight w:val="none"/>
        </w:rPr>
        <w:t>　　同时出现两种以上不一致的，按照前款规定的顺序修正。修正后的报价</w:t>
      </w:r>
      <w:r>
        <w:rPr>
          <w:rFonts w:hint="eastAsia"/>
          <w:color w:val="000000"/>
          <w:kern w:val="2"/>
          <w:sz w:val="21"/>
          <w:szCs w:val="21"/>
          <w:highlight w:val="none"/>
        </w:rPr>
        <w:t>（</w:t>
      </w:r>
      <w:r>
        <w:rPr>
          <w:color w:val="000000"/>
          <w:kern w:val="2"/>
          <w:sz w:val="21"/>
          <w:szCs w:val="21"/>
          <w:highlight w:val="none"/>
        </w:rPr>
        <w:t>不得超出投标文件的范围或者改变投标文件的实质性内容</w:t>
      </w:r>
      <w:r>
        <w:rPr>
          <w:rFonts w:hint="eastAsia"/>
          <w:color w:val="000000"/>
          <w:kern w:val="2"/>
          <w:sz w:val="21"/>
          <w:szCs w:val="21"/>
          <w:highlight w:val="none"/>
        </w:rPr>
        <w:t>）</w:t>
      </w:r>
      <w:r>
        <w:rPr>
          <w:color w:val="000000"/>
          <w:kern w:val="2"/>
          <w:sz w:val="21"/>
          <w:szCs w:val="21"/>
          <w:highlight w:val="none"/>
        </w:rPr>
        <w:t>经投标人确认后产生约束力，投标人不确认的，其投标无效。</w:t>
      </w:r>
    </w:p>
    <w:p w14:paraId="17199C3E">
      <w:pPr>
        <w:pStyle w:val="6"/>
        <w:keepNext w:val="0"/>
        <w:keepLines w:val="0"/>
        <w:pageBreakBefore w:val="0"/>
        <w:widowControl/>
        <w:kinsoku w:val="0"/>
        <w:wordWrap/>
        <w:overflowPunct/>
        <w:topLinePunct w:val="0"/>
        <w:autoSpaceDE w:val="0"/>
        <w:autoSpaceDN w:val="0"/>
        <w:bidi w:val="0"/>
        <w:adjustRightInd w:val="0"/>
        <w:snapToGrid w:val="0"/>
        <w:spacing w:before="31" w:line="360" w:lineRule="auto"/>
        <w:ind w:right="71" w:firstLine="484"/>
        <w:textAlignment w:val="baseline"/>
        <w:rPr>
          <w:b/>
          <w:bCs/>
          <w:spacing w:val="-3"/>
          <w:sz w:val="21"/>
          <w:szCs w:val="21"/>
        </w:rPr>
      </w:pPr>
      <w:r>
        <w:rPr>
          <w:b/>
          <w:bCs/>
          <w:sz w:val="21"/>
          <w:szCs w:val="21"/>
        </w:rPr>
        <w:t>25.9评标委员会认为投标人的报价明显低于其他通过符合性审查投标人的报价，</w:t>
      </w:r>
      <w:r>
        <w:rPr>
          <w:b/>
          <w:bCs/>
          <w:spacing w:val="-4"/>
          <w:sz w:val="21"/>
          <w:szCs w:val="21"/>
        </w:rPr>
        <w:t>有可能影响产品质量或者不能诚信履约的，应当要求其在评标现场合理的</w:t>
      </w:r>
      <w:r>
        <w:rPr>
          <w:b/>
          <w:bCs/>
          <w:spacing w:val="-5"/>
          <w:sz w:val="21"/>
          <w:szCs w:val="21"/>
        </w:rPr>
        <w:t>时间内提供书</w:t>
      </w:r>
      <w:r>
        <w:rPr>
          <w:b/>
          <w:bCs/>
          <w:spacing w:val="-4"/>
          <w:sz w:val="21"/>
          <w:szCs w:val="21"/>
        </w:rPr>
        <w:t>面说明，必要时提交相关证明材料；投标人不能证明其报价合理性的，评</w:t>
      </w:r>
      <w:r>
        <w:rPr>
          <w:b/>
          <w:bCs/>
          <w:spacing w:val="-5"/>
          <w:sz w:val="21"/>
          <w:szCs w:val="21"/>
        </w:rPr>
        <w:t>标委员会应当</w:t>
      </w:r>
      <w:r>
        <w:rPr>
          <w:b/>
          <w:bCs/>
          <w:spacing w:val="-3"/>
          <w:sz w:val="21"/>
          <w:szCs w:val="21"/>
        </w:rPr>
        <w:t>将其作为无效投标处理。</w:t>
      </w:r>
    </w:p>
    <w:p w14:paraId="6D94D1C8">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rPr>
          <w:rFonts w:hint="default" w:ascii="宋体" w:hAnsi="宋体" w:eastAsia="宋体" w:cs="宋体"/>
          <w:snapToGrid w:val="0"/>
          <w:color w:val="000000"/>
          <w:spacing w:val="11"/>
          <w:kern w:val="0"/>
          <w:sz w:val="21"/>
          <w:szCs w:val="21"/>
          <w:lang w:val="en-US" w:eastAsia="zh-CN" w:bidi="ar-SA"/>
        </w:rPr>
      </w:pPr>
      <w:r>
        <w:rPr>
          <w:rFonts w:hint="eastAsia" w:ascii="宋体" w:hAnsi="宋体" w:eastAsia="宋体" w:cs="宋体"/>
          <w:snapToGrid w:val="0"/>
          <w:color w:val="000000"/>
          <w:spacing w:val="11"/>
          <w:kern w:val="0"/>
          <w:sz w:val="21"/>
          <w:szCs w:val="21"/>
          <w:lang w:val="en-US" w:eastAsia="zh-CN" w:bidi="ar-SA"/>
        </w:rPr>
        <w:t>25.10</w:t>
      </w:r>
      <w:r>
        <w:rPr>
          <w:rFonts w:ascii="宋体" w:hAnsi="宋体" w:eastAsia="宋体" w:cs="宋体"/>
          <w:snapToGrid w:val="0"/>
          <w:color w:val="000000"/>
          <w:spacing w:val="11"/>
          <w:kern w:val="0"/>
          <w:sz w:val="21"/>
          <w:szCs w:val="21"/>
          <w:lang w:val="en-US" w:eastAsia="en-US" w:bidi="ar-SA"/>
        </w:rPr>
        <w:t>评标委员会成员对需要共同认定的事项存在争议的，应当按照少数服从多数的原则作出结论。持不同意见的评标委员会成员应当在评标报告上签署不同意见及理由，否则视为同意评标报告。</w:t>
      </w:r>
    </w:p>
    <w:p w14:paraId="71AB22FD">
      <w:pPr>
        <w:pStyle w:val="6"/>
        <w:keepNext w:val="0"/>
        <w:keepLines w:val="0"/>
        <w:pageBreakBefore w:val="0"/>
        <w:widowControl/>
        <w:kinsoku w:val="0"/>
        <w:wordWrap/>
        <w:overflowPunct/>
        <w:topLinePunct w:val="0"/>
        <w:autoSpaceDE w:val="0"/>
        <w:autoSpaceDN w:val="0"/>
        <w:bidi w:val="0"/>
        <w:adjustRightInd w:val="0"/>
        <w:snapToGrid w:val="0"/>
        <w:spacing w:before="99" w:line="400" w:lineRule="exact"/>
        <w:ind w:left="6" w:right="68" w:firstLine="408"/>
        <w:textAlignment w:val="baseline"/>
        <w:rPr>
          <w:sz w:val="21"/>
          <w:szCs w:val="21"/>
        </w:rPr>
      </w:pPr>
      <w:r>
        <w:rPr>
          <w:spacing w:val="8"/>
          <w:sz w:val="21"/>
          <w:szCs w:val="21"/>
        </w:rPr>
        <w:t>25.11评标结果汇总完成后，除下列情形外，任何人不得修改评标结果：</w:t>
      </w:r>
    </w:p>
    <w:p w14:paraId="5E7D26A8">
      <w:pPr>
        <w:pStyle w:val="6"/>
        <w:keepNext w:val="0"/>
        <w:keepLines w:val="0"/>
        <w:pageBreakBefore w:val="0"/>
        <w:widowControl/>
        <w:kinsoku w:val="0"/>
        <w:wordWrap/>
        <w:overflowPunct/>
        <w:topLinePunct w:val="0"/>
        <w:autoSpaceDE w:val="0"/>
        <w:autoSpaceDN w:val="0"/>
        <w:bidi w:val="0"/>
        <w:adjustRightInd w:val="0"/>
        <w:snapToGrid w:val="0"/>
        <w:spacing w:line="400" w:lineRule="exact"/>
        <w:ind w:firstLine="224" w:firstLineChars="100"/>
        <w:textAlignment w:val="baseline"/>
        <w:rPr>
          <w:sz w:val="21"/>
          <w:szCs w:val="21"/>
        </w:rPr>
      </w:pPr>
      <w:r>
        <w:rPr>
          <w:spacing w:val="7"/>
          <w:sz w:val="21"/>
          <w:szCs w:val="21"/>
        </w:rPr>
        <w:t>（一）分值汇总计算错误的；</w:t>
      </w:r>
    </w:p>
    <w:p w14:paraId="43A17FA5">
      <w:pPr>
        <w:pStyle w:val="6"/>
        <w:keepNext w:val="0"/>
        <w:keepLines w:val="0"/>
        <w:pageBreakBefore w:val="0"/>
        <w:widowControl/>
        <w:kinsoku w:val="0"/>
        <w:wordWrap/>
        <w:overflowPunct/>
        <w:topLinePunct w:val="0"/>
        <w:autoSpaceDE w:val="0"/>
        <w:autoSpaceDN w:val="0"/>
        <w:bidi w:val="0"/>
        <w:adjustRightInd w:val="0"/>
        <w:snapToGrid w:val="0"/>
        <w:spacing w:line="400" w:lineRule="exact"/>
        <w:ind w:firstLine="226" w:firstLineChars="100"/>
        <w:textAlignment w:val="baseline"/>
        <w:rPr>
          <w:sz w:val="21"/>
          <w:szCs w:val="21"/>
        </w:rPr>
      </w:pPr>
      <w:r>
        <w:rPr>
          <w:spacing w:val="8"/>
          <w:sz w:val="21"/>
          <w:szCs w:val="21"/>
        </w:rPr>
        <w:t>（二）分项评分超出评分标准范围的；</w:t>
      </w:r>
    </w:p>
    <w:p w14:paraId="48FD38E0">
      <w:pPr>
        <w:pStyle w:val="6"/>
        <w:keepNext w:val="0"/>
        <w:keepLines w:val="0"/>
        <w:pageBreakBefore w:val="0"/>
        <w:widowControl/>
        <w:kinsoku w:val="0"/>
        <w:wordWrap/>
        <w:overflowPunct/>
        <w:topLinePunct w:val="0"/>
        <w:autoSpaceDE w:val="0"/>
        <w:autoSpaceDN w:val="0"/>
        <w:bidi w:val="0"/>
        <w:adjustRightInd w:val="0"/>
        <w:snapToGrid w:val="0"/>
        <w:spacing w:line="400" w:lineRule="exact"/>
        <w:ind w:firstLine="226" w:firstLineChars="100"/>
        <w:textAlignment w:val="baseline"/>
        <w:rPr>
          <w:sz w:val="21"/>
          <w:szCs w:val="21"/>
        </w:rPr>
      </w:pPr>
      <w:r>
        <w:rPr>
          <w:spacing w:val="8"/>
          <w:sz w:val="21"/>
          <w:szCs w:val="21"/>
        </w:rPr>
        <w:t>（三）评标委员会成员对客观评审因素评分不一致的；</w:t>
      </w:r>
    </w:p>
    <w:p w14:paraId="7CC8385E">
      <w:pPr>
        <w:pStyle w:val="6"/>
        <w:keepNext w:val="0"/>
        <w:keepLines w:val="0"/>
        <w:pageBreakBefore w:val="0"/>
        <w:widowControl/>
        <w:kinsoku w:val="0"/>
        <w:wordWrap/>
        <w:overflowPunct/>
        <w:topLinePunct w:val="0"/>
        <w:autoSpaceDE w:val="0"/>
        <w:autoSpaceDN w:val="0"/>
        <w:bidi w:val="0"/>
        <w:adjustRightInd w:val="0"/>
        <w:snapToGrid w:val="0"/>
        <w:spacing w:line="400" w:lineRule="exact"/>
        <w:ind w:firstLine="226" w:firstLineChars="100"/>
        <w:textAlignment w:val="baseline"/>
        <w:rPr>
          <w:sz w:val="21"/>
          <w:szCs w:val="21"/>
        </w:rPr>
      </w:pPr>
      <w:r>
        <w:rPr>
          <w:spacing w:val="8"/>
          <w:sz w:val="21"/>
          <w:szCs w:val="21"/>
        </w:rPr>
        <w:t>（四）经评标委员会认定评分畸高、畸低的。</w:t>
      </w:r>
    </w:p>
    <w:p w14:paraId="4003BB14">
      <w:pPr>
        <w:pStyle w:val="6"/>
        <w:keepNext w:val="0"/>
        <w:keepLines w:val="0"/>
        <w:pageBreakBefore w:val="0"/>
        <w:widowControl/>
        <w:kinsoku w:val="0"/>
        <w:wordWrap/>
        <w:overflowPunct/>
        <w:topLinePunct w:val="0"/>
        <w:autoSpaceDE w:val="0"/>
        <w:autoSpaceDN w:val="0"/>
        <w:bidi w:val="0"/>
        <w:adjustRightInd w:val="0"/>
        <w:snapToGrid w:val="0"/>
        <w:spacing w:before="114" w:line="400" w:lineRule="exact"/>
        <w:ind w:right="68" w:firstLine="420"/>
        <w:jc w:val="both"/>
        <w:textAlignment w:val="baseline"/>
        <w:rPr>
          <w:sz w:val="21"/>
          <w:szCs w:val="21"/>
        </w:rPr>
      </w:pPr>
      <w:r>
        <w:rPr>
          <w:spacing w:val="11"/>
          <w:sz w:val="21"/>
          <w:szCs w:val="21"/>
        </w:rPr>
        <w:t>评标报告签署前，经复核发现存在以上情形之一的，评标委员会应当当</w:t>
      </w:r>
      <w:r>
        <w:rPr>
          <w:spacing w:val="10"/>
          <w:sz w:val="21"/>
          <w:szCs w:val="21"/>
        </w:rPr>
        <w:t>场修改评标结果，并在</w:t>
      </w:r>
      <w:r>
        <w:rPr>
          <w:spacing w:val="11"/>
          <w:sz w:val="21"/>
          <w:szCs w:val="21"/>
        </w:rPr>
        <w:t>评标报告中记载；评标报告签署后，采购人或者采购代理机构发现存在</w:t>
      </w:r>
      <w:r>
        <w:rPr>
          <w:spacing w:val="10"/>
          <w:sz w:val="21"/>
          <w:szCs w:val="21"/>
        </w:rPr>
        <w:t>以上情形之一的，应当组织</w:t>
      </w:r>
      <w:r>
        <w:rPr>
          <w:spacing w:val="9"/>
          <w:sz w:val="21"/>
          <w:szCs w:val="21"/>
        </w:rPr>
        <w:t>原评标委员会进行重新评审，重新评审改变评标结果的，书面报告本级财政部门。</w:t>
      </w:r>
    </w:p>
    <w:p w14:paraId="13195CE7">
      <w:pPr>
        <w:pStyle w:val="6"/>
        <w:keepNext w:val="0"/>
        <w:keepLines w:val="0"/>
        <w:pageBreakBefore w:val="0"/>
        <w:widowControl/>
        <w:kinsoku w:val="0"/>
        <w:wordWrap/>
        <w:overflowPunct/>
        <w:topLinePunct w:val="0"/>
        <w:autoSpaceDE w:val="0"/>
        <w:autoSpaceDN w:val="0"/>
        <w:bidi w:val="0"/>
        <w:adjustRightInd w:val="0"/>
        <w:snapToGrid w:val="0"/>
        <w:spacing w:before="33" w:line="400" w:lineRule="exact"/>
        <w:ind w:left="1" w:right="68" w:firstLine="421"/>
        <w:textAlignment w:val="baseline"/>
        <w:rPr>
          <w:sz w:val="21"/>
          <w:szCs w:val="21"/>
        </w:rPr>
      </w:pPr>
      <w:r>
        <w:rPr>
          <w:spacing w:val="11"/>
          <w:sz w:val="21"/>
          <w:szCs w:val="21"/>
        </w:rPr>
        <w:t>投标人对本条第一款情形提出质疑的，采购人或者采购代理机</w:t>
      </w:r>
      <w:r>
        <w:rPr>
          <w:spacing w:val="10"/>
          <w:sz w:val="21"/>
          <w:szCs w:val="21"/>
        </w:rPr>
        <w:t>构可以组织原评标委员会进行重</w:t>
      </w:r>
      <w:r>
        <w:rPr>
          <w:spacing w:val="9"/>
          <w:sz w:val="21"/>
          <w:szCs w:val="21"/>
        </w:rPr>
        <w:t>新评审，重新评审改变评标结果的，应当书面报告本级财政部门。</w:t>
      </w:r>
    </w:p>
    <w:p w14:paraId="14822270">
      <w:pPr>
        <w:pStyle w:val="6"/>
        <w:keepNext w:val="0"/>
        <w:keepLines w:val="0"/>
        <w:pageBreakBefore w:val="0"/>
        <w:widowControl/>
        <w:kinsoku w:val="0"/>
        <w:wordWrap/>
        <w:overflowPunct/>
        <w:topLinePunct w:val="0"/>
        <w:autoSpaceDE w:val="0"/>
        <w:autoSpaceDN w:val="0"/>
        <w:bidi w:val="0"/>
        <w:adjustRightInd w:val="0"/>
        <w:snapToGrid w:val="0"/>
        <w:spacing w:before="34" w:line="400" w:lineRule="exact"/>
        <w:ind w:left="1" w:right="71" w:firstLine="412"/>
        <w:textAlignment w:val="baseline"/>
        <w:rPr>
          <w:sz w:val="21"/>
          <w:szCs w:val="21"/>
        </w:rPr>
      </w:pPr>
      <w:r>
        <w:rPr>
          <w:spacing w:val="11"/>
          <w:sz w:val="21"/>
          <w:szCs w:val="21"/>
        </w:rPr>
        <w:t>25.12采购代理机构发现评标委员会有明显的违规倾向或歧视现象，或不按评标办法进行，或</w:t>
      </w:r>
      <w:r>
        <w:rPr>
          <w:spacing w:val="9"/>
          <w:sz w:val="21"/>
          <w:szCs w:val="21"/>
        </w:rPr>
        <w:t>其他不正常行为的，应当及时制止。如制止无效，应及时向桂林市政府采购监督管理机构报告。</w:t>
      </w:r>
    </w:p>
    <w:p w14:paraId="7D373C5C">
      <w:pPr>
        <w:pStyle w:val="6"/>
        <w:keepNext w:val="0"/>
        <w:keepLines w:val="0"/>
        <w:pageBreakBefore w:val="0"/>
        <w:widowControl/>
        <w:kinsoku w:val="0"/>
        <w:wordWrap/>
        <w:overflowPunct/>
        <w:topLinePunct w:val="0"/>
        <w:autoSpaceDE w:val="0"/>
        <w:autoSpaceDN w:val="0"/>
        <w:bidi w:val="0"/>
        <w:adjustRightInd w:val="0"/>
        <w:snapToGrid w:val="0"/>
        <w:spacing w:before="115" w:line="360" w:lineRule="auto"/>
        <w:ind w:left="423"/>
        <w:textAlignment w:val="baseline"/>
        <w:rPr>
          <w:sz w:val="21"/>
          <w:szCs w:val="21"/>
        </w:rPr>
      </w:pPr>
      <w:r>
        <w:rPr>
          <w:b/>
          <w:bCs/>
          <w:spacing w:val="6"/>
          <w:sz w:val="21"/>
          <w:szCs w:val="21"/>
        </w:rPr>
        <w:t>26</w:t>
      </w:r>
      <w:r>
        <w:rPr>
          <w:spacing w:val="6"/>
          <w:sz w:val="21"/>
          <w:szCs w:val="21"/>
        </w:rPr>
        <w:t>.</w:t>
      </w:r>
      <w:r>
        <w:rPr>
          <w:b/>
          <w:bCs/>
          <w:spacing w:val="6"/>
          <w:sz w:val="21"/>
          <w:szCs w:val="21"/>
        </w:rPr>
        <w:t>推荐及确定中标候选供应商原则</w:t>
      </w:r>
    </w:p>
    <w:p w14:paraId="1B29A64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outlineLvl w:val="9"/>
        <w:rPr>
          <w:rFonts w:ascii="宋体" w:hAnsi="宋体"/>
          <w:color w:val="000000"/>
          <w:szCs w:val="21"/>
          <w:highlight w:val="none"/>
        </w:rPr>
      </w:pPr>
      <w:r>
        <w:rPr>
          <w:rFonts w:ascii="宋体" w:hAnsi="宋体"/>
          <w:color w:val="000000"/>
          <w:szCs w:val="21"/>
          <w:highlight w:val="none"/>
        </w:rPr>
        <w:t>(1)</w:t>
      </w:r>
      <w:r>
        <w:rPr>
          <w:b w:val="0"/>
          <w:bCs w:val="0"/>
          <w:spacing w:val="5"/>
          <w:sz w:val="21"/>
          <w:szCs w:val="21"/>
        </w:rPr>
        <w:t>评标委员会根据综合得分由高到低排列次序，若得分相同时，按</w:t>
      </w:r>
      <w:r>
        <w:rPr>
          <w:rFonts w:hint="eastAsia"/>
          <w:b w:val="0"/>
          <w:bCs w:val="0"/>
          <w:spacing w:val="5"/>
          <w:sz w:val="21"/>
          <w:szCs w:val="21"/>
          <w:lang w:val="en-US" w:eastAsia="zh-CN"/>
        </w:rPr>
        <w:t>价格分</w:t>
      </w:r>
      <w:r>
        <w:rPr>
          <w:b w:val="0"/>
          <w:bCs w:val="0"/>
          <w:spacing w:val="5"/>
          <w:sz w:val="21"/>
          <w:szCs w:val="21"/>
        </w:rPr>
        <w:t>由低到高顺序排列；</w:t>
      </w:r>
      <w:r>
        <w:rPr>
          <w:b w:val="0"/>
          <w:bCs w:val="0"/>
          <w:spacing w:val="6"/>
          <w:sz w:val="21"/>
          <w:szCs w:val="21"/>
        </w:rPr>
        <w:t>若得分相同且</w:t>
      </w:r>
      <w:r>
        <w:rPr>
          <w:rFonts w:hint="eastAsia"/>
          <w:b w:val="0"/>
          <w:bCs w:val="0"/>
          <w:spacing w:val="6"/>
          <w:sz w:val="21"/>
          <w:szCs w:val="21"/>
          <w:lang w:val="en-US" w:eastAsia="zh-CN"/>
        </w:rPr>
        <w:t>价格分</w:t>
      </w:r>
      <w:r>
        <w:rPr>
          <w:b w:val="0"/>
          <w:bCs w:val="0"/>
          <w:spacing w:val="6"/>
          <w:sz w:val="21"/>
          <w:szCs w:val="21"/>
        </w:rPr>
        <w:t>也相同的，</w:t>
      </w:r>
      <w:r>
        <w:rPr>
          <w:rFonts w:hint="eastAsia"/>
          <w:b w:val="0"/>
          <w:bCs w:val="0"/>
          <w:spacing w:val="6"/>
          <w:sz w:val="21"/>
          <w:szCs w:val="21"/>
          <w:lang w:val="en-US" w:eastAsia="zh-CN"/>
        </w:rPr>
        <w:t>依次技术方案分、履约能力分、服务承诺分</w:t>
      </w:r>
      <w:r>
        <w:rPr>
          <w:b w:val="0"/>
          <w:bCs w:val="0"/>
          <w:spacing w:val="6"/>
          <w:sz w:val="21"/>
          <w:szCs w:val="21"/>
        </w:rPr>
        <w:t>由高到低顺序确定中标供应商，</w:t>
      </w:r>
      <w:r>
        <w:rPr>
          <w:rFonts w:hint="eastAsia"/>
          <w:b w:val="0"/>
          <w:bCs w:val="0"/>
          <w:spacing w:val="6"/>
          <w:sz w:val="21"/>
          <w:szCs w:val="21"/>
          <w:lang w:val="en-US" w:eastAsia="zh-CN"/>
        </w:rPr>
        <w:t>均</w:t>
      </w:r>
      <w:r>
        <w:rPr>
          <w:b w:val="0"/>
          <w:bCs w:val="0"/>
          <w:spacing w:val="6"/>
          <w:sz w:val="21"/>
          <w:szCs w:val="21"/>
        </w:rPr>
        <w:t>相同的由评标委员会按照抽签的方式决定排次次序</w:t>
      </w:r>
      <w:r>
        <w:rPr>
          <w:rFonts w:ascii="宋体" w:hAnsi="宋体"/>
          <w:color w:val="000000"/>
          <w:szCs w:val="21"/>
          <w:highlight w:val="none"/>
        </w:rPr>
        <w:t>。</w:t>
      </w:r>
    </w:p>
    <w:p w14:paraId="25A742E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outlineLvl w:val="9"/>
        <w:rPr>
          <w:rFonts w:ascii="宋体" w:hAnsi="宋体"/>
          <w:color w:val="000000"/>
          <w:szCs w:val="21"/>
          <w:highlight w:val="none"/>
        </w:rPr>
      </w:pPr>
      <w:r>
        <w:rPr>
          <w:rFonts w:ascii="宋体" w:hAnsi="宋体"/>
          <w:color w:val="000000"/>
          <w:szCs w:val="21"/>
          <w:highlight w:val="none"/>
        </w:rPr>
        <w:t>(2)评标委员会可推荐前三名为中标候选供应商，采购人应当确定评标委员会推荐排名第一的中标候选人为中标供应商。</w:t>
      </w:r>
    </w:p>
    <w:p w14:paraId="481E6BC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outlineLvl w:val="9"/>
        <w:rPr>
          <w:rFonts w:ascii="宋体" w:hAnsi="宋体"/>
          <w:color w:val="000000"/>
          <w:szCs w:val="21"/>
          <w:highlight w:val="none"/>
        </w:rPr>
      </w:pPr>
      <w:r>
        <w:rPr>
          <w:rFonts w:ascii="宋体" w:hAnsi="宋体"/>
          <w:color w:val="000000"/>
          <w:szCs w:val="21"/>
          <w:highlight w:val="none"/>
        </w:rPr>
        <w:t>(3)第一中标候选供应商放弃中标、因不可抗力提出不能履行合同，或者招标文件规定应当提交履约保证金而在规定的期限内未能提交的，或因失信行为被取消中标候选供应商资格的，采购人可以确定第二中标候选供应商为中标供应商，并依此类推。</w:t>
      </w:r>
    </w:p>
    <w:p w14:paraId="6CD4540F">
      <w:pPr>
        <w:pStyle w:val="6"/>
        <w:keepNext w:val="0"/>
        <w:keepLines w:val="0"/>
        <w:pageBreakBefore w:val="0"/>
        <w:widowControl/>
        <w:kinsoku w:val="0"/>
        <w:wordWrap/>
        <w:overflowPunct/>
        <w:topLinePunct w:val="0"/>
        <w:autoSpaceDE w:val="0"/>
        <w:autoSpaceDN w:val="0"/>
        <w:bidi w:val="0"/>
        <w:adjustRightInd w:val="0"/>
        <w:snapToGrid w:val="0"/>
        <w:spacing w:before="14" w:line="360" w:lineRule="auto"/>
        <w:ind w:left="422"/>
        <w:textAlignment w:val="baseline"/>
        <w:outlineLvl w:val="9"/>
        <w:rPr>
          <w:sz w:val="21"/>
          <w:szCs w:val="21"/>
        </w:rPr>
      </w:pPr>
      <w:r>
        <w:rPr>
          <w:b/>
          <w:bCs/>
          <w:spacing w:val="6"/>
          <w:sz w:val="21"/>
          <w:szCs w:val="21"/>
        </w:rPr>
        <w:t>27.属于下列情况之一者，投标无效：</w:t>
      </w:r>
    </w:p>
    <w:p w14:paraId="36507456">
      <w:pPr>
        <w:keepNext w:val="0"/>
        <w:keepLines w:val="0"/>
        <w:pageBreakBefore w:val="0"/>
        <w:widowControl/>
        <w:kinsoku w:val="0"/>
        <w:wordWrap/>
        <w:overflowPunct/>
        <w:topLinePunct w:val="0"/>
        <w:autoSpaceDE w:val="0"/>
        <w:autoSpaceDN w:val="0"/>
        <w:bidi w:val="0"/>
        <w:adjustRightInd w:val="0"/>
        <w:snapToGrid w:val="0"/>
        <w:spacing w:line="360" w:lineRule="auto"/>
        <w:ind w:firstLine="411" w:firstLineChars="196"/>
        <w:textAlignment w:val="baseline"/>
        <w:outlineLvl w:val="9"/>
        <w:rPr>
          <w:rFonts w:hint="eastAsia" w:ascii="宋体" w:hAnsi="宋体"/>
          <w:color w:val="000000"/>
          <w:szCs w:val="21"/>
          <w:highlight w:val="none"/>
        </w:rPr>
      </w:pPr>
      <w:r>
        <w:rPr>
          <w:rFonts w:hint="eastAsia" w:ascii="宋体" w:hAnsi="宋体"/>
          <w:color w:val="000000"/>
          <w:szCs w:val="21"/>
          <w:highlight w:val="none"/>
        </w:rPr>
        <w:t>（1）未按照招标文件规定要求签字、盖章的；</w:t>
      </w:r>
    </w:p>
    <w:p w14:paraId="13D5290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outlineLvl w:val="9"/>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报价超过招标文件中规定的</w:t>
      </w:r>
      <w:r>
        <w:rPr>
          <w:rFonts w:hint="eastAsia" w:ascii="宋体" w:hAnsi="宋体"/>
          <w:color w:val="000000"/>
          <w:szCs w:val="21"/>
          <w:highlight w:val="none"/>
        </w:rPr>
        <w:t>报价范围</w:t>
      </w:r>
      <w:r>
        <w:rPr>
          <w:rFonts w:ascii="宋体" w:hAnsi="宋体"/>
          <w:color w:val="000000"/>
          <w:szCs w:val="21"/>
          <w:highlight w:val="none"/>
        </w:rPr>
        <w:t>的；</w:t>
      </w:r>
    </w:p>
    <w:p w14:paraId="2DA680A7">
      <w:pPr>
        <w:keepNext w:val="0"/>
        <w:keepLines w:val="0"/>
        <w:pageBreakBefore w:val="0"/>
        <w:widowControl/>
        <w:kinsoku w:val="0"/>
        <w:wordWrap/>
        <w:overflowPunct/>
        <w:topLinePunct w:val="0"/>
        <w:autoSpaceDE w:val="0"/>
        <w:autoSpaceDN w:val="0"/>
        <w:bidi w:val="0"/>
        <w:adjustRightInd w:val="0"/>
        <w:snapToGrid w:val="0"/>
        <w:spacing w:line="360" w:lineRule="auto"/>
        <w:ind w:firstLine="411" w:firstLineChars="196"/>
        <w:textAlignment w:val="baseline"/>
        <w:outlineLvl w:val="9"/>
        <w:rPr>
          <w:rFonts w:hint="eastAsia" w:ascii="宋体" w:hAnsi="宋体"/>
          <w:color w:val="000000"/>
          <w:szCs w:val="21"/>
          <w:highlight w:val="none"/>
        </w:rPr>
      </w:pPr>
      <w:r>
        <w:rPr>
          <w:rFonts w:hint="eastAsia" w:ascii="宋体" w:hAnsi="宋体"/>
          <w:color w:val="000000"/>
          <w:szCs w:val="21"/>
          <w:highlight w:val="none"/>
        </w:rPr>
        <w:t>（3）不具备招标文件中规定的资格要求的</w:t>
      </w:r>
      <w:r>
        <w:rPr>
          <w:rFonts w:hint="eastAsia" w:ascii="宋体" w:hAnsi="宋体"/>
          <w:color w:val="000000"/>
          <w:highlight w:val="none"/>
        </w:rPr>
        <w:t>；</w:t>
      </w:r>
    </w:p>
    <w:p w14:paraId="02504F02">
      <w:pPr>
        <w:keepNext w:val="0"/>
        <w:keepLines w:val="0"/>
        <w:pageBreakBefore w:val="0"/>
        <w:widowControl/>
        <w:kinsoku w:val="0"/>
        <w:wordWrap/>
        <w:overflowPunct/>
        <w:topLinePunct w:val="0"/>
        <w:autoSpaceDE w:val="0"/>
        <w:autoSpaceDN w:val="0"/>
        <w:bidi w:val="0"/>
        <w:adjustRightInd w:val="0"/>
        <w:snapToGrid w:val="0"/>
        <w:spacing w:line="360" w:lineRule="auto"/>
        <w:ind w:firstLine="411" w:firstLineChars="196"/>
        <w:textAlignment w:val="baseline"/>
        <w:outlineLvl w:val="9"/>
        <w:rPr>
          <w:rFonts w:hint="eastAsia" w:ascii="宋体" w:hAnsi="宋体"/>
          <w:color w:val="000000"/>
          <w:szCs w:val="21"/>
          <w:highlight w:val="none"/>
        </w:rPr>
      </w:pPr>
      <w:r>
        <w:rPr>
          <w:rFonts w:hint="eastAsia" w:ascii="宋体" w:hAnsi="宋体"/>
          <w:color w:val="000000"/>
          <w:szCs w:val="21"/>
          <w:highlight w:val="none"/>
        </w:rPr>
        <w:t>（4）</w:t>
      </w:r>
      <w:r>
        <w:rPr>
          <w:rFonts w:ascii="宋体" w:hAnsi="宋体"/>
          <w:color w:val="000000"/>
          <w:szCs w:val="21"/>
          <w:highlight w:val="none"/>
        </w:rPr>
        <w:t>投标文件含有采购人不能接受的附加条件的</w:t>
      </w:r>
      <w:r>
        <w:rPr>
          <w:rFonts w:hint="eastAsia" w:ascii="宋体" w:hAnsi="宋体"/>
          <w:color w:val="000000"/>
          <w:szCs w:val="21"/>
          <w:highlight w:val="none"/>
        </w:rPr>
        <w:t>；</w:t>
      </w:r>
    </w:p>
    <w:p w14:paraId="6B28E45C">
      <w:pPr>
        <w:keepNext w:val="0"/>
        <w:keepLines w:val="0"/>
        <w:pageBreakBefore w:val="0"/>
        <w:widowControl/>
        <w:kinsoku w:val="0"/>
        <w:wordWrap/>
        <w:overflowPunct/>
        <w:topLinePunct w:val="0"/>
        <w:autoSpaceDE w:val="0"/>
        <w:autoSpaceDN w:val="0"/>
        <w:bidi w:val="0"/>
        <w:adjustRightInd w:val="0"/>
        <w:snapToGrid w:val="0"/>
        <w:spacing w:line="360" w:lineRule="auto"/>
        <w:ind w:firstLine="411" w:firstLineChars="196"/>
        <w:textAlignment w:val="baseline"/>
        <w:outlineLvl w:val="9"/>
        <w:rPr>
          <w:rFonts w:hint="eastAsia" w:ascii="宋体" w:hAnsi="宋体"/>
          <w:color w:val="000000"/>
          <w:szCs w:val="21"/>
          <w:highlight w:val="none"/>
        </w:rPr>
      </w:pPr>
      <w:r>
        <w:rPr>
          <w:rFonts w:hint="eastAsia" w:ascii="宋体" w:hAnsi="宋体"/>
          <w:color w:val="000000"/>
          <w:szCs w:val="21"/>
          <w:highlight w:val="none"/>
        </w:rPr>
        <w:t>（5）投标文件未按招标文件的内容和要求编制，或提供虚假材料的；</w:t>
      </w:r>
    </w:p>
    <w:p w14:paraId="202CB011">
      <w:pPr>
        <w:keepNext w:val="0"/>
        <w:keepLines w:val="0"/>
        <w:pageBreakBefore w:val="0"/>
        <w:widowControl/>
        <w:kinsoku w:val="0"/>
        <w:wordWrap/>
        <w:overflowPunct/>
        <w:topLinePunct w:val="0"/>
        <w:autoSpaceDE w:val="0"/>
        <w:autoSpaceDN w:val="0"/>
        <w:bidi w:val="0"/>
        <w:adjustRightInd w:val="0"/>
        <w:snapToGrid w:val="0"/>
        <w:spacing w:line="360" w:lineRule="auto"/>
        <w:ind w:firstLine="411" w:firstLineChars="196"/>
        <w:textAlignment w:val="baseline"/>
        <w:outlineLvl w:val="9"/>
        <w:rPr>
          <w:rFonts w:hint="eastAsia" w:ascii="宋体" w:hAnsi="宋体"/>
          <w:color w:val="000000"/>
          <w:highlight w:val="none"/>
        </w:rPr>
      </w:pPr>
      <w:r>
        <w:rPr>
          <w:rFonts w:hint="eastAsia" w:ascii="宋体" w:hAnsi="宋体"/>
          <w:color w:val="000000"/>
          <w:szCs w:val="21"/>
          <w:highlight w:val="none"/>
        </w:rPr>
        <w:t>（6）</w:t>
      </w:r>
      <w:r>
        <w:rPr>
          <w:rFonts w:hint="eastAsia" w:ascii="宋体" w:hAnsi="宋体"/>
          <w:color w:val="000000"/>
          <w:highlight w:val="none"/>
        </w:rPr>
        <w:t>投标</w:t>
      </w:r>
      <w:r>
        <w:rPr>
          <w:rFonts w:hint="eastAsia" w:ascii="宋体" w:hAnsi="宋体"/>
          <w:color w:val="000000"/>
          <w:szCs w:val="21"/>
          <w:highlight w:val="none"/>
        </w:rPr>
        <w:t>人未就“</w:t>
      </w:r>
      <w:r>
        <w:rPr>
          <w:rFonts w:hint="eastAsia" w:ascii="宋体" w:hAnsi="宋体"/>
          <w:color w:val="000000"/>
          <w:szCs w:val="21"/>
          <w:highlight w:val="none"/>
          <w:lang w:eastAsia="zh-CN"/>
        </w:rPr>
        <w:t>服务采购需求</w:t>
      </w:r>
      <w:r>
        <w:rPr>
          <w:rFonts w:hint="eastAsia" w:ascii="宋体" w:hAnsi="宋体"/>
          <w:color w:val="000000"/>
          <w:szCs w:val="21"/>
          <w:highlight w:val="none"/>
        </w:rPr>
        <w:t>”中所投项目的所有内容作完整唯一报价的</w:t>
      </w:r>
      <w:r>
        <w:rPr>
          <w:rFonts w:hint="eastAsia" w:ascii="宋体" w:hAnsi="宋体"/>
          <w:color w:val="000000"/>
          <w:highlight w:val="none"/>
        </w:rPr>
        <w:t>；</w:t>
      </w:r>
    </w:p>
    <w:p w14:paraId="00767A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outlineLvl w:val="9"/>
        <w:rPr>
          <w:rFonts w:hint="eastAsia" w:hAnsi="宋体"/>
          <w:color w:val="000000"/>
          <w:szCs w:val="24"/>
          <w:highlight w:val="none"/>
        </w:rPr>
      </w:pPr>
      <w:r>
        <w:rPr>
          <w:rFonts w:hint="eastAsia" w:hAnsi="宋体"/>
          <w:color w:val="000000"/>
          <w:szCs w:val="24"/>
          <w:highlight w:val="none"/>
        </w:rPr>
        <w:t>（7）未满足招标文件全部实质性要求的；</w:t>
      </w:r>
    </w:p>
    <w:p w14:paraId="6AEB101F">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outlineLvl w:val="9"/>
        <w:rPr>
          <w:rFonts w:hint="eastAsia"/>
        </w:rPr>
      </w:pPr>
      <w:r>
        <w:rPr>
          <w:rFonts w:hint="eastAsia" w:hAnsi="宋体"/>
          <w:color w:val="000000"/>
          <w:szCs w:val="21"/>
          <w:highlight w:val="none"/>
        </w:rPr>
        <w:t>（8）</w:t>
      </w:r>
      <w:r>
        <w:rPr>
          <w:rFonts w:hAnsi="宋体"/>
          <w:color w:val="000000"/>
          <w:szCs w:val="21"/>
          <w:highlight w:val="none"/>
        </w:rPr>
        <w:t>法律、法规和招标文件规定的其他无效情形。</w:t>
      </w:r>
    </w:p>
    <w:p w14:paraId="5702F33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50" w:firstLineChars="200"/>
        <w:textAlignment w:val="baseline"/>
        <w:outlineLvl w:val="9"/>
        <w:rPr>
          <w:rFonts w:hint="eastAsia" w:eastAsia="宋体"/>
          <w:sz w:val="21"/>
          <w:szCs w:val="21"/>
          <w:lang w:val="en-US" w:eastAsia="zh-CN"/>
        </w:rPr>
      </w:pPr>
      <w:r>
        <w:rPr>
          <w:b/>
          <w:bCs/>
          <w:spacing w:val="7"/>
          <w:sz w:val="21"/>
          <w:szCs w:val="21"/>
        </w:rPr>
        <w:t>28.投标人有28.1、28.2情形之一的，视为串通投标或属于恶意串通行为，投标文件将被</w:t>
      </w:r>
      <w:r>
        <w:rPr>
          <w:rFonts w:hint="eastAsia"/>
          <w:b/>
          <w:bCs/>
          <w:spacing w:val="7"/>
          <w:sz w:val="21"/>
          <w:szCs w:val="21"/>
          <w:lang w:val="en-US" w:eastAsia="zh-CN"/>
        </w:rPr>
        <w:t>视为无效；</w:t>
      </w:r>
    </w:p>
    <w:p w14:paraId="1E230EBB">
      <w:pPr>
        <w:pStyle w:val="6"/>
        <w:keepNext w:val="0"/>
        <w:keepLines w:val="0"/>
        <w:pageBreakBefore w:val="0"/>
        <w:widowControl/>
        <w:kinsoku w:val="0"/>
        <w:wordWrap/>
        <w:overflowPunct/>
        <w:topLinePunct w:val="0"/>
        <w:autoSpaceDE w:val="0"/>
        <w:autoSpaceDN w:val="0"/>
        <w:bidi w:val="0"/>
        <w:adjustRightInd w:val="0"/>
        <w:snapToGrid w:val="0"/>
        <w:spacing w:before="113" w:line="360" w:lineRule="auto"/>
        <w:ind w:left="412"/>
        <w:textAlignment w:val="baseline"/>
        <w:outlineLvl w:val="9"/>
        <w:rPr>
          <w:rFonts w:hint="eastAsia" w:eastAsia="宋体"/>
          <w:sz w:val="21"/>
          <w:szCs w:val="21"/>
          <w:lang w:eastAsia="zh-CN"/>
        </w:rPr>
      </w:pPr>
      <w:r>
        <w:rPr>
          <w:b/>
          <w:bCs/>
          <w:spacing w:val="6"/>
          <w:sz w:val="21"/>
          <w:szCs w:val="21"/>
        </w:rPr>
        <w:t>28.1投标人有下列情形之一的，视为串通投标</w:t>
      </w:r>
      <w:r>
        <w:rPr>
          <w:rFonts w:hint="eastAsia"/>
          <w:b/>
          <w:bCs/>
          <w:spacing w:val="6"/>
          <w:sz w:val="21"/>
          <w:szCs w:val="21"/>
          <w:lang w:eastAsia="zh-CN"/>
        </w:rPr>
        <w:t>；</w:t>
      </w:r>
    </w:p>
    <w:p w14:paraId="7E13631B">
      <w:pPr>
        <w:keepNext w:val="0"/>
        <w:keepLines w:val="0"/>
        <w:pageBreakBefore w:val="0"/>
        <w:widowControl/>
        <w:kinsoku w:val="0"/>
        <w:wordWrap/>
        <w:overflowPunct/>
        <w:topLinePunct w:val="0"/>
        <w:autoSpaceDE w:val="0"/>
        <w:autoSpaceDN w:val="0"/>
        <w:bidi w:val="0"/>
        <w:adjustRightInd w:val="0"/>
        <w:snapToGrid w:val="0"/>
        <w:spacing w:line="360" w:lineRule="auto"/>
        <w:ind w:left="355" w:leftChars="169" w:firstLine="102" w:firstLineChars="49"/>
        <w:textAlignment w:val="baseline"/>
        <w:outlineLvl w:val="9"/>
        <w:rPr>
          <w:rFonts w:hint="eastAsia" w:ascii="宋体" w:hAnsi="宋体"/>
          <w:color w:val="000000"/>
          <w:highlight w:val="none"/>
        </w:rPr>
      </w:pPr>
      <w:r>
        <w:rPr>
          <w:rFonts w:hint="eastAsia" w:ascii="宋体" w:hAnsi="宋体"/>
          <w:color w:val="000000"/>
          <w:highlight w:val="none"/>
        </w:rPr>
        <w:t>（1）不同投标人的投标文件由同一单位或者个人编制；</w:t>
      </w:r>
    </w:p>
    <w:p w14:paraId="1259958F">
      <w:pPr>
        <w:keepNext w:val="0"/>
        <w:keepLines w:val="0"/>
        <w:pageBreakBefore w:val="0"/>
        <w:widowControl/>
        <w:kinsoku w:val="0"/>
        <w:wordWrap/>
        <w:overflowPunct/>
        <w:topLinePunct w:val="0"/>
        <w:autoSpaceDE w:val="0"/>
        <w:autoSpaceDN w:val="0"/>
        <w:bidi w:val="0"/>
        <w:adjustRightInd w:val="0"/>
        <w:snapToGrid w:val="0"/>
        <w:spacing w:line="360" w:lineRule="auto"/>
        <w:ind w:left="355" w:leftChars="169" w:firstLine="102" w:firstLineChars="49"/>
        <w:textAlignment w:val="baseline"/>
        <w:outlineLvl w:val="9"/>
        <w:rPr>
          <w:rFonts w:hint="eastAsia" w:ascii="宋体" w:hAnsi="宋体"/>
          <w:color w:val="000000"/>
          <w:highlight w:val="none"/>
        </w:rPr>
      </w:pPr>
      <w:r>
        <w:rPr>
          <w:rFonts w:hint="eastAsia" w:ascii="宋体" w:hAnsi="宋体"/>
          <w:color w:val="000000"/>
          <w:highlight w:val="none"/>
        </w:rPr>
        <w:t>（2）不同投标人委托同一单位或者个人办理投标事宜；</w:t>
      </w:r>
    </w:p>
    <w:p w14:paraId="2300685A">
      <w:pPr>
        <w:keepNext w:val="0"/>
        <w:keepLines w:val="0"/>
        <w:pageBreakBefore w:val="0"/>
        <w:widowControl/>
        <w:kinsoku w:val="0"/>
        <w:wordWrap/>
        <w:overflowPunct/>
        <w:topLinePunct w:val="0"/>
        <w:autoSpaceDE w:val="0"/>
        <w:autoSpaceDN w:val="0"/>
        <w:bidi w:val="0"/>
        <w:adjustRightInd w:val="0"/>
        <w:snapToGrid w:val="0"/>
        <w:spacing w:line="360" w:lineRule="auto"/>
        <w:ind w:left="355" w:leftChars="169" w:firstLine="102" w:firstLineChars="49"/>
        <w:textAlignment w:val="baseline"/>
        <w:outlineLvl w:val="9"/>
        <w:rPr>
          <w:rFonts w:hint="eastAsia" w:ascii="宋体" w:hAnsi="宋体"/>
          <w:color w:val="000000"/>
          <w:highlight w:val="none"/>
        </w:rPr>
      </w:pPr>
      <w:r>
        <w:rPr>
          <w:rFonts w:hint="eastAsia" w:ascii="宋体" w:hAnsi="宋体"/>
          <w:color w:val="000000"/>
          <w:highlight w:val="none"/>
        </w:rPr>
        <w:t>（3）不同的投标人的投标文件载明的项目管理员或者联系人员为同一个人；</w:t>
      </w:r>
    </w:p>
    <w:p w14:paraId="0F8D355B">
      <w:pPr>
        <w:keepNext w:val="0"/>
        <w:keepLines w:val="0"/>
        <w:pageBreakBefore w:val="0"/>
        <w:widowControl/>
        <w:kinsoku w:val="0"/>
        <w:wordWrap/>
        <w:overflowPunct/>
        <w:topLinePunct w:val="0"/>
        <w:autoSpaceDE w:val="0"/>
        <w:autoSpaceDN w:val="0"/>
        <w:bidi w:val="0"/>
        <w:adjustRightInd w:val="0"/>
        <w:snapToGrid w:val="0"/>
        <w:spacing w:line="360" w:lineRule="auto"/>
        <w:ind w:left="355" w:leftChars="169" w:firstLine="102" w:firstLineChars="49"/>
        <w:textAlignment w:val="baseline"/>
        <w:outlineLvl w:val="9"/>
        <w:rPr>
          <w:rFonts w:hint="eastAsia" w:ascii="宋体" w:hAnsi="宋体" w:eastAsia="宋体"/>
          <w:color w:val="000000"/>
          <w:highlight w:val="none"/>
          <w:lang w:eastAsia="zh-CN"/>
        </w:rPr>
      </w:pPr>
      <w:r>
        <w:rPr>
          <w:rFonts w:hint="eastAsia" w:ascii="宋体" w:hAnsi="宋体"/>
          <w:color w:val="000000"/>
          <w:highlight w:val="none"/>
        </w:rPr>
        <w:t>（4）不同投标人的投标文件异常一致或投标报价呈规律性差异；</w:t>
      </w:r>
    </w:p>
    <w:p w14:paraId="14B402E9">
      <w:pPr>
        <w:keepNext w:val="0"/>
        <w:keepLines w:val="0"/>
        <w:pageBreakBefore w:val="0"/>
        <w:widowControl/>
        <w:kinsoku w:val="0"/>
        <w:wordWrap/>
        <w:overflowPunct/>
        <w:topLinePunct w:val="0"/>
        <w:autoSpaceDE w:val="0"/>
        <w:autoSpaceDN w:val="0"/>
        <w:bidi w:val="0"/>
        <w:adjustRightInd w:val="0"/>
        <w:snapToGrid w:val="0"/>
        <w:spacing w:line="360" w:lineRule="auto"/>
        <w:ind w:left="355" w:leftChars="169" w:firstLine="102" w:firstLineChars="49"/>
        <w:textAlignment w:val="baseline"/>
        <w:outlineLvl w:val="9"/>
        <w:rPr>
          <w:rFonts w:hint="eastAsia" w:ascii="宋体" w:hAnsi="宋体" w:eastAsia="宋体"/>
          <w:color w:val="000000"/>
          <w:highlight w:val="none"/>
          <w:lang w:eastAsia="zh-CN"/>
        </w:rPr>
      </w:pPr>
      <w:r>
        <w:rPr>
          <w:rFonts w:hint="eastAsia" w:ascii="宋体" w:hAnsi="宋体"/>
          <w:color w:val="000000"/>
          <w:highlight w:val="none"/>
        </w:rPr>
        <w:t>（5）不同投标人的投标文件</w:t>
      </w:r>
      <w:r>
        <w:rPr>
          <w:rFonts w:hint="eastAsia" w:ascii="宋体" w:hAnsi="宋体"/>
          <w:color w:val="000000"/>
          <w:highlight w:val="none"/>
          <w:lang w:val="en-US" w:eastAsia="zh-CN"/>
        </w:rPr>
        <w:t>IP为同一个地址</w:t>
      </w:r>
      <w:r>
        <w:rPr>
          <w:rFonts w:hint="eastAsia" w:ascii="宋体" w:hAnsi="宋体"/>
          <w:color w:val="000000"/>
          <w:highlight w:val="none"/>
          <w:lang w:eastAsia="zh-CN"/>
        </w:rPr>
        <w:t>。</w:t>
      </w:r>
    </w:p>
    <w:p w14:paraId="6D34E01E">
      <w:pPr>
        <w:pStyle w:val="6"/>
        <w:keepNext w:val="0"/>
        <w:keepLines w:val="0"/>
        <w:pageBreakBefore w:val="0"/>
        <w:widowControl/>
        <w:kinsoku w:val="0"/>
        <w:wordWrap/>
        <w:overflowPunct/>
        <w:topLinePunct w:val="0"/>
        <w:autoSpaceDE w:val="0"/>
        <w:autoSpaceDN w:val="0"/>
        <w:bidi w:val="0"/>
        <w:adjustRightInd w:val="0"/>
        <w:snapToGrid w:val="0"/>
        <w:spacing w:before="114" w:line="360" w:lineRule="auto"/>
        <w:ind w:left="412"/>
        <w:textAlignment w:val="baseline"/>
        <w:outlineLvl w:val="9"/>
        <w:rPr>
          <w:sz w:val="21"/>
          <w:szCs w:val="21"/>
        </w:rPr>
      </w:pPr>
      <w:r>
        <w:rPr>
          <w:b/>
          <w:bCs/>
          <w:spacing w:val="6"/>
          <w:sz w:val="21"/>
          <w:szCs w:val="21"/>
        </w:rPr>
        <w:t>28.2投标人有下列情形之一的，属于恶意串通行为：</w:t>
      </w:r>
    </w:p>
    <w:p w14:paraId="57B87B69">
      <w:pPr>
        <w:keepNext w:val="0"/>
        <w:keepLines w:val="0"/>
        <w:pageBreakBefore w:val="0"/>
        <w:widowControl/>
        <w:tabs>
          <w:tab w:val="left" w:pos="840"/>
        </w:tabs>
        <w:kinsoku w:val="0"/>
        <w:wordWrap/>
        <w:overflowPunct/>
        <w:topLinePunct w:val="0"/>
        <w:autoSpaceDE w:val="0"/>
        <w:autoSpaceDN w:val="0"/>
        <w:bidi w:val="0"/>
        <w:adjustRightInd w:val="0"/>
        <w:snapToGrid w:val="0"/>
        <w:spacing w:line="400" w:lineRule="exact"/>
        <w:ind w:left="330" w:leftChars="157" w:firstLine="105" w:firstLineChars="50"/>
        <w:textAlignment w:val="baseline"/>
        <w:outlineLvl w:val="9"/>
        <w:rPr>
          <w:rFonts w:hint="eastAsia" w:ascii="宋体" w:hAnsi="宋体"/>
          <w:color w:val="000000"/>
          <w:szCs w:val="21"/>
          <w:highlight w:val="none"/>
        </w:rPr>
      </w:pPr>
      <w:r>
        <w:rPr>
          <w:rFonts w:hint="eastAsia" w:ascii="宋体" w:hAnsi="宋体"/>
          <w:color w:val="000000"/>
          <w:szCs w:val="21"/>
          <w:highlight w:val="none"/>
        </w:rPr>
        <w:t>（1）供应商直接或者间接从采购人或者采购代理机构处获得其他供应商的相关信息并修改</w:t>
      </w:r>
    </w:p>
    <w:p w14:paraId="7866C668">
      <w:pPr>
        <w:keepNext w:val="0"/>
        <w:keepLines w:val="0"/>
        <w:pageBreakBefore w:val="0"/>
        <w:widowControl/>
        <w:tabs>
          <w:tab w:val="left" w:pos="840"/>
        </w:tabs>
        <w:kinsoku w:val="0"/>
        <w:wordWrap/>
        <w:overflowPunct/>
        <w:topLinePunct w:val="0"/>
        <w:autoSpaceDE w:val="0"/>
        <w:autoSpaceDN w:val="0"/>
        <w:bidi w:val="0"/>
        <w:adjustRightInd w:val="0"/>
        <w:snapToGrid w:val="0"/>
        <w:spacing w:line="400" w:lineRule="exact"/>
        <w:ind w:left="330" w:leftChars="157" w:firstLine="105" w:firstLineChars="50"/>
        <w:textAlignment w:val="baseline"/>
        <w:outlineLvl w:val="9"/>
        <w:rPr>
          <w:rFonts w:hint="eastAsia" w:ascii="宋体" w:hAnsi="宋体"/>
          <w:color w:val="000000"/>
          <w:szCs w:val="21"/>
          <w:highlight w:val="none"/>
        </w:rPr>
      </w:pPr>
      <w:r>
        <w:rPr>
          <w:rFonts w:hint="eastAsia" w:ascii="宋体" w:hAnsi="宋体"/>
          <w:color w:val="000000"/>
          <w:szCs w:val="21"/>
          <w:highlight w:val="none"/>
          <w:lang w:val="en-US" w:eastAsia="zh-CN"/>
        </w:rPr>
        <w:t>其投</w:t>
      </w:r>
      <w:r>
        <w:rPr>
          <w:rFonts w:hint="eastAsia" w:ascii="宋体" w:hAnsi="宋体"/>
          <w:color w:val="000000"/>
          <w:szCs w:val="21"/>
          <w:highlight w:val="none"/>
        </w:rPr>
        <w:t>标文件或者投标文件的；</w:t>
      </w:r>
    </w:p>
    <w:p w14:paraId="3F5F7BCD">
      <w:pPr>
        <w:keepNext w:val="0"/>
        <w:keepLines w:val="0"/>
        <w:pageBreakBefore w:val="0"/>
        <w:widowControl/>
        <w:tabs>
          <w:tab w:val="left" w:pos="840"/>
        </w:tabs>
        <w:kinsoku w:val="0"/>
        <w:wordWrap/>
        <w:overflowPunct/>
        <w:topLinePunct w:val="0"/>
        <w:autoSpaceDE w:val="0"/>
        <w:autoSpaceDN w:val="0"/>
        <w:bidi w:val="0"/>
        <w:adjustRightInd w:val="0"/>
        <w:snapToGrid w:val="0"/>
        <w:spacing w:line="400" w:lineRule="exact"/>
        <w:ind w:left="330" w:leftChars="157" w:firstLine="105" w:firstLineChars="50"/>
        <w:textAlignment w:val="baseline"/>
        <w:outlineLvl w:val="9"/>
        <w:rPr>
          <w:rFonts w:hint="eastAsia" w:ascii="宋体" w:hAnsi="宋体"/>
          <w:color w:val="000000"/>
          <w:szCs w:val="21"/>
          <w:highlight w:val="none"/>
        </w:rPr>
      </w:pPr>
      <w:r>
        <w:rPr>
          <w:rFonts w:hint="eastAsia" w:ascii="宋体" w:hAnsi="宋体"/>
          <w:color w:val="000000"/>
          <w:szCs w:val="21"/>
          <w:highlight w:val="none"/>
        </w:rPr>
        <w:t>（2）供应商按照采购人或者采购代理机构的授意撤换、修改投标文件或者投标文件的；</w:t>
      </w:r>
    </w:p>
    <w:p w14:paraId="238AC109">
      <w:pPr>
        <w:keepNext w:val="0"/>
        <w:keepLines w:val="0"/>
        <w:pageBreakBefore w:val="0"/>
        <w:widowControl/>
        <w:tabs>
          <w:tab w:val="left" w:pos="840"/>
        </w:tabs>
        <w:kinsoku w:val="0"/>
        <w:wordWrap/>
        <w:overflowPunct/>
        <w:topLinePunct w:val="0"/>
        <w:autoSpaceDE w:val="0"/>
        <w:autoSpaceDN w:val="0"/>
        <w:bidi w:val="0"/>
        <w:adjustRightInd w:val="0"/>
        <w:snapToGrid w:val="0"/>
        <w:spacing w:line="400" w:lineRule="exact"/>
        <w:ind w:left="330" w:leftChars="157" w:firstLine="105" w:firstLineChars="50"/>
        <w:textAlignment w:val="baseline"/>
        <w:outlineLvl w:val="9"/>
        <w:rPr>
          <w:rFonts w:hint="eastAsia" w:ascii="宋体" w:hAnsi="宋体"/>
          <w:color w:val="000000"/>
          <w:szCs w:val="21"/>
          <w:highlight w:val="none"/>
        </w:rPr>
      </w:pPr>
      <w:r>
        <w:rPr>
          <w:rFonts w:hint="eastAsia" w:ascii="宋体" w:hAnsi="宋体"/>
          <w:color w:val="000000"/>
          <w:szCs w:val="21"/>
          <w:highlight w:val="none"/>
        </w:rPr>
        <w:t>（3）供应商之间协商报价、技术方案等投标文件或者投标文件的实质性内容的；</w:t>
      </w:r>
    </w:p>
    <w:p w14:paraId="1AC486F4">
      <w:pPr>
        <w:keepNext w:val="0"/>
        <w:keepLines w:val="0"/>
        <w:pageBreakBefore w:val="0"/>
        <w:widowControl/>
        <w:tabs>
          <w:tab w:val="left" w:pos="840"/>
        </w:tabs>
        <w:kinsoku w:val="0"/>
        <w:wordWrap/>
        <w:overflowPunct/>
        <w:topLinePunct w:val="0"/>
        <w:autoSpaceDE w:val="0"/>
        <w:autoSpaceDN w:val="0"/>
        <w:bidi w:val="0"/>
        <w:adjustRightInd w:val="0"/>
        <w:snapToGrid w:val="0"/>
        <w:spacing w:line="400" w:lineRule="exact"/>
        <w:ind w:left="330" w:leftChars="157" w:firstLine="105" w:firstLineChars="50"/>
        <w:textAlignment w:val="baseline"/>
        <w:outlineLvl w:val="9"/>
        <w:rPr>
          <w:rFonts w:hint="eastAsia" w:ascii="宋体" w:hAnsi="宋体" w:eastAsia="宋体"/>
          <w:color w:val="000000"/>
          <w:szCs w:val="21"/>
          <w:highlight w:val="none"/>
          <w:lang w:eastAsia="zh-CN"/>
        </w:rPr>
      </w:pPr>
      <w:r>
        <w:rPr>
          <w:rFonts w:hint="eastAsia" w:ascii="宋体" w:hAnsi="宋体"/>
          <w:color w:val="000000"/>
          <w:szCs w:val="21"/>
          <w:highlight w:val="none"/>
        </w:rPr>
        <w:t>（4）属于同一集团、协会、商会等组织成员的供应商按照该组织要求协同参加政府采购活动的</w:t>
      </w:r>
      <w:r>
        <w:rPr>
          <w:rFonts w:hint="eastAsia" w:ascii="宋体" w:hAnsi="宋体" w:eastAsia="宋体"/>
          <w:color w:val="000000"/>
          <w:szCs w:val="21"/>
          <w:highlight w:val="none"/>
          <w:lang w:eastAsia="zh-CN"/>
        </w:rPr>
        <w:t>。</w:t>
      </w:r>
    </w:p>
    <w:p w14:paraId="158762FC">
      <w:pPr>
        <w:keepNext w:val="0"/>
        <w:keepLines w:val="0"/>
        <w:pageBreakBefore w:val="0"/>
        <w:widowControl/>
        <w:tabs>
          <w:tab w:val="left" w:pos="840"/>
        </w:tabs>
        <w:kinsoku w:val="0"/>
        <w:wordWrap/>
        <w:overflowPunct/>
        <w:topLinePunct w:val="0"/>
        <w:autoSpaceDE w:val="0"/>
        <w:autoSpaceDN w:val="0"/>
        <w:bidi w:val="0"/>
        <w:adjustRightInd w:val="0"/>
        <w:snapToGrid w:val="0"/>
        <w:spacing w:line="400" w:lineRule="exact"/>
        <w:ind w:left="330" w:leftChars="157" w:firstLine="105" w:firstLineChars="50"/>
        <w:textAlignment w:val="baseline"/>
        <w:outlineLvl w:val="9"/>
        <w:rPr>
          <w:rFonts w:hint="eastAsia" w:ascii="宋体" w:hAnsi="宋体"/>
          <w:color w:val="000000"/>
          <w:szCs w:val="21"/>
          <w:highlight w:val="none"/>
        </w:rPr>
      </w:pPr>
      <w:r>
        <w:rPr>
          <w:rFonts w:hint="eastAsia" w:ascii="宋体" w:hAnsi="宋体"/>
          <w:color w:val="000000"/>
          <w:szCs w:val="21"/>
          <w:highlight w:val="none"/>
        </w:rPr>
        <w:t>（5）供应商之间事先约定一致抬高或者压低投标报价，或者在招标项目中事先约定轮流以高价位或者低价位中标，或者事先约定由某一特定供应商中标，然后再参加投标的；</w:t>
      </w:r>
    </w:p>
    <w:p w14:paraId="64B51D7F">
      <w:pPr>
        <w:tabs>
          <w:tab w:val="left" w:pos="840"/>
        </w:tabs>
        <w:snapToGrid w:val="0"/>
        <w:spacing w:line="380" w:lineRule="exact"/>
        <w:ind w:left="330" w:leftChars="157" w:firstLine="105" w:firstLineChars="50"/>
        <w:outlineLvl w:val="9"/>
        <w:rPr>
          <w:rFonts w:hint="eastAsia" w:ascii="宋体" w:hAnsi="宋体"/>
          <w:color w:val="000000"/>
          <w:szCs w:val="21"/>
          <w:highlight w:val="none"/>
        </w:rPr>
      </w:pPr>
      <w:r>
        <w:rPr>
          <w:rFonts w:hint="eastAsia" w:ascii="宋体" w:hAnsi="宋体"/>
          <w:color w:val="000000"/>
          <w:szCs w:val="21"/>
          <w:highlight w:val="none"/>
        </w:rPr>
        <w:t>（6）供应商之间商定部分供应商放弃参加政府采购活动或者放弃中标的；</w:t>
      </w:r>
    </w:p>
    <w:p w14:paraId="0584ACC9">
      <w:pPr>
        <w:tabs>
          <w:tab w:val="left" w:pos="840"/>
        </w:tabs>
        <w:snapToGrid w:val="0"/>
        <w:spacing w:line="380" w:lineRule="exact"/>
        <w:ind w:left="330" w:leftChars="157" w:firstLine="105" w:firstLineChars="50"/>
        <w:outlineLvl w:val="9"/>
        <w:rPr>
          <w:rFonts w:hint="eastAsia" w:ascii="宋体" w:hAnsi="宋体"/>
          <w:color w:val="000000"/>
          <w:szCs w:val="21"/>
          <w:highlight w:val="none"/>
        </w:rPr>
      </w:pPr>
      <w:r>
        <w:rPr>
          <w:rFonts w:hint="eastAsia" w:ascii="宋体" w:hAnsi="宋体"/>
          <w:color w:val="000000"/>
          <w:szCs w:val="21"/>
          <w:highlight w:val="none"/>
        </w:rPr>
        <w:t>（7）供应商与采购人或者采购代理机构之间、供应商相互之间，为谋求特定供应商中标或者排斥其他供应商的其他串通行为的。</w:t>
      </w:r>
    </w:p>
    <w:p w14:paraId="517367B7">
      <w:pPr>
        <w:pStyle w:val="6"/>
        <w:spacing w:before="115" w:line="228" w:lineRule="auto"/>
        <w:ind w:left="412"/>
        <w:outlineLvl w:val="9"/>
        <w:rPr>
          <w:sz w:val="21"/>
          <w:szCs w:val="21"/>
        </w:rPr>
      </w:pPr>
      <w:r>
        <w:rPr>
          <w:b/>
          <w:bCs/>
          <w:spacing w:val="6"/>
          <w:sz w:val="21"/>
          <w:szCs w:val="21"/>
        </w:rPr>
        <w:t>29.属于下列情形之一的，应予废标：</w:t>
      </w:r>
    </w:p>
    <w:p w14:paraId="00B1484A">
      <w:pPr>
        <w:keepNext w:val="0"/>
        <w:keepLines w:val="0"/>
        <w:pageBreakBefore w:val="0"/>
        <w:widowControl/>
        <w:tabs>
          <w:tab w:val="left" w:pos="840"/>
        </w:tabs>
        <w:kinsoku w:val="0"/>
        <w:wordWrap/>
        <w:overflowPunct/>
        <w:topLinePunct w:val="0"/>
        <w:autoSpaceDE w:val="0"/>
        <w:autoSpaceDN w:val="0"/>
        <w:bidi w:val="0"/>
        <w:adjustRightInd w:val="0"/>
        <w:snapToGrid w:val="0"/>
        <w:spacing w:line="400" w:lineRule="exact"/>
        <w:ind w:left="330" w:leftChars="157" w:firstLine="102" w:firstLineChars="49"/>
        <w:textAlignment w:val="baseline"/>
        <w:outlineLvl w:val="9"/>
        <w:rPr>
          <w:rFonts w:hint="eastAsia" w:ascii="宋体" w:hAnsi="宋体"/>
          <w:color w:val="000000"/>
          <w:szCs w:val="21"/>
          <w:highlight w:val="none"/>
        </w:rPr>
      </w:pPr>
      <w:r>
        <w:rPr>
          <w:rFonts w:hint="eastAsia" w:ascii="宋体" w:hAnsi="宋体"/>
          <w:color w:val="000000"/>
          <w:szCs w:val="21"/>
          <w:highlight w:val="none"/>
        </w:rPr>
        <w:t>（1）符合专业条件的供应商或者对招标文件作实质响应的供应商不足3家的；</w:t>
      </w:r>
    </w:p>
    <w:p w14:paraId="21E45EB4">
      <w:pPr>
        <w:tabs>
          <w:tab w:val="left" w:pos="840"/>
        </w:tabs>
        <w:snapToGrid w:val="0"/>
        <w:spacing w:line="380" w:lineRule="exact"/>
        <w:ind w:left="330" w:leftChars="157" w:firstLine="105" w:firstLineChars="50"/>
        <w:outlineLvl w:val="9"/>
        <w:rPr>
          <w:rFonts w:hint="eastAsia" w:ascii="宋体" w:hAnsi="宋体"/>
          <w:color w:val="000000"/>
          <w:szCs w:val="21"/>
          <w:highlight w:val="none"/>
        </w:rPr>
      </w:pPr>
      <w:r>
        <w:rPr>
          <w:rFonts w:hint="eastAsia" w:ascii="宋体" w:hAnsi="宋体"/>
          <w:color w:val="000000"/>
          <w:szCs w:val="21"/>
          <w:highlight w:val="none"/>
        </w:rPr>
        <w:t>（2）出现影响采购公正的违法、违规行为的；</w:t>
      </w:r>
    </w:p>
    <w:p w14:paraId="4B2D00D8">
      <w:pPr>
        <w:tabs>
          <w:tab w:val="left" w:pos="840"/>
        </w:tabs>
        <w:snapToGrid w:val="0"/>
        <w:spacing w:line="380" w:lineRule="exact"/>
        <w:ind w:left="330" w:leftChars="157" w:firstLine="105" w:firstLineChars="50"/>
        <w:outlineLvl w:val="9"/>
        <w:rPr>
          <w:rFonts w:hint="eastAsia" w:ascii="宋体" w:hAnsi="宋体"/>
          <w:color w:val="000000"/>
          <w:highlight w:val="none"/>
        </w:rPr>
      </w:pPr>
      <w:r>
        <w:rPr>
          <w:rFonts w:hint="eastAsia" w:ascii="宋体" w:hAnsi="宋体"/>
          <w:color w:val="000000"/>
          <w:highlight w:val="none"/>
        </w:rPr>
        <w:t>（3）采购文件内容违反国家有关强制性规定的；</w:t>
      </w:r>
    </w:p>
    <w:p w14:paraId="1D20D2FE">
      <w:pPr>
        <w:tabs>
          <w:tab w:val="left" w:pos="840"/>
        </w:tabs>
        <w:snapToGrid w:val="0"/>
        <w:spacing w:line="360" w:lineRule="exact"/>
        <w:ind w:left="330" w:leftChars="157" w:firstLine="105" w:firstLineChars="50"/>
        <w:outlineLvl w:val="9"/>
        <w:rPr>
          <w:rFonts w:hint="eastAsia" w:ascii="宋体" w:hAnsi="宋体"/>
          <w:color w:val="000000"/>
          <w:highlight w:val="none"/>
        </w:rPr>
      </w:pPr>
      <w:r>
        <w:rPr>
          <w:rFonts w:hint="eastAsia" w:ascii="宋体" w:hAnsi="宋体"/>
          <w:color w:val="000000"/>
          <w:highlight w:val="none"/>
        </w:rPr>
        <w:t>（4）因重大变故，采购任务取消的。</w:t>
      </w:r>
    </w:p>
    <w:p w14:paraId="1AD9E1D8">
      <w:pPr>
        <w:pStyle w:val="6"/>
        <w:spacing w:before="115" w:line="228" w:lineRule="auto"/>
        <w:ind w:left="414"/>
        <w:outlineLvl w:val="9"/>
        <w:rPr>
          <w:sz w:val="21"/>
          <w:szCs w:val="21"/>
        </w:rPr>
      </w:pPr>
      <w:r>
        <w:rPr>
          <w:b/>
          <w:bCs/>
          <w:spacing w:val="6"/>
          <w:sz w:val="21"/>
          <w:szCs w:val="21"/>
        </w:rPr>
        <w:t>30.开标、评标过程的监控</w:t>
      </w:r>
    </w:p>
    <w:p w14:paraId="23DDABB1">
      <w:pPr>
        <w:pStyle w:val="9"/>
        <w:keepNext w:val="0"/>
        <w:keepLines w:val="0"/>
        <w:pageBreakBefore w:val="0"/>
        <w:widowControl/>
        <w:kinsoku w:val="0"/>
        <w:wordWrap/>
        <w:overflowPunct/>
        <w:topLinePunct w:val="0"/>
        <w:autoSpaceDE w:val="0"/>
        <w:autoSpaceDN w:val="0"/>
        <w:bidi w:val="0"/>
        <w:adjustRightInd w:val="0"/>
        <w:snapToGrid w:val="0"/>
        <w:spacing w:line="400" w:lineRule="exact"/>
        <w:ind w:firstLine="411" w:firstLineChars="196"/>
        <w:textAlignment w:val="baseline"/>
        <w:outlineLvl w:val="9"/>
        <w:rPr>
          <w:sz w:val="21"/>
          <w:szCs w:val="21"/>
        </w:rPr>
      </w:pPr>
      <w:r>
        <w:rPr>
          <w:rFonts w:hint="eastAsia" w:hAnsi="宋体"/>
          <w:color w:val="000000"/>
          <w:highlight w:val="none"/>
        </w:rPr>
        <w:t>本项目开标、评标过程实行全程录音、录像监控，投标人在评标过程中所进行的试图影响评标结果的不公正活动，可能导致其投标被拒绝。</w:t>
      </w:r>
    </w:p>
    <w:p w14:paraId="505644B1">
      <w:pPr>
        <w:pStyle w:val="9"/>
        <w:spacing w:line="360" w:lineRule="exact"/>
        <w:ind w:firstLine="412" w:firstLineChars="196"/>
        <w:outlineLvl w:val="9"/>
        <w:rPr>
          <w:rFonts w:hint="eastAsia" w:hAnsi="宋体"/>
          <w:b/>
          <w:color w:val="000000"/>
          <w:highlight w:val="none"/>
        </w:rPr>
      </w:pPr>
      <w:r>
        <w:rPr>
          <w:rFonts w:hint="eastAsia" w:hAnsi="宋体"/>
          <w:b/>
          <w:color w:val="000000"/>
          <w:highlight w:val="none"/>
        </w:rPr>
        <w:t>3</w:t>
      </w:r>
      <w:r>
        <w:rPr>
          <w:rFonts w:hint="eastAsia" w:hAnsi="宋体"/>
          <w:b/>
          <w:color w:val="000000"/>
          <w:highlight w:val="none"/>
          <w:lang w:val="en-US" w:eastAsia="zh-CN"/>
        </w:rPr>
        <w:t>1.</w:t>
      </w:r>
      <w:r>
        <w:rPr>
          <w:rFonts w:hint="eastAsia" w:hAnsi="宋体"/>
          <w:b/>
          <w:color w:val="000000"/>
          <w:highlight w:val="none"/>
        </w:rPr>
        <w:t>信用查询</w:t>
      </w:r>
    </w:p>
    <w:p w14:paraId="38F284DE">
      <w:pPr>
        <w:pStyle w:val="9"/>
        <w:spacing w:line="360" w:lineRule="exact"/>
        <w:ind w:firstLine="411" w:firstLineChars="196"/>
        <w:outlineLvl w:val="9"/>
        <w:rPr>
          <w:rFonts w:hint="eastAsia" w:hAnsi="宋体"/>
          <w:color w:val="000000"/>
          <w:highlight w:val="none"/>
        </w:rPr>
      </w:pPr>
      <w:r>
        <w:rPr>
          <w:rFonts w:hint="eastAsia" w:hAnsi="宋体"/>
          <w:color w:val="000000"/>
          <w:highlight w:val="none"/>
        </w:rPr>
        <w:t>根据《关于做好政府采购有关信用主体标识码登记及在政府采购活动中查询使用信用记录有关问题的通知》桂财采〔2016〕37号的通知，中标通知书发出前，由采购代理机构对中标人进行信用查询：</w:t>
      </w:r>
    </w:p>
    <w:p w14:paraId="1C4C528F">
      <w:pPr>
        <w:pStyle w:val="9"/>
        <w:spacing w:line="360" w:lineRule="exact"/>
        <w:ind w:firstLine="411" w:firstLineChars="196"/>
        <w:outlineLvl w:val="9"/>
        <w:rPr>
          <w:rFonts w:hAnsi="宋体"/>
          <w:color w:val="000000"/>
          <w:highlight w:val="none"/>
        </w:rPr>
      </w:pPr>
      <w:r>
        <w:rPr>
          <w:rFonts w:hint="eastAsia" w:hAnsi="宋体"/>
          <w:color w:val="000000"/>
          <w:highlight w:val="none"/>
        </w:rPr>
        <w:t>⑴查询渠道：“信用中国”网站(www</w:t>
      </w:r>
      <w:r>
        <w:rPr>
          <w:rFonts w:hint="eastAsia" w:hAnsi="宋体"/>
          <w:color w:val="000000"/>
          <w:highlight w:val="none"/>
          <w:lang w:val="en-US" w:eastAsia="zh-CN"/>
        </w:rPr>
        <w:t>.</w:t>
      </w:r>
      <w:r>
        <w:rPr>
          <w:rFonts w:hint="eastAsia" w:hAnsi="宋体"/>
          <w:color w:val="000000"/>
          <w:highlight w:val="none"/>
        </w:rPr>
        <w:t>creditchina</w:t>
      </w:r>
      <w:r>
        <w:rPr>
          <w:rFonts w:hint="eastAsia" w:hAnsi="宋体"/>
          <w:color w:val="000000"/>
          <w:highlight w:val="none"/>
          <w:lang w:val="en-US" w:eastAsia="zh-CN"/>
        </w:rPr>
        <w:t>.</w:t>
      </w:r>
      <w:r>
        <w:rPr>
          <w:rFonts w:hint="eastAsia" w:hAnsi="宋体"/>
          <w:color w:val="000000"/>
          <w:highlight w:val="none"/>
        </w:rPr>
        <w:t>gov</w:t>
      </w:r>
      <w:r>
        <w:rPr>
          <w:rFonts w:hint="eastAsia" w:hAnsi="宋体"/>
          <w:color w:val="000000"/>
          <w:highlight w:val="none"/>
          <w:lang w:val="en-US" w:eastAsia="zh-CN"/>
        </w:rPr>
        <w:t>.</w:t>
      </w:r>
      <w:r>
        <w:rPr>
          <w:rFonts w:hint="eastAsia" w:hAnsi="宋体"/>
          <w:color w:val="000000"/>
          <w:highlight w:val="none"/>
        </w:rPr>
        <w:t>cn)、中国政府采购网(www</w:t>
      </w:r>
      <w:r>
        <w:rPr>
          <w:rFonts w:hint="eastAsia" w:hAnsi="宋体"/>
          <w:color w:val="000000"/>
          <w:highlight w:val="none"/>
          <w:lang w:val="en-US" w:eastAsia="zh-CN"/>
        </w:rPr>
        <w:t>.</w:t>
      </w:r>
      <w:r>
        <w:rPr>
          <w:rFonts w:hint="eastAsia" w:hAnsi="宋体"/>
          <w:color w:val="000000"/>
          <w:highlight w:val="none"/>
        </w:rPr>
        <w:t>ccgp</w:t>
      </w:r>
      <w:r>
        <w:rPr>
          <w:rFonts w:hint="eastAsia" w:hAnsi="宋体"/>
          <w:color w:val="000000"/>
          <w:highlight w:val="none"/>
          <w:lang w:val="en-US" w:eastAsia="zh-CN"/>
        </w:rPr>
        <w:t>.</w:t>
      </w:r>
      <w:r>
        <w:rPr>
          <w:rFonts w:hint="eastAsia" w:hAnsi="宋体"/>
          <w:color w:val="000000"/>
          <w:highlight w:val="none"/>
        </w:rPr>
        <w:t>gov</w:t>
      </w:r>
      <w:r>
        <w:rPr>
          <w:rFonts w:hint="eastAsia" w:hAnsi="宋体"/>
          <w:color w:val="000000"/>
          <w:highlight w:val="none"/>
          <w:lang w:val="en-US" w:eastAsia="zh-CN"/>
        </w:rPr>
        <w:t>.</w:t>
      </w:r>
      <w:r>
        <w:rPr>
          <w:rFonts w:hint="eastAsia" w:hAnsi="宋体"/>
          <w:color w:val="000000"/>
          <w:highlight w:val="none"/>
        </w:rPr>
        <w:t>cn)等；</w:t>
      </w:r>
    </w:p>
    <w:p w14:paraId="7C6AABE4">
      <w:pPr>
        <w:pStyle w:val="9"/>
        <w:spacing w:line="360" w:lineRule="exact"/>
        <w:ind w:firstLine="411" w:firstLineChars="196"/>
        <w:outlineLvl w:val="9"/>
        <w:rPr>
          <w:rFonts w:hAnsi="宋体"/>
          <w:color w:val="000000"/>
          <w:highlight w:val="none"/>
        </w:rPr>
      </w:pPr>
      <w:r>
        <w:rPr>
          <w:rFonts w:hint="eastAsia" w:hAnsi="宋体"/>
          <w:color w:val="000000"/>
          <w:highlight w:val="none"/>
        </w:rPr>
        <w:t>⑵查询截止时间：中标通知书发出前；</w:t>
      </w:r>
    </w:p>
    <w:p w14:paraId="48B7030F">
      <w:pPr>
        <w:pStyle w:val="9"/>
        <w:spacing w:line="360" w:lineRule="exact"/>
        <w:ind w:firstLine="411" w:firstLineChars="196"/>
        <w:outlineLvl w:val="9"/>
        <w:rPr>
          <w:rFonts w:hAnsi="宋体"/>
          <w:color w:val="000000"/>
          <w:highlight w:val="none"/>
        </w:rPr>
      </w:pPr>
      <w:r>
        <w:rPr>
          <w:rFonts w:hint="eastAsia" w:hAnsi="宋体"/>
          <w:color w:val="000000"/>
          <w:highlight w:val="none"/>
        </w:rPr>
        <w:t>⑶信用信息查询记录和证据留存方式：在查询网站中直接打印查询记录，打印材料作为采购活动资料保存；</w:t>
      </w:r>
    </w:p>
    <w:p w14:paraId="546F7AD8">
      <w:pPr>
        <w:pStyle w:val="9"/>
        <w:spacing w:line="360" w:lineRule="exact"/>
        <w:ind w:firstLine="411" w:firstLineChars="196"/>
        <w:outlineLvl w:val="9"/>
        <w:rPr>
          <w:rFonts w:hAnsi="宋体"/>
          <w:color w:val="000000"/>
          <w:highlight w:val="none"/>
        </w:rPr>
      </w:pPr>
      <w:r>
        <w:rPr>
          <w:rFonts w:hint="eastAsia" w:hAnsi="宋体"/>
          <w:color w:val="000000"/>
          <w:highlight w:val="none"/>
        </w:rPr>
        <w:t>⑷信用信息使用规则：对在“信用中国”网站(www</w:t>
      </w:r>
      <w:r>
        <w:rPr>
          <w:rFonts w:hint="eastAsia" w:hAnsi="宋体"/>
          <w:color w:val="000000"/>
          <w:highlight w:val="none"/>
          <w:lang w:val="en-US" w:eastAsia="zh-CN"/>
        </w:rPr>
        <w:t>.c</w:t>
      </w:r>
      <w:r>
        <w:rPr>
          <w:rFonts w:hint="eastAsia" w:hAnsi="宋体"/>
          <w:color w:val="000000"/>
          <w:highlight w:val="none"/>
        </w:rPr>
        <w:t>reditchina</w:t>
      </w:r>
      <w:r>
        <w:rPr>
          <w:rFonts w:hint="eastAsia" w:hAnsi="宋体"/>
          <w:color w:val="000000"/>
          <w:highlight w:val="none"/>
          <w:lang w:val="en-US" w:eastAsia="zh-CN"/>
        </w:rPr>
        <w:t>.</w:t>
      </w:r>
      <w:r>
        <w:rPr>
          <w:rFonts w:hint="eastAsia" w:hAnsi="宋体"/>
          <w:color w:val="000000"/>
          <w:highlight w:val="none"/>
        </w:rPr>
        <w:t>gov</w:t>
      </w:r>
      <w:r>
        <w:rPr>
          <w:rFonts w:hint="eastAsia" w:hAnsi="宋体"/>
          <w:color w:val="000000"/>
          <w:highlight w:val="none"/>
          <w:lang w:val="en-US" w:eastAsia="zh-CN"/>
        </w:rPr>
        <w:t>.</w:t>
      </w:r>
      <w:r>
        <w:rPr>
          <w:rFonts w:hint="eastAsia" w:hAnsi="宋体"/>
          <w:color w:val="000000"/>
          <w:highlight w:val="none"/>
        </w:rPr>
        <w:t>cn)、中国政府采购网(www</w:t>
      </w:r>
      <w:r>
        <w:rPr>
          <w:rFonts w:hint="eastAsia" w:hAnsi="宋体"/>
          <w:color w:val="000000"/>
          <w:highlight w:val="none"/>
          <w:lang w:val="en-US" w:eastAsia="zh-CN"/>
        </w:rPr>
        <w:t>.c</w:t>
      </w:r>
      <w:r>
        <w:rPr>
          <w:rFonts w:hint="eastAsia" w:hAnsi="宋体"/>
          <w:color w:val="000000"/>
          <w:highlight w:val="none"/>
        </w:rPr>
        <w:t>cgp</w:t>
      </w:r>
      <w:r>
        <w:rPr>
          <w:rFonts w:hint="eastAsia" w:hAnsi="宋体"/>
          <w:color w:val="000000"/>
          <w:highlight w:val="none"/>
          <w:lang w:val="en-US" w:eastAsia="zh-CN"/>
        </w:rPr>
        <w:t>.</w:t>
      </w:r>
      <w:r>
        <w:rPr>
          <w:rFonts w:hint="eastAsia" w:hAnsi="宋体"/>
          <w:color w:val="000000"/>
          <w:highlight w:val="none"/>
        </w:rPr>
        <w:t>gov</w:t>
      </w:r>
      <w:r>
        <w:rPr>
          <w:rFonts w:hint="eastAsia" w:hAnsi="宋体"/>
          <w:color w:val="000000"/>
          <w:highlight w:val="none"/>
          <w:lang w:val="en-US" w:eastAsia="zh-CN"/>
        </w:rPr>
        <w:t>.</w:t>
      </w:r>
      <w:r>
        <w:rPr>
          <w:rFonts w:hint="eastAsia" w:hAnsi="宋体"/>
          <w:color w:val="000000"/>
          <w:highlight w:val="none"/>
        </w:rPr>
        <w:t>cn)等渠道列入失信被执行人、</w:t>
      </w:r>
      <w:r>
        <w:rPr>
          <w:rFonts w:hint="eastAsia" w:hAnsi="宋体"/>
          <w:color w:val="000000"/>
          <w:highlight w:val="none"/>
          <w:lang w:eastAsia="zh-CN"/>
        </w:rPr>
        <w:t>重大税收违法失信主体</w:t>
      </w:r>
      <w:r>
        <w:rPr>
          <w:rFonts w:hint="eastAsia" w:hAnsi="宋体"/>
          <w:color w:val="000000"/>
          <w:highlight w:val="none"/>
        </w:rPr>
        <w:t>、政府采购严重违法失信行为记录名单及其他不符合《中华人民共和国政府采购法》第二十二条规定条件的供应商，取消其中标候选供应商资格。</w:t>
      </w:r>
    </w:p>
    <w:p w14:paraId="6C70FAC3">
      <w:pPr>
        <w:spacing w:line="227" w:lineRule="auto"/>
        <w:outlineLvl w:val="9"/>
        <w:rPr>
          <w:sz w:val="21"/>
          <w:szCs w:val="21"/>
        </w:rPr>
      </w:pPr>
    </w:p>
    <w:p w14:paraId="09BBB825">
      <w:pPr>
        <w:pStyle w:val="6"/>
        <w:spacing w:before="32" w:line="226" w:lineRule="auto"/>
        <w:ind w:left="416"/>
        <w:outlineLvl w:val="9"/>
        <w:rPr>
          <w:rFonts w:hint="eastAsia" w:ascii="宋体" w:hAnsi="宋体" w:eastAsia="Arial" w:cs="Arial"/>
          <w:b/>
          <w:bCs/>
          <w:snapToGrid w:val="0"/>
          <w:color w:val="000000"/>
          <w:kern w:val="0"/>
          <w:sz w:val="21"/>
          <w:szCs w:val="20"/>
          <w:highlight w:val="none"/>
          <w:lang w:val="en-US" w:eastAsia="en-US" w:bidi="ar-SA"/>
        </w:rPr>
      </w:pPr>
      <w:r>
        <w:rPr>
          <w:rFonts w:hint="eastAsia" w:ascii="宋体" w:hAnsi="宋体" w:eastAsia="Arial" w:cs="Arial"/>
          <w:b/>
          <w:bCs/>
          <w:snapToGrid w:val="0"/>
          <w:color w:val="000000"/>
          <w:kern w:val="0"/>
          <w:sz w:val="21"/>
          <w:szCs w:val="20"/>
          <w:highlight w:val="none"/>
          <w:lang w:val="en-US" w:eastAsia="en-US" w:bidi="ar-SA"/>
        </w:rPr>
        <w:t>32.中标公告及中标通知书</w:t>
      </w:r>
    </w:p>
    <w:p w14:paraId="7405528F">
      <w:pPr>
        <w:pStyle w:val="6"/>
        <w:keepNext w:val="0"/>
        <w:keepLines w:val="0"/>
        <w:pageBreakBefore w:val="0"/>
        <w:widowControl/>
        <w:kinsoku w:val="0"/>
        <w:wordWrap/>
        <w:overflowPunct/>
        <w:topLinePunct w:val="0"/>
        <w:autoSpaceDE w:val="0"/>
        <w:autoSpaceDN w:val="0"/>
        <w:bidi w:val="0"/>
        <w:adjustRightInd w:val="0"/>
        <w:snapToGrid w:val="0"/>
        <w:spacing w:before="79" w:line="360" w:lineRule="auto"/>
        <w:ind w:right="68" w:firstLine="425"/>
        <w:jc w:val="both"/>
        <w:textAlignment w:val="baseline"/>
        <w:outlineLvl w:val="9"/>
        <w:rPr>
          <w:rFonts w:hint="eastAsia" w:ascii="宋体" w:hAnsi="宋体" w:eastAsia="Arial" w:cs="Arial"/>
          <w:snapToGrid w:val="0"/>
          <w:color w:val="000000"/>
          <w:kern w:val="0"/>
          <w:sz w:val="21"/>
          <w:szCs w:val="20"/>
          <w:highlight w:val="none"/>
          <w:lang w:val="en-US" w:eastAsia="en-US" w:bidi="ar-SA"/>
        </w:rPr>
      </w:pPr>
      <w:r>
        <w:rPr>
          <w:rFonts w:hint="eastAsia" w:ascii="宋体" w:hAnsi="宋体" w:eastAsia="Arial" w:cs="Arial"/>
          <w:snapToGrid w:val="0"/>
          <w:color w:val="000000"/>
          <w:kern w:val="0"/>
          <w:sz w:val="21"/>
          <w:szCs w:val="20"/>
          <w:highlight w:val="none"/>
          <w:lang w:val="en-US" w:eastAsia="en-US" w:bidi="ar-SA"/>
        </w:rPr>
        <w:t>32.1采购代理机构于评标结束后两个工作日内将评标报告送交采购人，采购人应当自收到评标报告五个工作日内在评标报告推荐的中标候选供应商中按顺序确定中标供应商；采购人在收到评标报告五个工作日内未按评标报告推荐的中标候选人顺序确定中标人，又不能说明合法理由的，视同按评标报告推荐的顺序确定排名第一的中标候选人为中标人。采购代理机构在中标供应商确定之日起两个工作日内在指定媒体上公告中标结果，中标公告期限为1个工作日。</w:t>
      </w:r>
    </w:p>
    <w:p w14:paraId="1885C34A">
      <w:pPr>
        <w:pStyle w:val="6"/>
        <w:keepNext w:val="0"/>
        <w:keepLines w:val="0"/>
        <w:pageBreakBefore w:val="0"/>
        <w:widowControl/>
        <w:kinsoku w:val="0"/>
        <w:wordWrap/>
        <w:overflowPunct/>
        <w:topLinePunct w:val="0"/>
        <w:autoSpaceDE w:val="0"/>
        <w:autoSpaceDN w:val="0"/>
        <w:bidi w:val="0"/>
        <w:adjustRightInd w:val="0"/>
        <w:snapToGrid w:val="0"/>
        <w:spacing w:before="73" w:line="360" w:lineRule="auto"/>
        <w:ind w:left="2" w:right="70" w:firstLine="423"/>
        <w:textAlignment w:val="baseline"/>
        <w:outlineLvl w:val="9"/>
        <w:rPr>
          <w:rFonts w:hint="eastAsia" w:ascii="宋体" w:hAnsi="宋体" w:eastAsia="Arial" w:cs="Arial"/>
          <w:snapToGrid w:val="0"/>
          <w:color w:val="000000"/>
          <w:kern w:val="0"/>
          <w:sz w:val="21"/>
          <w:szCs w:val="20"/>
          <w:highlight w:val="none"/>
          <w:lang w:val="en-US" w:eastAsia="en-US" w:bidi="ar-SA"/>
        </w:rPr>
      </w:pPr>
      <w:r>
        <w:rPr>
          <w:rFonts w:hint="eastAsia" w:ascii="宋体" w:hAnsi="宋体" w:eastAsia="Arial" w:cs="Arial"/>
          <w:snapToGrid w:val="0"/>
          <w:color w:val="000000"/>
          <w:kern w:val="0"/>
          <w:sz w:val="21"/>
          <w:szCs w:val="20"/>
          <w:highlight w:val="none"/>
          <w:lang w:val="en-US" w:eastAsia="en-US" w:bidi="ar-SA"/>
        </w:rPr>
        <w:t>32.2中小企业在政府采购活动过程中，请根据自己的真实情况出具《中小企业声明函》。依法享受中小企业优惠政策的，采购人或采购代理机构在公告中标结果时，同时公告其《中小企业声明函》，接受社会监督。</w:t>
      </w:r>
    </w:p>
    <w:p w14:paraId="0890B980">
      <w:pPr>
        <w:pStyle w:val="6"/>
        <w:keepNext w:val="0"/>
        <w:keepLines w:val="0"/>
        <w:pageBreakBefore w:val="0"/>
        <w:widowControl/>
        <w:kinsoku w:val="0"/>
        <w:wordWrap/>
        <w:overflowPunct/>
        <w:topLinePunct w:val="0"/>
        <w:autoSpaceDE w:val="0"/>
        <w:autoSpaceDN w:val="0"/>
        <w:bidi w:val="0"/>
        <w:adjustRightInd w:val="0"/>
        <w:snapToGrid w:val="0"/>
        <w:spacing w:before="73" w:line="360" w:lineRule="auto"/>
        <w:ind w:left="5" w:right="70" w:firstLine="420"/>
        <w:textAlignment w:val="baseline"/>
        <w:outlineLvl w:val="9"/>
        <w:rPr>
          <w:rFonts w:hint="eastAsia" w:ascii="宋体" w:hAnsi="宋体" w:eastAsia="Arial" w:cs="Arial"/>
          <w:snapToGrid w:val="0"/>
          <w:color w:val="000000"/>
          <w:kern w:val="0"/>
          <w:sz w:val="21"/>
          <w:szCs w:val="20"/>
          <w:highlight w:val="none"/>
          <w:lang w:val="en-US" w:eastAsia="en-US" w:bidi="ar-SA"/>
        </w:rPr>
      </w:pPr>
      <w:r>
        <w:rPr>
          <w:rFonts w:hint="eastAsia" w:ascii="宋体" w:hAnsi="宋体" w:eastAsia="Arial" w:cs="Arial"/>
          <w:snapToGrid w:val="0"/>
          <w:color w:val="000000"/>
          <w:kern w:val="0"/>
          <w:sz w:val="21"/>
          <w:szCs w:val="20"/>
          <w:highlight w:val="none"/>
          <w:lang w:val="en-US" w:eastAsia="en-US" w:bidi="ar-SA"/>
        </w:rPr>
        <w:t>32.3</w:t>
      </w:r>
      <w:r>
        <w:rPr>
          <w:rFonts w:hint="default" w:asciiTheme="minorEastAsia" w:hAnsiTheme="minorEastAsia" w:eastAsiaTheme="minorEastAsia" w:cstheme="minorEastAsia"/>
          <w:spacing w:val="12"/>
          <w:sz w:val="21"/>
          <w:szCs w:val="21"/>
        </w:rPr>
        <w:t>中标公告发布同时，采购代理机构通过政采云平台在线向中标人发出中标通知书，中标人应自行关注政采云平台信息，确保及时查收中标通知书</w:t>
      </w:r>
      <w:r>
        <w:rPr>
          <w:rFonts w:hint="eastAsia" w:asciiTheme="minorEastAsia" w:hAnsiTheme="minorEastAsia" w:eastAsiaTheme="minorEastAsia" w:cstheme="minorEastAsia"/>
          <w:spacing w:val="12"/>
          <w:sz w:val="21"/>
          <w:szCs w:val="21"/>
        </w:rPr>
        <w:t>。</w:t>
      </w:r>
    </w:p>
    <w:p w14:paraId="6E102A6D">
      <w:pPr>
        <w:pStyle w:val="6"/>
        <w:keepNext w:val="0"/>
        <w:keepLines w:val="0"/>
        <w:pageBreakBefore w:val="0"/>
        <w:widowControl/>
        <w:kinsoku w:val="0"/>
        <w:wordWrap/>
        <w:overflowPunct/>
        <w:topLinePunct w:val="0"/>
        <w:autoSpaceDE w:val="0"/>
        <w:autoSpaceDN w:val="0"/>
        <w:bidi w:val="0"/>
        <w:adjustRightInd w:val="0"/>
        <w:snapToGrid w:val="0"/>
        <w:spacing w:before="92" w:line="360" w:lineRule="auto"/>
        <w:ind w:left="3060"/>
        <w:textAlignment w:val="baseline"/>
        <w:rPr>
          <w:sz w:val="28"/>
          <w:szCs w:val="28"/>
        </w:rPr>
      </w:pPr>
      <w:r>
        <w:rPr>
          <w:b/>
          <w:bCs/>
          <w:spacing w:val="-3"/>
          <w:sz w:val="28"/>
          <w:szCs w:val="28"/>
        </w:rPr>
        <w:t>七、履约保证金及签订合同</w:t>
      </w:r>
    </w:p>
    <w:p w14:paraId="5C609251">
      <w:pPr>
        <w:pStyle w:val="6"/>
        <w:spacing w:before="73" w:line="273" w:lineRule="auto"/>
        <w:ind w:left="2" w:right="70" w:firstLine="423"/>
        <w:rPr>
          <w:rFonts w:hint="eastAsia" w:ascii="宋体" w:hAnsi="宋体" w:eastAsia="Arial" w:cs="Arial"/>
          <w:b/>
          <w:bCs/>
          <w:snapToGrid w:val="0"/>
          <w:color w:val="000000"/>
          <w:kern w:val="0"/>
          <w:sz w:val="21"/>
          <w:szCs w:val="20"/>
          <w:highlight w:val="none"/>
          <w:lang w:val="en-US" w:eastAsia="en-US" w:bidi="ar-SA"/>
        </w:rPr>
      </w:pPr>
      <w:r>
        <w:rPr>
          <w:rFonts w:hint="eastAsia" w:ascii="宋体" w:hAnsi="宋体" w:eastAsia="Arial" w:cs="Arial"/>
          <w:b/>
          <w:bCs/>
          <w:snapToGrid w:val="0"/>
          <w:color w:val="000000"/>
          <w:kern w:val="0"/>
          <w:sz w:val="21"/>
          <w:szCs w:val="20"/>
          <w:highlight w:val="none"/>
          <w:lang w:val="en-US" w:eastAsia="en-US" w:bidi="ar-SA"/>
        </w:rPr>
        <w:t>33.履约保证金</w:t>
      </w:r>
    </w:p>
    <w:p w14:paraId="424B2A6E">
      <w:pPr>
        <w:pStyle w:val="6"/>
        <w:spacing w:before="73" w:line="273" w:lineRule="auto"/>
        <w:ind w:left="2" w:right="70" w:firstLine="423"/>
        <w:rPr>
          <w:rFonts w:hint="eastAsia" w:ascii="宋体" w:hAnsi="宋体" w:eastAsia="Arial" w:cs="Arial"/>
          <w:snapToGrid w:val="0"/>
          <w:color w:val="000000"/>
          <w:kern w:val="0"/>
          <w:sz w:val="21"/>
          <w:szCs w:val="20"/>
          <w:highlight w:val="none"/>
          <w:lang w:val="en-US" w:eastAsia="en-US" w:bidi="ar-SA"/>
        </w:rPr>
      </w:pPr>
      <w:r>
        <w:rPr>
          <w:rFonts w:hint="eastAsia" w:ascii="宋体" w:hAnsi="宋体" w:eastAsia="Arial" w:cs="Arial"/>
          <w:snapToGrid w:val="0"/>
          <w:color w:val="000000"/>
          <w:kern w:val="0"/>
          <w:sz w:val="21"/>
          <w:szCs w:val="20"/>
          <w:highlight w:val="none"/>
          <w:lang w:val="en-US" w:eastAsia="en-US" w:bidi="ar-SA"/>
        </w:rPr>
        <w:t>无需缴纳履约保证金。</w:t>
      </w:r>
    </w:p>
    <w:p w14:paraId="5616CBDF">
      <w:pPr>
        <w:pStyle w:val="6"/>
        <w:keepNext w:val="0"/>
        <w:keepLines w:val="0"/>
        <w:pageBreakBefore w:val="0"/>
        <w:widowControl/>
        <w:kinsoku w:val="0"/>
        <w:wordWrap/>
        <w:overflowPunct/>
        <w:topLinePunct w:val="0"/>
        <w:autoSpaceDE w:val="0"/>
        <w:autoSpaceDN w:val="0"/>
        <w:bidi w:val="0"/>
        <w:adjustRightInd w:val="0"/>
        <w:snapToGrid w:val="0"/>
        <w:spacing w:before="73" w:line="360" w:lineRule="auto"/>
        <w:ind w:left="2" w:right="70" w:firstLine="423"/>
        <w:textAlignment w:val="baseline"/>
        <w:rPr>
          <w:rFonts w:hint="eastAsia" w:ascii="宋体" w:hAnsi="宋体" w:eastAsia="Arial" w:cs="Arial"/>
          <w:b/>
          <w:bCs/>
          <w:snapToGrid w:val="0"/>
          <w:color w:val="000000"/>
          <w:kern w:val="0"/>
          <w:sz w:val="21"/>
          <w:szCs w:val="20"/>
          <w:highlight w:val="none"/>
          <w:lang w:val="en-US" w:eastAsia="en-US" w:bidi="ar-SA"/>
        </w:rPr>
      </w:pPr>
      <w:r>
        <w:rPr>
          <w:rFonts w:hint="eastAsia" w:ascii="宋体" w:hAnsi="宋体" w:eastAsia="Arial" w:cs="Arial"/>
          <w:b/>
          <w:bCs/>
          <w:snapToGrid w:val="0"/>
          <w:color w:val="000000"/>
          <w:kern w:val="0"/>
          <w:sz w:val="21"/>
          <w:szCs w:val="20"/>
          <w:highlight w:val="none"/>
          <w:lang w:val="en-US" w:eastAsia="en-US" w:bidi="ar-SA"/>
        </w:rPr>
        <w:t>34.签订合同</w:t>
      </w:r>
    </w:p>
    <w:p w14:paraId="166F787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Arial" w:cs="Arial"/>
          <w:snapToGrid w:val="0"/>
          <w:color w:val="000000"/>
          <w:kern w:val="0"/>
          <w:sz w:val="21"/>
          <w:szCs w:val="20"/>
          <w:highlight w:val="none"/>
          <w:lang w:val="en-US" w:eastAsia="en-US" w:bidi="ar-SA"/>
        </w:rPr>
      </w:pPr>
      <w:r>
        <w:rPr>
          <w:rFonts w:hint="eastAsia" w:ascii="宋体" w:hAnsi="宋体" w:eastAsia="Arial" w:cs="Arial"/>
          <w:snapToGrid w:val="0"/>
          <w:color w:val="000000"/>
          <w:kern w:val="0"/>
          <w:sz w:val="21"/>
          <w:szCs w:val="20"/>
          <w:highlight w:val="none"/>
          <w:lang w:val="en-US" w:eastAsia="en-US" w:bidi="ar-SA"/>
        </w:rPr>
        <w:t>34.1签订合同时间：中标通知书发出之日起</w:t>
      </w:r>
      <w:r>
        <w:rPr>
          <w:rFonts w:hint="eastAsia" w:eastAsia="宋体" w:cs="Arial"/>
          <w:snapToGrid w:val="0"/>
          <w:color w:val="000000"/>
          <w:kern w:val="0"/>
          <w:sz w:val="21"/>
          <w:szCs w:val="20"/>
          <w:highlight w:val="none"/>
          <w:lang w:val="en-US" w:eastAsia="zh-CN" w:bidi="ar-SA"/>
        </w:rPr>
        <w:t>25</w:t>
      </w:r>
      <w:r>
        <w:rPr>
          <w:rFonts w:hint="eastAsia" w:ascii="宋体" w:hAnsi="宋体" w:eastAsia="Arial" w:cs="Arial"/>
          <w:snapToGrid w:val="0"/>
          <w:color w:val="000000"/>
          <w:kern w:val="0"/>
          <w:sz w:val="21"/>
          <w:szCs w:val="20"/>
          <w:highlight w:val="none"/>
          <w:lang w:val="en-US" w:eastAsia="en-US" w:bidi="ar-SA"/>
        </w:rPr>
        <w:t>日内。中标供应商领取中标通知书后，应按规定与采购人签订合同。</w:t>
      </w:r>
    </w:p>
    <w:p w14:paraId="3BDF823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Arial" w:cs="Arial"/>
          <w:snapToGrid w:val="0"/>
          <w:color w:val="000000"/>
          <w:kern w:val="0"/>
          <w:sz w:val="21"/>
          <w:szCs w:val="20"/>
          <w:highlight w:val="none"/>
          <w:lang w:val="en-US" w:eastAsia="en-US" w:bidi="ar-SA"/>
        </w:rPr>
      </w:pPr>
      <w:r>
        <w:rPr>
          <w:rFonts w:hint="eastAsia" w:ascii="宋体" w:hAnsi="宋体" w:eastAsia="Arial" w:cs="Arial"/>
          <w:snapToGrid w:val="0"/>
          <w:color w:val="000000"/>
          <w:kern w:val="0"/>
          <w:sz w:val="21"/>
          <w:szCs w:val="20"/>
          <w:highlight w:val="none"/>
          <w:lang w:val="en-US" w:eastAsia="en-US" w:bidi="ar-SA"/>
        </w:rPr>
        <w:t>34.2如中标供应商有下列情形之一，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14:paraId="745A2F9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Arial" w:cs="Arial"/>
          <w:snapToGrid w:val="0"/>
          <w:color w:val="000000"/>
          <w:kern w:val="0"/>
          <w:sz w:val="21"/>
          <w:szCs w:val="20"/>
          <w:highlight w:val="none"/>
          <w:lang w:val="en-US" w:eastAsia="en-US" w:bidi="ar-SA"/>
        </w:rPr>
      </w:pPr>
      <w:r>
        <w:rPr>
          <w:rFonts w:hint="eastAsia" w:ascii="宋体" w:hAnsi="宋体" w:eastAsia="Arial" w:cs="Arial"/>
          <w:snapToGrid w:val="0"/>
          <w:color w:val="000000"/>
          <w:kern w:val="0"/>
          <w:sz w:val="21"/>
          <w:szCs w:val="20"/>
          <w:highlight w:val="none"/>
          <w:lang w:val="en-US" w:eastAsia="en-US" w:bidi="ar-SA"/>
        </w:rPr>
        <w:t>（1）中标后不与采购人签订合同的（不可抗力除外）；</w:t>
      </w:r>
    </w:p>
    <w:p w14:paraId="45D92AE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Arial" w:cs="Arial"/>
          <w:snapToGrid w:val="0"/>
          <w:color w:val="000000"/>
          <w:kern w:val="0"/>
          <w:sz w:val="21"/>
          <w:szCs w:val="20"/>
          <w:highlight w:val="none"/>
          <w:lang w:val="en-US" w:eastAsia="en-US" w:bidi="ar-SA"/>
        </w:rPr>
      </w:pPr>
      <w:r>
        <w:rPr>
          <w:rFonts w:hint="eastAsia" w:ascii="宋体" w:hAnsi="宋体" w:eastAsia="Arial" w:cs="Arial"/>
          <w:snapToGrid w:val="0"/>
          <w:color w:val="000000"/>
          <w:kern w:val="0"/>
          <w:sz w:val="21"/>
          <w:szCs w:val="20"/>
          <w:highlight w:val="none"/>
          <w:lang w:val="en-US" w:eastAsia="en-US" w:bidi="ar-SA"/>
        </w:rPr>
        <w:t>（2）将中标项目转让给他人，或者在投标文件中未说明，且未经采购人同意，将中标项目分包给他人的；</w:t>
      </w:r>
    </w:p>
    <w:p w14:paraId="0BAD8BE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Arial" w:cs="Arial"/>
          <w:snapToGrid w:val="0"/>
          <w:color w:val="000000"/>
          <w:kern w:val="0"/>
          <w:sz w:val="21"/>
          <w:szCs w:val="20"/>
          <w:highlight w:val="none"/>
          <w:lang w:val="en-US" w:eastAsia="en-US" w:bidi="ar-SA"/>
        </w:rPr>
      </w:pPr>
      <w:r>
        <w:rPr>
          <w:rFonts w:hint="eastAsia" w:ascii="宋体" w:hAnsi="宋体" w:eastAsia="Arial" w:cs="Arial"/>
          <w:snapToGrid w:val="0"/>
          <w:color w:val="000000"/>
          <w:kern w:val="0"/>
          <w:sz w:val="21"/>
          <w:szCs w:val="20"/>
          <w:highlight w:val="none"/>
          <w:lang w:val="en-US" w:eastAsia="en-US" w:bidi="ar-SA"/>
        </w:rPr>
        <w:t>（3）拒绝履行合同义务的。</w:t>
      </w:r>
    </w:p>
    <w:p w14:paraId="055C592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Arial" w:cs="Arial"/>
          <w:snapToGrid w:val="0"/>
          <w:color w:val="000000"/>
          <w:kern w:val="0"/>
          <w:sz w:val="21"/>
          <w:szCs w:val="20"/>
          <w:highlight w:val="none"/>
          <w:lang w:val="en-US" w:eastAsia="en-US" w:bidi="ar-SA"/>
        </w:rPr>
      </w:pPr>
      <w:r>
        <w:rPr>
          <w:rFonts w:hint="eastAsia" w:ascii="宋体" w:hAnsi="宋体" w:eastAsia="Arial" w:cs="Arial"/>
          <w:snapToGrid w:val="0"/>
          <w:color w:val="000000"/>
          <w:kern w:val="0"/>
          <w:sz w:val="21"/>
          <w:szCs w:val="20"/>
          <w:highlight w:val="none"/>
          <w:lang w:val="en-US" w:eastAsia="en-US" w:bidi="ar-SA"/>
        </w:rPr>
        <w:t>34.3合同备案存档：政府采购合同双方自签订之日起1个工作日内将合同原件一份交采购代理机构，采购代理机构收到政府采购合同原件后在省级以上人民政府财政部门指定媒体上公告并存档。</w:t>
      </w:r>
    </w:p>
    <w:p w14:paraId="3C6F823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Arial" w:cs="Arial"/>
          <w:snapToGrid w:val="0"/>
          <w:color w:val="000000"/>
          <w:kern w:val="0"/>
          <w:sz w:val="21"/>
          <w:szCs w:val="20"/>
          <w:highlight w:val="none"/>
          <w:lang w:val="en-US" w:eastAsia="en-US" w:bidi="ar-SA"/>
        </w:rPr>
      </w:pPr>
      <w:r>
        <w:rPr>
          <w:rFonts w:hint="eastAsia" w:ascii="宋体" w:hAnsi="宋体" w:eastAsia="Arial" w:cs="Arial"/>
          <w:snapToGrid w:val="0"/>
          <w:color w:val="000000"/>
          <w:kern w:val="0"/>
          <w:sz w:val="21"/>
          <w:szCs w:val="20"/>
          <w:highlight w:val="none"/>
          <w:lang w:val="en-US" w:eastAsia="en-US" w:bidi="ar-SA"/>
        </w:rPr>
        <w:t>34.4验收证明存档：项目验收合格后，采购人应妥善保存验收证明。</w:t>
      </w:r>
    </w:p>
    <w:p w14:paraId="087B1C16">
      <w:pPr>
        <w:pStyle w:val="6"/>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textAlignment w:val="baseline"/>
        <w:rPr>
          <w:rFonts w:hint="eastAsia" w:ascii="宋体" w:hAnsi="宋体" w:eastAsia="Arial" w:cs="Arial"/>
          <w:snapToGrid w:val="0"/>
          <w:color w:val="000000"/>
          <w:kern w:val="0"/>
          <w:sz w:val="21"/>
          <w:szCs w:val="20"/>
          <w:highlight w:val="none"/>
          <w:lang w:val="en-US" w:eastAsia="en-US" w:bidi="ar-SA"/>
        </w:rPr>
      </w:pPr>
    </w:p>
    <w:p w14:paraId="095E2C1D">
      <w:pPr>
        <w:spacing w:line="227" w:lineRule="auto"/>
        <w:rPr>
          <w:sz w:val="21"/>
          <w:szCs w:val="21"/>
        </w:rPr>
        <w:sectPr>
          <w:footerReference r:id="rId7" w:type="default"/>
          <w:pgSz w:w="11906" w:h="16839"/>
          <w:pgMar w:top="1431" w:right="1349" w:bottom="1355" w:left="1426" w:header="0" w:footer="1193" w:gutter="0"/>
          <w:pgNumType w:fmt="decimal"/>
          <w:cols w:space="720" w:num="1"/>
        </w:sectPr>
      </w:pPr>
    </w:p>
    <w:p w14:paraId="089DF3D6">
      <w:pPr>
        <w:rPr>
          <w:rFonts w:ascii="Arial"/>
          <w:sz w:val="21"/>
        </w:rPr>
      </w:pPr>
    </w:p>
    <w:p w14:paraId="00B73753">
      <w:pPr>
        <w:pStyle w:val="6"/>
        <w:spacing w:before="55" w:line="221" w:lineRule="auto"/>
        <w:ind w:left="3700"/>
        <w:rPr>
          <w:sz w:val="28"/>
          <w:szCs w:val="28"/>
        </w:rPr>
      </w:pPr>
      <w:r>
        <w:rPr>
          <w:b/>
          <w:bCs/>
          <w:spacing w:val="-5"/>
          <w:sz w:val="28"/>
          <w:szCs w:val="28"/>
        </w:rPr>
        <w:t>八、其他事项</w:t>
      </w:r>
    </w:p>
    <w:p w14:paraId="1C0A076C">
      <w:pPr>
        <w:pStyle w:val="6"/>
        <w:spacing w:before="84" w:line="228" w:lineRule="auto"/>
        <w:ind w:left="423"/>
        <w:rPr>
          <w:sz w:val="21"/>
          <w:szCs w:val="21"/>
        </w:rPr>
      </w:pPr>
      <w:r>
        <w:rPr>
          <w:b/>
          <w:bCs/>
          <w:spacing w:val="5"/>
          <w:sz w:val="21"/>
          <w:szCs w:val="21"/>
        </w:rPr>
        <w:t>35.招标代理服务费</w:t>
      </w:r>
    </w:p>
    <w:p w14:paraId="193D0908">
      <w:pPr>
        <w:pStyle w:val="6"/>
        <w:spacing w:before="98" w:line="270" w:lineRule="auto"/>
        <w:ind w:left="18" w:right="23" w:firstLine="404"/>
        <w:rPr>
          <w:sz w:val="21"/>
          <w:szCs w:val="21"/>
        </w:rPr>
      </w:pPr>
      <w:r>
        <w:rPr>
          <w:spacing w:val="12"/>
          <w:sz w:val="21"/>
          <w:szCs w:val="21"/>
        </w:rPr>
        <w:t>35.1招标代理服务费：本项目招标代理服务费按本须</w:t>
      </w:r>
      <w:r>
        <w:rPr>
          <w:spacing w:val="11"/>
          <w:sz w:val="21"/>
          <w:szCs w:val="21"/>
        </w:rPr>
        <w:t>知第35.2条“招标代理服务收费标准”</w:t>
      </w:r>
      <w:r>
        <w:rPr>
          <w:spacing w:val="9"/>
          <w:sz w:val="21"/>
          <w:szCs w:val="21"/>
        </w:rPr>
        <w:t>中服务类收费标准</w:t>
      </w:r>
      <w:r>
        <w:rPr>
          <w:rFonts w:hint="eastAsia"/>
          <w:spacing w:val="9"/>
          <w:sz w:val="21"/>
          <w:szCs w:val="21"/>
          <w:lang w:val="en-US" w:eastAsia="zh-CN"/>
        </w:rPr>
        <w:t>的70%</w:t>
      </w:r>
      <w:r>
        <w:rPr>
          <w:spacing w:val="9"/>
          <w:sz w:val="21"/>
          <w:szCs w:val="21"/>
        </w:rPr>
        <w:t>计算，由中标人在领取中标通知书前，向采购代理机构一次性</w:t>
      </w:r>
      <w:r>
        <w:rPr>
          <w:spacing w:val="8"/>
          <w:sz w:val="21"/>
          <w:szCs w:val="21"/>
        </w:rPr>
        <w:t>支付。</w:t>
      </w:r>
    </w:p>
    <w:p w14:paraId="6EA4562A">
      <w:pPr>
        <w:pStyle w:val="6"/>
        <w:spacing w:before="94" w:line="228" w:lineRule="auto"/>
        <w:ind w:left="423"/>
        <w:rPr>
          <w:sz w:val="21"/>
          <w:szCs w:val="21"/>
        </w:rPr>
      </w:pPr>
      <w:r>
        <w:rPr>
          <w:spacing w:val="6"/>
          <w:sz w:val="21"/>
          <w:szCs w:val="21"/>
        </w:rPr>
        <w:t>35.2招标代理服务收费标准：</w:t>
      </w:r>
    </w:p>
    <w:tbl>
      <w:tblPr>
        <w:tblStyle w:val="17"/>
        <w:tblW w:w="9010" w:type="dxa"/>
        <w:tblInd w:w="1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3"/>
        <w:gridCol w:w="1840"/>
        <w:gridCol w:w="1991"/>
        <w:gridCol w:w="2296"/>
      </w:tblGrid>
      <w:tr w14:paraId="5FAB9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2883" w:type="dxa"/>
            <w:vAlign w:val="top"/>
          </w:tcPr>
          <w:p w14:paraId="0EFF8C1E">
            <w:pPr>
              <w:pStyle w:val="18"/>
              <w:spacing w:before="114" w:line="228" w:lineRule="auto"/>
              <w:ind w:left="151"/>
              <w:rPr>
                <w:sz w:val="20"/>
                <w:szCs w:val="20"/>
              </w:rPr>
            </w:pPr>
            <w:r>
              <w:drawing>
                <wp:anchor distT="0" distB="0" distL="0" distR="0" simplePos="0" relativeHeight="251659264" behindDoc="1" locked="0" layoutInCell="1" allowOverlap="1">
                  <wp:simplePos x="0" y="0"/>
                  <wp:positionH relativeFrom="column">
                    <wp:posOffset>-635</wp:posOffset>
                  </wp:positionH>
                  <wp:positionV relativeFrom="paragraph">
                    <wp:posOffset>8890</wp:posOffset>
                  </wp:positionV>
                  <wp:extent cx="1831975" cy="6623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9"/>
                          <a:stretch>
                            <a:fillRect/>
                          </a:stretch>
                        </pic:blipFill>
                        <pic:spPr>
                          <a:xfrm>
                            <a:off x="0" y="0"/>
                            <a:ext cx="1831746" cy="662406"/>
                          </a:xfrm>
                          <a:prstGeom prst="rect">
                            <a:avLst/>
                          </a:prstGeom>
                        </pic:spPr>
                      </pic:pic>
                    </a:graphicData>
                  </a:graphic>
                </wp:anchor>
              </w:drawing>
            </w:r>
            <w:r>
              <w:rPr>
                <w:spacing w:val="4"/>
                <w:sz w:val="20"/>
                <w:szCs w:val="20"/>
              </w:rPr>
              <w:t>费率</w:t>
            </w:r>
            <w:r>
              <w:rPr>
                <w:rFonts w:hint="eastAsia"/>
                <w:spacing w:val="4"/>
                <w:sz w:val="20"/>
                <w:szCs w:val="20"/>
                <w:lang w:val="en-US" w:eastAsia="zh-CN"/>
              </w:rPr>
              <w:t xml:space="preserve">           </w:t>
            </w:r>
            <w:r>
              <w:rPr>
                <w:spacing w:val="4"/>
                <w:sz w:val="20"/>
                <w:szCs w:val="20"/>
              </w:rPr>
              <w:t>服务类型</w:t>
            </w:r>
          </w:p>
          <w:p w14:paraId="1F6172E6">
            <w:pPr>
              <w:spacing w:line="405" w:lineRule="auto"/>
              <w:rPr>
                <w:rFonts w:ascii="Arial"/>
                <w:sz w:val="21"/>
              </w:rPr>
            </w:pPr>
          </w:p>
          <w:p w14:paraId="75AFF864">
            <w:pPr>
              <w:pStyle w:val="18"/>
              <w:spacing w:before="65" w:line="226" w:lineRule="auto"/>
              <w:ind w:left="159"/>
              <w:rPr>
                <w:sz w:val="20"/>
                <w:szCs w:val="20"/>
              </w:rPr>
            </w:pPr>
            <w:r>
              <w:rPr>
                <w:spacing w:val="2"/>
                <w:sz w:val="20"/>
                <w:szCs w:val="20"/>
              </w:rPr>
              <w:t>中标金额</w:t>
            </w:r>
          </w:p>
        </w:tc>
        <w:tc>
          <w:tcPr>
            <w:tcW w:w="1840" w:type="dxa"/>
            <w:vAlign w:val="top"/>
          </w:tcPr>
          <w:p w14:paraId="53ABC799">
            <w:pPr>
              <w:spacing w:line="406" w:lineRule="auto"/>
              <w:rPr>
                <w:rFonts w:ascii="Arial"/>
                <w:sz w:val="21"/>
              </w:rPr>
            </w:pPr>
          </w:p>
          <w:p w14:paraId="1B6FE51E">
            <w:pPr>
              <w:pStyle w:val="18"/>
              <w:spacing w:before="65" w:line="227" w:lineRule="auto"/>
              <w:ind w:left="523"/>
              <w:rPr>
                <w:sz w:val="20"/>
                <w:szCs w:val="20"/>
              </w:rPr>
            </w:pPr>
            <w:r>
              <w:rPr>
                <w:spacing w:val="6"/>
                <w:sz w:val="20"/>
                <w:szCs w:val="20"/>
              </w:rPr>
              <w:t>货物招标</w:t>
            </w:r>
          </w:p>
        </w:tc>
        <w:tc>
          <w:tcPr>
            <w:tcW w:w="1991" w:type="dxa"/>
            <w:vAlign w:val="top"/>
          </w:tcPr>
          <w:p w14:paraId="48DC5920">
            <w:pPr>
              <w:spacing w:line="406" w:lineRule="auto"/>
              <w:rPr>
                <w:rFonts w:ascii="Arial"/>
                <w:sz w:val="21"/>
              </w:rPr>
            </w:pPr>
          </w:p>
          <w:p w14:paraId="012E026C">
            <w:pPr>
              <w:pStyle w:val="18"/>
              <w:spacing w:before="65" w:line="228" w:lineRule="auto"/>
              <w:ind w:left="594"/>
              <w:rPr>
                <w:sz w:val="20"/>
                <w:szCs w:val="20"/>
              </w:rPr>
            </w:pPr>
            <w:r>
              <w:rPr>
                <w:spacing w:val="7"/>
                <w:sz w:val="20"/>
                <w:szCs w:val="20"/>
              </w:rPr>
              <w:t>服务招标</w:t>
            </w:r>
          </w:p>
        </w:tc>
        <w:tc>
          <w:tcPr>
            <w:tcW w:w="2296" w:type="dxa"/>
            <w:vAlign w:val="top"/>
          </w:tcPr>
          <w:p w14:paraId="6EBA08E9">
            <w:pPr>
              <w:spacing w:line="407" w:lineRule="auto"/>
              <w:rPr>
                <w:rFonts w:ascii="Arial"/>
                <w:sz w:val="21"/>
              </w:rPr>
            </w:pPr>
          </w:p>
          <w:p w14:paraId="4C26D603">
            <w:pPr>
              <w:pStyle w:val="18"/>
              <w:spacing w:before="65" w:line="228" w:lineRule="auto"/>
              <w:ind w:left="748"/>
              <w:rPr>
                <w:sz w:val="20"/>
                <w:szCs w:val="20"/>
              </w:rPr>
            </w:pPr>
            <w:r>
              <w:rPr>
                <w:spacing w:val="6"/>
                <w:sz w:val="20"/>
                <w:szCs w:val="20"/>
              </w:rPr>
              <w:t>工程招标</w:t>
            </w:r>
          </w:p>
        </w:tc>
      </w:tr>
      <w:tr w14:paraId="5BEC0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vAlign w:val="top"/>
          </w:tcPr>
          <w:p w14:paraId="0ADBF4F0">
            <w:pPr>
              <w:pStyle w:val="18"/>
              <w:spacing w:before="110" w:line="225" w:lineRule="auto"/>
              <w:ind w:left="155"/>
              <w:rPr>
                <w:sz w:val="20"/>
                <w:szCs w:val="20"/>
              </w:rPr>
            </w:pPr>
            <w:r>
              <w:rPr>
                <w:spacing w:val="2"/>
                <w:sz w:val="20"/>
                <w:szCs w:val="20"/>
              </w:rPr>
              <w:t>100万元以下</w:t>
            </w:r>
          </w:p>
        </w:tc>
        <w:tc>
          <w:tcPr>
            <w:tcW w:w="1840" w:type="dxa"/>
            <w:vAlign w:val="top"/>
          </w:tcPr>
          <w:p w14:paraId="72ECD1C8">
            <w:pPr>
              <w:pStyle w:val="18"/>
              <w:spacing w:before="110" w:line="225" w:lineRule="auto"/>
              <w:ind w:left="743"/>
              <w:rPr>
                <w:sz w:val="20"/>
                <w:szCs w:val="20"/>
              </w:rPr>
            </w:pPr>
            <w:r>
              <w:rPr>
                <w:spacing w:val="-1"/>
                <w:sz w:val="20"/>
                <w:szCs w:val="20"/>
              </w:rPr>
              <w:t>1.5%</w:t>
            </w:r>
          </w:p>
        </w:tc>
        <w:tc>
          <w:tcPr>
            <w:tcW w:w="1991" w:type="dxa"/>
            <w:vAlign w:val="top"/>
          </w:tcPr>
          <w:p w14:paraId="0DA28158">
            <w:pPr>
              <w:pStyle w:val="18"/>
              <w:spacing w:before="110" w:line="225" w:lineRule="auto"/>
              <w:ind w:left="818"/>
              <w:rPr>
                <w:sz w:val="20"/>
                <w:szCs w:val="20"/>
              </w:rPr>
            </w:pPr>
            <w:r>
              <w:rPr>
                <w:spacing w:val="-1"/>
                <w:sz w:val="20"/>
                <w:szCs w:val="20"/>
              </w:rPr>
              <w:t>1.5%</w:t>
            </w:r>
          </w:p>
        </w:tc>
        <w:tc>
          <w:tcPr>
            <w:tcW w:w="2296" w:type="dxa"/>
            <w:vAlign w:val="top"/>
          </w:tcPr>
          <w:p w14:paraId="4838AC64">
            <w:pPr>
              <w:pStyle w:val="18"/>
              <w:spacing w:before="110" w:line="225" w:lineRule="auto"/>
              <w:ind w:left="970"/>
              <w:rPr>
                <w:sz w:val="20"/>
                <w:szCs w:val="20"/>
              </w:rPr>
            </w:pPr>
            <w:r>
              <w:rPr>
                <w:spacing w:val="-1"/>
                <w:sz w:val="20"/>
                <w:szCs w:val="20"/>
              </w:rPr>
              <w:t>1.0%</w:t>
            </w:r>
          </w:p>
        </w:tc>
      </w:tr>
      <w:tr w14:paraId="61631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vAlign w:val="top"/>
          </w:tcPr>
          <w:p w14:paraId="32A80D62">
            <w:pPr>
              <w:pStyle w:val="18"/>
              <w:spacing w:before="110" w:line="225" w:lineRule="auto"/>
              <w:ind w:left="155"/>
              <w:rPr>
                <w:sz w:val="20"/>
                <w:szCs w:val="20"/>
              </w:rPr>
            </w:pPr>
            <w:r>
              <w:rPr>
                <w:spacing w:val="2"/>
                <w:sz w:val="20"/>
                <w:szCs w:val="20"/>
              </w:rPr>
              <w:t>100～500万元</w:t>
            </w:r>
          </w:p>
        </w:tc>
        <w:tc>
          <w:tcPr>
            <w:tcW w:w="1840" w:type="dxa"/>
            <w:vAlign w:val="top"/>
          </w:tcPr>
          <w:p w14:paraId="3F006329">
            <w:pPr>
              <w:pStyle w:val="18"/>
              <w:spacing w:before="110" w:line="225" w:lineRule="auto"/>
              <w:ind w:left="743"/>
              <w:rPr>
                <w:sz w:val="20"/>
                <w:szCs w:val="20"/>
              </w:rPr>
            </w:pPr>
            <w:r>
              <w:rPr>
                <w:spacing w:val="-1"/>
                <w:sz w:val="20"/>
                <w:szCs w:val="20"/>
              </w:rPr>
              <w:t>1.1%</w:t>
            </w:r>
          </w:p>
        </w:tc>
        <w:tc>
          <w:tcPr>
            <w:tcW w:w="1991" w:type="dxa"/>
            <w:vAlign w:val="top"/>
          </w:tcPr>
          <w:p w14:paraId="45D334AC">
            <w:pPr>
              <w:pStyle w:val="18"/>
              <w:spacing w:before="110" w:line="225" w:lineRule="auto"/>
              <w:ind w:left="804"/>
              <w:rPr>
                <w:sz w:val="20"/>
                <w:szCs w:val="20"/>
              </w:rPr>
            </w:pPr>
            <w:r>
              <w:rPr>
                <w:spacing w:val="2"/>
                <w:sz w:val="20"/>
                <w:szCs w:val="20"/>
              </w:rPr>
              <w:t>0.8%</w:t>
            </w:r>
          </w:p>
        </w:tc>
        <w:tc>
          <w:tcPr>
            <w:tcW w:w="2296" w:type="dxa"/>
            <w:vAlign w:val="top"/>
          </w:tcPr>
          <w:p w14:paraId="451A229F">
            <w:pPr>
              <w:pStyle w:val="18"/>
              <w:spacing w:before="110" w:line="225" w:lineRule="auto"/>
              <w:ind w:left="956"/>
              <w:rPr>
                <w:sz w:val="20"/>
                <w:szCs w:val="20"/>
              </w:rPr>
            </w:pPr>
            <w:r>
              <w:rPr>
                <w:spacing w:val="2"/>
                <w:sz w:val="20"/>
                <w:szCs w:val="20"/>
              </w:rPr>
              <w:t>0.7%</w:t>
            </w:r>
          </w:p>
        </w:tc>
      </w:tr>
      <w:tr w14:paraId="7AAE5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vAlign w:val="top"/>
          </w:tcPr>
          <w:p w14:paraId="673D4216">
            <w:pPr>
              <w:pStyle w:val="18"/>
              <w:spacing w:before="111" w:line="224" w:lineRule="auto"/>
              <w:ind w:left="144"/>
              <w:rPr>
                <w:sz w:val="20"/>
                <w:szCs w:val="20"/>
              </w:rPr>
            </w:pPr>
            <w:r>
              <w:rPr>
                <w:spacing w:val="3"/>
                <w:sz w:val="20"/>
                <w:szCs w:val="20"/>
              </w:rPr>
              <w:t>500～1000万元</w:t>
            </w:r>
          </w:p>
        </w:tc>
        <w:tc>
          <w:tcPr>
            <w:tcW w:w="1840" w:type="dxa"/>
            <w:vAlign w:val="top"/>
          </w:tcPr>
          <w:p w14:paraId="1E59E420">
            <w:pPr>
              <w:pStyle w:val="18"/>
              <w:spacing w:before="111" w:line="224" w:lineRule="auto"/>
              <w:ind w:left="729"/>
              <w:rPr>
                <w:sz w:val="20"/>
                <w:szCs w:val="20"/>
              </w:rPr>
            </w:pPr>
            <w:r>
              <w:rPr>
                <w:spacing w:val="2"/>
                <w:sz w:val="20"/>
                <w:szCs w:val="20"/>
              </w:rPr>
              <w:t>0.8%</w:t>
            </w:r>
          </w:p>
        </w:tc>
        <w:tc>
          <w:tcPr>
            <w:tcW w:w="1991" w:type="dxa"/>
            <w:vAlign w:val="top"/>
          </w:tcPr>
          <w:p w14:paraId="75E82ECF">
            <w:pPr>
              <w:pStyle w:val="18"/>
              <w:spacing w:before="111" w:line="224" w:lineRule="auto"/>
              <w:ind w:left="754"/>
              <w:rPr>
                <w:sz w:val="20"/>
                <w:szCs w:val="20"/>
              </w:rPr>
            </w:pPr>
            <w:r>
              <w:rPr>
                <w:spacing w:val="2"/>
                <w:sz w:val="20"/>
                <w:szCs w:val="20"/>
              </w:rPr>
              <w:t>0.45%</w:t>
            </w:r>
          </w:p>
        </w:tc>
        <w:tc>
          <w:tcPr>
            <w:tcW w:w="2296" w:type="dxa"/>
            <w:vAlign w:val="top"/>
          </w:tcPr>
          <w:p w14:paraId="395F9724">
            <w:pPr>
              <w:pStyle w:val="18"/>
              <w:spacing w:before="111" w:line="224" w:lineRule="auto"/>
              <w:ind w:left="904"/>
              <w:rPr>
                <w:sz w:val="20"/>
                <w:szCs w:val="20"/>
              </w:rPr>
            </w:pPr>
            <w:r>
              <w:rPr>
                <w:spacing w:val="2"/>
                <w:sz w:val="20"/>
                <w:szCs w:val="20"/>
              </w:rPr>
              <w:t>0.55%</w:t>
            </w:r>
          </w:p>
        </w:tc>
      </w:tr>
      <w:tr w14:paraId="6A503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vAlign w:val="top"/>
          </w:tcPr>
          <w:p w14:paraId="0F70E8C4">
            <w:pPr>
              <w:pStyle w:val="18"/>
              <w:spacing w:before="111" w:line="224" w:lineRule="auto"/>
              <w:ind w:left="155"/>
              <w:rPr>
                <w:sz w:val="20"/>
                <w:szCs w:val="20"/>
              </w:rPr>
            </w:pPr>
            <w:r>
              <w:rPr>
                <w:spacing w:val="2"/>
                <w:sz w:val="20"/>
                <w:szCs w:val="20"/>
              </w:rPr>
              <w:t>1000～5000万元</w:t>
            </w:r>
          </w:p>
        </w:tc>
        <w:tc>
          <w:tcPr>
            <w:tcW w:w="1840" w:type="dxa"/>
            <w:vAlign w:val="top"/>
          </w:tcPr>
          <w:p w14:paraId="320C2112">
            <w:pPr>
              <w:pStyle w:val="18"/>
              <w:spacing w:before="111" w:line="224" w:lineRule="auto"/>
              <w:ind w:left="729"/>
              <w:rPr>
                <w:sz w:val="20"/>
                <w:szCs w:val="20"/>
              </w:rPr>
            </w:pPr>
            <w:r>
              <w:rPr>
                <w:spacing w:val="2"/>
                <w:sz w:val="20"/>
                <w:szCs w:val="20"/>
              </w:rPr>
              <w:t>0.5%</w:t>
            </w:r>
          </w:p>
        </w:tc>
        <w:tc>
          <w:tcPr>
            <w:tcW w:w="1991" w:type="dxa"/>
            <w:vAlign w:val="top"/>
          </w:tcPr>
          <w:p w14:paraId="12890FCB">
            <w:pPr>
              <w:pStyle w:val="18"/>
              <w:spacing w:before="111" w:line="224" w:lineRule="auto"/>
              <w:ind w:left="754"/>
              <w:rPr>
                <w:sz w:val="20"/>
                <w:szCs w:val="20"/>
              </w:rPr>
            </w:pPr>
            <w:r>
              <w:rPr>
                <w:spacing w:val="2"/>
                <w:sz w:val="20"/>
                <w:szCs w:val="20"/>
              </w:rPr>
              <w:t>0.25%</w:t>
            </w:r>
          </w:p>
        </w:tc>
        <w:tc>
          <w:tcPr>
            <w:tcW w:w="2296" w:type="dxa"/>
            <w:vAlign w:val="top"/>
          </w:tcPr>
          <w:p w14:paraId="5F6F8C77">
            <w:pPr>
              <w:pStyle w:val="18"/>
              <w:spacing w:before="111" w:line="224" w:lineRule="auto"/>
              <w:ind w:left="904"/>
              <w:rPr>
                <w:sz w:val="20"/>
                <w:szCs w:val="20"/>
              </w:rPr>
            </w:pPr>
            <w:r>
              <w:rPr>
                <w:spacing w:val="2"/>
                <w:sz w:val="20"/>
                <w:szCs w:val="20"/>
              </w:rPr>
              <w:t>0.35%</w:t>
            </w:r>
          </w:p>
        </w:tc>
      </w:tr>
      <w:tr w14:paraId="31C45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883" w:type="dxa"/>
            <w:vAlign w:val="top"/>
          </w:tcPr>
          <w:p w14:paraId="6F9B787F">
            <w:pPr>
              <w:pStyle w:val="18"/>
              <w:spacing w:before="112" w:line="224" w:lineRule="auto"/>
              <w:ind w:left="144"/>
              <w:rPr>
                <w:sz w:val="20"/>
                <w:szCs w:val="20"/>
              </w:rPr>
            </w:pPr>
            <w:r>
              <w:rPr>
                <w:spacing w:val="3"/>
                <w:sz w:val="20"/>
                <w:szCs w:val="20"/>
              </w:rPr>
              <w:t>5000万元～1亿元</w:t>
            </w:r>
          </w:p>
        </w:tc>
        <w:tc>
          <w:tcPr>
            <w:tcW w:w="1840" w:type="dxa"/>
            <w:vAlign w:val="top"/>
          </w:tcPr>
          <w:p w14:paraId="0157A6E5">
            <w:pPr>
              <w:pStyle w:val="18"/>
              <w:spacing w:before="112" w:line="224" w:lineRule="auto"/>
              <w:ind w:left="676"/>
              <w:rPr>
                <w:sz w:val="20"/>
                <w:szCs w:val="20"/>
              </w:rPr>
            </w:pPr>
            <w:r>
              <w:rPr>
                <w:spacing w:val="2"/>
                <w:sz w:val="20"/>
                <w:szCs w:val="20"/>
              </w:rPr>
              <w:t>0.25%</w:t>
            </w:r>
          </w:p>
        </w:tc>
        <w:tc>
          <w:tcPr>
            <w:tcW w:w="1991" w:type="dxa"/>
            <w:vAlign w:val="top"/>
          </w:tcPr>
          <w:p w14:paraId="4D166F16">
            <w:pPr>
              <w:pStyle w:val="18"/>
              <w:spacing w:before="112" w:line="224" w:lineRule="auto"/>
              <w:ind w:left="804"/>
              <w:rPr>
                <w:sz w:val="20"/>
                <w:szCs w:val="20"/>
              </w:rPr>
            </w:pPr>
            <w:r>
              <w:rPr>
                <w:spacing w:val="2"/>
                <w:sz w:val="20"/>
                <w:szCs w:val="20"/>
              </w:rPr>
              <w:t>0.1%</w:t>
            </w:r>
          </w:p>
        </w:tc>
        <w:tc>
          <w:tcPr>
            <w:tcW w:w="2296" w:type="dxa"/>
            <w:vAlign w:val="top"/>
          </w:tcPr>
          <w:p w14:paraId="4CD07E87">
            <w:pPr>
              <w:pStyle w:val="18"/>
              <w:spacing w:before="112" w:line="224" w:lineRule="auto"/>
              <w:ind w:left="956"/>
              <w:rPr>
                <w:sz w:val="20"/>
                <w:szCs w:val="20"/>
              </w:rPr>
            </w:pPr>
            <w:r>
              <w:rPr>
                <w:spacing w:val="2"/>
                <w:sz w:val="20"/>
                <w:szCs w:val="20"/>
              </w:rPr>
              <w:t>0.2%</w:t>
            </w:r>
          </w:p>
        </w:tc>
      </w:tr>
      <w:tr w14:paraId="22302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883" w:type="dxa"/>
            <w:vAlign w:val="top"/>
          </w:tcPr>
          <w:p w14:paraId="56A80479">
            <w:pPr>
              <w:pStyle w:val="18"/>
              <w:spacing w:before="114" w:line="222" w:lineRule="auto"/>
              <w:ind w:left="155"/>
              <w:rPr>
                <w:sz w:val="20"/>
                <w:szCs w:val="20"/>
              </w:rPr>
            </w:pPr>
            <w:r>
              <w:rPr>
                <w:sz w:val="20"/>
                <w:szCs w:val="20"/>
              </w:rPr>
              <w:t>1～5亿元</w:t>
            </w:r>
          </w:p>
        </w:tc>
        <w:tc>
          <w:tcPr>
            <w:tcW w:w="1840" w:type="dxa"/>
            <w:vAlign w:val="top"/>
          </w:tcPr>
          <w:p w14:paraId="0B73EC6B">
            <w:pPr>
              <w:pStyle w:val="18"/>
              <w:spacing w:before="114" w:line="222" w:lineRule="auto"/>
              <w:ind w:left="676"/>
              <w:rPr>
                <w:sz w:val="20"/>
                <w:szCs w:val="20"/>
              </w:rPr>
            </w:pPr>
            <w:r>
              <w:rPr>
                <w:spacing w:val="2"/>
                <w:sz w:val="20"/>
                <w:szCs w:val="20"/>
              </w:rPr>
              <w:t>0.05%</w:t>
            </w:r>
          </w:p>
        </w:tc>
        <w:tc>
          <w:tcPr>
            <w:tcW w:w="1991" w:type="dxa"/>
            <w:vAlign w:val="top"/>
          </w:tcPr>
          <w:p w14:paraId="11EF258A">
            <w:pPr>
              <w:pStyle w:val="18"/>
              <w:spacing w:before="114" w:line="222" w:lineRule="auto"/>
              <w:ind w:left="754"/>
              <w:rPr>
                <w:sz w:val="20"/>
                <w:szCs w:val="20"/>
              </w:rPr>
            </w:pPr>
            <w:r>
              <w:rPr>
                <w:spacing w:val="2"/>
                <w:sz w:val="20"/>
                <w:szCs w:val="20"/>
              </w:rPr>
              <w:t>0.05%</w:t>
            </w:r>
          </w:p>
        </w:tc>
        <w:tc>
          <w:tcPr>
            <w:tcW w:w="2296" w:type="dxa"/>
            <w:vAlign w:val="top"/>
          </w:tcPr>
          <w:p w14:paraId="024E0DB7">
            <w:pPr>
              <w:pStyle w:val="18"/>
              <w:spacing w:before="114" w:line="222" w:lineRule="auto"/>
              <w:ind w:left="904"/>
              <w:rPr>
                <w:sz w:val="20"/>
                <w:szCs w:val="20"/>
              </w:rPr>
            </w:pPr>
            <w:r>
              <w:rPr>
                <w:spacing w:val="2"/>
                <w:sz w:val="20"/>
                <w:szCs w:val="20"/>
              </w:rPr>
              <w:t>0.05%</w:t>
            </w:r>
          </w:p>
        </w:tc>
      </w:tr>
      <w:tr w14:paraId="6FE54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883" w:type="dxa"/>
            <w:vAlign w:val="top"/>
          </w:tcPr>
          <w:p w14:paraId="352FD9E7">
            <w:pPr>
              <w:pStyle w:val="18"/>
              <w:spacing w:before="114" w:line="222" w:lineRule="auto"/>
              <w:ind w:left="144"/>
              <w:rPr>
                <w:sz w:val="20"/>
                <w:szCs w:val="20"/>
              </w:rPr>
            </w:pPr>
            <w:r>
              <w:rPr>
                <w:spacing w:val="3"/>
                <w:sz w:val="20"/>
                <w:szCs w:val="20"/>
              </w:rPr>
              <w:t>5～10亿元</w:t>
            </w:r>
          </w:p>
        </w:tc>
        <w:tc>
          <w:tcPr>
            <w:tcW w:w="1840" w:type="dxa"/>
            <w:vAlign w:val="top"/>
          </w:tcPr>
          <w:p w14:paraId="40DC3D56">
            <w:pPr>
              <w:pStyle w:val="18"/>
              <w:spacing w:before="114" w:line="222" w:lineRule="auto"/>
              <w:ind w:left="623"/>
              <w:rPr>
                <w:sz w:val="20"/>
                <w:szCs w:val="20"/>
              </w:rPr>
            </w:pPr>
            <w:r>
              <w:rPr>
                <w:spacing w:val="3"/>
                <w:sz w:val="20"/>
                <w:szCs w:val="20"/>
              </w:rPr>
              <w:t>0.035%</w:t>
            </w:r>
          </w:p>
        </w:tc>
        <w:tc>
          <w:tcPr>
            <w:tcW w:w="1991" w:type="dxa"/>
            <w:vAlign w:val="top"/>
          </w:tcPr>
          <w:p w14:paraId="5276873B">
            <w:pPr>
              <w:pStyle w:val="18"/>
              <w:spacing w:before="114" w:line="222" w:lineRule="auto"/>
              <w:ind w:left="701"/>
              <w:rPr>
                <w:sz w:val="20"/>
                <w:szCs w:val="20"/>
              </w:rPr>
            </w:pPr>
            <w:r>
              <w:rPr>
                <w:spacing w:val="3"/>
                <w:sz w:val="20"/>
                <w:szCs w:val="20"/>
              </w:rPr>
              <w:t>0.035%</w:t>
            </w:r>
          </w:p>
        </w:tc>
        <w:tc>
          <w:tcPr>
            <w:tcW w:w="2296" w:type="dxa"/>
            <w:vAlign w:val="top"/>
          </w:tcPr>
          <w:p w14:paraId="72EE95D2">
            <w:pPr>
              <w:pStyle w:val="18"/>
              <w:spacing w:before="114" w:line="222" w:lineRule="auto"/>
              <w:ind w:left="853"/>
              <w:rPr>
                <w:sz w:val="20"/>
                <w:szCs w:val="20"/>
              </w:rPr>
            </w:pPr>
            <w:r>
              <w:rPr>
                <w:spacing w:val="3"/>
                <w:sz w:val="20"/>
                <w:szCs w:val="20"/>
              </w:rPr>
              <w:t>0.035%</w:t>
            </w:r>
          </w:p>
        </w:tc>
      </w:tr>
      <w:tr w14:paraId="4849C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883" w:type="dxa"/>
            <w:vAlign w:val="top"/>
          </w:tcPr>
          <w:p w14:paraId="381A3CBE">
            <w:pPr>
              <w:pStyle w:val="18"/>
              <w:spacing w:before="113" w:line="223" w:lineRule="auto"/>
              <w:ind w:left="155"/>
              <w:rPr>
                <w:sz w:val="20"/>
                <w:szCs w:val="20"/>
              </w:rPr>
            </w:pPr>
            <w:r>
              <w:rPr>
                <w:spacing w:val="2"/>
                <w:sz w:val="20"/>
                <w:szCs w:val="20"/>
              </w:rPr>
              <w:t>10～50亿元</w:t>
            </w:r>
          </w:p>
        </w:tc>
        <w:tc>
          <w:tcPr>
            <w:tcW w:w="1840" w:type="dxa"/>
            <w:vAlign w:val="top"/>
          </w:tcPr>
          <w:p w14:paraId="4E702970">
            <w:pPr>
              <w:pStyle w:val="18"/>
              <w:spacing w:before="113" w:line="223" w:lineRule="auto"/>
              <w:ind w:left="623"/>
              <w:rPr>
                <w:sz w:val="20"/>
                <w:szCs w:val="20"/>
              </w:rPr>
            </w:pPr>
            <w:r>
              <w:rPr>
                <w:spacing w:val="3"/>
                <w:sz w:val="20"/>
                <w:szCs w:val="20"/>
              </w:rPr>
              <w:t>0.008%</w:t>
            </w:r>
          </w:p>
        </w:tc>
        <w:tc>
          <w:tcPr>
            <w:tcW w:w="1991" w:type="dxa"/>
            <w:vAlign w:val="top"/>
          </w:tcPr>
          <w:p w14:paraId="154108D6">
            <w:pPr>
              <w:pStyle w:val="18"/>
              <w:spacing w:before="113" w:line="223" w:lineRule="auto"/>
              <w:ind w:left="701"/>
              <w:rPr>
                <w:sz w:val="20"/>
                <w:szCs w:val="20"/>
              </w:rPr>
            </w:pPr>
            <w:r>
              <w:rPr>
                <w:spacing w:val="3"/>
                <w:sz w:val="20"/>
                <w:szCs w:val="20"/>
              </w:rPr>
              <w:t>0.008%</w:t>
            </w:r>
          </w:p>
        </w:tc>
        <w:tc>
          <w:tcPr>
            <w:tcW w:w="2296" w:type="dxa"/>
            <w:vAlign w:val="top"/>
          </w:tcPr>
          <w:p w14:paraId="3E17CEC7">
            <w:pPr>
              <w:pStyle w:val="18"/>
              <w:spacing w:before="113" w:line="223" w:lineRule="auto"/>
              <w:ind w:left="853"/>
              <w:rPr>
                <w:sz w:val="20"/>
                <w:szCs w:val="20"/>
              </w:rPr>
            </w:pPr>
            <w:r>
              <w:rPr>
                <w:spacing w:val="3"/>
                <w:sz w:val="20"/>
                <w:szCs w:val="20"/>
              </w:rPr>
              <w:t>0.008%</w:t>
            </w:r>
          </w:p>
        </w:tc>
      </w:tr>
      <w:tr w14:paraId="730BC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883" w:type="dxa"/>
            <w:vAlign w:val="top"/>
          </w:tcPr>
          <w:p w14:paraId="48BC8F58">
            <w:pPr>
              <w:pStyle w:val="18"/>
              <w:spacing w:before="113" w:line="223" w:lineRule="auto"/>
              <w:ind w:left="144"/>
              <w:rPr>
                <w:sz w:val="20"/>
                <w:szCs w:val="20"/>
              </w:rPr>
            </w:pPr>
            <w:r>
              <w:rPr>
                <w:spacing w:val="4"/>
                <w:sz w:val="20"/>
                <w:szCs w:val="20"/>
              </w:rPr>
              <w:t>50～100亿元</w:t>
            </w:r>
          </w:p>
        </w:tc>
        <w:tc>
          <w:tcPr>
            <w:tcW w:w="1840" w:type="dxa"/>
            <w:vAlign w:val="top"/>
          </w:tcPr>
          <w:p w14:paraId="6B37C7A6">
            <w:pPr>
              <w:pStyle w:val="18"/>
              <w:spacing w:before="113" w:line="223" w:lineRule="auto"/>
              <w:ind w:left="623"/>
              <w:rPr>
                <w:sz w:val="20"/>
                <w:szCs w:val="20"/>
              </w:rPr>
            </w:pPr>
            <w:r>
              <w:rPr>
                <w:spacing w:val="3"/>
                <w:sz w:val="20"/>
                <w:szCs w:val="20"/>
              </w:rPr>
              <w:t>0.006%</w:t>
            </w:r>
          </w:p>
        </w:tc>
        <w:tc>
          <w:tcPr>
            <w:tcW w:w="1991" w:type="dxa"/>
            <w:vAlign w:val="top"/>
          </w:tcPr>
          <w:p w14:paraId="7DC55715">
            <w:pPr>
              <w:pStyle w:val="18"/>
              <w:spacing w:before="113" w:line="223" w:lineRule="auto"/>
              <w:ind w:left="701"/>
              <w:rPr>
                <w:sz w:val="20"/>
                <w:szCs w:val="20"/>
              </w:rPr>
            </w:pPr>
            <w:r>
              <w:rPr>
                <w:spacing w:val="3"/>
                <w:sz w:val="20"/>
                <w:szCs w:val="20"/>
              </w:rPr>
              <w:t>0.006%</w:t>
            </w:r>
          </w:p>
        </w:tc>
        <w:tc>
          <w:tcPr>
            <w:tcW w:w="2296" w:type="dxa"/>
            <w:vAlign w:val="top"/>
          </w:tcPr>
          <w:p w14:paraId="6117C9B4">
            <w:pPr>
              <w:pStyle w:val="18"/>
              <w:spacing w:before="113" w:line="223" w:lineRule="auto"/>
              <w:ind w:left="853"/>
              <w:rPr>
                <w:sz w:val="20"/>
                <w:szCs w:val="20"/>
              </w:rPr>
            </w:pPr>
            <w:r>
              <w:rPr>
                <w:spacing w:val="3"/>
                <w:sz w:val="20"/>
                <w:szCs w:val="20"/>
              </w:rPr>
              <w:t>0.006%</w:t>
            </w:r>
          </w:p>
        </w:tc>
      </w:tr>
      <w:tr w14:paraId="669DF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883" w:type="dxa"/>
            <w:vAlign w:val="top"/>
          </w:tcPr>
          <w:p w14:paraId="51D1F423">
            <w:pPr>
              <w:pStyle w:val="18"/>
              <w:spacing w:before="113" w:line="227" w:lineRule="auto"/>
              <w:ind w:left="155"/>
              <w:rPr>
                <w:sz w:val="20"/>
                <w:szCs w:val="20"/>
              </w:rPr>
            </w:pPr>
            <w:r>
              <w:rPr>
                <w:spacing w:val="2"/>
                <w:sz w:val="20"/>
                <w:szCs w:val="20"/>
              </w:rPr>
              <w:t>100亿以上</w:t>
            </w:r>
          </w:p>
        </w:tc>
        <w:tc>
          <w:tcPr>
            <w:tcW w:w="1840" w:type="dxa"/>
            <w:vAlign w:val="top"/>
          </w:tcPr>
          <w:p w14:paraId="78E9624D">
            <w:pPr>
              <w:pStyle w:val="18"/>
              <w:spacing w:before="113" w:line="227" w:lineRule="auto"/>
              <w:ind w:left="623"/>
              <w:rPr>
                <w:sz w:val="20"/>
                <w:szCs w:val="20"/>
              </w:rPr>
            </w:pPr>
            <w:r>
              <w:rPr>
                <w:spacing w:val="3"/>
                <w:sz w:val="20"/>
                <w:szCs w:val="20"/>
              </w:rPr>
              <w:t>0.004%</w:t>
            </w:r>
          </w:p>
        </w:tc>
        <w:tc>
          <w:tcPr>
            <w:tcW w:w="1991" w:type="dxa"/>
            <w:vAlign w:val="top"/>
          </w:tcPr>
          <w:p w14:paraId="4D7D291A">
            <w:pPr>
              <w:pStyle w:val="18"/>
              <w:spacing w:before="113" w:line="227" w:lineRule="auto"/>
              <w:ind w:left="701"/>
              <w:rPr>
                <w:sz w:val="20"/>
                <w:szCs w:val="20"/>
              </w:rPr>
            </w:pPr>
            <w:r>
              <w:rPr>
                <w:spacing w:val="3"/>
                <w:sz w:val="20"/>
                <w:szCs w:val="20"/>
              </w:rPr>
              <w:t>0.004%</w:t>
            </w:r>
          </w:p>
        </w:tc>
        <w:tc>
          <w:tcPr>
            <w:tcW w:w="2296" w:type="dxa"/>
            <w:vAlign w:val="top"/>
          </w:tcPr>
          <w:p w14:paraId="77FDBA3F">
            <w:pPr>
              <w:pStyle w:val="18"/>
              <w:spacing w:before="113" w:line="227" w:lineRule="auto"/>
              <w:ind w:left="853"/>
              <w:rPr>
                <w:sz w:val="20"/>
                <w:szCs w:val="20"/>
              </w:rPr>
            </w:pPr>
            <w:r>
              <w:rPr>
                <w:spacing w:val="3"/>
                <w:sz w:val="20"/>
                <w:szCs w:val="20"/>
              </w:rPr>
              <w:t>0.004%</w:t>
            </w:r>
          </w:p>
        </w:tc>
      </w:tr>
    </w:tbl>
    <w:p w14:paraId="09A062E1">
      <w:pPr>
        <w:pStyle w:val="6"/>
        <w:keepNext w:val="0"/>
        <w:keepLines w:val="0"/>
        <w:pageBreakBefore w:val="0"/>
        <w:widowControl/>
        <w:kinsoku w:val="0"/>
        <w:wordWrap/>
        <w:overflowPunct/>
        <w:topLinePunct w:val="0"/>
        <w:autoSpaceDE w:val="0"/>
        <w:autoSpaceDN w:val="0"/>
        <w:bidi w:val="0"/>
        <w:adjustRightInd w:val="0"/>
        <w:snapToGrid w:val="0"/>
        <w:spacing w:before="77" w:line="400" w:lineRule="exact"/>
        <w:ind w:left="128"/>
        <w:textAlignment w:val="baseline"/>
        <w:rPr>
          <w:sz w:val="21"/>
          <w:szCs w:val="21"/>
        </w:rPr>
      </w:pPr>
      <w:r>
        <w:rPr>
          <w:spacing w:val="9"/>
          <w:sz w:val="21"/>
          <w:szCs w:val="21"/>
        </w:rPr>
        <w:t>注：招标代理服务收费按差额定率累进法计算。</w:t>
      </w:r>
    </w:p>
    <w:p w14:paraId="172E6DAA">
      <w:pPr>
        <w:pStyle w:val="6"/>
        <w:keepNext w:val="0"/>
        <w:keepLines w:val="0"/>
        <w:pageBreakBefore w:val="0"/>
        <w:widowControl/>
        <w:kinsoku w:val="0"/>
        <w:wordWrap/>
        <w:overflowPunct/>
        <w:topLinePunct w:val="0"/>
        <w:autoSpaceDE w:val="0"/>
        <w:autoSpaceDN w:val="0"/>
        <w:bidi w:val="0"/>
        <w:adjustRightInd w:val="0"/>
        <w:snapToGrid w:val="0"/>
        <w:spacing w:before="72" w:line="400" w:lineRule="exact"/>
        <w:ind w:left="423"/>
        <w:textAlignment w:val="baseline"/>
        <w:rPr>
          <w:sz w:val="21"/>
          <w:szCs w:val="21"/>
        </w:rPr>
      </w:pPr>
      <w:r>
        <w:rPr>
          <w:b/>
          <w:bCs/>
          <w:spacing w:val="7"/>
          <w:sz w:val="21"/>
          <w:szCs w:val="21"/>
        </w:rPr>
        <w:t>36.采购代理机构银行账户</w:t>
      </w:r>
      <w:r>
        <w:rPr>
          <w:b/>
          <w:bCs/>
          <w:spacing w:val="3"/>
          <w:sz w:val="21"/>
          <w:szCs w:val="21"/>
        </w:rPr>
        <w:t>：</w:t>
      </w:r>
    </w:p>
    <w:p w14:paraId="2E8E379F">
      <w:pPr>
        <w:pStyle w:val="6"/>
        <w:keepNext w:val="0"/>
        <w:keepLines w:val="0"/>
        <w:pageBreakBefore w:val="0"/>
        <w:widowControl/>
        <w:kinsoku w:val="0"/>
        <w:wordWrap/>
        <w:overflowPunct/>
        <w:topLinePunct w:val="0"/>
        <w:autoSpaceDE w:val="0"/>
        <w:autoSpaceDN w:val="0"/>
        <w:bidi w:val="0"/>
        <w:adjustRightInd w:val="0"/>
        <w:snapToGrid w:val="0"/>
        <w:spacing w:before="30" w:line="400" w:lineRule="exact"/>
        <w:ind w:left="422"/>
        <w:textAlignment w:val="baseline"/>
        <w:rPr>
          <w:rFonts w:hint="default" w:eastAsia="宋体"/>
          <w:sz w:val="21"/>
          <w:szCs w:val="21"/>
          <w:lang w:val="en-US" w:eastAsia="zh-CN"/>
        </w:rPr>
      </w:pPr>
      <w:r>
        <w:rPr>
          <w:spacing w:val="9"/>
          <w:sz w:val="21"/>
          <w:szCs w:val="21"/>
        </w:rPr>
        <w:t>账户名称：</w:t>
      </w:r>
      <w:r>
        <w:rPr>
          <w:rFonts w:hint="eastAsia"/>
          <w:spacing w:val="9"/>
          <w:sz w:val="21"/>
          <w:szCs w:val="21"/>
          <w:lang w:eastAsia="zh-CN"/>
        </w:rPr>
        <w:t>广西合士嘉项目咨询有限公司</w:t>
      </w:r>
      <w:r>
        <w:rPr>
          <w:rFonts w:hint="eastAsia"/>
          <w:spacing w:val="9"/>
          <w:sz w:val="21"/>
          <w:szCs w:val="21"/>
          <w:lang w:val="en-US" w:eastAsia="zh-CN"/>
        </w:rPr>
        <w:t>桂北分公司</w:t>
      </w:r>
    </w:p>
    <w:p w14:paraId="4C786BC3">
      <w:pPr>
        <w:pStyle w:val="6"/>
        <w:keepNext w:val="0"/>
        <w:keepLines w:val="0"/>
        <w:pageBreakBefore w:val="0"/>
        <w:widowControl/>
        <w:kinsoku w:val="0"/>
        <w:wordWrap/>
        <w:overflowPunct/>
        <w:topLinePunct w:val="0"/>
        <w:autoSpaceDE w:val="0"/>
        <w:autoSpaceDN w:val="0"/>
        <w:bidi w:val="0"/>
        <w:adjustRightInd w:val="0"/>
        <w:snapToGrid w:val="0"/>
        <w:spacing w:before="68" w:line="400" w:lineRule="exact"/>
        <w:ind w:right="123" w:firstLine="423"/>
        <w:textAlignment w:val="baseline"/>
        <w:rPr>
          <w:rFonts w:hint="eastAsia"/>
          <w:b w:val="0"/>
          <w:bCs w:val="0"/>
          <w:spacing w:val="10"/>
          <w:sz w:val="21"/>
          <w:szCs w:val="21"/>
        </w:rPr>
      </w:pPr>
      <w:r>
        <w:rPr>
          <w:rFonts w:hint="eastAsia"/>
          <w:b w:val="0"/>
          <w:bCs w:val="0"/>
          <w:spacing w:val="10"/>
          <w:sz w:val="21"/>
          <w:szCs w:val="21"/>
        </w:rPr>
        <w:t>开户银行：广西北部湾银行股份有限公司桂林市七星支行</w:t>
      </w:r>
    </w:p>
    <w:p w14:paraId="184365BE">
      <w:pPr>
        <w:pStyle w:val="6"/>
        <w:keepNext w:val="0"/>
        <w:keepLines w:val="0"/>
        <w:pageBreakBefore w:val="0"/>
        <w:widowControl/>
        <w:kinsoku w:val="0"/>
        <w:wordWrap/>
        <w:overflowPunct/>
        <w:topLinePunct w:val="0"/>
        <w:autoSpaceDE w:val="0"/>
        <w:autoSpaceDN w:val="0"/>
        <w:bidi w:val="0"/>
        <w:adjustRightInd w:val="0"/>
        <w:snapToGrid w:val="0"/>
        <w:spacing w:before="68" w:line="400" w:lineRule="exact"/>
        <w:ind w:right="123" w:firstLine="423"/>
        <w:textAlignment w:val="baseline"/>
        <w:rPr>
          <w:rFonts w:hint="eastAsia"/>
          <w:b w:val="0"/>
          <w:bCs w:val="0"/>
          <w:spacing w:val="10"/>
          <w:sz w:val="21"/>
          <w:szCs w:val="21"/>
        </w:rPr>
      </w:pPr>
      <w:r>
        <w:rPr>
          <w:rFonts w:hint="eastAsia"/>
          <w:b w:val="0"/>
          <w:bCs w:val="0"/>
          <w:spacing w:val="10"/>
          <w:sz w:val="21"/>
          <w:szCs w:val="21"/>
        </w:rPr>
        <w:t>银行账号：805159032500002</w:t>
      </w:r>
    </w:p>
    <w:p w14:paraId="0972EC62">
      <w:pPr>
        <w:pStyle w:val="6"/>
        <w:keepNext w:val="0"/>
        <w:keepLines w:val="0"/>
        <w:pageBreakBefore w:val="0"/>
        <w:widowControl/>
        <w:kinsoku w:val="0"/>
        <w:wordWrap/>
        <w:overflowPunct/>
        <w:topLinePunct w:val="0"/>
        <w:autoSpaceDE w:val="0"/>
        <w:autoSpaceDN w:val="0"/>
        <w:bidi w:val="0"/>
        <w:adjustRightInd w:val="0"/>
        <w:snapToGrid w:val="0"/>
        <w:spacing w:before="68" w:line="400" w:lineRule="exact"/>
        <w:ind w:right="123" w:firstLine="423"/>
        <w:textAlignment w:val="baseline"/>
        <w:rPr>
          <w:sz w:val="21"/>
          <w:szCs w:val="21"/>
        </w:rPr>
      </w:pPr>
      <w:r>
        <w:rPr>
          <w:b/>
          <w:bCs/>
          <w:spacing w:val="10"/>
          <w:sz w:val="21"/>
          <w:szCs w:val="21"/>
        </w:rPr>
        <w:t>37.解释权：</w:t>
      </w:r>
      <w:r>
        <w:rPr>
          <w:spacing w:val="10"/>
          <w:sz w:val="21"/>
          <w:szCs w:val="21"/>
        </w:rPr>
        <w:t>本招标文件是根据《中华人民共和国政府采购法》、《</w:t>
      </w:r>
      <w:r>
        <w:rPr>
          <w:spacing w:val="9"/>
          <w:sz w:val="21"/>
          <w:szCs w:val="21"/>
        </w:rPr>
        <w:t>中华人民共和国政府采购</w:t>
      </w:r>
      <w:r>
        <w:rPr>
          <w:spacing w:val="8"/>
          <w:sz w:val="21"/>
          <w:szCs w:val="21"/>
        </w:rPr>
        <w:t>法实施条例》及财政部令第87号《政府采购</w:t>
      </w:r>
      <w:r>
        <w:rPr>
          <w:spacing w:val="7"/>
          <w:sz w:val="21"/>
          <w:szCs w:val="21"/>
        </w:rPr>
        <w:t>货物和服务招标投标管理办法》和政府采购管理有关规</w:t>
      </w:r>
      <w:r>
        <w:rPr>
          <w:spacing w:val="9"/>
          <w:sz w:val="21"/>
          <w:szCs w:val="21"/>
        </w:rPr>
        <w:t>定编制，本招标文件的解释权属于采购代理机构。</w:t>
      </w:r>
    </w:p>
    <w:p w14:paraId="6FE50BBA">
      <w:pPr>
        <w:pStyle w:val="6"/>
        <w:keepNext w:val="0"/>
        <w:keepLines w:val="0"/>
        <w:pageBreakBefore w:val="0"/>
        <w:widowControl/>
        <w:kinsoku w:val="0"/>
        <w:wordWrap/>
        <w:overflowPunct/>
        <w:topLinePunct w:val="0"/>
        <w:autoSpaceDE w:val="0"/>
        <w:autoSpaceDN w:val="0"/>
        <w:bidi w:val="0"/>
        <w:adjustRightInd w:val="0"/>
        <w:snapToGrid w:val="0"/>
        <w:spacing w:before="74" w:line="400" w:lineRule="exact"/>
        <w:ind w:left="423"/>
        <w:textAlignment w:val="baseline"/>
        <w:rPr>
          <w:sz w:val="21"/>
          <w:szCs w:val="21"/>
        </w:rPr>
      </w:pPr>
      <w:r>
        <w:rPr>
          <w:b/>
          <w:bCs/>
          <w:spacing w:val="7"/>
          <w:sz w:val="21"/>
          <w:szCs w:val="21"/>
        </w:rPr>
        <w:t>38.监督管理机构：</w:t>
      </w:r>
      <w:r>
        <w:rPr>
          <w:spacing w:val="7"/>
          <w:sz w:val="21"/>
          <w:szCs w:val="21"/>
        </w:rPr>
        <w:t>兴安县人民政府采购管理办公室</w:t>
      </w:r>
      <w:r>
        <w:rPr>
          <w:rFonts w:hint="eastAsia"/>
          <w:spacing w:val="7"/>
          <w:sz w:val="21"/>
          <w:szCs w:val="21"/>
          <w:lang w:val="en-US" w:eastAsia="zh-CN"/>
        </w:rPr>
        <w:t xml:space="preserve">  联系</w:t>
      </w:r>
      <w:r>
        <w:rPr>
          <w:spacing w:val="7"/>
          <w:sz w:val="21"/>
          <w:szCs w:val="21"/>
        </w:rPr>
        <w:t>电话：0773-62206</w:t>
      </w:r>
      <w:r>
        <w:rPr>
          <w:spacing w:val="6"/>
          <w:sz w:val="21"/>
          <w:szCs w:val="21"/>
        </w:rPr>
        <w:t>51</w:t>
      </w:r>
    </w:p>
    <w:p w14:paraId="6F129679">
      <w:pPr>
        <w:spacing w:line="227" w:lineRule="auto"/>
        <w:rPr>
          <w:sz w:val="20"/>
          <w:szCs w:val="20"/>
        </w:rPr>
        <w:sectPr>
          <w:footerReference r:id="rId8" w:type="default"/>
          <w:pgSz w:w="11906" w:h="16839"/>
          <w:pgMar w:top="1409" w:right="1297" w:bottom="1355" w:left="1427" w:header="0" w:footer="1193" w:gutter="0"/>
          <w:pgNumType w:fmt="decimal"/>
          <w:cols w:space="720" w:num="1"/>
        </w:sectPr>
      </w:pPr>
    </w:p>
    <w:p w14:paraId="4D3A323F">
      <w:pPr>
        <w:spacing w:line="314" w:lineRule="auto"/>
        <w:rPr>
          <w:rFonts w:ascii="Arial"/>
          <w:sz w:val="21"/>
        </w:rPr>
      </w:pPr>
    </w:p>
    <w:p w14:paraId="48319E78">
      <w:pPr>
        <w:spacing w:line="315" w:lineRule="auto"/>
        <w:rPr>
          <w:rFonts w:ascii="Arial"/>
          <w:sz w:val="21"/>
        </w:rPr>
      </w:pPr>
    </w:p>
    <w:p w14:paraId="7980D5F4">
      <w:pPr>
        <w:pStyle w:val="6"/>
        <w:spacing w:before="97" w:line="219" w:lineRule="auto"/>
        <w:ind w:left="35"/>
        <w:rPr>
          <w:rFonts w:hint="eastAsia" w:eastAsia="宋体"/>
          <w:sz w:val="30"/>
          <w:szCs w:val="30"/>
          <w:lang w:val="en-US" w:eastAsia="zh-CN"/>
        </w:rPr>
      </w:pPr>
      <w:r>
        <w:rPr>
          <w:b/>
          <w:bCs/>
          <w:spacing w:val="-21"/>
          <w:sz w:val="30"/>
          <w:szCs w:val="30"/>
        </w:rPr>
        <w:t>附件</w:t>
      </w:r>
      <w:r>
        <w:rPr>
          <w:rFonts w:hint="eastAsia"/>
          <w:b/>
          <w:bCs/>
          <w:spacing w:val="-21"/>
          <w:sz w:val="30"/>
          <w:szCs w:val="30"/>
          <w:lang w:val="en-US" w:eastAsia="zh-CN"/>
        </w:rPr>
        <w:t>1</w:t>
      </w:r>
    </w:p>
    <w:p w14:paraId="463E4BF8">
      <w:pPr>
        <w:spacing w:line="249" w:lineRule="auto"/>
        <w:rPr>
          <w:rFonts w:ascii="Arial"/>
          <w:sz w:val="21"/>
        </w:rPr>
      </w:pPr>
    </w:p>
    <w:p w14:paraId="35F4E876">
      <w:pPr>
        <w:spacing w:line="249" w:lineRule="auto"/>
        <w:rPr>
          <w:rFonts w:ascii="Arial"/>
          <w:sz w:val="21"/>
        </w:rPr>
      </w:pPr>
    </w:p>
    <w:p w14:paraId="16B2E8FC">
      <w:pPr>
        <w:spacing w:line="7152" w:lineRule="exact"/>
      </w:pPr>
      <w:r>
        <w:rPr>
          <w:position w:val="-143"/>
        </w:rPr>
        <w:drawing>
          <wp:inline distT="0" distB="0" distL="0" distR="0">
            <wp:extent cx="5755640" cy="45415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0"/>
                    <a:stretch>
                      <a:fillRect/>
                    </a:stretch>
                  </pic:blipFill>
                  <pic:spPr>
                    <a:xfrm>
                      <a:off x="0" y="0"/>
                      <a:ext cx="5756148" cy="4541520"/>
                    </a:xfrm>
                    <a:prstGeom prst="rect">
                      <a:avLst/>
                    </a:prstGeom>
                  </pic:spPr>
                </pic:pic>
              </a:graphicData>
            </a:graphic>
          </wp:inline>
        </w:drawing>
      </w:r>
    </w:p>
    <w:p w14:paraId="49F9F127">
      <w:pPr>
        <w:spacing w:line="240" w:lineRule="auto"/>
      </w:pPr>
    </w:p>
    <w:p w14:paraId="259F9B5D">
      <w:pPr>
        <w:jc w:val="center"/>
        <w:rPr>
          <w:rFonts w:hint="eastAsia" w:ascii="仿宋" w:hAnsi="仿宋" w:eastAsia="仿宋" w:cs="仿宋"/>
          <w:b/>
          <w:bCs/>
          <w:color w:val="000000"/>
          <w:sz w:val="44"/>
          <w:szCs w:val="44"/>
          <w:highlight w:val="none"/>
        </w:rPr>
      </w:pPr>
    </w:p>
    <w:p w14:paraId="771E6AFF">
      <w:pPr>
        <w:jc w:val="center"/>
        <w:rPr>
          <w:rFonts w:hint="eastAsia" w:ascii="仿宋" w:hAnsi="仿宋" w:eastAsia="仿宋" w:cs="仿宋"/>
          <w:b/>
          <w:bCs/>
          <w:color w:val="000000"/>
          <w:sz w:val="44"/>
          <w:szCs w:val="44"/>
          <w:highlight w:val="none"/>
        </w:rPr>
      </w:pPr>
    </w:p>
    <w:p w14:paraId="76999E03">
      <w:pPr>
        <w:jc w:val="center"/>
        <w:rPr>
          <w:rFonts w:hint="eastAsia" w:ascii="仿宋" w:hAnsi="仿宋" w:eastAsia="仿宋" w:cs="仿宋"/>
          <w:b/>
          <w:bCs/>
          <w:color w:val="000000"/>
          <w:sz w:val="44"/>
          <w:szCs w:val="44"/>
          <w:highlight w:val="none"/>
        </w:rPr>
      </w:pPr>
    </w:p>
    <w:p w14:paraId="7A5366BD">
      <w:pPr>
        <w:jc w:val="center"/>
        <w:rPr>
          <w:rFonts w:hint="eastAsia" w:ascii="仿宋" w:hAnsi="仿宋" w:eastAsia="仿宋" w:cs="仿宋"/>
          <w:b/>
          <w:bCs/>
          <w:color w:val="000000"/>
          <w:sz w:val="44"/>
          <w:szCs w:val="44"/>
          <w:highlight w:val="none"/>
        </w:rPr>
      </w:pPr>
    </w:p>
    <w:p w14:paraId="53DBF8C6">
      <w:pPr>
        <w:jc w:val="center"/>
        <w:rPr>
          <w:rFonts w:hint="eastAsia" w:ascii="仿宋" w:hAnsi="仿宋" w:eastAsia="仿宋" w:cs="仿宋"/>
          <w:b/>
          <w:bCs/>
          <w:color w:val="000000"/>
          <w:sz w:val="44"/>
          <w:szCs w:val="44"/>
          <w:highlight w:val="none"/>
        </w:rPr>
      </w:pPr>
    </w:p>
    <w:p w14:paraId="5B56DE60">
      <w:pPr>
        <w:jc w:val="center"/>
        <w:rPr>
          <w:rFonts w:hint="eastAsia" w:ascii="仿宋" w:hAnsi="仿宋" w:eastAsia="仿宋" w:cs="仿宋"/>
          <w:b/>
          <w:bCs/>
          <w:color w:val="000000"/>
          <w:sz w:val="44"/>
          <w:szCs w:val="44"/>
          <w:highlight w:val="none"/>
        </w:rPr>
      </w:pPr>
    </w:p>
    <w:p w14:paraId="3073BA64">
      <w:pPr>
        <w:jc w:val="center"/>
        <w:rPr>
          <w:rFonts w:hint="eastAsia" w:ascii="仿宋" w:hAnsi="仿宋" w:eastAsia="仿宋" w:cs="仿宋"/>
          <w:b/>
          <w:bCs/>
          <w:color w:val="000000"/>
          <w:sz w:val="44"/>
          <w:szCs w:val="44"/>
          <w:highlight w:val="none"/>
        </w:rPr>
      </w:pPr>
    </w:p>
    <w:p w14:paraId="0806E88F">
      <w:pPr>
        <w:jc w:val="center"/>
        <w:rPr>
          <w:rFonts w:hint="eastAsia" w:ascii="仿宋" w:hAnsi="仿宋" w:eastAsia="仿宋" w:cs="仿宋"/>
          <w:b/>
          <w:bCs/>
          <w:color w:val="000000"/>
          <w:sz w:val="44"/>
          <w:szCs w:val="44"/>
          <w:highlight w:val="none"/>
        </w:rPr>
      </w:pPr>
    </w:p>
    <w:p w14:paraId="37746619">
      <w:pPr>
        <w:pStyle w:val="6"/>
        <w:spacing w:before="97" w:line="219" w:lineRule="auto"/>
        <w:ind w:left="35"/>
        <w:rPr>
          <w:b/>
          <w:bCs/>
          <w:spacing w:val="-21"/>
          <w:sz w:val="30"/>
          <w:szCs w:val="30"/>
        </w:rPr>
      </w:pPr>
    </w:p>
    <w:p w14:paraId="73F7A196">
      <w:pPr>
        <w:pStyle w:val="6"/>
        <w:spacing w:before="97" w:line="219" w:lineRule="auto"/>
        <w:ind w:left="35"/>
        <w:rPr>
          <w:rFonts w:hint="eastAsia" w:eastAsia="宋体"/>
          <w:sz w:val="30"/>
          <w:szCs w:val="30"/>
          <w:lang w:val="en-US" w:eastAsia="zh-CN"/>
        </w:rPr>
      </w:pPr>
      <w:r>
        <w:rPr>
          <w:b/>
          <w:bCs/>
          <w:spacing w:val="-21"/>
          <w:sz w:val="30"/>
          <w:szCs w:val="30"/>
        </w:rPr>
        <w:t>附件</w:t>
      </w:r>
      <w:r>
        <w:rPr>
          <w:rFonts w:hint="eastAsia"/>
          <w:b/>
          <w:bCs/>
          <w:spacing w:val="-21"/>
          <w:sz w:val="30"/>
          <w:szCs w:val="30"/>
          <w:lang w:val="en-US" w:eastAsia="zh-CN"/>
        </w:rPr>
        <w:t>2</w:t>
      </w:r>
    </w:p>
    <w:p w14:paraId="40F82F8A">
      <w:pPr>
        <w:jc w:val="center"/>
        <w:rPr>
          <w:rFonts w:ascii="仿宋" w:hAnsi="仿宋" w:eastAsia="仿宋" w:cs="仿宋"/>
          <w:b/>
          <w:bCs/>
          <w:color w:val="000000"/>
          <w:sz w:val="44"/>
          <w:szCs w:val="44"/>
          <w:highlight w:val="none"/>
        </w:rPr>
      </w:pPr>
      <w:r>
        <w:rPr>
          <w:rFonts w:hint="eastAsia" w:ascii="仿宋" w:hAnsi="仿宋" w:eastAsia="仿宋" w:cs="仿宋"/>
          <w:b/>
          <w:bCs/>
          <w:color w:val="000000"/>
          <w:sz w:val="44"/>
          <w:szCs w:val="44"/>
          <w:highlight w:val="none"/>
        </w:rPr>
        <w:t>质疑函范本</w:t>
      </w:r>
    </w:p>
    <w:p w14:paraId="5FB51DEF">
      <w:pPr>
        <w:adjustRightInd w:val="0"/>
        <w:snapToGrid w:val="0"/>
        <w:spacing w:before="240" w:beforeLines="100" w:line="360" w:lineRule="auto"/>
        <w:rPr>
          <w:rFonts w:hint="eastAsia" w:ascii="新宋体" w:hAnsi="新宋体" w:eastAsia="新宋体" w:cs="新宋体"/>
          <w:bCs/>
          <w:color w:val="000000"/>
          <w:sz w:val="21"/>
          <w:szCs w:val="21"/>
          <w:highlight w:val="none"/>
        </w:rPr>
      </w:pPr>
      <w:r>
        <w:rPr>
          <w:rFonts w:hint="eastAsia" w:ascii="新宋体" w:hAnsi="新宋体" w:eastAsia="新宋体" w:cs="新宋体"/>
          <w:bCs/>
          <w:color w:val="000000"/>
          <w:sz w:val="21"/>
          <w:szCs w:val="21"/>
          <w:highlight w:val="none"/>
        </w:rPr>
        <w:t>一、质疑供应商基本信息</w:t>
      </w:r>
    </w:p>
    <w:p w14:paraId="04594176">
      <w:pPr>
        <w:adjustRightInd w:val="0"/>
        <w:snapToGrid w:val="0"/>
        <w:spacing w:line="360" w:lineRule="auto"/>
        <w:rPr>
          <w:rFonts w:hint="default" w:ascii="新宋体" w:hAnsi="新宋体" w:eastAsia="新宋体" w:cs="新宋体"/>
          <w:color w:val="000000"/>
          <w:sz w:val="21"/>
          <w:szCs w:val="21"/>
          <w:highlight w:val="none"/>
          <w:u w:val="single"/>
          <w:lang w:val="en-US" w:eastAsia="zh-CN"/>
        </w:rPr>
      </w:pPr>
      <w:r>
        <w:rPr>
          <w:rFonts w:hint="eastAsia" w:ascii="新宋体" w:hAnsi="新宋体" w:eastAsia="新宋体" w:cs="新宋体"/>
          <w:color w:val="000000"/>
          <w:sz w:val="21"/>
          <w:szCs w:val="21"/>
          <w:highlight w:val="none"/>
        </w:rPr>
        <w:t>质疑供应商：</w:t>
      </w:r>
      <w:r>
        <w:rPr>
          <w:rFonts w:hint="eastAsia" w:ascii="新宋体" w:hAnsi="新宋体" w:eastAsia="新宋体" w:cs="新宋体"/>
          <w:color w:val="000000"/>
          <w:sz w:val="21"/>
          <w:szCs w:val="21"/>
          <w:highlight w:val="none"/>
          <w:u w:val="single"/>
          <w:lang w:val="en-US" w:eastAsia="zh-CN"/>
        </w:rPr>
        <w:t xml:space="preserve">                                </w:t>
      </w:r>
    </w:p>
    <w:p w14:paraId="2B458777">
      <w:pPr>
        <w:adjustRightInd w:val="0"/>
        <w:snapToGrid w:val="0"/>
        <w:spacing w:line="360" w:lineRule="auto"/>
        <w:rPr>
          <w:rFonts w:hint="default" w:ascii="新宋体" w:hAnsi="新宋体" w:eastAsia="新宋体" w:cs="新宋体"/>
          <w:color w:val="000000"/>
          <w:sz w:val="21"/>
          <w:szCs w:val="21"/>
          <w:highlight w:val="none"/>
          <w:lang w:val="en-US" w:eastAsia="zh-CN"/>
        </w:rPr>
      </w:pPr>
      <w:r>
        <w:rPr>
          <w:rFonts w:hint="eastAsia" w:ascii="新宋体" w:hAnsi="新宋体" w:eastAsia="新宋体" w:cs="新宋体"/>
          <w:color w:val="000000"/>
          <w:sz w:val="21"/>
          <w:szCs w:val="21"/>
          <w:highlight w:val="none"/>
        </w:rPr>
        <w:t>地址：邮编：</w:t>
      </w:r>
      <w:r>
        <w:rPr>
          <w:rFonts w:hint="eastAsia" w:ascii="新宋体" w:hAnsi="新宋体" w:eastAsia="新宋体" w:cs="新宋体"/>
          <w:color w:val="000000"/>
          <w:sz w:val="21"/>
          <w:szCs w:val="21"/>
          <w:highlight w:val="none"/>
          <w:u w:val="single"/>
          <w:lang w:val="en-US" w:eastAsia="zh-CN"/>
        </w:rPr>
        <w:t xml:space="preserve">                                </w:t>
      </w:r>
    </w:p>
    <w:p w14:paraId="601F64CE">
      <w:pPr>
        <w:adjustRightInd w:val="0"/>
        <w:snapToGrid w:val="0"/>
        <w:spacing w:line="360" w:lineRule="auto"/>
        <w:rPr>
          <w:rFonts w:hint="eastAsia" w:ascii="新宋体" w:hAnsi="新宋体" w:eastAsia="新宋体" w:cs="新宋体"/>
          <w:color w:val="000000"/>
          <w:sz w:val="21"/>
          <w:szCs w:val="21"/>
          <w:highlight w:val="none"/>
          <w:lang w:eastAsia="zh-CN"/>
        </w:rPr>
      </w:pPr>
      <w:r>
        <w:rPr>
          <w:rFonts w:hint="eastAsia" w:ascii="新宋体" w:hAnsi="新宋体" w:eastAsia="新宋体" w:cs="新宋体"/>
          <w:color w:val="000000"/>
          <w:sz w:val="21"/>
          <w:szCs w:val="21"/>
          <w:highlight w:val="none"/>
        </w:rPr>
        <w:t>联系人：联系电话：</w:t>
      </w:r>
      <w:r>
        <w:rPr>
          <w:rFonts w:hint="eastAsia" w:ascii="新宋体" w:hAnsi="新宋体" w:eastAsia="新宋体" w:cs="新宋体"/>
          <w:color w:val="000000"/>
          <w:sz w:val="21"/>
          <w:szCs w:val="21"/>
          <w:highlight w:val="none"/>
          <w:u w:val="single"/>
          <w:lang w:val="en-US" w:eastAsia="zh-CN"/>
        </w:rPr>
        <w:t xml:space="preserve">                          </w:t>
      </w:r>
    </w:p>
    <w:p w14:paraId="7A853DED">
      <w:pPr>
        <w:adjustRightInd w:val="0"/>
        <w:snapToGrid w:val="0"/>
        <w:spacing w:line="360" w:lineRule="auto"/>
        <w:rPr>
          <w:rFonts w:hint="default" w:ascii="新宋体" w:hAnsi="新宋体" w:eastAsia="新宋体" w:cs="新宋体"/>
          <w:color w:val="000000"/>
          <w:sz w:val="21"/>
          <w:szCs w:val="21"/>
          <w:highlight w:val="none"/>
          <w:u w:val="single"/>
          <w:lang w:val="en-US" w:eastAsia="zh-CN"/>
        </w:rPr>
      </w:pPr>
      <w:r>
        <w:rPr>
          <w:rFonts w:hint="eastAsia" w:ascii="新宋体" w:hAnsi="新宋体" w:eastAsia="新宋体" w:cs="新宋体"/>
          <w:color w:val="000000"/>
          <w:sz w:val="21"/>
          <w:szCs w:val="21"/>
          <w:highlight w:val="none"/>
        </w:rPr>
        <w:t>授权代表：</w:t>
      </w:r>
      <w:r>
        <w:rPr>
          <w:rFonts w:hint="eastAsia" w:ascii="新宋体" w:hAnsi="新宋体" w:eastAsia="新宋体" w:cs="新宋体"/>
          <w:color w:val="000000"/>
          <w:sz w:val="21"/>
          <w:szCs w:val="21"/>
          <w:highlight w:val="none"/>
          <w:u w:val="single"/>
          <w:lang w:val="en-US" w:eastAsia="zh-CN"/>
        </w:rPr>
        <w:t xml:space="preserve">                                  </w:t>
      </w:r>
    </w:p>
    <w:p w14:paraId="7CD66FFD">
      <w:pPr>
        <w:adjustRightInd w:val="0"/>
        <w:snapToGrid w:val="0"/>
        <w:spacing w:line="360" w:lineRule="auto"/>
        <w:rPr>
          <w:rFonts w:hint="default" w:ascii="新宋体" w:hAnsi="新宋体" w:eastAsia="新宋体" w:cs="新宋体"/>
          <w:color w:val="000000"/>
          <w:sz w:val="21"/>
          <w:szCs w:val="21"/>
          <w:highlight w:val="none"/>
          <w:lang w:val="en-US" w:eastAsia="zh-CN"/>
        </w:rPr>
      </w:pPr>
      <w:r>
        <w:rPr>
          <w:rFonts w:hint="eastAsia" w:ascii="新宋体" w:hAnsi="新宋体" w:eastAsia="新宋体" w:cs="新宋体"/>
          <w:color w:val="000000"/>
          <w:sz w:val="21"/>
          <w:szCs w:val="21"/>
          <w:highlight w:val="none"/>
        </w:rPr>
        <w:t>联系电话：</w:t>
      </w:r>
      <w:r>
        <w:rPr>
          <w:rFonts w:hint="eastAsia" w:ascii="新宋体" w:hAnsi="新宋体" w:eastAsia="新宋体" w:cs="新宋体"/>
          <w:color w:val="000000"/>
          <w:sz w:val="21"/>
          <w:szCs w:val="21"/>
          <w:highlight w:val="none"/>
          <w:u w:val="single"/>
          <w:lang w:val="en-US" w:eastAsia="zh-CN"/>
        </w:rPr>
        <w:t xml:space="preserve">                                  </w:t>
      </w:r>
    </w:p>
    <w:p w14:paraId="5D707CAE">
      <w:pPr>
        <w:adjustRightInd w:val="0"/>
        <w:snapToGrid w:val="0"/>
        <w:spacing w:line="360" w:lineRule="auto"/>
        <w:rPr>
          <w:rFonts w:hint="default" w:ascii="新宋体" w:hAnsi="新宋体" w:eastAsia="新宋体" w:cs="新宋体"/>
          <w:color w:val="000000"/>
          <w:sz w:val="21"/>
          <w:szCs w:val="21"/>
          <w:highlight w:val="none"/>
          <w:u w:val="dotted"/>
          <w:lang w:val="en-US" w:eastAsia="zh-CN"/>
        </w:rPr>
      </w:pPr>
      <w:r>
        <w:rPr>
          <w:rFonts w:hint="eastAsia" w:ascii="新宋体" w:hAnsi="新宋体" w:eastAsia="新宋体" w:cs="新宋体"/>
          <w:color w:val="000000"/>
          <w:sz w:val="21"/>
          <w:szCs w:val="21"/>
          <w:highlight w:val="none"/>
        </w:rPr>
        <w:t>地址：邮编：</w:t>
      </w:r>
      <w:r>
        <w:rPr>
          <w:rFonts w:hint="eastAsia" w:ascii="新宋体" w:hAnsi="新宋体" w:eastAsia="新宋体" w:cs="新宋体"/>
          <w:color w:val="000000"/>
          <w:sz w:val="21"/>
          <w:szCs w:val="21"/>
          <w:highlight w:val="none"/>
          <w:u w:val="single"/>
          <w:lang w:val="en-US" w:eastAsia="zh-CN"/>
        </w:rPr>
        <w:t xml:space="preserve">                                </w:t>
      </w:r>
    </w:p>
    <w:p w14:paraId="7F7562AB">
      <w:pPr>
        <w:adjustRightInd w:val="0"/>
        <w:snapToGrid w:val="0"/>
        <w:spacing w:line="360" w:lineRule="auto"/>
        <w:rPr>
          <w:rFonts w:hint="eastAsia" w:ascii="新宋体" w:hAnsi="新宋体" w:eastAsia="新宋体" w:cs="新宋体"/>
          <w:bCs/>
          <w:color w:val="000000"/>
          <w:sz w:val="21"/>
          <w:szCs w:val="21"/>
          <w:highlight w:val="none"/>
        </w:rPr>
      </w:pPr>
      <w:r>
        <w:rPr>
          <w:rFonts w:hint="eastAsia" w:ascii="新宋体" w:hAnsi="新宋体" w:eastAsia="新宋体" w:cs="新宋体"/>
          <w:bCs/>
          <w:color w:val="000000"/>
          <w:sz w:val="21"/>
          <w:szCs w:val="21"/>
          <w:highlight w:val="none"/>
        </w:rPr>
        <w:t>二、质疑项目基本情况</w:t>
      </w:r>
    </w:p>
    <w:p w14:paraId="62956248">
      <w:pPr>
        <w:adjustRightInd w:val="0"/>
        <w:snapToGrid w:val="0"/>
        <w:spacing w:line="360" w:lineRule="auto"/>
        <w:rPr>
          <w:rFonts w:hint="default" w:ascii="新宋体" w:hAnsi="新宋体" w:eastAsia="新宋体" w:cs="新宋体"/>
          <w:color w:val="000000"/>
          <w:sz w:val="21"/>
          <w:szCs w:val="21"/>
          <w:highlight w:val="none"/>
          <w:lang w:val="en-US" w:eastAsia="zh-CN"/>
        </w:rPr>
      </w:pPr>
      <w:r>
        <w:rPr>
          <w:rFonts w:hint="eastAsia" w:ascii="新宋体" w:hAnsi="新宋体" w:eastAsia="新宋体" w:cs="新宋体"/>
          <w:color w:val="000000"/>
          <w:sz w:val="21"/>
          <w:szCs w:val="21"/>
          <w:highlight w:val="none"/>
        </w:rPr>
        <w:t>质疑项目的名称：</w:t>
      </w:r>
      <w:r>
        <w:rPr>
          <w:rFonts w:hint="eastAsia" w:ascii="新宋体" w:hAnsi="新宋体" w:eastAsia="新宋体" w:cs="新宋体"/>
          <w:color w:val="000000"/>
          <w:sz w:val="21"/>
          <w:szCs w:val="21"/>
          <w:highlight w:val="none"/>
          <w:u w:val="single"/>
          <w:lang w:val="en-US" w:eastAsia="zh-CN"/>
        </w:rPr>
        <w:t xml:space="preserve">                            </w:t>
      </w:r>
    </w:p>
    <w:p w14:paraId="62FBD00A">
      <w:pPr>
        <w:adjustRightInd w:val="0"/>
        <w:snapToGrid w:val="0"/>
        <w:spacing w:line="360" w:lineRule="auto"/>
        <w:rPr>
          <w:rFonts w:hint="default" w:ascii="新宋体" w:hAnsi="新宋体" w:eastAsia="新宋体" w:cs="新宋体"/>
          <w:color w:val="000000"/>
          <w:sz w:val="21"/>
          <w:szCs w:val="21"/>
          <w:highlight w:val="none"/>
          <w:lang w:val="en-US" w:eastAsia="zh-CN"/>
        </w:rPr>
      </w:pPr>
      <w:r>
        <w:rPr>
          <w:rFonts w:hint="eastAsia" w:ascii="新宋体" w:hAnsi="新宋体" w:eastAsia="新宋体" w:cs="新宋体"/>
          <w:color w:val="000000"/>
          <w:sz w:val="21"/>
          <w:szCs w:val="21"/>
          <w:highlight w:val="none"/>
        </w:rPr>
        <w:t>质疑项目的编号：包号：</w:t>
      </w:r>
      <w:r>
        <w:rPr>
          <w:rFonts w:hint="eastAsia" w:ascii="新宋体" w:hAnsi="新宋体" w:eastAsia="新宋体" w:cs="新宋体"/>
          <w:color w:val="000000"/>
          <w:sz w:val="21"/>
          <w:szCs w:val="21"/>
          <w:highlight w:val="none"/>
          <w:u w:val="single"/>
          <w:lang w:val="en-US" w:eastAsia="zh-CN"/>
        </w:rPr>
        <w:t xml:space="preserve">                      </w:t>
      </w:r>
      <w:r>
        <w:rPr>
          <w:rFonts w:hint="eastAsia" w:ascii="新宋体" w:hAnsi="新宋体" w:eastAsia="新宋体" w:cs="新宋体"/>
          <w:color w:val="000000"/>
          <w:sz w:val="21"/>
          <w:szCs w:val="21"/>
          <w:highlight w:val="none"/>
          <w:lang w:val="en-US" w:eastAsia="zh-CN"/>
        </w:rPr>
        <w:t xml:space="preserve"> </w:t>
      </w:r>
    </w:p>
    <w:p w14:paraId="570681A0">
      <w:pPr>
        <w:adjustRightInd w:val="0"/>
        <w:snapToGrid w:val="0"/>
        <w:spacing w:line="360" w:lineRule="auto"/>
        <w:rPr>
          <w:rFonts w:hint="default" w:ascii="新宋体" w:hAnsi="新宋体" w:eastAsia="新宋体" w:cs="新宋体"/>
          <w:color w:val="000000"/>
          <w:sz w:val="21"/>
          <w:szCs w:val="21"/>
          <w:highlight w:val="none"/>
          <w:u w:val="dotted"/>
          <w:lang w:val="en-US" w:eastAsia="zh-CN"/>
        </w:rPr>
      </w:pPr>
      <w:r>
        <w:rPr>
          <w:rFonts w:hint="eastAsia" w:ascii="新宋体" w:hAnsi="新宋体" w:eastAsia="新宋体" w:cs="新宋体"/>
          <w:color w:val="000000"/>
          <w:sz w:val="21"/>
          <w:szCs w:val="21"/>
          <w:highlight w:val="none"/>
        </w:rPr>
        <w:t>采购人名称：</w:t>
      </w:r>
      <w:r>
        <w:rPr>
          <w:rFonts w:hint="eastAsia" w:ascii="新宋体" w:hAnsi="新宋体" w:eastAsia="新宋体" w:cs="新宋体"/>
          <w:color w:val="000000"/>
          <w:sz w:val="21"/>
          <w:szCs w:val="21"/>
          <w:highlight w:val="none"/>
          <w:u w:val="single"/>
          <w:lang w:val="en-US" w:eastAsia="zh-CN"/>
        </w:rPr>
        <w:t xml:space="preserve">                                </w:t>
      </w:r>
    </w:p>
    <w:p w14:paraId="019487D7">
      <w:pPr>
        <w:adjustRightInd w:val="0"/>
        <w:snapToGrid w:val="0"/>
        <w:spacing w:line="360" w:lineRule="auto"/>
        <w:rPr>
          <w:rFonts w:hint="default" w:ascii="新宋体" w:hAnsi="新宋体" w:eastAsia="新宋体" w:cs="新宋体"/>
          <w:color w:val="000000"/>
          <w:sz w:val="21"/>
          <w:szCs w:val="21"/>
          <w:highlight w:val="none"/>
          <w:u w:val="single"/>
          <w:lang w:val="en-US" w:eastAsia="zh-CN"/>
        </w:rPr>
      </w:pPr>
      <w:r>
        <w:rPr>
          <w:rFonts w:hint="eastAsia" w:ascii="新宋体" w:hAnsi="新宋体" w:eastAsia="新宋体" w:cs="新宋体"/>
          <w:color w:val="000000"/>
          <w:sz w:val="21"/>
          <w:szCs w:val="21"/>
          <w:highlight w:val="none"/>
        </w:rPr>
        <w:t>采购文件获取日期：</w:t>
      </w:r>
      <w:r>
        <w:rPr>
          <w:rFonts w:hint="eastAsia" w:ascii="新宋体" w:hAnsi="新宋体" w:eastAsia="新宋体" w:cs="新宋体"/>
          <w:color w:val="000000"/>
          <w:sz w:val="21"/>
          <w:szCs w:val="21"/>
          <w:highlight w:val="none"/>
          <w:u w:val="single"/>
          <w:lang w:val="en-US" w:eastAsia="zh-CN"/>
        </w:rPr>
        <w:t xml:space="preserve">                          </w:t>
      </w:r>
    </w:p>
    <w:p w14:paraId="2D0783D8">
      <w:pPr>
        <w:adjustRightInd w:val="0"/>
        <w:snapToGrid w:val="0"/>
        <w:spacing w:line="360" w:lineRule="auto"/>
        <w:rPr>
          <w:rFonts w:hint="eastAsia" w:ascii="新宋体" w:hAnsi="新宋体" w:eastAsia="新宋体" w:cs="新宋体"/>
          <w:bCs/>
          <w:color w:val="000000"/>
          <w:sz w:val="21"/>
          <w:szCs w:val="21"/>
          <w:highlight w:val="none"/>
        </w:rPr>
      </w:pPr>
      <w:r>
        <w:rPr>
          <w:rFonts w:hint="eastAsia" w:ascii="新宋体" w:hAnsi="新宋体" w:eastAsia="新宋体" w:cs="新宋体"/>
          <w:bCs/>
          <w:color w:val="000000"/>
          <w:sz w:val="21"/>
          <w:szCs w:val="21"/>
          <w:highlight w:val="none"/>
        </w:rPr>
        <w:t>三、质疑事项具体内容</w:t>
      </w:r>
    </w:p>
    <w:p w14:paraId="53B4851D">
      <w:pPr>
        <w:adjustRightInd w:val="0"/>
        <w:snapToGrid w:val="0"/>
        <w:spacing w:line="360" w:lineRule="auto"/>
        <w:rPr>
          <w:rFonts w:hint="default" w:ascii="新宋体" w:hAnsi="新宋体" w:eastAsia="新宋体" w:cs="新宋体"/>
          <w:color w:val="000000"/>
          <w:sz w:val="21"/>
          <w:szCs w:val="21"/>
          <w:highlight w:val="none"/>
          <w:u w:val="single"/>
          <w:lang w:val="en-US" w:eastAsia="zh-CN"/>
        </w:rPr>
      </w:pPr>
      <w:r>
        <w:rPr>
          <w:rFonts w:hint="eastAsia" w:ascii="新宋体" w:hAnsi="新宋体" w:eastAsia="新宋体" w:cs="新宋体"/>
          <w:color w:val="000000"/>
          <w:sz w:val="21"/>
          <w:szCs w:val="21"/>
          <w:highlight w:val="none"/>
        </w:rPr>
        <w:t>质疑事项1：</w:t>
      </w:r>
      <w:r>
        <w:rPr>
          <w:rFonts w:hint="eastAsia" w:ascii="新宋体" w:hAnsi="新宋体" w:eastAsia="新宋体" w:cs="新宋体"/>
          <w:color w:val="000000"/>
          <w:sz w:val="21"/>
          <w:szCs w:val="21"/>
          <w:highlight w:val="none"/>
          <w:u w:val="single"/>
          <w:lang w:val="en-US" w:eastAsia="zh-CN"/>
        </w:rPr>
        <w:t xml:space="preserve">                                 </w:t>
      </w:r>
    </w:p>
    <w:p w14:paraId="02BD8D8C">
      <w:pPr>
        <w:adjustRightInd w:val="0"/>
        <w:snapToGrid w:val="0"/>
        <w:spacing w:line="360" w:lineRule="auto"/>
        <w:rPr>
          <w:rFonts w:hint="eastAsia" w:ascii="新宋体" w:hAnsi="新宋体" w:eastAsia="新宋体" w:cs="新宋体"/>
          <w:color w:val="000000"/>
          <w:sz w:val="21"/>
          <w:szCs w:val="21"/>
          <w:highlight w:val="none"/>
          <w:u w:val="dotted"/>
          <w:lang w:eastAsia="zh-CN"/>
        </w:rPr>
      </w:pPr>
      <w:r>
        <w:rPr>
          <w:rFonts w:hint="eastAsia" w:ascii="新宋体" w:hAnsi="新宋体" w:eastAsia="新宋体" w:cs="新宋体"/>
          <w:color w:val="000000"/>
          <w:sz w:val="21"/>
          <w:szCs w:val="21"/>
          <w:highlight w:val="none"/>
        </w:rPr>
        <w:t>事实依据：</w:t>
      </w:r>
      <w:r>
        <w:rPr>
          <w:rFonts w:hint="eastAsia" w:ascii="新宋体" w:hAnsi="新宋体" w:eastAsia="新宋体" w:cs="新宋体"/>
          <w:color w:val="000000"/>
          <w:sz w:val="21"/>
          <w:szCs w:val="21"/>
          <w:highlight w:val="none"/>
          <w:u w:val="single"/>
          <w:lang w:val="en-US" w:eastAsia="zh-CN"/>
        </w:rPr>
        <w:t xml:space="preserve">                                  </w:t>
      </w:r>
    </w:p>
    <w:p w14:paraId="23A2F71C">
      <w:pPr>
        <w:adjustRightInd w:val="0"/>
        <w:snapToGrid w:val="0"/>
        <w:spacing w:line="360" w:lineRule="auto"/>
        <w:rPr>
          <w:rFonts w:hint="eastAsia" w:ascii="新宋体" w:hAnsi="新宋体" w:eastAsia="新宋体" w:cs="新宋体"/>
          <w:color w:val="000000"/>
          <w:sz w:val="21"/>
          <w:szCs w:val="21"/>
          <w:highlight w:val="none"/>
          <w:u w:val="single"/>
          <w:lang w:val="en-US" w:eastAsia="zh-CN"/>
        </w:rPr>
      </w:pPr>
      <w:r>
        <w:rPr>
          <w:rFonts w:hint="eastAsia" w:ascii="新宋体" w:hAnsi="新宋体" w:eastAsia="新宋体" w:cs="新宋体"/>
          <w:color w:val="000000"/>
          <w:sz w:val="21"/>
          <w:szCs w:val="21"/>
          <w:highlight w:val="none"/>
        </w:rPr>
        <w:t>法律依据：</w:t>
      </w:r>
      <w:r>
        <w:rPr>
          <w:rFonts w:hint="eastAsia" w:ascii="新宋体" w:hAnsi="新宋体" w:eastAsia="新宋体" w:cs="新宋体"/>
          <w:color w:val="000000"/>
          <w:sz w:val="21"/>
          <w:szCs w:val="21"/>
          <w:highlight w:val="none"/>
          <w:u w:val="single"/>
          <w:lang w:val="en-US" w:eastAsia="zh-CN"/>
        </w:rPr>
        <w:t xml:space="preserve">                                  </w:t>
      </w:r>
    </w:p>
    <w:p w14:paraId="272C77B7">
      <w:pPr>
        <w:adjustRightInd w:val="0"/>
        <w:snapToGrid w:val="0"/>
        <w:spacing w:line="360" w:lineRule="auto"/>
        <w:rPr>
          <w:rFonts w:hint="eastAsia" w:ascii="新宋体" w:hAnsi="新宋体" w:eastAsia="新宋体" w:cs="新宋体"/>
          <w:color w:val="000000"/>
          <w:sz w:val="21"/>
          <w:szCs w:val="21"/>
          <w:highlight w:val="none"/>
          <w:u w:val="single"/>
          <w:lang w:val="en-US" w:eastAsia="zh-CN"/>
        </w:rPr>
      </w:pPr>
    </w:p>
    <w:p w14:paraId="5FEB3CAA">
      <w:pPr>
        <w:adjustRightInd w:val="0"/>
        <w:snapToGrid w:val="0"/>
        <w:spacing w:line="360" w:lineRule="auto"/>
        <w:rPr>
          <w:rFonts w:hint="eastAsia" w:ascii="新宋体" w:hAnsi="新宋体" w:eastAsia="新宋体" w:cs="新宋体"/>
          <w:color w:val="000000"/>
          <w:sz w:val="21"/>
          <w:szCs w:val="21"/>
          <w:highlight w:val="none"/>
          <w:u w:val="dotted"/>
        </w:rPr>
      </w:pPr>
      <w:r>
        <w:rPr>
          <w:rFonts w:hint="eastAsia" w:ascii="新宋体" w:hAnsi="新宋体" w:eastAsia="新宋体" w:cs="新宋体"/>
          <w:color w:val="000000"/>
          <w:sz w:val="21"/>
          <w:szCs w:val="21"/>
          <w:highlight w:val="none"/>
        </w:rPr>
        <w:t>质疑事项2</w:t>
      </w:r>
    </w:p>
    <w:p w14:paraId="7BEF7C72">
      <w:pPr>
        <w:adjustRightInd w:val="0"/>
        <w:snapToGrid w:val="0"/>
        <w:spacing w:line="360" w:lineRule="auto"/>
        <w:rPr>
          <w:rFonts w:hint="eastAsia" w:ascii="新宋体" w:hAnsi="新宋体" w:eastAsia="新宋体" w:cs="新宋体"/>
          <w:color w:val="000000"/>
          <w:sz w:val="21"/>
          <w:szCs w:val="21"/>
          <w:highlight w:val="none"/>
        </w:rPr>
      </w:pPr>
      <w:r>
        <w:rPr>
          <w:rFonts w:hint="eastAsia" w:ascii="新宋体" w:hAnsi="新宋体" w:eastAsia="新宋体" w:cs="新宋体"/>
          <w:color w:val="000000"/>
          <w:sz w:val="21"/>
          <w:szCs w:val="21"/>
          <w:highlight w:val="none"/>
        </w:rPr>
        <w:t>……</w:t>
      </w:r>
    </w:p>
    <w:p w14:paraId="06580000">
      <w:pPr>
        <w:adjustRightInd w:val="0"/>
        <w:snapToGrid w:val="0"/>
        <w:spacing w:line="360" w:lineRule="auto"/>
        <w:rPr>
          <w:rFonts w:hint="eastAsia" w:ascii="新宋体" w:hAnsi="新宋体" w:eastAsia="新宋体" w:cs="新宋体"/>
          <w:bCs/>
          <w:color w:val="000000"/>
          <w:sz w:val="21"/>
          <w:szCs w:val="21"/>
          <w:highlight w:val="none"/>
        </w:rPr>
      </w:pPr>
      <w:r>
        <w:rPr>
          <w:rFonts w:hint="eastAsia" w:ascii="新宋体" w:hAnsi="新宋体" w:eastAsia="新宋体" w:cs="新宋体"/>
          <w:bCs/>
          <w:color w:val="000000"/>
          <w:sz w:val="21"/>
          <w:szCs w:val="21"/>
          <w:highlight w:val="none"/>
        </w:rPr>
        <w:t>四、与质疑事项相关的质疑请求</w:t>
      </w:r>
    </w:p>
    <w:p w14:paraId="773C0E6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sz w:val="21"/>
          <w:szCs w:val="21"/>
          <w:highlight w:val="none"/>
          <w:u w:val="dotted"/>
          <w:lang w:eastAsia="zh-CN"/>
        </w:rPr>
      </w:pPr>
      <w:r>
        <w:rPr>
          <w:rFonts w:hint="eastAsia" w:ascii="宋体" w:hAnsi="宋体" w:eastAsia="宋体" w:cs="宋体"/>
          <w:color w:val="000000"/>
          <w:sz w:val="21"/>
          <w:szCs w:val="21"/>
          <w:highlight w:val="none"/>
        </w:rPr>
        <w:t>请求：</w:t>
      </w:r>
    </w:p>
    <w:p w14:paraId="0BB612C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签字(签章)：公章：</w:t>
      </w:r>
    </w:p>
    <w:p w14:paraId="620BE81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日期：</w:t>
      </w:r>
    </w:p>
    <w:p w14:paraId="31A875A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sz w:val="21"/>
          <w:szCs w:val="21"/>
          <w:highlight w:val="none"/>
        </w:rPr>
        <w:t>质疑函制作说明：</w:t>
      </w:r>
    </w:p>
    <w:p w14:paraId="75BF2A66">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left"/>
        <w:textAlignment w:val="baseline"/>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1</w:t>
      </w:r>
      <w:r>
        <w:rPr>
          <w:rFonts w:hint="eastAsia" w:asciiTheme="minorEastAsia" w:hAnsiTheme="minorEastAsia" w:eastAsiaTheme="minorEastAsia" w:cstheme="minorEastAsia"/>
          <w:color w:val="000000"/>
          <w:sz w:val="20"/>
          <w:szCs w:val="20"/>
          <w:highlight w:val="none"/>
          <w:lang w:eastAsia="zh-CN"/>
        </w:rPr>
        <w:t>、</w:t>
      </w:r>
      <w:r>
        <w:rPr>
          <w:rFonts w:hint="eastAsia" w:asciiTheme="minorEastAsia" w:hAnsiTheme="minorEastAsia" w:eastAsiaTheme="minorEastAsia" w:cstheme="minorEastAsia"/>
          <w:color w:val="000000"/>
          <w:sz w:val="20"/>
          <w:szCs w:val="20"/>
          <w:highlight w:val="none"/>
        </w:rPr>
        <w:t>供应商提出质疑时，应提交质疑函和必要的证明材料。</w:t>
      </w:r>
    </w:p>
    <w:p w14:paraId="79A05CDE">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left"/>
        <w:textAlignment w:val="baseline"/>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2</w:t>
      </w:r>
      <w:r>
        <w:rPr>
          <w:rFonts w:hint="eastAsia" w:asciiTheme="minorEastAsia" w:hAnsiTheme="minorEastAsia" w:eastAsiaTheme="minorEastAsia" w:cstheme="minorEastAsia"/>
          <w:color w:val="000000"/>
          <w:sz w:val="20"/>
          <w:szCs w:val="20"/>
          <w:highlight w:val="none"/>
          <w:lang w:eastAsia="zh-CN"/>
        </w:rPr>
        <w:t>、</w:t>
      </w:r>
      <w:r>
        <w:rPr>
          <w:rFonts w:hint="eastAsia" w:asciiTheme="minorEastAsia" w:hAnsiTheme="minorEastAsia" w:eastAsiaTheme="minorEastAsia" w:cstheme="minorEastAsia"/>
          <w:color w:val="000000"/>
          <w:sz w:val="20"/>
          <w:szCs w:val="20"/>
          <w:highlight w:val="none"/>
        </w:rPr>
        <w:t>质疑供应商若委托代理人进行质疑的，质疑函应按要求列明“授权代表”的有关内容，并在附件中提交由质疑</w:t>
      </w:r>
      <w:r>
        <w:rPr>
          <w:rFonts w:hint="eastAsia" w:asciiTheme="minorEastAsia" w:hAnsiTheme="minorEastAsia" w:eastAsiaTheme="minorEastAsia" w:cstheme="minorEastAsia"/>
          <w:color w:val="000000"/>
          <w:kern w:val="0"/>
          <w:sz w:val="20"/>
          <w:szCs w:val="20"/>
          <w:highlight w:val="none"/>
        </w:rPr>
        <w:t>供应商签署的授权委托书。授权委托书应载明代理人的姓名或者名称、代理事项、具体权限、期限和相关事项。</w:t>
      </w:r>
    </w:p>
    <w:p w14:paraId="12662643">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left"/>
        <w:textAlignment w:val="baseline"/>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3</w:t>
      </w:r>
      <w:r>
        <w:rPr>
          <w:rFonts w:hint="eastAsia" w:asciiTheme="minorEastAsia" w:hAnsiTheme="minorEastAsia" w:eastAsiaTheme="minorEastAsia" w:cstheme="minorEastAsia"/>
          <w:color w:val="000000"/>
          <w:sz w:val="20"/>
          <w:szCs w:val="20"/>
          <w:highlight w:val="none"/>
          <w:lang w:eastAsia="zh-CN"/>
        </w:rPr>
        <w:t>、</w:t>
      </w:r>
      <w:r>
        <w:rPr>
          <w:rFonts w:hint="eastAsia" w:asciiTheme="minorEastAsia" w:hAnsiTheme="minorEastAsia" w:eastAsiaTheme="minorEastAsia" w:cstheme="minorEastAsia"/>
          <w:color w:val="000000"/>
          <w:sz w:val="20"/>
          <w:szCs w:val="20"/>
          <w:highlight w:val="none"/>
        </w:rPr>
        <w:t>质疑供应商若对项目的某一分包进行质疑，质疑函中应列明具体分包号。</w:t>
      </w:r>
    </w:p>
    <w:p w14:paraId="17DC9337">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left"/>
        <w:textAlignment w:val="baseline"/>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4</w:t>
      </w:r>
      <w:r>
        <w:rPr>
          <w:rFonts w:hint="eastAsia" w:asciiTheme="minorEastAsia" w:hAnsiTheme="minorEastAsia" w:eastAsiaTheme="minorEastAsia" w:cstheme="minorEastAsia"/>
          <w:color w:val="000000"/>
          <w:sz w:val="20"/>
          <w:szCs w:val="20"/>
          <w:highlight w:val="none"/>
          <w:lang w:eastAsia="zh-CN"/>
        </w:rPr>
        <w:t>、</w:t>
      </w:r>
      <w:r>
        <w:rPr>
          <w:rFonts w:hint="eastAsia" w:asciiTheme="minorEastAsia" w:hAnsiTheme="minorEastAsia" w:eastAsiaTheme="minorEastAsia" w:cstheme="minorEastAsia"/>
          <w:color w:val="000000"/>
          <w:sz w:val="20"/>
          <w:szCs w:val="20"/>
          <w:highlight w:val="none"/>
        </w:rPr>
        <w:t>质疑函的质疑事项应具体、明确，并有必要的事实依据和法律依据。</w:t>
      </w:r>
    </w:p>
    <w:p w14:paraId="7CA06DC0">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left"/>
        <w:textAlignment w:val="baseline"/>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5</w:t>
      </w:r>
      <w:r>
        <w:rPr>
          <w:rFonts w:hint="eastAsia" w:asciiTheme="minorEastAsia" w:hAnsiTheme="minorEastAsia" w:eastAsiaTheme="minorEastAsia" w:cstheme="minorEastAsia"/>
          <w:color w:val="000000"/>
          <w:sz w:val="20"/>
          <w:szCs w:val="20"/>
          <w:highlight w:val="none"/>
          <w:lang w:eastAsia="zh-CN"/>
        </w:rPr>
        <w:t>、</w:t>
      </w:r>
      <w:r>
        <w:rPr>
          <w:rFonts w:hint="eastAsia" w:asciiTheme="minorEastAsia" w:hAnsiTheme="minorEastAsia" w:eastAsiaTheme="minorEastAsia" w:cstheme="minorEastAsia"/>
          <w:color w:val="000000"/>
          <w:sz w:val="20"/>
          <w:szCs w:val="20"/>
          <w:highlight w:val="none"/>
        </w:rPr>
        <w:t>质疑函的质疑请求应与质疑事项相关。</w:t>
      </w:r>
    </w:p>
    <w:p w14:paraId="60251128">
      <w:pPr>
        <w:keepNext w:val="0"/>
        <w:keepLines w:val="0"/>
        <w:pageBreakBefore w:val="0"/>
        <w:widowControl/>
        <w:kinsoku w:val="0"/>
        <w:wordWrap/>
        <w:overflowPunct/>
        <w:topLinePunct w:val="0"/>
        <w:autoSpaceDE w:val="0"/>
        <w:autoSpaceDN w:val="0"/>
        <w:bidi w:val="0"/>
        <w:adjustRightInd w:val="0"/>
        <w:snapToGrid w:val="0"/>
        <w:spacing w:line="320" w:lineRule="exact"/>
        <w:ind w:firstLine="400" w:firstLineChars="200"/>
        <w:jc w:val="left"/>
        <w:textAlignment w:val="baseline"/>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6</w:t>
      </w:r>
      <w:r>
        <w:rPr>
          <w:rFonts w:hint="eastAsia" w:asciiTheme="minorEastAsia" w:hAnsiTheme="minorEastAsia" w:eastAsiaTheme="minorEastAsia" w:cstheme="minorEastAsia"/>
          <w:color w:val="000000"/>
          <w:sz w:val="20"/>
          <w:szCs w:val="20"/>
          <w:highlight w:val="none"/>
          <w:lang w:eastAsia="zh-CN"/>
        </w:rPr>
        <w:t>、</w:t>
      </w:r>
      <w:r>
        <w:rPr>
          <w:rFonts w:hint="eastAsia" w:asciiTheme="minorEastAsia" w:hAnsiTheme="minorEastAsia" w:eastAsiaTheme="minorEastAsia" w:cstheme="minorEastAsia"/>
          <w:color w:val="000000"/>
          <w:sz w:val="20"/>
          <w:szCs w:val="20"/>
          <w:highlight w:val="none"/>
        </w:rPr>
        <w:t>质疑供应商为自然人的，质疑函应由本人签字；质疑供应商为法人或者其他组织的，质疑函应由法定代表人、主要负责人，或者其授权代表签字或者盖章，并加盖公章。</w:t>
      </w:r>
    </w:p>
    <w:p w14:paraId="57ABC6ED">
      <w:pPr>
        <w:rPr>
          <w:rFonts w:hint="eastAsia" w:ascii="仿宋" w:hAnsi="仿宋" w:eastAsia="仿宋"/>
          <w:color w:val="000000"/>
          <w:sz w:val="21"/>
          <w:szCs w:val="21"/>
          <w:highlight w:val="none"/>
        </w:rPr>
      </w:pPr>
    </w:p>
    <w:p w14:paraId="110256E0">
      <w:pPr>
        <w:pStyle w:val="6"/>
        <w:spacing w:before="63" w:line="224" w:lineRule="auto"/>
        <w:jc w:val="center"/>
        <w:outlineLvl w:val="0"/>
        <w:rPr>
          <w:rFonts w:ascii="Arial"/>
          <w:sz w:val="32"/>
          <w:szCs w:val="32"/>
        </w:rPr>
      </w:pPr>
      <w:bookmarkStart w:id="32" w:name="bookmark5"/>
      <w:bookmarkEnd w:id="32"/>
      <w:bookmarkStart w:id="33" w:name="_Toc17671"/>
      <w:r>
        <w:rPr>
          <w:rFonts w:hint="eastAsia"/>
          <w:b/>
          <w:bCs/>
          <w:spacing w:val="6"/>
          <w:sz w:val="32"/>
          <w:szCs w:val="32"/>
          <w:lang w:val="en-US" w:eastAsia="zh-CN"/>
        </w:rPr>
        <w:t xml:space="preserve">第三章 </w:t>
      </w:r>
      <w:r>
        <w:rPr>
          <w:b/>
          <w:bCs/>
          <w:spacing w:val="6"/>
          <w:sz w:val="32"/>
          <w:szCs w:val="32"/>
        </w:rPr>
        <w:t>服务采购需求</w:t>
      </w:r>
      <w:bookmarkEnd w:id="33"/>
    </w:p>
    <w:p w14:paraId="60F41FF3">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spacing w:val="8"/>
          <w:sz w:val="21"/>
          <w:szCs w:val="21"/>
        </w:rPr>
      </w:pPr>
    </w:p>
    <w:p w14:paraId="5707391E">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sz w:val="21"/>
          <w:szCs w:val="21"/>
        </w:rPr>
      </w:pPr>
      <w:r>
        <w:rPr>
          <w:spacing w:val="8"/>
          <w:sz w:val="21"/>
          <w:szCs w:val="21"/>
        </w:rPr>
        <w:t>（一）本项目所要执行的政府采购政策：</w:t>
      </w:r>
    </w:p>
    <w:p w14:paraId="43C595D3">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sz w:val="21"/>
          <w:szCs w:val="21"/>
        </w:rPr>
      </w:pPr>
      <w:r>
        <w:rPr>
          <w:spacing w:val="9"/>
          <w:sz w:val="21"/>
          <w:szCs w:val="21"/>
        </w:rPr>
        <w:t>1.本项目非专门面向中小企业采购，根据《政</w:t>
      </w:r>
      <w:r>
        <w:rPr>
          <w:spacing w:val="8"/>
          <w:sz w:val="21"/>
          <w:szCs w:val="21"/>
        </w:rPr>
        <w:t>府采购促进中小企业发展管理办法》（财库[2020]46号）及《桂林市财政局关于进一步加大政府采购支持中小企业力度的通知》（市财采〔2022〕5号）</w:t>
      </w:r>
      <w:r>
        <w:rPr>
          <w:spacing w:val="11"/>
          <w:sz w:val="21"/>
          <w:szCs w:val="21"/>
        </w:rPr>
        <w:t>相关规定，供应商承接本项目的全部服务且供应商为符合政策要求的</w:t>
      </w:r>
      <w:r>
        <w:rPr>
          <w:spacing w:val="10"/>
          <w:sz w:val="21"/>
          <w:szCs w:val="21"/>
        </w:rPr>
        <w:t>小型、微型企业的，其最后报</w:t>
      </w:r>
      <w:r>
        <w:rPr>
          <w:spacing w:val="7"/>
          <w:sz w:val="21"/>
          <w:szCs w:val="21"/>
        </w:rPr>
        <w:t>价给予20%的扣除，,扣除后的价格为评审报价。</w:t>
      </w:r>
    </w:p>
    <w:p w14:paraId="37EBF717">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1"/>
          <w:szCs w:val="21"/>
        </w:rPr>
      </w:pPr>
      <w:r>
        <w:rPr>
          <w:spacing w:val="10"/>
          <w:sz w:val="21"/>
          <w:szCs w:val="21"/>
        </w:rPr>
        <w:t>2.根据财政部、司法部关于政府采购支持监狱企</w:t>
      </w:r>
      <w:r>
        <w:rPr>
          <w:spacing w:val="9"/>
          <w:sz w:val="21"/>
          <w:szCs w:val="21"/>
        </w:rPr>
        <w:t>业发展有关问题的通知（财库</w:t>
      </w:r>
      <w:r>
        <w:rPr>
          <w:rFonts w:hint="eastAsia"/>
          <w:spacing w:val="9"/>
          <w:sz w:val="21"/>
          <w:szCs w:val="21"/>
          <w:lang w:eastAsia="zh-CN"/>
        </w:rPr>
        <w:t>〔2014〕68号</w:t>
      </w:r>
      <w:r>
        <w:rPr>
          <w:spacing w:val="14"/>
          <w:sz w:val="21"/>
          <w:szCs w:val="21"/>
        </w:rPr>
        <w:t>），</w:t>
      </w:r>
      <w:r>
        <w:rPr>
          <w:spacing w:val="9"/>
          <w:sz w:val="21"/>
          <w:szCs w:val="21"/>
        </w:rPr>
        <w:t>监</w:t>
      </w:r>
      <w:r>
        <w:rPr>
          <w:spacing w:val="8"/>
          <w:sz w:val="21"/>
          <w:szCs w:val="21"/>
        </w:rPr>
        <w:t>狱企业视同小型、微型企业，享受预留份额、评</w:t>
      </w:r>
      <w:r>
        <w:rPr>
          <w:spacing w:val="7"/>
          <w:sz w:val="21"/>
          <w:szCs w:val="21"/>
        </w:rPr>
        <w:t>审中价格扣除等政府采购政策。监狱企业属于小型、</w:t>
      </w:r>
      <w:r>
        <w:rPr>
          <w:spacing w:val="8"/>
          <w:sz w:val="21"/>
          <w:szCs w:val="21"/>
        </w:rPr>
        <w:t>微型企业的，不重复享受政策。</w:t>
      </w:r>
    </w:p>
    <w:p w14:paraId="4AD39F51">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spacing w:val="8"/>
          <w:sz w:val="21"/>
          <w:szCs w:val="21"/>
        </w:rPr>
      </w:pPr>
      <w:r>
        <w:rPr>
          <w:spacing w:val="9"/>
          <w:sz w:val="21"/>
          <w:szCs w:val="21"/>
        </w:rPr>
        <w:t>3.按照《关于促进残疾人就业政府采购政策的通</w:t>
      </w:r>
      <w:r>
        <w:rPr>
          <w:spacing w:val="8"/>
          <w:sz w:val="21"/>
          <w:szCs w:val="21"/>
        </w:rPr>
        <w:t>知》（财库〔2017〕141号）的规定，残疾人福利</w:t>
      </w:r>
      <w:r>
        <w:rPr>
          <w:spacing w:val="7"/>
          <w:sz w:val="21"/>
          <w:szCs w:val="21"/>
        </w:rPr>
        <w:t>性单位视同小型、微型企业，享受预留份额、评审中价格扣除等促进中小企业发展的政府采购政策。</w:t>
      </w:r>
      <w:r>
        <w:rPr>
          <w:spacing w:val="8"/>
          <w:sz w:val="21"/>
          <w:szCs w:val="21"/>
        </w:rPr>
        <w:t>残疾人福利性单位属于小型、微型企业的，不重复享受政策。</w:t>
      </w:r>
    </w:p>
    <w:p w14:paraId="62BD55CA">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sz w:val="21"/>
          <w:szCs w:val="21"/>
        </w:rPr>
      </w:pPr>
      <w:r>
        <w:rPr>
          <w:spacing w:val="8"/>
          <w:sz w:val="21"/>
          <w:szCs w:val="21"/>
        </w:rPr>
        <w:t>4.优先采购节能产品、环境标志产品。</w:t>
      </w:r>
    </w:p>
    <w:p w14:paraId="67113B1F">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spacing w:val="7"/>
          <w:sz w:val="21"/>
          <w:szCs w:val="21"/>
          <w:lang w:eastAsia="zh-CN"/>
        </w:rPr>
      </w:pPr>
      <w:r>
        <w:rPr>
          <w:spacing w:val="7"/>
          <w:sz w:val="21"/>
          <w:szCs w:val="21"/>
        </w:rPr>
        <w:t>5.本项目为服务项目，不涉及强制采购节能产品</w:t>
      </w:r>
      <w:r>
        <w:rPr>
          <w:rFonts w:hint="eastAsia"/>
          <w:spacing w:val="7"/>
          <w:sz w:val="21"/>
          <w:szCs w:val="21"/>
          <w:lang w:eastAsia="zh-CN"/>
        </w:rPr>
        <w:t>。</w:t>
      </w:r>
    </w:p>
    <w:p w14:paraId="10C5D4F5">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sz w:val="21"/>
          <w:szCs w:val="21"/>
        </w:rPr>
      </w:pPr>
      <w:r>
        <w:rPr>
          <w:spacing w:val="8"/>
          <w:sz w:val="21"/>
          <w:szCs w:val="21"/>
        </w:rPr>
        <w:t>6.政府采购支持采用本国产品的政策。</w:t>
      </w:r>
    </w:p>
    <w:p w14:paraId="19C63184">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sz w:val="21"/>
          <w:szCs w:val="21"/>
        </w:rPr>
      </w:pPr>
      <w:r>
        <w:rPr>
          <w:spacing w:val="9"/>
          <w:sz w:val="21"/>
          <w:szCs w:val="21"/>
        </w:rPr>
        <w:t>（二）权利保证：供应商应当保证所提供的标的涉及到的知识产权和相关技术资料是合法取得的，</w:t>
      </w:r>
      <w:r>
        <w:rPr>
          <w:spacing w:val="11"/>
          <w:sz w:val="21"/>
          <w:szCs w:val="21"/>
        </w:rPr>
        <w:t>不会侵犯任何第三方的专利权、商标权、工业设计权或其他</w:t>
      </w:r>
      <w:r>
        <w:rPr>
          <w:spacing w:val="10"/>
          <w:sz w:val="21"/>
          <w:szCs w:val="21"/>
        </w:rPr>
        <w:t>权利，不会因为采购人的使用服务成果</w:t>
      </w:r>
      <w:r>
        <w:rPr>
          <w:spacing w:val="11"/>
          <w:sz w:val="21"/>
          <w:szCs w:val="21"/>
        </w:rPr>
        <w:t>遭受第三方侵权指控，包括被责令致歉、停止使用、追偿或要求赔偿损</w:t>
      </w:r>
      <w:r>
        <w:rPr>
          <w:spacing w:val="10"/>
          <w:sz w:val="21"/>
          <w:szCs w:val="21"/>
        </w:rPr>
        <w:t>失等。否则，供应商负责解决由此引起的一切纠纷，采购人有权追究供应</w:t>
      </w:r>
      <w:r>
        <w:rPr>
          <w:spacing w:val="9"/>
          <w:sz w:val="21"/>
          <w:szCs w:val="21"/>
        </w:rPr>
        <w:t>商的法律责任，其不利后果由供应商全部承担。</w:t>
      </w:r>
    </w:p>
    <w:p w14:paraId="40E72971">
      <w:pPr>
        <w:pStyle w:val="6"/>
        <w:spacing w:before="31" w:line="362" w:lineRule="auto"/>
        <w:ind w:right="4991" w:firstLine="36"/>
        <w:rPr>
          <w:sz w:val="21"/>
          <w:szCs w:val="21"/>
        </w:rPr>
      </w:pPr>
      <w:r>
        <w:rPr>
          <w:spacing w:val="5"/>
          <w:sz w:val="21"/>
          <w:szCs w:val="21"/>
        </w:rPr>
        <w:t>Ⅱ.本项目标的所属行业：其他未列明行业*</w:t>
      </w:r>
      <w:r>
        <w:rPr>
          <w:spacing w:val="7"/>
          <w:sz w:val="21"/>
          <w:szCs w:val="21"/>
        </w:rPr>
        <w:t>Ⅲ.采购需求</w:t>
      </w:r>
    </w:p>
    <w:p w14:paraId="1CF45967">
      <w:pPr>
        <w:pStyle w:val="6"/>
        <w:spacing w:before="35" w:line="228" w:lineRule="auto"/>
        <w:ind w:left="4"/>
        <w:rPr>
          <w:b/>
          <w:bCs/>
          <w:sz w:val="21"/>
          <w:szCs w:val="21"/>
        </w:rPr>
      </w:pPr>
      <w:r>
        <w:rPr>
          <w:b/>
          <w:bCs/>
          <w:spacing w:val="7"/>
          <w:sz w:val="21"/>
          <w:szCs w:val="21"/>
        </w:rPr>
        <w:t>一、服务范围</w:t>
      </w:r>
    </w:p>
    <w:p w14:paraId="031A8E6C">
      <w:pPr>
        <w:pStyle w:val="6"/>
        <w:spacing w:before="32" w:line="364" w:lineRule="auto"/>
        <w:ind w:left="3" w:right="128" w:firstLine="456" w:firstLineChars="200"/>
        <w:rPr>
          <w:rFonts w:hint="eastAsia"/>
          <w:color w:val="auto"/>
          <w:spacing w:val="9"/>
          <w:sz w:val="21"/>
          <w:szCs w:val="21"/>
        </w:rPr>
      </w:pPr>
      <w:r>
        <w:rPr>
          <w:rFonts w:hint="eastAsia"/>
          <w:color w:val="auto"/>
          <w:spacing w:val="9"/>
          <w:sz w:val="21"/>
          <w:szCs w:val="21"/>
        </w:rPr>
        <w:t>1.供应商负责本项目兴安县城北污水处理厂(含配套309污水提升泵站、霞云桥新建两座泵站)及5个乡镇污水处理厂厂区范围内的所有生产设备、仪器等一切国有资产的管理及运营维护服务。</w:t>
      </w:r>
    </w:p>
    <w:p w14:paraId="595DF679">
      <w:pPr>
        <w:pStyle w:val="6"/>
        <w:spacing w:before="32" w:line="364" w:lineRule="auto"/>
        <w:ind w:left="3" w:right="128" w:firstLine="456" w:firstLineChars="200"/>
        <w:rPr>
          <w:color w:val="auto"/>
          <w:sz w:val="21"/>
          <w:szCs w:val="21"/>
        </w:rPr>
      </w:pPr>
      <w:r>
        <w:rPr>
          <w:rFonts w:hint="eastAsia"/>
          <w:color w:val="auto"/>
          <w:spacing w:val="9"/>
          <w:sz w:val="21"/>
          <w:szCs w:val="21"/>
        </w:rPr>
        <w:t xml:space="preserve"> 2.供应商负责管理维护本项目兴安县城北污水处理厂(含配套309污水提升泵站、霞云桥新建两座泵站)及5个乡镇污水处理厂厂区范围内的园林绿化、道路、路灯、管网、消防等一切国有资产的管理维护服务。</w:t>
      </w:r>
    </w:p>
    <w:p w14:paraId="5E051E32">
      <w:pPr>
        <w:pStyle w:val="6"/>
        <w:spacing w:before="29" w:line="227" w:lineRule="auto"/>
        <w:ind w:left="5"/>
        <w:rPr>
          <w:sz w:val="21"/>
          <w:szCs w:val="21"/>
        </w:rPr>
      </w:pPr>
      <w:r>
        <w:rPr>
          <w:spacing w:val="6"/>
          <w:sz w:val="21"/>
          <w:szCs w:val="21"/>
        </w:rPr>
        <w:t>3.本项目基本概况：</w:t>
      </w:r>
    </w:p>
    <w:p w14:paraId="52B88835">
      <w:pPr>
        <w:spacing w:line="131" w:lineRule="exact"/>
      </w:pPr>
    </w:p>
    <w:tbl>
      <w:tblPr>
        <w:tblStyle w:val="17"/>
        <w:tblW w:w="8417" w:type="dxa"/>
        <w:tblInd w:w="3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2513"/>
        <w:gridCol w:w="1697"/>
        <w:gridCol w:w="1395"/>
        <w:gridCol w:w="1547"/>
        <w:gridCol w:w="681"/>
      </w:tblGrid>
      <w:tr w14:paraId="55DE8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4" w:type="dxa"/>
            <w:vAlign w:val="top"/>
          </w:tcPr>
          <w:p w14:paraId="1D318239">
            <w:pPr>
              <w:pStyle w:val="18"/>
              <w:spacing w:before="35" w:line="229" w:lineRule="auto"/>
              <w:ind w:left="113"/>
              <w:rPr>
                <w:sz w:val="20"/>
                <w:szCs w:val="20"/>
              </w:rPr>
            </w:pPr>
            <w:r>
              <w:rPr>
                <w:spacing w:val="5"/>
                <w:sz w:val="20"/>
                <w:szCs w:val="20"/>
              </w:rPr>
              <w:t>序号</w:t>
            </w:r>
          </w:p>
        </w:tc>
        <w:tc>
          <w:tcPr>
            <w:tcW w:w="2513" w:type="dxa"/>
            <w:vAlign w:val="top"/>
          </w:tcPr>
          <w:p w14:paraId="57C2D9D9">
            <w:pPr>
              <w:pStyle w:val="18"/>
              <w:spacing w:before="36" w:line="228" w:lineRule="auto"/>
              <w:ind w:left="114"/>
              <w:rPr>
                <w:sz w:val="20"/>
                <w:szCs w:val="20"/>
              </w:rPr>
            </w:pPr>
            <w:r>
              <w:rPr>
                <w:spacing w:val="6"/>
                <w:sz w:val="20"/>
                <w:szCs w:val="20"/>
              </w:rPr>
              <w:t>项目名称</w:t>
            </w:r>
          </w:p>
        </w:tc>
        <w:tc>
          <w:tcPr>
            <w:tcW w:w="1697" w:type="dxa"/>
            <w:vAlign w:val="top"/>
          </w:tcPr>
          <w:p w14:paraId="41D3DCCE">
            <w:pPr>
              <w:pStyle w:val="18"/>
              <w:spacing w:before="35" w:line="232" w:lineRule="auto"/>
              <w:ind w:left="362"/>
              <w:rPr>
                <w:sz w:val="20"/>
                <w:szCs w:val="20"/>
              </w:rPr>
            </w:pPr>
            <w:r>
              <w:rPr>
                <w:spacing w:val="6"/>
                <w:sz w:val="20"/>
                <w:szCs w:val="20"/>
              </w:rPr>
              <w:t>处理工艺</w:t>
            </w:r>
          </w:p>
        </w:tc>
        <w:tc>
          <w:tcPr>
            <w:tcW w:w="1395" w:type="dxa"/>
            <w:vAlign w:val="top"/>
          </w:tcPr>
          <w:p w14:paraId="46E93DD8">
            <w:pPr>
              <w:pStyle w:val="18"/>
              <w:spacing w:before="35" w:line="228" w:lineRule="auto"/>
              <w:ind w:left="376"/>
              <w:rPr>
                <w:sz w:val="20"/>
                <w:szCs w:val="20"/>
              </w:rPr>
            </w:pPr>
            <w:r>
              <w:rPr>
                <w:spacing w:val="2"/>
                <w:sz w:val="20"/>
                <w:szCs w:val="20"/>
              </w:rPr>
              <w:t>出水指标</w:t>
            </w:r>
          </w:p>
        </w:tc>
        <w:tc>
          <w:tcPr>
            <w:tcW w:w="1547" w:type="dxa"/>
            <w:vAlign w:val="top"/>
          </w:tcPr>
          <w:p w14:paraId="5A7F0B8E">
            <w:pPr>
              <w:pStyle w:val="18"/>
              <w:spacing w:before="34" w:line="222" w:lineRule="auto"/>
              <w:ind w:left="124" w:right="385" w:hanging="6"/>
              <w:rPr>
                <w:sz w:val="20"/>
                <w:szCs w:val="20"/>
              </w:rPr>
            </w:pPr>
            <w:r>
              <w:rPr>
                <w:spacing w:val="7"/>
                <w:sz w:val="20"/>
                <w:szCs w:val="20"/>
              </w:rPr>
              <w:t>设计处理量</w:t>
            </w:r>
            <w:r>
              <w:rPr>
                <w:spacing w:val="1"/>
                <w:sz w:val="20"/>
                <w:szCs w:val="20"/>
              </w:rPr>
              <w:t>（</w:t>
            </w:r>
            <w:r>
              <w:rPr>
                <w:rFonts w:hint="eastAsia"/>
                <w:spacing w:val="1"/>
                <w:sz w:val="20"/>
                <w:szCs w:val="20"/>
                <w:lang w:val="en-US" w:eastAsia="zh-CN"/>
              </w:rPr>
              <w:t>m³</w:t>
            </w:r>
            <w:r>
              <w:rPr>
                <w:spacing w:val="1"/>
                <w:sz w:val="20"/>
                <w:szCs w:val="20"/>
              </w:rPr>
              <w:t>/d）</w:t>
            </w:r>
          </w:p>
        </w:tc>
        <w:tc>
          <w:tcPr>
            <w:tcW w:w="681" w:type="dxa"/>
            <w:vAlign w:val="top"/>
          </w:tcPr>
          <w:p w14:paraId="02A2E253">
            <w:pPr>
              <w:pStyle w:val="18"/>
              <w:spacing w:before="35" w:line="229" w:lineRule="auto"/>
              <w:ind w:left="118"/>
              <w:rPr>
                <w:sz w:val="20"/>
                <w:szCs w:val="20"/>
              </w:rPr>
            </w:pPr>
            <w:r>
              <w:rPr>
                <w:spacing w:val="3"/>
                <w:sz w:val="20"/>
                <w:szCs w:val="20"/>
              </w:rPr>
              <w:t>备注</w:t>
            </w:r>
          </w:p>
        </w:tc>
      </w:tr>
      <w:tr w14:paraId="523A4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584" w:type="dxa"/>
            <w:vAlign w:val="top"/>
          </w:tcPr>
          <w:p w14:paraId="14B10B9B">
            <w:pPr>
              <w:pStyle w:val="18"/>
              <w:spacing w:before="65" w:line="189" w:lineRule="auto"/>
              <w:ind w:left="130"/>
              <w:rPr>
                <w:sz w:val="20"/>
                <w:szCs w:val="20"/>
              </w:rPr>
            </w:pPr>
            <w:r>
              <w:rPr>
                <w:sz w:val="20"/>
                <w:szCs w:val="20"/>
              </w:rPr>
              <w:t>1</w:t>
            </w:r>
          </w:p>
        </w:tc>
        <w:tc>
          <w:tcPr>
            <w:tcW w:w="2513" w:type="dxa"/>
            <w:vAlign w:val="top"/>
          </w:tcPr>
          <w:p w14:paraId="51DE3CCC">
            <w:pPr>
              <w:pStyle w:val="18"/>
              <w:spacing w:before="32" w:line="228" w:lineRule="auto"/>
              <w:ind w:left="111"/>
              <w:rPr>
                <w:sz w:val="20"/>
                <w:szCs w:val="20"/>
              </w:rPr>
            </w:pPr>
            <w:r>
              <w:rPr>
                <w:spacing w:val="8"/>
                <w:sz w:val="20"/>
                <w:szCs w:val="20"/>
              </w:rPr>
              <w:t>城北污水处理厂</w:t>
            </w:r>
          </w:p>
        </w:tc>
        <w:tc>
          <w:tcPr>
            <w:tcW w:w="1697" w:type="dxa"/>
            <w:vAlign w:val="top"/>
          </w:tcPr>
          <w:p w14:paraId="18FE8BE0">
            <w:pPr>
              <w:pStyle w:val="18"/>
              <w:spacing w:before="32" w:line="227" w:lineRule="auto"/>
              <w:ind w:left="154"/>
              <w:rPr>
                <w:sz w:val="20"/>
                <w:szCs w:val="20"/>
              </w:rPr>
            </w:pPr>
            <w:r>
              <w:rPr>
                <w:spacing w:val="7"/>
                <w:sz w:val="20"/>
                <w:szCs w:val="20"/>
              </w:rPr>
              <w:t>改良型氧化沟</w:t>
            </w:r>
          </w:p>
        </w:tc>
        <w:tc>
          <w:tcPr>
            <w:tcW w:w="1395" w:type="dxa"/>
            <w:vAlign w:val="top"/>
          </w:tcPr>
          <w:p w14:paraId="70D2DA7E">
            <w:pPr>
              <w:pStyle w:val="18"/>
              <w:spacing w:before="32" w:line="228" w:lineRule="auto"/>
              <w:ind w:left="361"/>
              <w:rPr>
                <w:sz w:val="20"/>
                <w:szCs w:val="20"/>
              </w:rPr>
            </w:pPr>
            <w:r>
              <w:rPr>
                <w:spacing w:val="1"/>
                <w:sz w:val="20"/>
                <w:szCs w:val="20"/>
              </w:rPr>
              <w:t>一级B标</w:t>
            </w:r>
          </w:p>
        </w:tc>
        <w:tc>
          <w:tcPr>
            <w:tcW w:w="1547" w:type="dxa"/>
            <w:vAlign w:val="top"/>
          </w:tcPr>
          <w:p w14:paraId="333E5A6D">
            <w:pPr>
              <w:pStyle w:val="18"/>
              <w:spacing w:before="65" w:line="189" w:lineRule="auto"/>
              <w:ind w:left="117"/>
              <w:rPr>
                <w:sz w:val="20"/>
                <w:szCs w:val="20"/>
              </w:rPr>
            </w:pPr>
            <w:r>
              <w:rPr>
                <w:spacing w:val="2"/>
                <w:sz w:val="20"/>
                <w:szCs w:val="20"/>
              </w:rPr>
              <w:t>25000</w:t>
            </w:r>
          </w:p>
        </w:tc>
        <w:tc>
          <w:tcPr>
            <w:tcW w:w="681" w:type="dxa"/>
            <w:vAlign w:val="top"/>
          </w:tcPr>
          <w:p w14:paraId="1183E67E">
            <w:pPr>
              <w:rPr>
                <w:rFonts w:ascii="Arial"/>
                <w:sz w:val="21"/>
              </w:rPr>
            </w:pPr>
          </w:p>
        </w:tc>
      </w:tr>
      <w:tr w14:paraId="03F2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84" w:type="dxa"/>
            <w:vAlign w:val="top"/>
          </w:tcPr>
          <w:p w14:paraId="731134BE">
            <w:pPr>
              <w:pStyle w:val="18"/>
              <w:spacing w:before="66" w:line="189" w:lineRule="auto"/>
              <w:ind w:left="117"/>
              <w:rPr>
                <w:sz w:val="20"/>
                <w:szCs w:val="20"/>
              </w:rPr>
            </w:pPr>
            <w:r>
              <w:rPr>
                <w:sz w:val="20"/>
                <w:szCs w:val="20"/>
              </w:rPr>
              <w:t>2</w:t>
            </w:r>
          </w:p>
        </w:tc>
        <w:tc>
          <w:tcPr>
            <w:tcW w:w="2513" w:type="dxa"/>
            <w:vAlign w:val="top"/>
          </w:tcPr>
          <w:p w14:paraId="3C886380">
            <w:pPr>
              <w:pStyle w:val="18"/>
              <w:spacing w:before="33" w:line="228" w:lineRule="auto"/>
              <w:ind w:left="114"/>
              <w:rPr>
                <w:sz w:val="20"/>
                <w:szCs w:val="20"/>
              </w:rPr>
            </w:pPr>
            <w:r>
              <w:rPr>
                <w:spacing w:val="8"/>
                <w:sz w:val="20"/>
                <w:szCs w:val="20"/>
              </w:rPr>
              <w:t>溶江镇污水处理厂</w:t>
            </w:r>
          </w:p>
        </w:tc>
        <w:tc>
          <w:tcPr>
            <w:tcW w:w="1697" w:type="dxa"/>
            <w:vAlign w:val="top"/>
          </w:tcPr>
          <w:p w14:paraId="2EFEC544">
            <w:pPr>
              <w:pStyle w:val="18"/>
              <w:spacing w:before="33" w:line="270" w:lineRule="exact"/>
              <w:ind w:left="631"/>
              <w:rPr>
                <w:sz w:val="20"/>
                <w:szCs w:val="20"/>
              </w:rPr>
            </w:pPr>
            <w:r>
              <w:rPr>
                <w:spacing w:val="-2"/>
                <w:position w:val="1"/>
                <w:sz w:val="20"/>
                <w:szCs w:val="20"/>
              </w:rPr>
              <w:t>IBR</w:t>
            </w:r>
          </w:p>
        </w:tc>
        <w:tc>
          <w:tcPr>
            <w:tcW w:w="1395" w:type="dxa"/>
            <w:vAlign w:val="top"/>
          </w:tcPr>
          <w:p w14:paraId="4C48BD48">
            <w:pPr>
              <w:pStyle w:val="18"/>
              <w:spacing w:before="34" w:line="228" w:lineRule="auto"/>
              <w:ind w:left="361"/>
              <w:rPr>
                <w:sz w:val="20"/>
                <w:szCs w:val="20"/>
              </w:rPr>
            </w:pPr>
            <w:r>
              <w:rPr>
                <w:spacing w:val="2"/>
                <w:sz w:val="20"/>
                <w:szCs w:val="20"/>
              </w:rPr>
              <w:t>一级A标</w:t>
            </w:r>
          </w:p>
        </w:tc>
        <w:tc>
          <w:tcPr>
            <w:tcW w:w="1547" w:type="dxa"/>
            <w:vAlign w:val="top"/>
          </w:tcPr>
          <w:p w14:paraId="6D354A8E">
            <w:pPr>
              <w:pStyle w:val="18"/>
              <w:spacing w:before="65" w:line="190" w:lineRule="auto"/>
              <w:ind w:left="130"/>
              <w:rPr>
                <w:sz w:val="20"/>
                <w:szCs w:val="20"/>
              </w:rPr>
            </w:pPr>
            <w:r>
              <w:rPr>
                <w:spacing w:val="-1"/>
                <w:sz w:val="20"/>
                <w:szCs w:val="20"/>
              </w:rPr>
              <w:t>1000</w:t>
            </w:r>
          </w:p>
        </w:tc>
        <w:tc>
          <w:tcPr>
            <w:tcW w:w="681" w:type="dxa"/>
            <w:vAlign w:val="top"/>
          </w:tcPr>
          <w:p w14:paraId="4FA9806E">
            <w:pPr>
              <w:rPr>
                <w:rFonts w:ascii="Arial"/>
                <w:sz w:val="21"/>
              </w:rPr>
            </w:pPr>
          </w:p>
        </w:tc>
      </w:tr>
    </w:tbl>
    <w:p w14:paraId="25E1BB15">
      <w:pPr>
        <w:rPr>
          <w:rFonts w:ascii="Arial"/>
          <w:sz w:val="21"/>
        </w:rPr>
      </w:pPr>
    </w:p>
    <w:tbl>
      <w:tblPr>
        <w:tblStyle w:val="17"/>
        <w:tblW w:w="8417" w:type="dxa"/>
        <w:tblInd w:w="3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2497"/>
        <w:gridCol w:w="1546"/>
        <w:gridCol w:w="1546"/>
        <w:gridCol w:w="1547"/>
        <w:gridCol w:w="681"/>
      </w:tblGrid>
      <w:tr w14:paraId="7CD45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00" w:type="dxa"/>
            <w:vAlign w:val="top"/>
          </w:tcPr>
          <w:p w14:paraId="19600DF6">
            <w:pPr>
              <w:pStyle w:val="18"/>
              <w:spacing w:before="68" w:line="189" w:lineRule="auto"/>
              <w:ind w:left="118"/>
              <w:rPr>
                <w:sz w:val="20"/>
                <w:szCs w:val="20"/>
              </w:rPr>
            </w:pPr>
            <w:r>
              <w:rPr>
                <w:sz w:val="20"/>
                <w:szCs w:val="20"/>
              </w:rPr>
              <w:t>3</w:t>
            </w:r>
          </w:p>
        </w:tc>
        <w:tc>
          <w:tcPr>
            <w:tcW w:w="2497" w:type="dxa"/>
            <w:vAlign w:val="top"/>
          </w:tcPr>
          <w:p w14:paraId="3E6AD9AE">
            <w:pPr>
              <w:pStyle w:val="18"/>
              <w:spacing w:before="34" w:line="228" w:lineRule="auto"/>
              <w:ind w:left="112"/>
              <w:rPr>
                <w:sz w:val="20"/>
                <w:szCs w:val="20"/>
              </w:rPr>
            </w:pPr>
            <w:r>
              <w:rPr>
                <w:spacing w:val="8"/>
                <w:sz w:val="20"/>
                <w:szCs w:val="20"/>
              </w:rPr>
              <w:t>严关镇污水处理厂</w:t>
            </w:r>
          </w:p>
        </w:tc>
        <w:tc>
          <w:tcPr>
            <w:tcW w:w="1546" w:type="dxa"/>
            <w:vAlign w:val="top"/>
          </w:tcPr>
          <w:p w14:paraId="05E66FBC">
            <w:pPr>
              <w:pStyle w:val="18"/>
              <w:spacing w:before="35" w:line="270" w:lineRule="exact"/>
              <w:ind w:left="631"/>
              <w:rPr>
                <w:sz w:val="20"/>
                <w:szCs w:val="20"/>
              </w:rPr>
            </w:pPr>
            <w:r>
              <w:rPr>
                <w:spacing w:val="-2"/>
                <w:position w:val="1"/>
                <w:sz w:val="20"/>
                <w:szCs w:val="20"/>
              </w:rPr>
              <w:t>IBR</w:t>
            </w:r>
          </w:p>
        </w:tc>
        <w:tc>
          <w:tcPr>
            <w:tcW w:w="1546" w:type="dxa"/>
            <w:vAlign w:val="top"/>
          </w:tcPr>
          <w:p w14:paraId="570F5918">
            <w:pPr>
              <w:pStyle w:val="18"/>
              <w:spacing w:before="35" w:line="228" w:lineRule="auto"/>
              <w:ind w:left="361"/>
              <w:rPr>
                <w:sz w:val="20"/>
                <w:szCs w:val="20"/>
              </w:rPr>
            </w:pPr>
            <w:r>
              <w:rPr>
                <w:spacing w:val="1"/>
                <w:sz w:val="20"/>
                <w:szCs w:val="20"/>
              </w:rPr>
              <w:t>一级B标</w:t>
            </w:r>
          </w:p>
        </w:tc>
        <w:tc>
          <w:tcPr>
            <w:tcW w:w="1547" w:type="dxa"/>
            <w:vAlign w:val="top"/>
          </w:tcPr>
          <w:p w14:paraId="453E9697">
            <w:pPr>
              <w:pStyle w:val="18"/>
              <w:spacing w:before="66" w:line="190" w:lineRule="auto"/>
              <w:ind w:left="130"/>
              <w:rPr>
                <w:sz w:val="20"/>
                <w:szCs w:val="20"/>
              </w:rPr>
            </w:pPr>
            <w:r>
              <w:rPr>
                <w:spacing w:val="-1"/>
                <w:sz w:val="20"/>
                <w:szCs w:val="20"/>
              </w:rPr>
              <w:t>1000</w:t>
            </w:r>
          </w:p>
        </w:tc>
        <w:tc>
          <w:tcPr>
            <w:tcW w:w="681" w:type="dxa"/>
            <w:vAlign w:val="top"/>
          </w:tcPr>
          <w:p w14:paraId="7BAE5960">
            <w:pPr>
              <w:rPr>
                <w:rFonts w:ascii="Arial"/>
                <w:sz w:val="21"/>
              </w:rPr>
            </w:pPr>
          </w:p>
        </w:tc>
      </w:tr>
      <w:tr w14:paraId="7BAA9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00" w:type="dxa"/>
            <w:vAlign w:val="top"/>
          </w:tcPr>
          <w:p w14:paraId="7F2E0EF5">
            <w:pPr>
              <w:pStyle w:val="18"/>
              <w:spacing w:before="64" w:line="189" w:lineRule="auto"/>
              <w:ind w:left="113"/>
              <w:rPr>
                <w:sz w:val="20"/>
                <w:szCs w:val="20"/>
              </w:rPr>
            </w:pPr>
            <w:r>
              <w:rPr>
                <w:sz w:val="20"/>
                <w:szCs w:val="20"/>
              </w:rPr>
              <w:t>4</w:t>
            </w:r>
          </w:p>
        </w:tc>
        <w:tc>
          <w:tcPr>
            <w:tcW w:w="2497" w:type="dxa"/>
            <w:vAlign w:val="top"/>
          </w:tcPr>
          <w:p w14:paraId="740142F6">
            <w:pPr>
              <w:pStyle w:val="18"/>
              <w:spacing w:before="31" w:line="228" w:lineRule="auto"/>
              <w:ind w:left="116"/>
              <w:rPr>
                <w:sz w:val="20"/>
                <w:szCs w:val="20"/>
              </w:rPr>
            </w:pPr>
            <w:r>
              <w:rPr>
                <w:spacing w:val="8"/>
                <w:sz w:val="20"/>
                <w:szCs w:val="20"/>
              </w:rPr>
              <w:t>界首镇污水处理厂</w:t>
            </w:r>
          </w:p>
        </w:tc>
        <w:tc>
          <w:tcPr>
            <w:tcW w:w="1546" w:type="dxa"/>
            <w:vAlign w:val="top"/>
          </w:tcPr>
          <w:p w14:paraId="24B0EDD9">
            <w:pPr>
              <w:pStyle w:val="18"/>
              <w:spacing w:before="31" w:line="234" w:lineRule="auto"/>
              <w:ind w:left="672" w:right="194" w:hanging="474"/>
              <w:rPr>
                <w:sz w:val="20"/>
                <w:szCs w:val="20"/>
              </w:rPr>
            </w:pPr>
            <w:r>
              <w:rPr>
                <w:sz w:val="20"/>
                <w:szCs w:val="20"/>
              </w:rPr>
              <w:t>CASS</w:t>
            </w:r>
            <w:r>
              <w:rPr>
                <w:spacing w:val="12"/>
                <w:sz w:val="20"/>
                <w:szCs w:val="20"/>
              </w:rPr>
              <w:t>+滤布滤</w:t>
            </w:r>
            <w:r>
              <w:rPr>
                <w:sz w:val="20"/>
                <w:szCs w:val="20"/>
              </w:rPr>
              <w:t>池</w:t>
            </w:r>
          </w:p>
        </w:tc>
        <w:tc>
          <w:tcPr>
            <w:tcW w:w="1546" w:type="dxa"/>
            <w:vAlign w:val="top"/>
          </w:tcPr>
          <w:p w14:paraId="2CD130A5">
            <w:pPr>
              <w:pStyle w:val="18"/>
              <w:spacing w:before="31" w:line="228" w:lineRule="auto"/>
              <w:ind w:left="361"/>
              <w:rPr>
                <w:sz w:val="20"/>
                <w:szCs w:val="20"/>
              </w:rPr>
            </w:pPr>
            <w:r>
              <w:rPr>
                <w:spacing w:val="2"/>
                <w:sz w:val="20"/>
                <w:szCs w:val="20"/>
              </w:rPr>
              <w:t>一级A标</w:t>
            </w:r>
          </w:p>
        </w:tc>
        <w:tc>
          <w:tcPr>
            <w:tcW w:w="1547" w:type="dxa"/>
            <w:vAlign w:val="top"/>
          </w:tcPr>
          <w:p w14:paraId="5333F504">
            <w:pPr>
              <w:pStyle w:val="18"/>
              <w:spacing w:before="64" w:line="189" w:lineRule="auto"/>
              <w:ind w:left="119"/>
              <w:rPr>
                <w:sz w:val="20"/>
                <w:szCs w:val="20"/>
              </w:rPr>
            </w:pPr>
            <w:r>
              <w:rPr>
                <w:spacing w:val="2"/>
                <w:sz w:val="20"/>
                <w:szCs w:val="20"/>
              </w:rPr>
              <w:t>3000</w:t>
            </w:r>
          </w:p>
        </w:tc>
        <w:tc>
          <w:tcPr>
            <w:tcW w:w="681" w:type="dxa"/>
            <w:vAlign w:val="top"/>
          </w:tcPr>
          <w:p w14:paraId="23930549">
            <w:pPr>
              <w:rPr>
                <w:rFonts w:ascii="Arial"/>
                <w:sz w:val="21"/>
              </w:rPr>
            </w:pPr>
          </w:p>
        </w:tc>
      </w:tr>
      <w:tr w14:paraId="7B918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00" w:type="dxa"/>
            <w:vAlign w:val="top"/>
          </w:tcPr>
          <w:p w14:paraId="0BDA9D19">
            <w:pPr>
              <w:pStyle w:val="18"/>
              <w:spacing w:before="67" w:line="187" w:lineRule="auto"/>
              <w:ind w:left="118"/>
              <w:rPr>
                <w:sz w:val="20"/>
                <w:szCs w:val="20"/>
              </w:rPr>
            </w:pPr>
            <w:r>
              <w:rPr>
                <w:sz w:val="20"/>
                <w:szCs w:val="20"/>
              </w:rPr>
              <w:t>5</w:t>
            </w:r>
          </w:p>
        </w:tc>
        <w:tc>
          <w:tcPr>
            <w:tcW w:w="2497" w:type="dxa"/>
            <w:vAlign w:val="top"/>
          </w:tcPr>
          <w:p w14:paraId="59838F4E">
            <w:pPr>
              <w:pStyle w:val="18"/>
              <w:spacing w:before="32" w:line="228" w:lineRule="auto"/>
              <w:ind w:left="117"/>
              <w:rPr>
                <w:sz w:val="20"/>
                <w:szCs w:val="20"/>
              </w:rPr>
            </w:pPr>
            <w:r>
              <w:rPr>
                <w:spacing w:val="7"/>
                <w:sz w:val="20"/>
                <w:szCs w:val="20"/>
              </w:rPr>
              <w:t>高尚镇污水处理厂</w:t>
            </w:r>
          </w:p>
        </w:tc>
        <w:tc>
          <w:tcPr>
            <w:tcW w:w="1546" w:type="dxa"/>
            <w:vAlign w:val="top"/>
          </w:tcPr>
          <w:p w14:paraId="7F43E1C7">
            <w:pPr>
              <w:pStyle w:val="18"/>
              <w:spacing w:before="64" w:line="190" w:lineRule="auto"/>
              <w:ind w:left="613"/>
              <w:rPr>
                <w:sz w:val="20"/>
                <w:szCs w:val="20"/>
              </w:rPr>
            </w:pPr>
            <w:r>
              <w:rPr>
                <w:spacing w:val="4"/>
                <w:sz w:val="20"/>
                <w:szCs w:val="20"/>
              </w:rPr>
              <w:t>ACM</w:t>
            </w:r>
          </w:p>
        </w:tc>
        <w:tc>
          <w:tcPr>
            <w:tcW w:w="1546" w:type="dxa"/>
            <w:vAlign w:val="top"/>
          </w:tcPr>
          <w:p w14:paraId="25B016A7">
            <w:pPr>
              <w:pStyle w:val="18"/>
              <w:spacing w:before="33" w:line="228" w:lineRule="auto"/>
              <w:ind w:left="361"/>
              <w:rPr>
                <w:sz w:val="20"/>
                <w:szCs w:val="20"/>
              </w:rPr>
            </w:pPr>
            <w:r>
              <w:rPr>
                <w:spacing w:val="1"/>
                <w:sz w:val="20"/>
                <w:szCs w:val="20"/>
              </w:rPr>
              <w:t>一级B标</w:t>
            </w:r>
          </w:p>
        </w:tc>
        <w:tc>
          <w:tcPr>
            <w:tcW w:w="1547" w:type="dxa"/>
            <w:vAlign w:val="top"/>
          </w:tcPr>
          <w:p w14:paraId="2FAB7537">
            <w:pPr>
              <w:pStyle w:val="18"/>
              <w:spacing w:before="65" w:line="189" w:lineRule="auto"/>
              <w:ind w:left="116"/>
              <w:rPr>
                <w:sz w:val="20"/>
                <w:szCs w:val="20"/>
              </w:rPr>
            </w:pPr>
            <w:r>
              <w:rPr>
                <w:spacing w:val="2"/>
                <w:sz w:val="20"/>
                <w:szCs w:val="20"/>
              </w:rPr>
              <w:t>800</w:t>
            </w:r>
          </w:p>
        </w:tc>
        <w:tc>
          <w:tcPr>
            <w:tcW w:w="681" w:type="dxa"/>
            <w:vAlign w:val="top"/>
          </w:tcPr>
          <w:p w14:paraId="18996809">
            <w:pPr>
              <w:rPr>
                <w:rFonts w:ascii="Arial"/>
                <w:sz w:val="21"/>
              </w:rPr>
            </w:pPr>
          </w:p>
        </w:tc>
      </w:tr>
      <w:tr w14:paraId="25A66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00" w:type="dxa"/>
            <w:vAlign w:val="top"/>
          </w:tcPr>
          <w:p w14:paraId="49D6CFB3">
            <w:pPr>
              <w:pStyle w:val="18"/>
              <w:spacing w:before="66" w:line="189" w:lineRule="auto"/>
              <w:ind w:left="116"/>
              <w:rPr>
                <w:sz w:val="20"/>
                <w:szCs w:val="20"/>
              </w:rPr>
            </w:pPr>
            <w:r>
              <w:rPr>
                <w:sz w:val="20"/>
                <w:szCs w:val="20"/>
              </w:rPr>
              <w:t>6</w:t>
            </w:r>
          </w:p>
        </w:tc>
        <w:tc>
          <w:tcPr>
            <w:tcW w:w="2497" w:type="dxa"/>
            <w:vAlign w:val="top"/>
          </w:tcPr>
          <w:p w14:paraId="2F77236B">
            <w:pPr>
              <w:pStyle w:val="18"/>
              <w:spacing w:before="33" w:line="228" w:lineRule="auto"/>
              <w:ind w:left="112"/>
              <w:rPr>
                <w:sz w:val="20"/>
                <w:szCs w:val="20"/>
              </w:rPr>
            </w:pPr>
            <w:r>
              <w:rPr>
                <w:spacing w:val="8"/>
                <w:sz w:val="20"/>
                <w:szCs w:val="20"/>
              </w:rPr>
              <w:t>华江瑶族乡污水处理厂</w:t>
            </w:r>
          </w:p>
        </w:tc>
        <w:tc>
          <w:tcPr>
            <w:tcW w:w="1546" w:type="dxa"/>
            <w:vAlign w:val="top"/>
          </w:tcPr>
          <w:p w14:paraId="780CD4F8">
            <w:pPr>
              <w:pStyle w:val="18"/>
              <w:spacing w:before="33" w:line="233" w:lineRule="auto"/>
              <w:ind w:left="306" w:right="144" w:hanging="157"/>
              <w:rPr>
                <w:sz w:val="20"/>
                <w:szCs w:val="20"/>
              </w:rPr>
            </w:pPr>
            <w:r>
              <w:rPr>
                <w:spacing w:val="7"/>
                <w:sz w:val="20"/>
                <w:szCs w:val="20"/>
              </w:rPr>
              <w:t>生物接触氧化</w:t>
            </w:r>
            <w:r>
              <w:rPr>
                <w:spacing w:val="6"/>
                <w:sz w:val="20"/>
                <w:szCs w:val="20"/>
              </w:rPr>
              <w:t>+转盘过滤</w:t>
            </w:r>
          </w:p>
        </w:tc>
        <w:tc>
          <w:tcPr>
            <w:tcW w:w="1546" w:type="dxa"/>
            <w:vAlign w:val="top"/>
          </w:tcPr>
          <w:p w14:paraId="127DC616">
            <w:pPr>
              <w:pStyle w:val="18"/>
              <w:spacing w:before="34" w:line="228" w:lineRule="auto"/>
              <w:ind w:left="361"/>
              <w:rPr>
                <w:sz w:val="20"/>
                <w:szCs w:val="20"/>
              </w:rPr>
            </w:pPr>
            <w:r>
              <w:rPr>
                <w:spacing w:val="2"/>
                <w:sz w:val="20"/>
                <w:szCs w:val="20"/>
              </w:rPr>
              <w:t>一级A标</w:t>
            </w:r>
          </w:p>
        </w:tc>
        <w:tc>
          <w:tcPr>
            <w:tcW w:w="1547" w:type="dxa"/>
            <w:vAlign w:val="top"/>
          </w:tcPr>
          <w:p w14:paraId="6580928E">
            <w:pPr>
              <w:pStyle w:val="18"/>
              <w:spacing w:before="66" w:line="189" w:lineRule="auto"/>
              <w:ind w:left="119"/>
              <w:rPr>
                <w:sz w:val="20"/>
                <w:szCs w:val="20"/>
              </w:rPr>
            </w:pPr>
            <w:r>
              <w:rPr>
                <w:spacing w:val="1"/>
                <w:sz w:val="20"/>
                <w:szCs w:val="20"/>
              </w:rPr>
              <w:t>300</w:t>
            </w:r>
          </w:p>
        </w:tc>
        <w:tc>
          <w:tcPr>
            <w:tcW w:w="681" w:type="dxa"/>
            <w:vAlign w:val="top"/>
          </w:tcPr>
          <w:p w14:paraId="0B9038CC">
            <w:pPr>
              <w:rPr>
                <w:rFonts w:ascii="Arial"/>
                <w:sz w:val="21"/>
              </w:rPr>
            </w:pPr>
          </w:p>
        </w:tc>
      </w:tr>
      <w:tr w14:paraId="224D9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00" w:type="dxa"/>
            <w:vAlign w:val="top"/>
          </w:tcPr>
          <w:p w14:paraId="0F1202C2">
            <w:pPr>
              <w:pStyle w:val="18"/>
              <w:spacing w:before="70" w:line="187" w:lineRule="auto"/>
              <w:ind w:left="119"/>
              <w:rPr>
                <w:sz w:val="20"/>
                <w:szCs w:val="20"/>
              </w:rPr>
            </w:pPr>
            <w:r>
              <w:rPr>
                <w:sz w:val="20"/>
                <w:szCs w:val="20"/>
              </w:rPr>
              <w:t>7</w:t>
            </w:r>
          </w:p>
        </w:tc>
        <w:tc>
          <w:tcPr>
            <w:tcW w:w="2497" w:type="dxa"/>
            <w:vAlign w:val="top"/>
          </w:tcPr>
          <w:p w14:paraId="29CA9BA5">
            <w:pPr>
              <w:pStyle w:val="18"/>
              <w:spacing w:before="35" w:line="228" w:lineRule="auto"/>
              <w:ind w:left="115"/>
              <w:rPr>
                <w:sz w:val="20"/>
                <w:szCs w:val="20"/>
              </w:rPr>
            </w:pPr>
            <w:r>
              <w:rPr>
                <w:spacing w:val="5"/>
                <w:sz w:val="20"/>
                <w:szCs w:val="20"/>
              </w:rPr>
              <w:t>309污水提升泵站</w:t>
            </w:r>
          </w:p>
        </w:tc>
        <w:tc>
          <w:tcPr>
            <w:tcW w:w="1546" w:type="dxa"/>
            <w:vAlign w:val="top"/>
          </w:tcPr>
          <w:p w14:paraId="60BB172F">
            <w:pPr>
              <w:pStyle w:val="18"/>
              <w:spacing w:before="35" w:line="233" w:lineRule="auto"/>
              <w:ind w:left="724"/>
              <w:rPr>
                <w:sz w:val="20"/>
                <w:szCs w:val="20"/>
              </w:rPr>
            </w:pPr>
            <w:r>
              <w:rPr>
                <w:sz w:val="20"/>
                <w:szCs w:val="20"/>
              </w:rPr>
              <w:t>/</w:t>
            </w:r>
          </w:p>
        </w:tc>
        <w:tc>
          <w:tcPr>
            <w:tcW w:w="1546" w:type="dxa"/>
            <w:vAlign w:val="top"/>
          </w:tcPr>
          <w:p w14:paraId="004FF1E6">
            <w:pPr>
              <w:pStyle w:val="18"/>
              <w:spacing w:before="35" w:line="233" w:lineRule="auto"/>
              <w:ind w:left="726"/>
              <w:rPr>
                <w:sz w:val="20"/>
                <w:szCs w:val="20"/>
              </w:rPr>
            </w:pPr>
            <w:r>
              <w:rPr>
                <w:sz w:val="20"/>
                <w:szCs w:val="20"/>
              </w:rPr>
              <w:t>/</w:t>
            </w:r>
          </w:p>
        </w:tc>
        <w:tc>
          <w:tcPr>
            <w:tcW w:w="1547" w:type="dxa"/>
            <w:vAlign w:val="top"/>
          </w:tcPr>
          <w:p w14:paraId="34388A90">
            <w:pPr>
              <w:pStyle w:val="18"/>
              <w:spacing w:before="68" w:line="189" w:lineRule="auto"/>
              <w:ind w:left="117"/>
              <w:rPr>
                <w:sz w:val="20"/>
                <w:szCs w:val="20"/>
              </w:rPr>
            </w:pPr>
            <w:r>
              <w:rPr>
                <w:spacing w:val="2"/>
                <w:sz w:val="20"/>
                <w:szCs w:val="20"/>
              </w:rPr>
              <w:t>25000</w:t>
            </w:r>
          </w:p>
        </w:tc>
        <w:tc>
          <w:tcPr>
            <w:tcW w:w="681" w:type="dxa"/>
            <w:vAlign w:val="top"/>
          </w:tcPr>
          <w:p w14:paraId="63C1A0B1">
            <w:pPr>
              <w:rPr>
                <w:rFonts w:ascii="Arial"/>
                <w:sz w:val="21"/>
              </w:rPr>
            </w:pPr>
          </w:p>
        </w:tc>
      </w:tr>
      <w:tr w14:paraId="2E56D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00" w:type="dxa"/>
            <w:vAlign w:val="top"/>
          </w:tcPr>
          <w:p w14:paraId="7773FF7D">
            <w:pPr>
              <w:pStyle w:val="18"/>
              <w:spacing w:before="70" w:line="187" w:lineRule="auto"/>
              <w:ind w:left="119"/>
              <w:rPr>
                <w:rFonts w:hint="eastAsia" w:eastAsia="宋体"/>
                <w:sz w:val="20"/>
                <w:szCs w:val="20"/>
                <w:lang w:val="en-US" w:eastAsia="zh-CN"/>
              </w:rPr>
            </w:pPr>
            <w:r>
              <w:rPr>
                <w:rFonts w:hint="eastAsia"/>
                <w:sz w:val="20"/>
                <w:szCs w:val="20"/>
                <w:lang w:val="en-US" w:eastAsia="zh-CN"/>
              </w:rPr>
              <w:t>8</w:t>
            </w:r>
          </w:p>
        </w:tc>
        <w:tc>
          <w:tcPr>
            <w:tcW w:w="2497" w:type="dxa"/>
            <w:vAlign w:val="top"/>
          </w:tcPr>
          <w:p w14:paraId="128B9CE3">
            <w:pPr>
              <w:pStyle w:val="18"/>
              <w:spacing w:before="35" w:line="228" w:lineRule="auto"/>
              <w:ind w:left="115"/>
              <w:rPr>
                <w:spacing w:val="5"/>
                <w:sz w:val="20"/>
                <w:szCs w:val="20"/>
              </w:rPr>
            </w:pPr>
            <w:r>
              <w:rPr>
                <w:rFonts w:hint="eastAsia"/>
                <w:color w:val="auto"/>
                <w:spacing w:val="9"/>
                <w:sz w:val="20"/>
                <w:szCs w:val="20"/>
              </w:rPr>
              <w:t>霞云桥新建污水提升泵站 A</w:t>
            </w:r>
          </w:p>
        </w:tc>
        <w:tc>
          <w:tcPr>
            <w:tcW w:w="1546" w:type="dxa"/>
            <w:vAlign w:val="top"/>
          </w:tcPr>
          <w:p w14:paraId="75254111">
            <w:pPr>
              <w:pStyle w:val="18"/>
              <w:spacing w:before="35" w:line="233" w:lineRule="auto"/>
              <w:ind w:left="724"/>
              <w:rPr>
                <w:rFonts w:hint="eastAsia" w:eastAsia="宋体"/>
                <w:sz w:val="20"/>
                <w:szCs w:val="20"/>
                <w:lang w:val="en-US" w:eastAsia="zh-CN"/>
              </w:rPr>
            </w:pPr>
            <w:r>
              <w:rPr>
                <w:rFonts w:hint="eastAsia"/>
                <w:sz w:val="20"/>
                <w:szCs w:val="20"/>
                <w:lang w:val="en-US" w:eastAsia="zh-CN"/>
              </w:rPr>
              <w:t>/</w:t>
            </w:r>
          </w:p>
        </w:tc>
        <w:tc>
          <w:tcPr>
            <w:tcW w:w="1546" w:type="dxa"/>
            <w:vAlign w:val="top"/>
          </w:tcPr>
          <w:p w14:paraId="33871B5B">
            <w:pPr>
              <w:pStyle w:val="18"/>
              <w:spacing w:before="35" w:line="233" w:lineRule="auto"/>
              <w:ind w:left="726"/>
              <w:rPr>
                <w:rFonts w:hint="eastAsia" w:eastAsia="宋体"/>
                <w:sz w:val="20"/>
                <w:szCs w:val="20"/>
                <w:lang w:val="en-US" w:eastAsia="zh-CN"/>
              </w:rPr>
            </w:pPr>
            <w:r>
              <w:rPr>
                <w:rFonts w:hint="eastAsia"/>
                <w:sz w:val="20"/>
                <w:szCs w:val="20"/>
                <w:lang w:val="en-US" w:eastAsia="zh-CN"/>
              </w:rPr>
              <w:t>/</w:t>
            </w:r>
          </w:p>
        </w:tc>
        <w:tc>
          <w:tcPr>
            <w:tcW w:w="1547" w:type="dxa"/>
            <w:vAlign w:val="top"/>
          </w:tcPr>
          <w:p w14:paraId="2049BF66">
            <w:pPr>
              <w:pStyle w:val="18"/>
              <w:spacing w:before="68" w:line="189" w:lineRule="auto"/>
              <w:ind w:left="117"/>
              <w:rPr>
                <w:rFonts w:hint="default" w:eastAsia="宋体"/>
                <w:spacing w:val="2"/>
                <w:sz w:val="20"/>
                <w:szCs w:val="20"/>
                <w:lang w:val="en-US" w:eastAsia="zh-CN"/>
              </w:rPr>
            </w:pPr>
            <w:r>
              <w:rPr>
                <w:rFonts w:hint="eastAsia"/>
                <w:spacing w:val="2"/>
                <w:sz w:val="20"/>
                <w:szCs w:val="20"/>
                <w:lang w:val="en-US" w:eastAsia="zh-CN"/>
              </w:rPr>
              <w:t>5000</w:t>
            </w:r>
          </w:p>
        </w:tc>
        <w:tc>
          <w:tcPr>
            <w:tcW w:w="681" w:type="dxa"/>
            <w:vAlign w:val="top"/>
          </w:tcPr>
          <w:p w14:paraId="47F17D61">
            <w:pPr>
              <w:rPr>
                <w:rFonts w:ascii="Arial"/>
                <w:sz w:val="21"/>
              </w:rPr>
            </w:pPr>
          </w:p>
        </w:tc>
      </w:tr>
      <w:tr w14:paraId="5D3E4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00" w:type="dxa"/>
            <w:vAlign w:val="top"/>
          </w:tcPr>
          <w:p w14:paraId="7D3C0B3F">
            <w:pPr>
              <w:pStyle w:val="18"/>
              <w:spacing w:before="70" w:line="187" w:lineRule="auto"/>
              <w:ind w:left="119"/>
              <w:rPr>
                <w:rFonts w:hint="default"/>
                <w:sz w:val="20"/>
                <w:szCs w:val="20"/>
                <w:lang w:val="en-US" w:eastAsia="zh-CN"/>
              </w:rPr>
            </w:pPr>
            <w:r>
              <w:rPr>
                <w:rFonts w:hint="eastAsia"/>
                <w:sz w:val="20"/>
                <w:szCs w:val="20"/>
                <w:lang w:val="en-US" w:eastAsia="zh-CN"/>
              </w:rPr>
              <w:t>9</w:t>
            </w:r>
          </w:p>
        </w:tc>
        <w:tc>
          <w:tcPr>
            <w:tcW w:w="2497" w:type="dxa"/>
            <w:vAlign w:val="top"/>
          </w:tcPr>
          <w:p w14:paraId="75C69E6C">
            <w:pPr>
              <w:pStyle w:val="18"/>
              <w:spacing w:before="35" w:line="228" w:lineRule="auto"/>
              <w:ind w:left="115"/>
              <w:rPr>
                <w:rFonts w:hint="eastAsia" w:eastAsia="宋体"/>
                <w:color w:val="auto"/>
                <w:spacing w:val="9"/>
                <w:sz w:val="20"/>
                <w:szCs w:val="20"/>
                <w:lang w:val="en-US" w:eastAsia="zh-CN"/>
              </w:rPr>
            </w:pPr>
            <w:r>
              <w:rPr>
                <w:rFonts w:hint="eastAsia"/>
                <w:color w:val="auto"/>
                <w:spacing w:val="9"/>
                <w:sz w:val="20"/>
                <w:szCs w:val="20"/>
              </w:rPr>
              <w:t xml:space="preserve">霞云桥新建污水提升泵站 </w:t>
            </w:r>
            <w:r>
              <w:rPr>
                <w:rFonts w:hint="eastAsia"/>
                <w:color w:val="auto"/>
                <w:spacing w:val="9"/>
                <w:sz w:val="20"/>
                <w:szCs w:val="20"/>
                <w:lang w:val="en-US" w:eastAsia="zh-CN"/>
              </w:rPr>
              <w:t>B</w:t>
            </w:r>
          </w:p>
        </w:tc>
        <w:tc>
          <w:tcPr>
            <w:tcW w:w="1546" w:type="dxa"/>
            <w:vAlign w:val="top"/>
          </w:tcPr>
          <w:p w14:paraId="48E0FD1D">
            <w:pPr>
              <w:pStyle w:val="18"/>
              <w:spacing w:before="35" w:line="233" w:lineRule="auto"/>
              <w:ind w:left="724"/>
              <w:rPr>
                <w:rFonts w:hint="default"/>
                <w:sz w:val="20"/>
                <w:szCs w:val="20"/>
                <w:lang w:val="en-US" w:eastAsia="zh-CN"/>
              </w:rPr>
            </w:pPr>
            <w:r>
              <w:rPr>
                <w:rFonts w:hint="eastAsia"/>
                <w:sz w:val="20"/>
                <w:szCs w:val="20"/>
                <w:lang w:val="en-US" w:eastAsia="zh-CN"/>
              </w:rPr>
              <w:t>/</w:t>
            </w:r>
          </w:p>
        </w:tc>
        <w:tc>
          <w:tcPr>
            <w:tcW w:w="1546" w:type="dxa"/>
            <w:vAlign w:val="top"/>
          </w:tcPr>
          <w:p w14:paraId="71BE77C9">
            <w:pPr>
              <w:pStyle w:val="18"/>
              <w:spacing w:before="35" w:line="233" w:lineRule="auto"/>
              <w:ind w:left="726"/>
              <w:rPr>
                <w:rFonts w:hint="default"/>
                <w:sz w:val="20"/>
                <w:szCs w:val="20"/>
                <w:lang w:val="en-US" w:eastAsia="zh-CN"/>
              </w:rPr>
            </w:pPr>
            <w:r>
              <w:rPr>
                <w:rFonts w:hint="eastAsia"/>
                <w:sz w:val="20"/>
                <w:szCs w:val="20"/>
                <w:lang w:val="en-US" w:eastAsia="zh-CN"/>
              </w:rPr>
              <w:t>/</w:t>
            </w:r>
          </w:p>
        </w:tc>
        <w:tc>
          <w:tcPr>
            <w:tcW w:w="1547" w:type="dxa"/>
            <w:vAlign w:val="top"/>
          </w:tcPr>
          <w:p w14:paraId="37A58E5F">
            <w:pPr>
              <w:pStyle w:val="18"/>
              <w:spacing w:before="68" w:line="189" w:lineRule="auto"/>
              <w:ind w:left="117"/>
              <w:rPr>
                <w:rFonts w:hint="default"/>
                <w:spacing w:val="2"/>
                <w:sz w:val="20"/>
                <w:szCs w:val="20"/>
                <w:lang w:val="en-US" w:eastAsia="zh-CN"/>
              </w:rPr>
            </w:pPr>
            <w:r>
              <w:rPr>
                <w:rFonts w:hint="eastAsia"/>
                <w:spacing w:val="2"/>
                <w:sz w:val="20"/>
                <w:szCs w:val="20"/>
                <w:lang w:val="en-US" w:eastAsia="zh-CN"/>
              </w:rPr>
              <w:t>15000</w:t>
            </w:r>
          </w:p>
        </w:tc>
        <w:tc>
          <w:tcPr>
            <w:tcW w:w="681" w:type="dxa"/>
            <w:vAlign w:val="top"/>
          </w:tcPr>
          <w:p w14:paraId="016675B3">
            <w:pPr>
              <w:rPr>
                <w:rFonts w:ascii="Arial"/>
                <w:sz w:val="21"/>
              </w:rPr>
            </w:pPr>
          </w:p>
        </w:tc>
      </w:tr>
    </w:tbl>
    <w:p w14:paraId="30ED28C5">
      <w:pPr>
        <w:pStyle w:val="6"/>
        <w:spacing w:before="31" w:line="228" w:lineRule="auto"/>
        <w:ind w:left="4"/>
        <w:rPr>
          <w:b/>
          <w:bCs/>
          <w:sz w:val="21"/>
          <w:szCs w:val="21"/>
        </w:rPr>
      </w:pPr>
      <w:r>
        <w:rPr>
          <w:b/>
          <w:bCs/>
          <w:spacing w:val="7"/>
          <w:sz w:val="21"/>
          <w:szCs w:val="21"/>
        </w:rPr>
        <w:t>二、运营要求</w:t>
      </w:r>
    </w:p>
    <w:p w14:paraId="54A80A77">
      <w:pPr>
        <w:pStyle w:val="6"/>
        <w:spacing w:before="159" w:line="370" w:lineRule="auto"/>
        <w:ind w:firstLine="456" w:firstLineChars="200"/>
        <w:rPr>
          <w:sz w:val="21"/>
          <w:szCs w:val="21"/>
        </w:rPr>
      </w:pPr>
      <w:r>
        <w:rPr>
          <w:spacing w:val="9"/>
          <w:sz w:val="21"/>
          <w:szCs w:val="21"/>
        </w:rPr>
        <w:t>1.采购人于供应商进场服务前，向供应商提供厂区内现有的设备、物品等一切国有设备的移交清单</w:t>
      </w:r>
      <w:r>
        <w:rPr>
          <w:spacing w:val="11"/>
          <w:sz w:val="21"/>
          <w:szCs w:val="21"/>
        </w:rPr>
        <w:t>明细，并移交供应商，供应商须当场核对清单并检查相关设备、物</w:t>
      </w:r>
      <w:r>
        <w:rPr>
          <w:spacing w:val="10"/>
          <w:sz w:val="21"/>
          <w:szCs w:val="21"/>
        </w:rPr>
        <w:t>品等完好情况，并由供应商相关</w:t>
      </w:r>
      <w:r>
        <w:rPr>
          <w:spacing w:val="11"/>
          <w:sz w:val="21"/>
          <w:szCs w:val="21"/>
        </w:rPr>
        <w:t>负责人书面确认；服务期满后，采购人核对原移交的设备、物品等</w:t>
      </w:r>
      <w:r>
        <w:rPr>
          <w:spacing w:val="10"/>
          <w:sz w:val="21"/>
          <w:szCs w:val="21"/>
        </w:rPr>
        <w:t>一切国有设备，若因供应商的操作失误等自身原因导致设备、物品等一切国有</w:t>
      </w:r>
      <w:r>
        <w:rPr>
          <w:spacing w:val="9"/>
          <w:sz w:val="21"/>
          <w:szCs w:val="21"/>
        </w:rPr>
        <w:t>资产的损坏或遗失，一切经济损失由供应商负责。</w:t>
      </w:r>
    </w:p>
    <w:p w14:paraId="6588F249">
      <w:pPr>
        <w:pStyle w:val="6"/>
        <w:spacing w:before="32" w:line="364" w:lineRule="auto"/>
        <w:ind w:left="2" w:right="43" w:firstLine="456" w:firstLineChars="200"/>
        <w:rPr>
          <w:sz w:val="21"/>
          <w:szCs w:val="21"/>
        </w:rPr>
      </w:pPr>
      <w:r>
        <w:rPr>
          <w:spacing w:val="9"/>
          <w:sz w:val="21"/>
          <w:szCs w:val="21"/>
        </w:rPr>
        <w:t>2.采购人仅负责厂区电费、第三方具备相关资质的机构针对排污许可证发放要求进行的例行监测费用、城北污水处理厂在线监测设备的第三方运营费。</w:t>
      </w:r>
    </w:p>
    <w:p w14:paraId="269B8AAB">
      <w:pPr>
        <w:pStyle w:val="6"/>
        <w:keepNext w:val="0"/>
        <w:keepLines w:val="0"/>
        <w:pageBreakBefore w:val="0"/>
        <w:widowControl/>
        <w:kinsoku w:val="0"/>
        <w:wordWrap/>
        <w:overflowPunct w:val="0"/>
        <w:topLinePunct w:val="0"/>
        <w:autoSpaceDE w:val="0"/>
        <w:autoSpaceDN w:val="0"/>
        <w:bidi w:val="0"/>
        <w:adjustRightInd w:val="0"/>
        <w:snapToGrid w:val="0"/>
        <w:spacing w:before="28" w:line="228" w:lineRule="auto"/>
        <w:ind w:left="6" w:firstLine="456" w:firstLineChars="200"/>
        <w:textAlignment w:val="baseline"/>
        <w:rPr>
          <w:rFonts w:hint="eastAsia" w:eastAsia="宋体"/>
          <w:sz w:val="21"/>
          <w:szCs w:val="21"/>
          <w:lang w:eastAsia="zh-CN"/>
        </w:rPr>
      </w:pPr>
      <w:r>
        <w:rPr>
          <w:spacing w:val="9"/>
          <w:sz w:val="21"/>
          <w:szCs w:val="21"/>
        </w:rPr>
        <w:t>3.确保污水处理设施正常运行，污染物排放指标达到各污水处理厂排污许可证排放标准</w:t>
      </w:r>
      <w:r>
        <w:rPr>
          <w:rFonts w:hint="eastAsia"/>
          <w:spacing w:val="9"/>
          <w:sz w:val="21"/>
          <w:szCs w:val="21"/>
          <w:lang w:eastAsia="zh-CN"/>
        </w:rPr>
        <w:t>。</w:t>
      </w:r>
    </w:p>
    <w:p w14:paraId="4F8EAEE9">
      <w:pPr>
        <w:pStyle w:val="6"/>
        <w:spacing w:before="161" w:line="367" w:lineRule="auto"/>
        <w:ind w:firstLine="460" w:firstLineChars="200"/>
        <w:jc w:val="both"/>
        <w:rPr>
          <w:sz w:val="21"/>
          <w:szCs w:val="21"/>
        </w:rPr>
      </w:pPr>
      <w:r>
        <w:rPr>
          <w:spacing w:val="10"/>
          <w:sz w:val="21"/>
          <w:szCs w:val="21"/>
        </w:rPr>
        <w:t>4.污水处理设施的日常维护管理，包括设备调</w:t>
      </w:r>
      <w:r>
        <w:rPr>
          <w:spacing w:val="9"/>
          <w:sz w:val="21"/>
          <w:szCs w:val="21"/>
        </w:rPr>
        <w:t>试、检查，完成正常运行的所有工作程序，并对厂区</w:t>
      </w:r>
      <w:r>
        <w:rPr>
          <w:spacing w:val="11"/>
          <w:sz w:val="21"/>
          <w:szCs w:val="21"/>
        </w:rPr>
        <w:t>内所有设备、道路绿化、排水排污管道、给水消防管道设施及</w:t>
      </w:r>
      <w:r>
        <w:rPr>
          <w:spacing w:val="10"/>
          <w:sz w:val="21"/>
          <w:szCs w:val="21"/>
        </w:rPr>
        <w:t>厂区内所有公用附属设施进行检测管</w:t>
      </w:r>
      <w:r>
        <w:rPr>
          <w:spacing w:val="9"/>
          <w:sz w:val="21"/>
          <w:szCs w:val="21"/>
        </w:rPr>
        <w:t>理维护，做好检查记录；制定运行管理制度，制度上墙，运行时间上墙，明确管理责任。</w:t>
      </w:r>
    </w:p>
    <w:p w14:paraId="605F75E9">
      <w:pPr>
        <w:pStyle w:val="6"/>
        <w:spacing w:before="33" w:line="367" w:lineRule="auto"/>
        <w:ind w:left="3" w:firstLine="456" w:firstLineChars="200"/>
        <w:jc w:val="both"/>
        <w:rPr>
          <w:sz w:val="21"/>
          <w:szCs w:val="21"/>
        </w:rPr>
      </w:pPr>
      <w:r>
        <w:rPr>
          <w:spacing w:val="9"/>
          <w:sz w:val="21"/>
          <w:szCs w:val="21"/>
        </w:rPr>
        <w:t>5.做好运行管理台帐记录，按要求完成污水处理、环境监测等相关在线监管平台信息填报工作，每</w:t>
      </w:r>
      <w:r>
        <w:rPr>
          <w:spacing w:val="10"/>
          <w:sz w:val="21"/>
          <w:szCs w:val="21"/>
        </w:rPr>
        <w:t>月向甲方报送运行月报表，包括设施运行情况、每月用电量、设备维</w:t>
      </w:r>
      <w:r>
        <w:rPr>
          <w:spacing w:val="9"/>
          <w:sz w:val="21"/>
          <w:szCs w:val="21"/>
        </w:rPr>
        <w:t>修情况及群众投诉情况等，以</w:t>
      </w:r>
      <w:r>
        <w:rPr>
          <w:spacing w:val="7"/>
          <w:sz w:val="21"/>
          <w:szCs w:val="21"/>
        </w:rPr>
        <w:t>备相关单位核查和考核。</w:t>
      </w:r>
    </w:p>
    <w:p w14:paraId="11A7D4B1">
      <w:pPr>
        <w:pStyle w:val="6"/>
        <w:keepNext w:val="0"/>
        <w:keepLines w:val="0"/>
        <w:pageBreakBefore w:val="0"/>
        <w:widowControl/>
        <w:kinsoku w:val="0"/>
        <w:wordWrap/>
        <w:overflowPunct/>
        <w:topLinePunct w:val="0"/>
        <w:autoSpaceDE w:val="0"/>
        <w:autoSpaceDN w:val="0"/>
        <w:bidi w:val="0"/>
        <w:adjustRightInd w:val="0"/>
        <w:snapToGrid w:val="0"/>
        <w:spacing w:before="32" w:line="370" w:lineRule="auto"/>
        <w:ind w:left="1" w:right="43" w:firstLine="452" w:firstLineChars="200"/>
        <w:jc w:val="both"/>
        <w:textAlignment w:val="baseline"/>
        <w:rPr>
          <w:spacing w:val="9"/>
          <w:sz w:val="21"/>
          <w:szCs w:val="21"/>
        </w:rPr>
      </w:pPr>
      <w:r>
        <w:rPr>
          <w:spacing w:val="8"/>
          <w:sz w:val="21"/>
          <w:szCs w:val="21"/>
        </w:rPr>
        <w:t>6.完善报告制度，不得擅自停止污水处理设施的运行，在遇到管网破坏、设备故障、民事纠纷、自</w:t>
      </w:r>
      <w:r>
        <w:rPr>
          <w:spacing w:val="10"/>
          <w:sz w:val="21"/>
          <w:szCs w:val="21"/>
        </w:rPr>
        <w:t>然灾害等问题，应及时报告甲方及县生态环境局，限期整改，尽快</w:t>
      </w:r>
      <w:r>
        <w:rPr>
          <w:spacing w:val="9"/>
          <w:sz w:val="21"/>
          <w:szCs w:val="21"/>
        </w:rPr>
        <w:t>恢复污水处理设施的正常运行。</w:t>
      </w:r>
    </w:p>
    <w:p w14:paraId="6CC82BC4">
      <w:pPr>
        <w:pStyle w:val="6"/>
        <w:keepNext w:val="0"/>
        <w:keepLines w:val="0"/>
        <w:pageBreakBefore w:val="0"/>
        <w:widowControl/>
        <w:kinsoku w:val="0"/>
        <w:wordWrap/>
        <w:overflowPunct/>
        <w:topLinePunct w:val="0"/>
        <w:autoSpaceDE w:val="0"/>
        <w:autoSpaceDN w:val="0"/>
        <w:bidi w:val="0"/>
        <w:adjustRightInd w:val="0"/>
        <w:snapToGrid w:val="0"/>
        <w:spacing w:before="32" w:line="370" w:lineRule="auto"/>
        <w:ind w:left="1" w:right="43" w:firstLine="460" w:firstLineChars="200"/>
        <w:jc w:val="both"/>
        <w:textAlignment w:val="baseline"/>
        <w:rPr>
          <w:sz w:val="21"/>
          <w:szCs w:val="21"/>
        </w:rPr>
      </w:pPr>
      <w:r>
        <w:rPr>
          <w:spacing w:val="10"/>
          <w:sz w:val="21"/>
          <w:szCs w:val="21"/>
        </w:rPr>
        <w:t>7.供应商在服务期内必须加强对所有生产设</w:t>
      </w:r>
      <w:r>
        <w:rPr>
          <w:spacing w:val="9"/>
          <w:sz w:val="21"/>
          <w:szCs w:val="21"/>
        </w:rPr>
        <w:t>备的检修、维护，确保安全生产，若出现设备、仪器等故障或发生安全事故，一切法律及经济责任由供应商承担。</w:t>
      </w:r>
    </w:p>
    <w:p w14:paraId="1437629B">
      <w:pPr>
        <w:pStyle w:val="6"/>
        <w:keepNext w:val="0"/>
        <w:keepLines w:val="0"/>
        <w:pageBreakBefore w:val="0"/>
        <w:widowControl/>
        <w:kinsoku w:val="0"/>
        <w:wordWrap/>
        <w:overflowPunct/>
        <w:topLinePunct w:val="0"/>
        <w:autoSpaceDE w:val="0"/>
        <w:autoSpaceDN w:val="0"/>
        <w:bidi w:val="0"/>
        <w:adjustRightInd w:val="0"/>
        <w:snapToGrid w:val="0"/>
        <w:spacing w:before="31" w:line="362" w:lineRule="auto"/>
        <w:ind w:right="43" w:firstLine="452" w:firstLineChars="200"/>
        <w:jc w:val="both"/>
        <w:textAlignment w:val="baseline"/>
        <w:rPr>
          <w:sz w:val="21"/>
          <w:szCs w:val="21"/>
        </w:rPr>
      </w:pPr>
      <w:r>
        <w:rPr>
          <w:spacing w:val="8"/>
          <w:sz w:val="21"/>
          <w:szCs w:val="21"/>
        </w:rPr>
        <w:t>8.有稳定的专门运行维护人员，并定期开展相关培训工作。自行负责污水处理设施运行中相关的对内、对外联系，对污水设施的安全消防负全责，并承担赔偿损失。</w:t>
      </w:r>
    </w:p>
    <w:p w14:paraId="085F3814">
      <w:pPr>
        <w:pStyle w:val="6"/>
        <w:keepNext w:val="0"/>
        <w:keepLines w:val="0"/>
        <w:pageBreakBefore w:val="0"/>
        <w:widowControl/>
        <w:kinsoku w:val="0"/>
        <w:wordWrap/>
        <w:overflowPunct/>
        <w:topLinePunct w:val="0"/>
        <w:autoSpaceDE w:val="0"/>
        <w:autoSpaceDN w:val="0"/>
        <w:bidi w:val="0"/>
        <w:adjustRightInd w:val="0"/>
        <w:snapToGrid w:val="0"/>
        <w:spacing w:before="31" w:line="368" w:lineRule="auto"/>
        <w:ind w:firstLine="460" w:firstLineChars="200"/>
        <w:jc w:val="both"/>
        <w:textAlignment w:val="baseline"/>
        <w:rPr>
          <w:sz w:val="21"/>
          <w:szCs w:val="21"/>
        </w:rPr>
      </w:pPr>
      <w:r>
        <w:rPr>
          <w:spacing w:val="10"/>
          <w:sz w:val="21"/>
          <w:szCs w:val="21"/>
        </w:rPr>
        <w:t>9.供应商必须根据本项目的实际情况制定合</w:t>
      </w:r>
      <w:r>
        <w:rPr>
          <w:spacing w:val="9"/>
          <w:sz w:val="21"/>
          <w:szCs w:val="21"/>
        </w:rPr>
        <w:t>理管理制度（包括运营维护管理制度、人力资源管理制</w:t>
      </w:r>
      <w:r>
        <w:rPr>
          <w:spacing w:val="11"/>
          <w:sz w:val="21"/>
          <w:szCs w:val="21"/>
        </w:rPr>
        <w:t>度等）及合理的工作计划，并向采购人报备。拟投入本项目的现场服务</w:t>
      </w:r>
      <w:r>
        <w:rPr>
          <w:spacing w:val="10"/>
          <w:sz w:val="21"/>
          <w:szCs w:val="21"/>
        </w:rPr>
        <w:t>人员不得从事违纪违法行为</w:t>
      </w:r>
      <w:r>
        <w:rPr>
          <w:spacing w:val="9"/>
          <w:sz w:val="21"/>
          <w:szCs w:val="21"/>
        </w:rPr>
        <w:t>（如偷盗、传销、打架斗殴等等）等有损采购人利益和形象的其他行为。</w:t>
      </w:r>
    </w:p>
    <w:p w14:paraId="1D6C9A7B">
      <w:pPr>
        <w:pStyle w:val="6"/>
        <w:keepNext w:val="0"/>
        <w:keepLines w:val="0"/>
        <w:pageBreakBefore w:val="0"/>
        <w:widowControl/>
        <w:kinsoku w:val="0"/>
        <w:wordWrap/>
        <w:overflowPunct/>
        <w:topLinePunct w:val="0"/>
        <w:autoSpaceDE w:val="0"/>
        <w:autoSpaceDN w:val="0"/>
        <w:bidi w:val="0"/>
        <w:adjustRightInd w:val="0"/>
        <w:snapToGrid w:val="0"/>
        <w:spacing w:before="31" w:line="400" w:lineRule="exact"/>
        <w:ind w:firstLine="471" w:firstLineChars="207"/>
        <w:textAlignment w:val="baseline"/>
        <w:rPr>
          <w:spacing w:val="10"/>
          <w:sz w:val="21"/>
          <w:szCs w:val="21"/>
        </w:rPr>
      </w:pPr>
      <w:r>
        <w:rPr>
          <w:spacing w:val="9"/>
          <w:sz w:val="21"/>
          <w:szCs w:val="21"/>
        </w:rPr>
        <w:t>10.供应商必须按时发放拟投入本项目人员的薪酬（含基本工资、绩</w:t>
      </w:r>
      <w:r>
        <w:rPr>
          <w:spacing w:val="8"/>
          <w:sz w:val="21"/>
          <w:szCs w:val="21"/>
        </w:rPr>
        <w:t>效工资、员工社保等</w:t>
      </w:r>
      <w:r>
        <w:rPr>
          <w:spacing w:val="15"/>
          <w:sz w:val="21"/>
          <w:szCs w:val="21"/>
        </w:rPr>
        <w:t>），</w:t>
      </w:r>
      <w:r>
        <w:rPr>
          <w:spacing w:val="8"/>
          <w:sz w:val="21"/>
          <w:szCs w:val="21"/>
        </w:rPr>
        <w:t>不得</w:t>
      </w:r>
      <w:r>
        <w:rPr>
          <w:spacing w:val="10"/>
          <w:sz w:val="21"/>
          <w:szCs w:val="21"/>
        </w:rPr>
        <w:t>引起劳务纠纷，所引起的劳务纠纷由供应商负责承担处理，并保证不得影响项目的正常运行维护。</w:t>
      </w:r>
    </w:p>
    <w:p w14:paraId="6F76FB11">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1"/>
          <w:szCs w:val="21"/>
        </w:rPr>
      </w:pPr>
      <w:r>
        <w:rPr>
          <w:spacing w:val="10"/>
          <w:sz w:val="21"/>
          <w:szCs w:val="21"/>
        </w:rPr>
        <w:t>11.因国家相关环保部门的验收不合格或其</w:t>
      </w:r>
      <w:r>
        <w:rPr>
          <w:spacing w:val="9"/>
          <w:sz w:val="21"/>
          <w:szCs w:val="21"/>
        </w:rPr>
        <w:t>他原因导致责令停产2次及以上的，则按违约处理，供</w:t>
      </w:r>
      <w:r>
        <w:rPr>
          <w:spacing w:val="7"/>
          <w:sz w:val="21"/>
          <w:szCs w:val="21"/>
        </w:rPr>
        <w:t>应商必须支付合同总金额的5%作为违约金。</w:t>
      </w:r>
    </w:p>
    <w:p w14:paraId="63FC4DEE">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jc w:val="both"/>
        <w:textAlignment w:val="baseline"/>
        <w:rPr>
          <w:sz w:val="21"/>
          <w:szCs w:val="21"/>
        </w:rPr>
      </w:pPr>
      <w:r>
        <w:rPr>
          <w:spacing w:val="10"/>
          <w:sz w:val="21"/>
          <w:szCs w:val="21"/>
        </w:rPr>
        <w:t>12.服务期内，采购人认为供应商实际投入的人员不足以满足项目需要或认为人员不</w:t>
      </w:r>
      <w:r>
        <w:rPr>
          <w:spacing w:val="9"/>
          <w:sz w:val="21"/>
          <w:szCs w:val="21"/>
        </w:rPr>
        <w:t>称职时，可向</w:t>
      </w:r>
      <w:r>
        <w:rPr>
          <w:spacing w:val="10"/>
          <w:sz w:val="21"/>
          <w:szCs w:val="21"/>
        </w:rPr>
        <w:t>供应商发出要求增加或更换人员的通知，供应商在收到通知后的5个工作日内应增加或更换相应的</w:t>
      </w:r>
      <w:r>
        <w:rPr>
          <w:spacing w:val="8"/>
          <w:sz w:val="21"/>
          <w:szCs w:val="21"/>
        </w:rPr>
        <w:t>人员，由此产生的费用由乙方自行承担。</w:t>
      </w:r>
    </w:p>
    <w:p w14:paraId="2D9CF730">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b/>
          <w:bCs/>
          <w:sz w:val="21"/>
          <w:szCs w:val="21"/>
        </w:rPr>
      </w:pPr>
      <w:r>
        <w:rPr>
          <w:b/>
          <w:bCs/>
          <w:spacing w:val="8"/>
          <w:sz w:val="21"/>
          <w:szCs w:val="21"/>
        </w:rPr>
        <w:t>三、运营方职责</w:t>
      </w:r>
    </w:p>
    <w:p w14:paraId="4699497A">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1"/>
          <w:szCs w:val="21"/>
        </w:rPr>
      </w:pPr>
      <w:r>
        <w:rPr>
          <w:spacing w:val="10"/>
          <w:sz w:val="21"/>
          <w:szCs w:val="21"/>
        </w:rPr>
        <w:t>1.污水处理设施的管理维护及正常运行，包括格网井、调节池、生物接触氧化池、二沉池、监测井</w:t>
      </w:r>
      <w:r>
        <w:rPr>
          <w:spacing w:val="9"/>
          <w:sz w:val="21"/>
          <w:szCs w:val="21"/>
        </w:rPr>
        <w:t>等构筑物，工艺污水管线及机房、围栏、绿化草坪、宣传牌、标志标识等附属设施。</w:t>
      </w:r>
    </w:p>
    <w:p w14:paraId="308ABEE7">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sz w:val="21"/>
          <w:szCs w:val="21"/>
        </w:rPr>
      </w:pPr>
      <w:r>
        <w:rPr>
          <w:spacing w:val="9"/>
          <w:sz w:val="21"/>
          <w:szCs w:val="21"/>
        </w:rPr>
        <w:t>2.污水处理设施的收集管网的保管及正常运行，包括所有管道、沟渠、检查井及盖板、入户收集口</w:t>
      </w:r>
      <w:r>
        <w:rPr>
          <w:spacing w:val="-1"/>
          <w:sz w:val="21"/>
          <w:szCs w:val="21"/>
        </w:rPr>
        <w:t>等。</w:t>
      </w:r>
    </w:p>
    <w:p w14:paraId="4C2D098C">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sz w:val="21"/>
          <w:szCs w:val="21"/>
        </w:rPr>
      </w:pPr>
      <w:r>
        <w:rPr>
          <w:spacing w:val="8"/>
          <w:sz w:val="21"/>
          <w:szCs w:val="21"/>
        </w:rPr>
        <w:t>3.污水处理工作的所有供电、电气设备、机械设备</w:t>
      </w:r>
      <w:r>
        <w:rPr>
          <w:spacing w:val="7"/>
          <w:sz w:val="21"/>
          <w:szCs w:val="21"/>
        </w:rPr>
        <w:t>的管理维护及正常运行，包括电杆、电缆线、电</w:t>
      </w:r>
      <w:r>
        <w:rPr>
          <w:spacing w:val="9"/>
          <w:sz w:val="21"/>
          <w:szCs w:val="21"/>
        </w:rPr>
        <w:t>控柜、风机、水泵、曝气器、填料、斜管等。</w:t>
      </w:r>
    </w:p>
    <w:p w14:paraId="16303CAF">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sz w:val="21"/>
          <w:szCs w:val="21"/>
        </w:rPr>
      </w:pPr>
      <w:r>
        <w:rPr>
          <w:spacing w:val="9"/>
          <w:sz w:val="21"/>
          <w:szCs w:val="21"/>
        </w:rPr>
        <w:t>4.污水管网及设施设备需要大修并启用大修基金的</w:t>
      </w:r>
      <w:r>
        <w:rPr>
          <w:spacing w:val="8"/>
          <w:sz w:val="21"/>
          <w:szCs w:val="21"/>
        </w:rPr>
        <w:t>，由中标供应商以书面形式向采购人提出维修方</w:t>
      </w:r>
      <w:r>
        <w:rPr>
          <w:spacing w:val="9"/>
          <w:sz w:val="21"/>
          <w:szCs w:val="21"/>
        </w:rPr>
        <w:t>案，待采购人审核批复后按维修方案执行并拨付维修费用。</w:t>
      </w:r>
    </w:p>
    <w:p w14:paraId="0ECEF567">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b/>
          <w:bCs/>
          <w:sz w:val="21"/>
          <w:szCs w:val="21"/>
        </w:rPr>
      </w:pPr>
      <w:r>
        <w:rPr>
          <w:b/>
          <w:bCs/>
          <w:spacing w:val="4"/>
          <w:sz w:val="21"/>
          <w:szCs w:val="21"/>
        </w:rPr>
        <w:t>四、服务期限</w:t>
      </w:r>
    </w:p>
    <w:p w14:paraId="617AA139">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sz w:val="21"/>
          <w:szCs w:val="21"/>
        </w:rPr>
      </w:pPr>
      <w:r>
        <w:rPr>
          <w:spacing w:val="9"/>
          <w:sz w:val="21"/>
          <w:szCs w:val="21"/>
        </w:rPr>
        <w:t>自签订合同之日起一年（如在合同期限内，该项目因运营模式改变，通过公开招标方式引入了</w:t>
      </w:r>
      <w:r>
        <w:rPr>
          <w:spacing w:val="8"/>
          <w:sz w:val="21"/>
          <w:szCs w:val="21"/>
        </w:rPr>
        <w:t>社会</w:t>
      </w:r>
      <w:r>
        <w:rPr>
          <w:spacing w:val="9"/>
          <w:sz w:val="21"/>
          <w:szCs w:val="21"/>
        </w:rPr>
        <w:t>投资人，则合同终止，项目移交中标方运营管理，服务费用以实际运营时长支付）。</w:t>
      </w:r>
    </w:p>
    <w:p w14:paraId="71115DBD">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b/>
          <w:bCs/>
          <w:sz w:val="21"/>
          <w:szCs w:val="21"/>
        </w:rPr>
      </w:pPr>
      <w:r>
        <w:rPr>
          <w:b/>
          <w:bCs/>
          <w:spacing w:val="7"/>
          <w:sz w:val="21"/>
          <w:szCs w:val="21"/>
        </w:rPr>
        <w:t>五、付款方式</w:t>
      </w:r>
    </w:p>
    <w:p w14:paraId="67B60D42">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228" w:firstLineChars="100"/>
        <w:textAlignment w:val="baseline"/>
        <w:rPr>
          <w:sz w:val="21"/>
          <w:szCs w:val="21"/>
        </w:rPr>
      </w:pPr>
      <w:r>
        <w:rPr>
          <w:spacing w:val="9"/>
          <w:sz w:val="21"/>
          <w:szCs w:val="21"/>
        </w:rPr>
        <w:t>按季等比支付，即每次付款前需经采购人按考核管理办法考核达标后方可支付。</w:t>
      </w:r>
    </w:p>
    <w:p w14:paraId="2E61DD63">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b/>
          <w:bCs/>
          <w:spacing w:val="8"/>
          <w:sz w:val="21"/>
          <w:szCs w:val="21"/>
        </w:rPr>
      </w:pPr>
      <w:r>
        <w:rPr>
          <w:b/>
          <w:bCs/>
          <w:spacing w:val="8"/>
          <w:sz w:val="21"/>
          <w:szCs w:val="21"/>
        </w:rPr>
        <w:t>六、运营期绩效考核</w:t>
      </w:r>
    </w:p>
    <w:p w14:paraId="4918B0EA">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sz w:val="21"/>
          <w:szCs w:val="21"/>
        </w:rPr>
      </w:pPr>
      <w:r>
        <w:rPr>
          <w:spacing w:val="3"/>
          <w:sz w:val="21"/>
          <w:szCs w:val="21"/>
        </w:rPr>
        <w:t>1.评价说明</w:t>
      </w:r>
    </w:p>
    <w:p w14:paraId="5A64B5CA">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1"/>
          <w:szCs w:val="21"/>
        </w:rPr>
      </w:pPr>
      <w:r>
        <w:rPr>
          <w:spacing w:val="10"/>
          <w:sz w:val="21"/>
          <w:szCs w:val="21"/>
        </w:rPr>
        <w:t>本项目运营期绩效评价季度评价结果与当季运营服务费的支付挂钩。运</w:t>
      </w:r>
      <w:r>
        <w:rPr>
          <w:spacing w:val="9"/>
          <w:sz w:val="21"/>
          <w:szCs w:val="21"/>
        </w:rPr>
        <w:t>营期内主要通过以下常规指标对中标单位的运营绩效水平进行评价，并依据绩效评价结果支付运营服务费用。</w:t>
      </w:r>
    </w:p>
    <w:p w14:paraId="4629DD11">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sz w:val="21"/>
          <w:szCs w:val="21"/>
        </w:rPr>
      </w:pPr>
      <w:r>
        <w:rPr>
          <w:spacing w:val="5"/>
          <w:sz w:val="21"/>
          <w:szCs w:val="21"/>
        </w:rPr>
        <w:t>2.评价指标</w:t>
      </w:r>
    </w:p>
    <w:p w14:paraId="445E90FF">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spacing w:val="7"/>
          <w:sz w:val="21"/>
          <w:szCs w:val="21"/>
        </w:rPr>
      </w:pPr>
      <w:r>
        <w:rPr>
          <w:spacing w:val="7"/>
          <w:sz w:val="21"/>
          <w:szCs w:val="21"/>
        </w:rPr>
        <w:t>项目运营期绩效评价实行总分制，满分分值100分。评价指标详见附件一。</w:t>
      </w:r>
    </w:p>
    <w:p w14:paraId="30FBD82E">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sz w:val="21"/>
          <w:szCs w:val="21"/>
        </w:rPr>
      </w:pPr>
      <w:r>
        <w:rPr>
          <w:spacing w:val="5"/>
          <w:sz w:val="21"/>
          <w:szCs w:val="21"/>
        </w:rPr>
        <w:t>3.绩效评价</w:t>
      </w:r>
    </w:p>
    <w:p w14:paraId="560B4E8F">
      <w:pPr>
        <w:pStyle w:val="6"/>
        <w:keepNext w:val="0"/>
        <w:keepLines w:val="0"/>
        <w:pageBreakBefore w:val="0"/>
        <w:widowControl/>
        <w:kinsoku w:val="0"/>
        <w:wordWrap/>
        <w:overflowPunct/>
        <w:topLinePunct w:val="0"/>
        <w:autoSpaceDE w:val="0"/>
        <w:autoSpaceDN w:val="0"/>
        <w:bidi w:val="0"/>
        <w:adjustRightInd w:val="0"/>
        <w:snapToGrid w:val="0"/>
        <w:spacing w:before="36" w:line="400" w:lineRule="exact"/>
        <w:ind w:left="10" w:firstLine="226" w:firstLineChars="100"/>
        <w:textAlignment w:val="baseline"/>
        <w:rPr>
          <w:sz w:val="21"/>
          <w:szCs w:val="21"/>
        </w:rPr>
      </w:pPr>
      <w:r>
        <w:rPr>
          <w:spacing w:val="8"/>
          <w:sz w:val="21"/>
          <w:szCs w:val="21"/>
        </w:rPr>
        <w:t>（1）得分≥80分，运营绩效评价为合格，全额支付当季运营服务费。</w:t>
      </w:r>
    </w:p>
    <w:p w14:paraId="675545AD">
      <w:pPr>
        <w:pStyle w:val="6"/>
        <w:keepNext w:val="0"/>
        <w:keepLines w:val="0"/>
        <w:pageBreakBefore w:val="0"/>
        <w:widowControl/>
        <w:kinsoku w:val="0"/>
        <w:wordWrap/>
        <w:overflowPunct/>
        <w:topLinePunct w:val="0"/>
        <w:autoSpaceDE w:val="0"/>
        <w:autoSpaceDN w:val="0"/>
        <w:bidi w:val="0"/>
        <w:adjustRightInd w:val="0"/>
        <w:snapToGrid w:val="0"/>
        <w:spacing w:before="110" w:line="400" w:lineRule="exact"/>
        <w:ind w:left="10" w:firstLine="226" w:firstLineChars="100"/>
        <w:textAlignment w:val="baseline"/>
        <w:rPr>
          <w:sz w:val="21"/>
          <w:szCs w:val="21"/>
        </w:rPr>
      </w:pPr>
      <w:r>
        <w:rPr>
          <w:spacing w:val="8"/>
          <w:sz w:val="21"/>
          <w:szCs w:val="21"/>
        </w:rPr>
        <w:t>（2）70分≤得分&lt;80分，运营绩效评价为合格</w:t>
      </w:r>
      <w:r>
        <w:rPr>
          <w:spacing w:val="7"/>
          <w:sz w:val="21"/>
          <w:szCs w:val="21"/>
        </w:rPr>
        <w:t>，按当季运营服务费的80%结算当季费用。</w:t>
      </w:r>
    </w:p>
    <w:p w14:paraId="3CA0FD5E">
      <w:pPr>
        <w:pStyle w:val="6"/>
        <w:keepNext w:val="0"/>
        <w:keepLines w:val="0"/>
        <w:pageBreakBefore w:val="0"/>
        <w:widowControl/>
        <w:kinsoku w:val="0"/>
        <w:wordWrap/>
        <w:overflowPunct/>
        <w:topLinePunct w:val="0"/>
        <w:autoSpaceDE w:val="0"/>
        <w:autoSpaceDN w:val="0"/>
        <w:bidi w:val="0"/>
        <w:adjustRightInd w:val="0"/>
        <w:snapToGrid w:val="0"/>
        <w:spacing w:before="111" w:line="400" w:lineRule="exact"/>
        <w:ind w:left="10" w:firstLine="226" w:firstLineChars="100"/>
        <w:textAlignment w:val="baseline"/>
        <w:rPr>
          <w:sz w:val="21"/>
          <w:szCs w:val="21"/>
        </w:rPr>
      </w:pPr>
      <w:r>
        <w:rPr>
          <w:spacing w:val="8"/>
          <w:sz w:val="21"/>
          <w:szCs w:val="21"/>
        </w:rPr>
        <w:t>（3）60分≤得分&lt;70分，运营绩效评</w:t>
      </w:r>
      <w:r>
        <w:rPr>
          <w:spacing w:val="7"/>
          <w:sz w:val="21"/>
          <w:szCs w:val="21"/>
        </w:rPr>
        <w:t>价为合格，按当季运营服务费的70%结算当季费用。</w:t>
      </w:r>
    </w:p>
    <w:p w14:paraId="73F3388D">
      <w:pPr>
        <w:pStyle w:val="6"/>
        <w:keepNext w:val="0"/>
        <w:keepLines w:val="0"/>
        <w:pageBreakBefore w:val="0"/>
        <w:widowControl/>
        <w:kinsoku w:val="0"/>
        <w:wordWrap/>
        <w:overflowPunct/>
        <w:topLinePunct w:val="0"/>
        <w:autoSpaceDE w:val="0"/>
        <w:autoSpaceDN w:val="0"/>
        <w:bidi w:val="0"/>
        <w:adjustRightInd w:val="0"/>
        <w:snapToGrid w:val="0"/>
        <w:spacing w:before="112" w:line="400" w:lineRule="exact"/>
        <w:ind w:left="10" w:firstLine="228" w:firstLineChars="100"/>
        <w:jc w:val="both"/>
        <w:textAlignment w:val="baseline"/>
        <w:rPr>
          <w:sz w:val="21"/>
          <w:szCs w:val="21"/>
        </w:rPr>
      </w:pPr>
      <w:r>
        <w:rPr>
          <w:spacing w:val="9"/>
          <w:sz w:val="21"/>
          <w:szCs w:val="21"/>
        </w:rPr>
        <w:t>（4）当得分&lt;60分时，运营绩效评价为不合格，中标人需对不合格项进行限期</w:t>
      </w:r>
      <w:r>
        <w:rPr>
          <w:spacing w:val="8"/>
          <w:sz w:val="21"/>
          <w:szCs w:val="21"/>
        </w:rPr>
        <w:t>整改，整改完成并</w:t>
      </w:r>
      <w:r>
        <w:rPr>
          <w:spacing w:val="11"/>
          <w:sz w:val="21"/>
          <w:szCs w:val="21"/>
        </w:rPr>
        <w:t>合格后，按当季运运营服务费的70%结算当季费用，如整改后仍不合格，当季运运营服务</w:t>
      </w:r>
      <w:r>
        <w:rPr>
          <w:rFonts w:hint="eastAsia"/>
          <w:spacing w:val="11"/>
          <w:sz w:val="21"/>
          <w:szCs w:val="21"/>
          <w:lang w:val="en-US" w:eastAsia="zh-CN"/>
        </w:rPr>
        <w:t>费</w:t>
      </w:r>
      <w:r>
        <w:rPr>
          <w:spacing w:val="11"/>
          <w:sz w:val="21"/>
          <w:szCs w:val="21"/>
        </w:rPr>
        <w:t>合格后，按当季运运营服务费的70%结算当季费用，如整改后仍不合格，当季运运营服务费不予支</w:t>
      </w:r>
      <w:r>
        <w:rPr>
          <w:sz w:val="21"/>
          <w:szCs w:val="21"/>
        </w:rPr>
        <w:t>付。</w:t>
      </w:r>
    </w:p>
    <w:p w14:paraId="1537285B">
      <w:pPr>
        <w:pStyle w:val="6"/>
        <w:keepNext w:val="0"/>
        <w:keepLines w:val="0"/>
        <w:pageBreakBefore w:val="0"/>
        <w:widowControl/>
        <w:kinsoku w:val="0"/>
        <w:wordWrap/>
        <w:overflowPunct/>
        <w:topLinePunct w:val="0"/>
        <w:autoSpaceDE w:val="0"/>
        <w:autoSpaceDN w:val="0"/>
        <w:bidi w:val="0"/>
        <w:adjustRightInd w:val="0"/>
        <w:snapToGrid w:val="0"/>
        <w:spacing w:before="111" w:line="400" w:lineRule="exact"/>
        <w:textAlignment w:val="baseline"/>
        <w:rPr>
          <w:b/>
          <w:bCs/>
          <w:sz w:val="21"/>
          <w:szCs w:val="21"/>
        </w:rPr>
      </w:pPr>
      <w:r>
        <w:rPr>
          <w:b/>
          <w:bCs/>
          <w:spacing w:val="8"/>
          <w:sz w:val="21"/>
          <w:szCs w:val="21"/>
        </w:rPr>
        <w:t>七、其他要求</w:t>
      </w:r>
    </w:p>
    <w:p w14:paraId="50F612AF">
      <w:pPr>
        <w:pStyle w:val="6"/>
        <w:keepNext w:val="0"/>
        <w:keepLines w:val="0"/>
        <w:pageBreakBefore w:val="0"/>
        <w:widowControl/>
        <w:kinsoku w:val="0"/>
        <w:wordWrap/>
        <w:overflowPunct/>
        <w:topLinePunct w:val="0"/>
        <w:autoSpaceDE w:val="0"/>
        <w:autoSpaceDN w:val="0"/>
        <w:bidi w:val="0"/>
        <w:adjustRightInd w:val="0"/>
        <w:snapToGrid w:val="0"/>
        <w:spacing w:before="110" w:line="400" w:lineRule="exact"/>
        <w:ind w:firstLine="456" w:firstLineChars="200"/>
        <w:jc w:val="both"/>
        <w:textAlignment w:val="baseline"/>
        <w:rPr>
          <w:sz w:val="21"/>
          <w:szCs w:val="21"/>
        </w:rPr>
      </w:pPr>
      <w:r>
        <w:rPr>
          <w:spacing w:val="9"/>
          <w:sz w:val="21"/>
          <w:szCs w:val="21"/>
        </w:rPr>
        <w:t>本项目采购预算金额为</w:t>
      </w:r>
      <w:r>
        <w:rPr>
          <w:b/>
          <w:bCs/>
          <w:spacing w:val="9"/>
          <w:sz w:val="21"/>
          <w:szCs w:val="21"/>
        </w:rPr>
        <w:t>人民币</w:t>
      </w:r>
      <w:r>
        <w:rPr>
          <w:rFonts w:hint="eastAsia"/>
          <w:b/>
          <w:bCs/>
          <w:spacing w:val="9"/>
          <w:sz w:val="21"/>
          <w:szCs w:val="21"/>
          <w:lang w:val="en-US" w:eastAsia="zh-CN"/>
        </w:rPr>
        <w:t>叁</w:t>
      </w:r>
      <w:r>
        <w:rPr>
          <w:b/>
          <w:bCs/>
          <w:spacing w:val="9"/>
          <w:sz w:val="21"/>
          <w:szCs w:val="21"/>
        </w:rPr>
        <w:t>佰万元整(￥</w:t>
      </w:r>
      <w:r>
        <w:rPr>
          <w:rFonts w:hint="eastAsia"/>
          <w:b/>
          <w:bCs/>
          <w:spacing w:val="9"/>
          <w:sz w:val="21"/>
          <w:szCs w:val="21"/>
          <w:lang w:val="en-US" w:eastAsia="zh-CN"/>
        </w:rPr>
        <w:t>3000</w:t>
      </w:r>
      <w:r>
        <w:rPr>
          <w:b/>
          <w:bCs/>
          <w:spacing w:val="9"/>
          <w:sz w:val="21"/>
          <w:szCs w:val="21"/>
        </w:rPr>
        <w:t>000</w:t>
      </w:r>
      <w:r>
        <w:rPr>
          <w:b/>
          <w:bCs/>
          <w:spacing w:val="8"/>
          <w:sz w:val="21"/>
          <w:szCs w:val="21"/>
        </w:rPr>
        <w:t>.00</w:t>
      </w:r>
      <w:r>
        <w:rPr>
          <w:b/>
          <w:bCs/>
          <w:spacing w:val="-9"/>
          <w:sz w:val="21"/>
          <w:szCs w:val="21"/>
        </w:rPr>
        <w:t>）</w:t>
      </w:r>
      <w:r>
        <w:rPr>
          <w:spacing w:val="-9"/>
          <w:sz w:val="21"/>
          <w:szCs w:val="21"/>
        </w:rPr>
        <w:t>（</w:t>
      </w:r>
      <w:r>
        <w:rPr>
          <w:spacing w:val="8"/>
          <w:sz w:val="21"/>
          <w:szCs w:val="21"/>
        </w:rPr>
        <w:t>采购预算金额包括</w:t>
      </w:r>
      <w:r>
        <w:rPr>
          <w:spacing w:val="11"/>
          <w:sz w:val="21"/>
          <w:szCs w:val="21"/>
        </w:rPr>
        <w:t>本次采购范围内服务价款、服务所用耗材、人工费、管理费用、专用</w:t>
      </w:r>
      <w:r>
        <w:rPr>
          <w:spacing w:val="10"/>
          <w:sz w:val="21"/>
          <w:szCs w:val="21"/>
        </w:rPr>
        <w:t>工具、维护、税费等相关一切</w:t>
      </w:r>
      <w:r>
        <w:rPr>
          <w:spacing w:val="8"/>
          <w:sz w:val="21"/>
          <w:szCs w:val="21"/>
        </w:rPr>
        <w:t>费用。不包括厂区电费、第三方具备相关资质的</w:t>
      </w:r>
      <w:r>
        <w:rPr>
          <w:spacing w:val="7"/>
          <w:sz w:val="21"/>
          <w:szCs w:val="21"/>
        </w:rPr>
        <w:t>机构针对排污许可证发放要求进行的例行监测费用、</w:t>
      </w:r>
      <w:r>
        <w:rPr>
          <w:spacing w:val="11"/>
          <w:sz w:val="21"/>
          <w:szCs w:val="21"/>
        </w:rPr>
        <w:t>城北污水处理厂在线监测设备的第三方运营费。</w:t>
      </w:r>
      <w:r>
        <w:rPr>
          <w:spacing w:val="4"/>
          <w:sz w:val="21"/>
          <w:szCs w:val="21"/>
        </w:rPr>
        <w:t>），</w:t>
      </w:r>
      <w:r>
        <w:rPr>
          <w:spacing w:val="11"/>
          <w:sz w:val="21"/>
          <w:szCs w:val="21"/>
        </w:rPr>
        <w:t>报价超出采购预算金额的，其投标文件按无效</w:t>
      </w:r>
      <w:r>
        <w:rPr>
          <w:spacing w:val="3"/>
          <w:sz w:val="21"/>
          <w:szCs w:val="21"/>
        </w:rPr>
        <w:t>处理。</w:t>
      </w:r>
    </w:p>
    <w:p w14:paraId="70FB2E4D">
      <w:pPr>
        <w:pStyle w:val="6"/>
        <w:keepNext w:val="0"/>
        <w:keepLines w:val="0"/>
        <w:pageBreakBefore w:val="0"/>
        <w:widowControl/>
        <w:kinsoku w:val="0"/>
        <w:wordWrap/>
        <w:overflowPunct/>
        <w:topLinePunct w:val="0"/>
        <w:autoSpaceDE w:val="0"/>
        <w:autoSpaceDN w:val="0"/>
        <w:bidi w:val="0"/>
        <w:adjustRightInd w:val="0"/>
        <w:snapToGrid w:val="0"/>
        <w:spacing w:before="110" w:line="400" w:lineRule="exact"/>
        <w:jc w:val="both"/>
        <w:textAlignment w:val="baseline"/>
        <w:rPr>
          <w:rFonts w:hint="eastAsia"/>
          <w:b/>
          <w:bCs/>
          <w:spacing w:val="8"/>
          <w:sz w:val="21"/>
          <w:szCs w:val="21"/>
          <w:lang w:val="en-US" w:eastAsia="zh-CN"/>
        </w:rPr>
      </w:pPr>
      <w:r>
        <w:rPr>
          <w:b/>
          <w:bCs/>
          <w:spacing w:val="8"/>
          <w:sz w:val="21"/>
          <w:szCs w:val="21"/>
        </w:rPr>
        <w:t>注：本“</w:t>
      </w:r>
      <w:r>
        <w:rPr>
          <w:rFonts w:hint="eastAsia"/>
          <w:b/>
          <w:bCs/>
          <w:spacing w:val="8"/>
          <w:sz w:val="21"/>
          <w:szCs w:val="21"/>
          <w:lang w:val="en-US" w:eastAsia="zh-CN"/>
        </w:rPr>
        <w:t>采购</w:t>
      </w:r>
      <w:r>
        <w:rPr>
          <w:b/>
          <w:bCs/>
          <w:spacing w:val="8"/>
          <w:sz w:val="21"/>
          <w:szCs w:val="21"/>
        </w:rPr>
        <w:t>需求”中的所有条款要求均为实质性要</w:t>
      </w:r>
      <w:r>
        <w:rPr>
          <w:rFonts w:hint="eastAsia"/>
          <w:b/>
          <w:bCs/>
          <w:spacing w:val="8"/>
          <w:sz w:val="21"/>
          <w:szCs w:val="21"/>
          <w:lang w:val="en-US" w:eastAsia="zh-CN"/>
        </w:rPr>
        <w:t>求。</w:t>
      </w:r>
    </w:p>
    <w:p w14:paraId="33211F66">
      <w:pPr>
        <w:pStyle w:val="6"/>
        <w:keepNext w:val="0"/>
        <w:keepLines w:val="0"/>
        <w:pageBreakBefore w:val="0"/>
        <w:widowControl/>
        <w:kinsoku w:val="0"/>
        <w:wordWrap/>
        <w:overflowPunct/>
        <w:topLinePunct w:val="0"/>
        <w:autoSpaceDE w:val="0"/>
        <w:autoSpaceDN w:val="0"/>
        <w:bidi w:val="0"/>
        <w:adjustRightInd w:val="0"/>
        <w:snapToGrid w:val="0"/>
        <w:spacing w:before="110" w:line="400" w:lineRule="exact"/>
        <w:jc w:val="both"/>
        <w:textAlignment w:val="baseline"/>
        <w:rPr>
          <w:spacing w:val="8"/>
          <w:sz w:val="21"/>
          <w:szCs w:val="21"/>
        </w:rPr>
      </w:pPr>
      <w:r>
        <w:rPr>
          <w:spacing w:val="8"/>
          <w:sz w:val="21"/>
          <w:szCs w:val="21"/>
        </w:rPr>
        <w:t>附件一：污水厂运营期绩效考核指标表</w:t>
      </w:r>
    </w:p>
    <w:p w14:paraId="4C8C8950">
      <w:pPr>
        <w:spacing w:line="313" w:lineRule="auto"/>
        <w:outlineLvl w:val="9"/>
        <w:rPr>
          <w:sz w:val="20"/>
          <w:szCs w:val="20"/>
        </w:rPr>
        <w:sectPr>
          <w:footerReference r:id="rId9" w:type="default"/>
          <w:pgSz w:w="11906" w:h="16839"/>
          <w:pgMar w:top="1431" w:right="1349" w:bottom="1355" w:left="1425" w:header="0" w:footer="1193" w:gutter="0"/>
          <w:pgNumType w:fmt="decimal"/>
          <w:cols w:space="720" w:num="1"/>
        </w:sectPr>
      </w:pPr>
    </w:p>
    <w:p w14:paraId="5E7BDDDA">
      <w:pPr>
        <w:spacing w:line="391" w:lineRule="auto"/>
        <w:outlineLvl w:val="9"/>
        <w:rPr>
          <w:rFonts w:ascii="Arial"/>
          <w:sz w:val="21"/>
        </w:rPr>
      </w:pPr>
    </w:p>
    <w:p w14:paraId="699798C8">
      <w:pPr>
        <w:pStyle w:val="6"/>
        <w:spacing w:before="91" w:line="212" w:lineRule="auto"/>
        <w:ind w:left="52"/>
        <w:outlineLvl w:val="9"/>
        <w:rPr>
          <w:sz w:val="28"/>
          <w:szCs w:val="28"/>
        </w:rPr>
      </w:pPr>
      <w:bookmarkStart w:id="34" w:name="_Toc26535"/>
      <w:r>
        <w:rPr>
          <w:b/>
          <w:bCs/>
          <w:spacing w:val="-4"/>
          <w:sz w:val="28"/>
          <w:szCs w:val="28"/>
        </w:rPr>
        <w:t>附件一：污水厂运营期绩效考核指标表</w:t>
      </w:r>
      <w:bookmarkEnd w:id="34"/>
    </w:p>
    <w:tbl>
      <w:tblPr>
        <w:tblStyle w:val="17"/>
        <w:tblW w:w="14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080"/>
        <w:gridCol w:w="628"/>
        <w:gridCol w:w="719"/>
        <w:gridCol w:w="1115"/>
        <w:gridCol w:w="4360"/>
        <w:gridCol w:w="4645"/>
        <w:gridCol w:w="1084"/>
      </w:tblGrid>
      <w:tr w14:paraId="2FD78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5" w:type="dxa"/>
            <w:textDirection w:val="tbRlV"/>
            <w:vAlign w:val="top"/>
          </w:tcPr>
          <w:p w14:paraId="08FCA7B3">
            <w:pPr>
              <w:pStyle w:val="18"/>
              <w:spacing w:before="123" w:line="218" w:lineRule="auto"/>
              <w:ind w:left="79"/>
              <w:rPr>
                <w:sz w:val="20"/>
                <w:szCs w:val="20"/>
              </w:rPr>
            </w:pPr>
            <w:r>
              <w:rPr>
                <w:b/>
                <w:bCs/>
                <w:spacing w:val="6"/>
                <w:sz w:val="20"/>
                <w:szCs w:val="20"/>
              </w:rPr>
              <w:t>序号</w:t>
            </w:r>
          </w:p>
        </w:tc>
        <w:tc>
          <w:tcPr>
            <w:tcW w:w="1080" w:type="dxa"/>
            <w:vAlign w:val="top"/>
          </w:tcPr>
          <w:p w14:paraId="2B07E5C4">
            <w:pPr>
              <w:pStyle w:val="18"/>
              <w:spacing w:before="214" w:line="228" w:lineRule="auto"/>
              <w:ind w:left="125"/>
              <w:rPr>
                <w:sz w:val="20"/>
                <w:szCs w:val="20"/>
              </w:rPr>
            </w:pPr>
            <w:r>
              <w:rPr>
                <w:b/>
                <w:bCs/>
                <w:spacing w:val="5"/>
                <w:sz w:val="20"/>
                <w:szCs w:val="20"/>
              </w:rPr>
              <w:t>项目名称</w:t>
            </w:r>
          </w:p>
        </w:tc>
        <w:tc>
          <w:tcPr>
            <w:tcW w:w="628" w:type="dxa"/>
            <w:vAlign w:val="top"/>
          </w:tcPr>
          <w:p w14:paraId="0B1A1B2F">
            <w:pPr>
              <w:pStyle w:val="18"/>
              <w:spacing w:before="80" w:line="239" w:lineRule="auto"/>
              <w:ind w:left="110" w:right="105" w:hanging="2"/>
              <w:rPr>
                <w:sz w:val="20"/>
                <w:szCs w:val="20"/>
              </w:rPr>
            </w:pPr>
            <w:r>
              <w:rPr>
                <w:b/>
                <w:bCs/>
                <w:spacing w:val="2"/>
                <w:sz w:val="20"/>
                <w:szCs w:val="20"/>
              </w:rPr>
              <w:t>项目</w:t>
            </w:r>
            <w:r>
              <w:rPr>
                <w:b/>
                <w:bCs/>
                <w:spacing w:val="1"/>
                <w:sz w:val="20"/>
                <w:szCs w:val="20"/>
              </w:rPr>
              <w:t>总分</w:t>
            </w:r>
          </w:p>
        </w:tc>
        <w:tc>
          <w:tcPr>
            <w:tcW w:w="719" w:type="dxa"/>
            <w:vAlign w:val="top"/>
          </w:tcPr>
          <w:p w14:paraId="46C5A33E">
            <w:pPr>
              <w:pStyle w:val="18"/>
              <w:spacing w:before="213" w:line="228" w:lineRule="auto"/>
              <w:ind w:left="154"/>
              <w:rPr>
                <w:sz w:val="20"/>
                <w:szCs w:val="20"/>
              </w:rPr>
            </w:pPr>
            <w:r>
              <w:rPr>
                <w:b/>
                <w:bCs/>
                <w:spacing w:val="2"/>
                <w:sz w:val="20"/>
                <w:szCs w:val="20"/>
              </w:rPr>
              <w:t>分值</w:t>
            </w:r>
          </w:p>
        </w:tc>
        <w:tc>
          <w:tcPr>
            <w:tcW w:w="1115" w:type="dxa"/>
            <w:vAlign w:val="top"/>
          </w:tcPr>
          <w:p w14:paraId="754C7AAD">
            <w:pPr>
              <w:pStyle w:val="18"/>
              <w:spacing w:before="213" w:line="228" w:lineRule="auto"/>
              <w:ind w:left="138"/>
              <w:rPr>
                <w:sz w:val="20"/>
                <w:szCs w:val="20"/>
              </w:rPr>
            </w:pPr>
            <w:r>
              <w:rPr>
                <w:b/>
                <w:bCs/>
                <w:spacing w:val="6"/>
                <w:sz w:val="20"/>
                <w:szCs w:val="20"/>
              </w:rPr>
              <w:t>考核内容</w:t>
            </w:r>
          </w:p>
        </w:tc>
        <w:tc>
          <w:tcPr>
            <w:tcW w:w="4360" w:type="dxa"/>
            <w:vAlign w:val="top"/>
          </w:tcPr>
          <w:p w14:paraId="18E9166F">
            <w:pPr>
              <w:pStyle w:val="18"/>
              <w:spacing w:before="214" w:line="228" w:lineRule="auto"/>
              <w:ind w:left="1763"/>
              <w:rPr>
                <w:sz w:val="20"/>
                <w:szCs w:val="20"/>
              </w:rPr>
            </w:pPr>
            <w:r>
              <w:rPr>
                <w:b/>
                <w:bCs/>
                <w:spacing w:val="6"/>
                <w:sz w:val="20"/>
                <w:szCs w:val="20"/>
              </w:rPr>
              <w:t>评分标准</w:t>
            </w:r>
          </w:p>
        </w:tc>
        <w:tc>
          <w:tcPr>
            <w:tcW w:w="4645" w:type="dxa"/>
            <w:vAlign w:val="top"/>
          </w:tcPr>
          <w:p w14:paraId="376C1092">
            <w:pPr>
              <w:pStyle w:val="18"/>
              <w:spacing w:before="213" w:line="228" w:lineRule="auto"/>
              <w:ind w:left="1908"/>
              <w:rPr>
                <w:sz w:val="20"/>
                <w:szCs w:val="20"/>
              </w:rPr>
            </w:pPr>
            <w:r>
              <w:rPr>
                <w:b/>
                <w:bCs/>
                <w:spacing w:val="6"/>
                <w:sz w:val="20"/>
                <w:szCs w:val="20"/>
              </w:rPr>
              <w:t>考核说明</w:t>
            </w:r>
          </w:p>
        </w:tc>
        <w:tc>
          <w:tcPr>
            <w:tcW w:w="1084" w:type="dxa"/>
            <w:vAlign w:val="top"/>
          </w:tcPr>
          <w:p w14:paraId="5F4F1A86">
            <w:pPr>
              <w:pStyle w:val="18"/>
              <w:spacing w:before="213" w:line="228" w:lineRule="auto"/>
              <w:ind w:left="336"/>
              <w:rPr>
                <w:sz w:val="20"/>
                <w:szCs w:val="20"/>
              </w:rPr>
            </w:pPr>
            <w:r>
              <w:rPr>
                <w:b/>
                <w:bCs/>
                <w:spacing w:val="3"/>
                <w:sz w:val="20"/>
                <w:szCs w:val="20"/>
              </w:rPr>
              <w:t>得分</w:t>
            </w:r>
          </w:p>
        </w:tc>
      </w:tr>
      <w:tr w14:paraId="798B5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455" w:type="dxa"/>
            <w:vMerge w:val="restart"/>
            <w:tcBorders>
              <w:bottom w:val="nil"/>
            </w:tcBorders>
            <w:vAlign w:val="top"/>
          </w:tcPr>
          <w:p w14:paraId="5DAF0609">
            <w:pPr>
              <w:spacing w:line="256" w:lineRule="auto"/>
              <w:rPr>
                <w:rFonts w:ascii="Arial"/>
                <w:sz w:val="21"/>
              </w:rPr>
            </w:pPr>
          </w:p>
          <w:p w14:paraId="62E8B071">
            <w:pPr>
              <w:spacing w:line="256" w:lineRule="auto"/>
              <w:rPr>
                <w:rFonts w:ascii="Arial"/>
                <w:sz w:val="21"/>
              </w:rPr>
            </w:pPr>
          </w:p>
          <w:p w14:paraId="0DF4EB2C">
            <w:pPr>
              <w:spacing w:line="256" w:lineRule="auto"/>
              <w:rPr>
                <w:rFonts w:ascii="Arial"/>
                <w:sz w:val="21"/>
              </w:rPr>
            </w:pPr>
          </w:p>
          <w:p w14:paraId="6C2AD659">
            <w:pPr>
              <w:spacing w:line="256" w:lineRule="auto"/>
              <w:rPr>
                <w:rFonts w:ascii="Arial"/>
                <w:sz w:val="21"/>
              </w:rPr>
            </w:pPr>
          </w:p>
          <w:p w14:paraId="688431C4">
            <w:pPr>
              <w:spacing w:line="257" w:lineRule="auto"/>
              <w:rPr>
                <w:rFonts w:ascii="Arial"/>
                <w:sz w:val="21"/>
              </w:rPr>
            </w:pPr>
          </w:p>
          <w:p w14:paraId="1BE3897B">
            <w:pPr>
              <w:spacing w:line="257" w:lineRule="auto"/>
              <w:rPr>
                <w:rFonts w:ascii="Arial"/>
                <w:sz w:val="21"/>
              </w:rPr>
            </w:pPr>
          </w:p>
          <w:p w14:paraId="4928D2E4">
            <w:pPr>
              <w:spacing w:line="257" w:lineRule="auto"/>
              <w:rPr>
                <w:rFonts w:ascii="Arial"/>
                <w:sz w:val="21"/>
              </w:rPr>
            </w:pPr>
          </w:p>
          <w:p w14:paraId="182BA56E">
            <w:pPr>
              <w:spacing w:line="257" w:lineRule="auto"/>
              <w:rPr>
                <w:rFonts w:ascii="Arial"/>
                <w:sz w:val="21"/>
              </w:rPr>
            </w:pPr>
          </w:p>
          <w:p w14:paraId="3564E075">
            <w:pPr>
              <w:pStyle w:val="18"/>
              <w:spacing w:before="65" w:line="189" w:lineRule="auto"/>
              <w:ind w:left="196"/>
              <w:rPr>
                <w:sz w:val="20"/>
                <w:szCs w:val="20"/>
              </w:rPr>
            </w:pPr>
            <w:r>
              <w:rPr>
                <w:sz w:val="20"/>
                <w:szCs w:val="20"/>
              </w:rPr>
              <w:t>1</w:t>
            </w:r>
          </w:p>
        </w:tc>
        <w:tc>
          <w:tcPr>
            <w:tcW w:w="1080" w:type="dxa"/>
            <w:vMerge w:val="restart"/>
            <w:tcBorders>
              <w:bottom w:val="nil"/>
            </w:tcBorders>
            <w:vAlign w:val="top"/>
          </w:tcPr>
          <w:p w14:paraId="044EFC77">
            <w:pPr>
              <w:spacing w:line="250" w:lineRule="auto"/>
              <w:rPr>
                <w:rFonts w:ascii="Arial"/>
                <w:sz w:val="21"/>
              </w:rPr>
            </w:pPr>
          </w:p>
          <w:p w14:paraId="5A8D9852">
            <w:pPr>
              <w:spacing w:line="250" w:lineRule="auto"/>
              <w:rPr>
                <w:rFonts w:ascii="Arial"/>
                <w:sz w:val="21"/>
              </w:rPr>
            </w:pPr>
          </w:p>
          <w:p w14:paraId="5DE3FDDC">
            <w:pPr>
              <w:spacing w:line="250" w:lineRule="auto"/>
              <w:rPr>
                <w:rFonts w:ascii="Arial"/>
                <w:sz w:val="21"/>
              </w:rPr>
            </w:pPr>
          </w:p>
          <w:p w14:paraId="49CC2A8C">
            <w:pPr>
              <w:spacing w:line="250" w:lineRule="auto"/>
              <w:rPr>
                <w:rFonts w:ascii="Arial"/>
                <w:sz w:val="21"/>
              </w:rPr>
            </w:pPr>
          </w:p>
          <w:p w14:paraId="59656203">
            <w:pPr>
              <w:spacing w:line="250" w:lineRule="auto"/>
              <w:rPr>
                <w:rFonts w:ascii="Arial"/>
                <w:sz w:val="21"/>
              </w:rPr>
            </w:pPr>
          </w:p>
          <w:p w14:paraId="27888345">
            <w:pPr>
              <w:spacing w:line="250" w:lineRule="auto"/>
              <w:rPr>
                <w:rFonts w:ascii="Arial"/>
                <w:sz w:val="21"/>
              </w:rPr>
            </w:pPr>
          </w:p>
          <w:p w14:paraId="05C660E1">
            <w:pPr>
              <w:spacing w:line="250" w:lineRule="auto"/>
              <w:rPr>
                <w:rFonts w:ascii="Arial"/>
                <w:sz w:val="21"/>
              </w:rPr>
            </w:pPr>
          </w:p>
          <w:p w14:paraId="048F771E">
            <w:pPr>
              <w:pStyle w:val="18"/>
              <w:spacing w:before="65" w:line="228" w:lineRule="auto"/>
              <w:ind w:left="123"/>
              <w:rPr>
                <w:sz w:val="20"/>
                <w:szCs w:val="20"/>
              </w:rPr>
            </w:pPr>
            <w:r>
              <w:rPr>
                <w:spacing w:val="6"/>
                <w:sz w:val="20"/>
                <w:szCs w:val="20"/>
              </w:rPr>
              <w:t>污水管理</w:t>
            </w:r>
          </w:p>
          <w:p w14:paraId="4538CC02">
            <w:pPr>
              <w:pStyle w:val="18"/>
              <w:spacing w:before="24" w:line="228" w:lineRule="auto"/>
              <w:ind w:left="105"/>
              <w:rPr>
                <w:sz w:val="20"/>
                <w:szCs w:val="20"/>
              </w:rPr>
            </w:pPr>
            <w:r>
              <w:rPr>
                <w:sz w:val="20"/>
                <w:szCs w:val="20"/>
              </w:rPr>
              <w:t>(水量、水</w:t>
            </w:r>
          </w:p>
          <w:p w14:paraId="21DDF5D4">
            <w:pPr>
              <w:pStyle w:val="18"/>
              <w:spacing w:before="27" w:line="228" w:lineRule="auto"/>
              <w:ind w:left="386"/>
              <w:rPr>
                <w:sz w:val="20"/>
                <w:szCs w:val="20"/>
              </w:rPr>
            </w:pPr>
            <w:r>
              <w:rPr>
                <w:spacing w:val="2"/>
                <w:sz w:val="20"/>
                <w:szCs w:val="20"/>
              </w:rPr>
              <w:t>质)</w:t>
            </w:r>
          </w:p>
        </w:tc>
        <w:tc>
          <w:tcPr>
            <w:tcW w:w="628" w:type="dxa"/>
            <w:vMerge w:val="restart"/>
            <w:tcBorders>
              <w:bottom w:val="nil"/>
            </w:tcBorders>
            <w:vAlign w:val="top"/>
          </w:tcPr>
          <w:p w14:paraId="550FA1FC">
            <w:pPr>
              <w:spacing w:line="256" w:lineRule="auto"/>
              <w:rPr>
                <w:rFonts w:ascii="Arial"/>
                <w:sz w:val="21"/>
              </w:rPr>
            </w:pPr>
          </w:p>
          <w:p w14:paraId="62DD1D24">
            <w:pPr>
              <w:spacing w:line="256" w:lineRule="auto"/>
              <w:rPr>
                <w:rFonts w:ascii="Arial"/>
                <w:sz w:val="21"/>
              </w:rPr>
            </w:pPr>
          </w:p>
          <w:p w14:paraId="3C033655">
            <w:pPr>
              <w:spacing w:line="256" w:lineRule="auto"/>
              <w:rPr>
                <w:rFonts w:ascii="Arial"/>
                <w:sz w:val="21"/>
              </w:rPr>
            </w:pPr>
          </w:p>
          <w:p w14:paraId="05035329">
            <w:pPr>
              <w:spacing w:line="256" w:lineRule="auto"/>
              <w:rPr>
                <w:rFonts w:ascii="Arial"/>
                <w:sz w:val="21"/>
              </w:rPr>
            </w:pPr>
          </w:p>
          <w:p w14:paraId="0C383536">
            <w:pPr>
              <w:spacing w:line="257" w:lineRule="auto"/>
              <w:rPr>
                <w:rFonts w:ascii="Arial"/>
                <w:sz w:val="21"/>
              </w:rPr>
            </w:pPr>
          </w:p>
          <w:p w14:paraId="0FB26659">
            <w:pPr>
              <w:spacing w:line="257" w:lineRule="auto"/>
              <w:rPr>
                <w:rFonts w:ascii="Arial"/>
                <w:sz w:val="21"/>
              </w:rPr>
            </w:pPr>
          </w:p>
          <w:p w14:paraId="3FD5630A">
            <w:pPr>
              <w:spacing w:line="257" w:lineRule="auto"/>
              <w:rPr>
                <w:rFonts w:ascii="Arial"/>
                <w:sz w:val="21"/>
              </w:rPr>
            </w:pPr>
          </w:p>
          <w:p w14:paraId="0DB8DF9F">
            <w:pPr>
              <w:spacing w:line="257" w:lineRule="auto"/>
              <w:rPr>
                <w:rFonts w:ascii="Arial"/>
                <w:sz w:val="21"/>
              </w:rPr>
            </w:pPr>
          </w:p>
          <w:p w14:paraId="0349E211">
            <w:pPr>
              <w:pStyle w:val="18"/>
              <w:spacing w:before="65" w:line="189" w:lineRule="auto"/>
              <w:ind w:left="209"/>
              <w:rPr>
                <w:sz w:val="20"/>
                <w:szCs w:val="20"/>
              </w:rPr>
            </w:pPr>
            <w:r>
              <w:rPr>
                <w:spacing w:val="1"/>
                <w:sz w:val="20"/>
                <w:szCs w:val="20"/>
              </w:rPr>
              <w:t>40</w:t>
            </w:r>
          </w:p>
        </w:tc>
        <w:tc>
          <w:tcPr>
            <w:tcW w:w="719" w:type="dxa"/>
            <w:vMerge w:val="restart"/>
            <w:tcBorders>
              <w:bottom w:val="nil"/>
            </w:tcBorders>
            <w:vAlign w:val="top"/>
          </w:tcPr>
          <w:p w14:paraId="1D630845">
            <w:pPr>
              <w:spacing w:line="265" w:lineRule="auto"/>
              <w:rPr>
                <w:rFonts w:ascii="Arial"/>
                <w:sz w:val="21"/>
              </w:rPr>
            </w:pPr>
          </w:p>
          <w:p w14:paraId="61A13389">
            <w:pPr>
              <w:spacing w:line="265" w:lineRule="auto"/>
              <w:rPr>
                <w:rFonts w:ascii="Arial"/>
                <w:sz w:val="21"/>
              </w:rPr>
            </w:pPr>
          </w:p>
          <w:p w14:paraId="6F84EA17">
            <w:pPr>
              <w:spacing w:line="266" w:lineRule="auto"/>
              <w:rPr>
                <w:rFonts w:ascii="Arial"/>
                <w:sz w:val="21"/>
              </w:rPr>
            </w:pPr>
          </w:p>
          <w:p w14:paraId="2078C0D0">
            <w:pPr>
              <w:pStyle w:val="18"/>
              <w:spacing w:before="65" w:line="190" w:lineRule="auto"/>
              <w:ind w:left="272"/>
              <w:rPr>
                <w:sz w:val="20"/>
                <w:szCs w:val="20"/>
              </w:rPr>
            </w:pPr>
            <w:r>
              <w:rPr>
                <w:spacing w:val="-7"/>
                <w:sz w:val="20"/>
                <w:szCs w:val="20"/>
              </w:rPr>
              <w:t>10</w:t>
            </w:r>
          </w:p>
        </w:tc>
        <w:tc>
          <w:tcPr>
            <w:tcW w:w="1115" w:type="dxa"/>
            <w:vMerge w:val="restart"/>
            <w:tcBorders>
              <w:bottom w:val="nil"/>
            </w:tcBorders>
            <w:vAlign w:val="top"/>
          </w:tcPr>
          <w:p w14:paraId="49D302C2">
            <w:pPr>
              <w:spacing w:line="254" w:lineRule="auto"/>
              <w:rPr>
                <w:rFonts w:ascii="Arial"/>
                <w:sz w:val="21"/>
              </w:rPr>
            </w:pPr>
          </w:p>
          <w:p w14:paraId="049C2002">
            <w:pPr>
              <w:spacing w:line="255" w:lineRule="auto"/>
              <w:rPr>
                <w:rFonts w:ascii="Arial"/>
                <w:sz w:val="21"/>
              </w:rPr>
            </w:pPr>
          </w:p>
          <w:p w14:paraId="365667FA">
            <w:pPr>
              <w:spacing w:line="255" w:lineRule="auto"/>
              <w:rPr>
                <w:rFonts w:ascii="Arial"/>
                <w:sz w:val="21"/>
              </w:rPr>
            </w:pPr>
          </w:p>
          <w:p w14:paraId="214FA86F">
            <w:pPr>
              <w:pStyle w:val="18"/>
              <w:spacing w:before="65" w:line="228" w:lineRule="auto"/>
              <w:ind w:left="36"/>
              <w:rPr>
                <w:sz w:val="20"/>
                <w:szCs w:val="20"/>
              </w:rPr>
            </w:pPr>
            <w:r>
              <w:rPr>
                <w:spacing w:val="7"/>
                <w:sz w:val="20"/>
                <w:szCs w:val="20"/>
              </w:rPr>
              <w:t>污水处理量</w:t>
            </w:r>
          </w:p>
        </w:tc>
        <w:tc>
          <w:tcPr>
            <w:tcW w:w="4360" w:type="dxa"/>
            <w:vAlign w:val="top"/>
          </w:tcPr>
          <w:p w14:paraId="68B29112">
            <w:pPr>
              <w:pStyle w:val="18"/>
              <w:spacing w:before="210" w:line="228" w:lineRule="auto"/>
              <w:ind w:left="17"/>
              <w:rPr>
                <w:sz w:val="20"/>
                <w:szCs w:val="20"/>
              </w:rPr>
            </w:pPr>
            <w:r>
              <w:rPr>
                <w:spacing w:val="7"/>
                <w:sz w:val="20"/>
                <w:szCs w:val="20"/>
              </w:rPr>
              <w:t>进水量≤1.1倍设计水量时</w:t>
            </w:r>
            <w:r>
              <w:rPr>
                <w:spacing w:val="1"/>
                <w:sz w:val="20"/>
                <w:szCs w:val="20"/>
              </w:rPr>
              <w:t>；</w:t>
            </w:r>
          </w:p>
        </w:tc>
        <w:tc>
          <w:tcPr>
            <w:tcW w:w="4645" w:type="dxa"/>
            <w:vMerge w:val="restart"/>
            <w:tcBorders>
              <w:bottom w:val="nil"/>
            </w:tcBorders>
            <w:vAlign w:val="top"/>
          </w:tcPr>
          <w:p w14:paraId="41480C34">
            <w:pPr>
              <w:spacing w:line="314" w:lineRule="auto"/>
              <w:rPr>
                <w:rFonts w:ascii="Arial"/>
                <w:sz w:val="21"/>
              </w:rPr>
            </w:pPr>
          </w:p>
          <w:p w14:paraId="62F38EE7">
            <w:pPr>
              <w:spacing w:line="315" w:lineRule="auto"/>
              <w:rPr>
                <w:rFonts w:ascii="Arial"/>
                <w:sz w:val="21"/>
              </w:rPr>
            </w:pPr>
          </w:p>
          <w:p w14:paraId="03C9298F">
            <w:pPr>
              <w:pStyle w:val="18"/>
              <w:spacing w:before="65"/>
              <w:ind w:left="22" w:right="219" w:hanging="4"/>
              <w:rPr>
                <w:sz w:val="20"/>
                <w:szCs w:val="20"/>
              </w:rPr>
            </w:pPr>
            <w:r>
              <w:rPr>
                <w:spacing w:val="9"/>
                <w:sz w:val="20"/>
                <w:szCs w:val="20"/>
              </w:rPr>
              <w:t>进厂污水在污水处理厂水处理能力范围内得到全</w:t>
            </w:r>
            <w:r>
              <w:rPr>
                <w:spacing w:val="8"/>
                <w:sz w:val="20"/>
                <w:szCs w:val="20"/>
              </w:rPr>
              <w:t>部处理，厂内工艺处理合理损耗除外。</w:t>
            </w:r>
          </w:p>
        </w:tc>
        <w:tc>
          <w:tcPr>
            <w:tcW w:w="1084" w:type="dxa"/>
            <w:vMerge w:val="restart"/>
            <w:tcBorders>
              <w:bottom w:val="nil"/>
            </w:tcBorders>
            <w:vAlign w:val="top"/>
          </w:tcPr>
          <w:p w14:paraId="7AD66984">
            <w:pPr>
              <w:rPr>
                <w:rFonts w:ascii="Arial"/>
                <w:sz w:val="21"/>
              </w:rPr>
            </w:pPr>
          </w:p>
        </w:tc>
      </w:tr>
      <w:tr w14:paraId="4EE7C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455" w:type="dxa"/>
            <w:vMerge w:val="continue"/>
            <w:tcBorders>
              <w:top w:val="nil"/>
              <w:bottom w:val="nil"/>
            </w:tcBorders>
            <w:vAlign w:val="top"/>
          </w:tcPr>
          <w:p w14:paraId="7886734A">
            <w:pPr>
              <w:rPr>
                <w:rFonts w:ascii="Arial"/>
                <w:sz w:val="21"/>
              </w:rPr>
            </w:pPr>
          </w:p>
        </w:tc>
        <w:tc>
          <w:tcPr>
            <w:tcW w:w="1080" w:type="dxa"/>
            <w:vMerge w:val="continue"/>
            <w:tcBorders>
              <w:top w:val="nil"/>
              <w:bottom w:val="nil"/>
            </w:tcBorders>
            <w:vAlign w:val="top"/>
          </w:tcPr>
          <w:p w14:paraId="023AD109">
            <w:pPr>
              <w:rPr>
                <w:rFonts w:ascii="Arial"/>
                <w:sz w:val="21"/>
              </w:rPr>
            </w:pPr>
          </w:p>
        </w:tc>
        <w:tc>
          <w:tcPr>
            <w:tcW w:w="628" w:type="dxa"/>
            <w:vMerge w:val="continue"/>
            <w:tcBorders>
              <w:top w:val="nil"/>
              <w:bottom w:val="nil"/>
            </w:tcBorders>
            <w:vAlign w:val="top"/>
          </w:tcPr>
          <w:p w14:paraId="691D3724">
            <w:pPr>
              <w:rPr>
                <w:rFonts w:ascii="Arial"/>
                <w:sz w:val="21"/>
              </w:rPr>
            </w:pPr>
          </w:p>
        </w:tc>
        <w:tc>
          <w:tcPr>
            <w:tcW w:w="719" w:type="dxa"/>
            <w:vMerge w:val="continue"/>
            <w:tcBorders>
              <w:top w:val="nil"/>
              <w:bottom w:val="nil"/>
            </w:tcBorders>
            <w:vAlign w:val="top"/>
          </w:tcPr>
          <w:p w14:paraId="7BF0E3CE">
            <w:pPr>
              <w:rPr>
                <w:rFonts w:ascii="Arial"/>
                <w:sz w:val="21"/>
              </w:rPr>
            </w:pPr>
          </w:p>
        </w:tc>
        <w:tc>
          <w:tcPr>
            <w:tcW w:w="1115" w:type="dxa"/>
            <w:vMerge w:val="continue"/>
            <w:tcBorders>
              <w:top w:val="nil"/>
              <w:bottom w:val="nil"/>
            </w:tcBorders>
            <w:vAlign w:val="top"/>
          </w:tcPr>
          <w:p w14:paraId="1938FFA4">
            <w:pPr>
              <w:rPr>
                <w:rFonts w:ascii="Arial"/>
                <w:sz w:val="21"/>
              </w:rPr>
            </w:pPr>
          </w:p>
        </w:tc>
        <w:tc>
          <w:tcPr>
            <w:tcW w:w="4360" w:type="dxa"/>
            <w:vAlign w:val="top"/>
          </w:tcPr>
          <w:p w14:paraId="36CA6B08">
            <w:pPr>
              <w:pStyle w:val="18"/>
              <w:spacing w:before="209" w:line="228" w:lineRule="auto"/>
              <w:jc w:val="both"/>
              <w:rPr>
                <w:sz w:val="20"/>
                <w:szCs w:val="20"/>
              </w:rPr>
            </w:pPr>
            <w:r>
              <w:rPr>
                <w:spacing w:val="-3"/>
                <w:sz w:val="20"/>
                <w:szCs w:val="20"/>
              </w:rPr>
              <w:t>进场污水100%经过工艺系统处理，得满分10分；</w:t>
            </w:r>
          </w:p>
        </w:tc>
        <w:tc>
          <w:tcPr>
            <w:tcW w:w="4645" w:type="dxa"/>
            <w:vMerge w:val="continue"/>
            <w:tcBorders>
              <w:top w:val="nil"/>
              <w:bottom w:val="nil"/>
            </w:tcBorders>
            <w:vAlign w:val="top"/>
          </w:tcPr>
          <w:p w14:paraId="7AA5CF7E">
            <w:pPr>
              <w:rPr>
                <w:rFonts w:ascii="Arial"/>
                <w:sz w:val="21"/>
              </w:rPr>
            </w:pPr>
          </w:p>
        </w:tc>
        <w:tc>
          <w:tcPr>
            <w:tcW w:w="1084" w:type="dxa"/>
            <w:vMerge w:val="continue"/>
            <w:tcBorders>
              <w:top w:val="nil"/>
              <w:bottom w:val="nil"/>
            </w:tcBorders>
            <w:vAlign w:val="top"/>
          </w:tcPr>
          <w:p w14:paraId="47F11001">
            <w:pPr>
              <w:rPr>
                <w:rFonts w:ascii="Arial"/>
                <w:sz w:val="21"/>
              </w:rPr>
            </w:pPr>
          </w:p>
        </w:tc>
      </w:tr>
      <w:tr w14:paraId="3096B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455" w:type="dxa"/>
            <w:vMerge w:val="continue"/>
            <w:tcBorders>
              <w:top w:val="nil"/>
              <w:bottom w:val="nil"/>
            </w:tcBorders>
            <w:vAlign w:val="top"/>
          </w:tcPr>
          <w:p w14:paraId="16641A39">
            <w:pPr>
              <w:rPr>
                <w:rFonts w:ascii="Arial"/>
                <w:sz w:val="21"/>
              </w:rPr>
            </w:pPr>
          </w:p>
        </w:tc>
        <w:tc>
          <w:tcPr>
            <w:tcW w:w="1080" w:type="dxa"/>
            <w:vMerge w:val="continue"/>
            <w:tcBorders>
              <w:top w:val="nil"/>
              <w:bottom w:val="nil"/>
            </w:tcBorders>
            <w:vAlign w:val="top"/>
          </w:tcPr>
          <w:p w14:paraId="4B70E0A0">
            <w:pPr>
              <w:rPr>
                <w:rFonts w:ascii="Arial"/>
                <w:sz w:val="21"/>
              </w:rPr>
            </w:pPr>
          </w:p>
        </w:tc>
        <w:tc>
          <w:tcPr>
            <w:tcW w:w="628" w:type="dxa"/>
            <w:vMerge w:val="continue"/>
            <w:tcBorders>
              <w:top w:val="nil"/>
              <w:bottom w:val="nil"/>
            </w:tcBorders>
            <w:vAlign w:val="top"/>
          </w:tcPr>
          <w:p w14:paraId="0801CF62">
            <w:pPr>
              <w:rPr>
                <w:rFonts w:ascii="Arial"/>
                <w:sz w:val="21"/>
              </w:rPr>
            </w:pPr>
          </w:p>
        </w:tc>
        <w:tc>
          <w:tcPr>
            <w:tcW w:w="719" w:type="dxa"/>
            <w:vMerge w:val="continue"/>
            <w:tcBorders>
              <w:top w:val="nil"/>
            </w:tcBorders>
            <w:vAlign w:val="top"/>
          </w:tcPr>
          <w:p w14:paraId="0D08B1F8">
            <w:pPr>
              <w:rPr>
                <w:rFonts w:ascii="Arial"/>
                <w:sz w:val="21"/>
              </w:rPr>
            </w:pPr>
          </w:p>
        </w:tc>
        <w:tc>
          <w:tcPr>
            <w:tcW w:w="1115" w:type="dxa"/>
            <w:vMerge w:val="continue"/>
            <w:tcBorders>
              <w:top w:val="nil"/>
            </w:tcBorders>
            <w:vAlign w:val="top"/>
          </w:tcPr>
          <w:p w14:paraId="5D279772">
            <w:pPr>
              <w:rPr>
                <w:rFonts w:ascii="Arial"/>
                <w:sz w:val="21"/>
              </w:rPr>
            </w:pPr>
          </w:p>
        </w:tc>
        <w:tc>
          <w:tcPr>
            <w:tcW w:w="4360" w:type="dxa"/>
            <w:vAlign w:val="top"/>
          </w:tcPr>
          <w:p w14:paraId="22AB1915">
            <w:pPr>
              <w:pStyle w:val="18"/>
              <w:spacing w:before="211" w:line="228" w:lineRule="auto"/>
              <w:ind w:left="19"/>
              <w:rPr>
                <w:sz w:val="20"/>
                <w:szCs w:val="20"/>
              </w:rPr>
            </w:pPr>
            <w:r>
              <w:rPr>
                <w:spacing w:val="8"/>
                <w:sz w:val="20"/>
                <w:szCs w:val="20"/>
              </w:rPr>
              <w:t>考核得分为：实际污水处理率*10</w:t>
            </w:r>
          </w:p>
        </w:tc>
        <w:tc>
          <w:tcPr>
            <w:tcW w:w="4645" w:type="dxa"/>
            <w:vMerge w:val="continue"/>
            <w:tcBorders>
              <w:top w:val="nil"/>
            </w:tcBorders>
            <w:vAlign w:val="top"/>
          </w:tcPr>
          <w:p w14:paraId="39E3B5F3">
            <w:pPr>
              <w:rPr>
                <w:rFonts w:ascii="Arial"/>
                <w:sz w:val="21"/>
              </w:rPr>
            </w:pPr>
          </w:p>
        </w:tc>
        <w:tc>
          <w:tcPr>
            <w:tcW w:w="1084" w:type="dxa"/>
            <w:vMerge w:val="continue"/>
            <w:tcBorders>
              <w:top w:val="nil"/>
            </w:tcBorders>
            <w:vAlign w:val="top"/>
          </w:tcPr>
          <w:p w14:paraId="62423083">
            <w:pPr>
              <w:rPr>
                <w:rFonts w:ascii="Arial"/>
                <w:sz w:val="21"/>
              </w:rPr>
            </w:pPr>
          </w:p>
        </w:tc>
      </w:tr>
      <w:tr w14:paraId="7D7E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455" w:type="dxa"/>
            <w:vMerge w:val="continue"/>
            <w:tcBorders>
              <w:top w:val="nil"/>
              <w:bottom w:val="nil"/>
            </w:tcBorders>
            <w:vAlign w:val="top"/>
          </w:tcPr>
          <w:p w14:paraId="32E43DE7">
            <w:pPr>
              <w:rPr>
                <w:rFonts w:ascii="Arial"/>
                <w:sz w:val="21"/>
              </w:rPr>
            </w:pPr>
          </w:p>
        </w:tc>
        <w:tc>
          <w:tcPr>
            <w:tcW w:w="1080" w:type="dxa"/>
            <w:vMerge w:val="continue"/>
            <w:tcBorders>
              <w:top w:val="nil"/>
              <w:bottom w:val="nil"/>
            </w:tcBorders>
            <w:vAlign w:val="top"/>
          </w:tcPr>
          <w:p w14:paraId="56D5D853">
            <w:pPr>
              <w:rPr>
                <w:rFonts w:ascii="Arial"/>
                <w:sz w:val="21"/>
              </w:rPr>
            </w:pPr>
          </w:p>
        </w:tc>
        <w:tc>
          <w:tcPr>
            <w:tcW w:w="628" w:type="dxa"/>
            <w:vMerge w:val="continue"/>
            <w:tcBorders>
              <w:top w:val="nil"/>
              <w:bottom w:val="nil"/>
            </w:tcBorders>
            <w:vAlign w:val="top"/>
          </w:tcPr>
          <w:p w14:paraId="718B7DF9">
            <w:pPr>
              <w:rPr>
                <w:rFonts w:ascii="Arial"/>
                <w:sz w:val="21"/>
              </w:rPr>
            </w:pPr>
          </w:p>
        </w:tc>
        <w:tc>
          <w:tcPr>
            <w:tcW w:w="719" w:type="dxa"/>
            <w:vMerge w:val="restart"/>
            <w:tcBorders>
              <w:bottom w:val="nil"/>
            </w:tcBorders>
            <w:vAlign w:val="top"/>
          </w:tcPr>
          <w:p w14:paraId="2F24B8B3">
            <w:pPr>
              <w:spacing w:line="351" w:lineRule="auto"/>
              <w:rPr>
                <w:rFonts w:ascii="Arial"/>
                <w:sz w:val="21"/>
              </w:rPr>
            </w:pPr>
          </w:p>
          <w:p w14:paraId="6BDA839C">
            <w:pPr>
              <w:spacing w:line="352" w:lineRule="auto"/>
              <w:rPr>
                <w:rFonts w:ascii="Arial"/>
                <w:sz w:val="21"/>
              </w:rPr>
            </w:pPr>
          </w:p>
          <w:p w14:paraId="0ED4EC5F">
            <w:pPr>
              <w:pStyle w:val="18"/>
              <w:spacing w:before="65" w:line="190" w:lineRule="auto"/>
              <w:ind w:left="272"/>
              <w:rPr>
                <w:sz w:val="20"/>
                <w:szCs w:val="20"/>
              </w:rPr>
            </w:pPr>
            <w:r>
              <w:rPr>
                <w:spacing w:val="-7"/>
                <w:sz w:val="20"/>
                <w:szCs w:val="20"/>
              </w:rPr>
              <w:t>15</w:t>
            </w:r>
          </w:p>
        </w:tc>
        <w:tc>
          <w:tcPr>
            <w:tcW w:w="1115" w:type="dxa"/>
            <w:vMerge w:val="restart"/>
            <w:tcBorders>
              <w:bottom w:val="nil"/>
            </w:tcBorders>
            <w:vAlign w:val="top"/>
          </w:tcPr>
          <w:p w14:paraId="1A9522EF">
            <w:pPr>
              <w:spacing w:line="267" w:lineRule="auto"/>
              <w:rPr>
                <w:rFonts w:ascii="Arial"/>
                <w:sz w:val="21"/>
              </w:rPr>
            </w:pPr>
          </w:p>
          <w:p w14:paraId="56C611EC">
            <w:pPr>
              <w:spacing w:line="268" w:lineRule="auto"/>
              <w:rPr>
                <w:rFonts w:ascii="Arial"/>
                <w:sz w:val="21"/>
              </w:rPr>
            </w:pPr>
          </w:p>
          <w:p w14:paraId="1BE5E5BE">
            <w:pPr>
              <w:pStyle w:val="18"/>
              <w:spacing w:before="65" w:line="242" w:lineRule="auto"/>
              <w:ind w:left="454" w:right="34" w:hanging="418"/>
              <w:rPr>
                <w:sz w:val="20"/>
                <w:szCs w:val="20"/>
              </w:rPr>
            </w:pPr>
            <w:r>
              <w:rPr>
                <w:spacing w:val="7"/>
                <w:sz w:val="20"/>
                <w:szCs w:val="20"/>
              </w:rPr>
              <w:t>污水处理质</w:t>
            </w:r>
            <w:r>
              <w:rPr>
                <w:sz w:val="20"/>
                <w:szCs w:val="20"/>
              </w:rPr>
              <w:t>量</w:t>
            </w:r>
          </w:p>
        </w:tc>
        <w:tc>
          <w:tcPr>
            <w:tcW w:w="4360" w:type="dxa"/>
            <w:vAlign w:val="top"/>
          </w:tcPr>
          <w:p w14:paraId="089B2EC9">
            <w:pPr>
              <w:pStyle w:val="18"/>
              <w:spacing w:before="48" w:line="242" w:lineRule="auto"/>
              <w:ind w:left="17" w:right="92" w:firstLine="14"/>
              <w:jc w:val="both"/>
              <w:rPr>
                <w:sz w:val="20"/>
                <w:szCs w:val="20"/>
              </w:rPr>
            </w:pPr>
            <w:r>
              <w:rPr>
                <w:spacing w:val="6"/>
                <w:sz w:val="20"/>
                <w:szCs w:val="20"/>
              </w:rPr>
              <w:t>当污水实际进水浓度在设计进水浓度的1.1倍</w:t>
            </w:r>
            <w:r>
              <w:rPr>
                <w:spacing w:val="10"/>
                <w:sz w:val="20"/>
                <w:szCs w:val="20"/>
              </w:rPr>
              <w:t>范围以内时：污染物</w:t>
            </w:r>
            <w:r>
              <w:rPr>
                <w:sz w:val="20"/>
                <w:szCs w:val="20"/>
              </w:rPr>
              <w:t>COD</w:t>
            </w:r>
            <w:r>
              <w:rPr>
                <w:position w:val="-3"/>
                <w:sz w:val="10"/>
                <w:szCs w:val="10"/>
              </w:rPr>
              <w:t>Cr</w:t>
            </w:r>
            <w:r>
              <w:rPr>
                <w:spacing w:val="10"/>
                <w:sz w:val="20"/>
                <w:szCs w:val="20"/>
              </w:rPr>
              <w:t>、氨氮、</w:t>
            </w:r>
            <w:r>
              <w:rPr>
                <w:sz w:val="20"/>
                <w:szCs w:val="20"/>
              </w:rPr>
              <w:t>SS</w:t>
            </w:r>
            <w:r>
              <w:rPr>
                <w:spacing w:val="10"/>
                <w:sz w:val="20"/>
                <w:szCs w:val="20"/>
              </w:rPr>
              <w:t>、</w:t>
            </w:r>
            <w:r>
              <w:rPr>
                <w:sz w:val="20"/>
                <w:szCs w:val="20"/>
              </w:rPr>
              <w:t>pH</w:t>
            </w:r>
            <w:r>
              <w:rPr>
                <w:spacing w:val="10"/>
                <w:sz w:val="20"/>
                <w:szCs w:val="20"/>
              </w:rPr>
              <w:t>、总</w:t>
            </w:r>
            <w:r>
              <w:rPr>
                <w:spacing w:val="8"/>
                <w:sz w:val="20"/>
                <w:szCs w:val="20"/>
              </w:rPr>
              <w:t>氮、总磷考核期内月均排放值达标，得满分15</w:t>
            </w:r>
            <w:r>
              <w:rPr>
                <w:spacing w:val="1"/>
                <w:sz w:val="20"/>
                <w:szCs w:val="20"/>
              </w:rPr>
              <w:t>分；</w:t>
            </w:r>
          </w:p>
        </w:tc>
        <w:tc>
          <w:tcPr>
            <w:tcW w:w="4645" w:type="dxa"/>
            <w:vMerge w:val="restart"/>
            <w:tcBorders>
              <w:bottom w:val="nil"/>
            </w:tcBorders>
            <w:vAlign w:val="top"/>
          </w:tcPr>
          <w:p w14:paraId="5783A625">
            <w:pPr>
              <w:spacing w:line="267" w:lineRule="auto"/>
              <w:rPr>
                <w:rFonts w:ascii="Arial"/>
                <w:sz w:val="21"/>
              </w:rPr>
            </w:pPr>
          </w:p>
          <w:p w14:paraId="07FA79B8">
            <w:pPr>
              <w:spacing w:line="268" w:lineRule="auto"/>
              <w:rPr>
                <w:rFonts w:ascii="Arial"/>
                <w:sz w:val="21"/>
              </w:rPr>
            </w:pPr>
          </w:p>
          <w:p w14:paraId="4C53C2E7">
            <w:pPr>
              <w:pStyle w:val="18"/>
              <w:spacing w:before="65" w:line="239" w:lineRule="auto"/>
              <w:ind w:left="19" w:right="219" w:firstLine="3"/>
              <w:rPr>
                <w:sz w:val="20"/>
                <w:szCs w:val="20"/>
              </w:rPr>
            </w:pPr>
            <w:r>
              <w:rPr>
                <w:spacing w:val="9"/>
                <w:sz w:val="20"/>
                <w:szCs w:val="20"/>
              </w:rPr>
              <w:t>查污水厂初步设计文本资料及现场运行台账、报</w:t>
            </w:r>
            <w:r>
              <w:rPr>
                <w:spacing w:val="8"/>
                <w:sz w:val="20"/>
                <w:szCs w:val="20"/>
              </w:rPr>
              <w:t>表，在线监测设备读数。</w:t>
            </w:r>
          </w:p>
        </w:tc>
        <w:tc>
          <w:tcPr>
            <w:tcW w:w="1084" w:type="dxa"/>
            <w:vMerge w:val="restart"/>
            <w:tcBorders>
              <w:bottom w:val="nil"/>
            </w:tcBorders>
            <w:vAlign w:val="top"/>
          </w:tcPr>
          <w:p w14:paraId="569BA523">
            <w:pPr>
              <w:rPr>
                <w:rFonts w:ascii="Arial"/>
                <w:sz w:val="21"/>
              </w:rPr>
            </w:pPr>
          </w:p>
        </w:tc>
      </w:tr>
      <w:tr w14:paraId="3E70C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55" w:type="dxa"/>
            <w:vMerge w:val="continue"/>
            <w:tcBorders>
              <w:top w:val="nil"/>
              <w:bottom w:val="nil"/>
            </w:tcBorders>
            <w:vAlign w:val="top"/>
          </w:tcPr>
          <w:p w14:paraId="3BFA6E44">
            <w:pPr>
              <w:rPr>
                <w:rFonts w:ascii="Arial"/>
                <w:sz w:val="21"/>
              </w:rPr>
            </w:pPr>
          </w:p>
        </w:tc>
        <w:tc>
          <w:tcPr>
            <w:tcW w:w="1080" w:type="dxa"/>
            <w:vMerge w:val="continue"/>
            <w:tcBorders>
              <w:top w:val="nil"/>
              <w:bottom w:val="nil"/>
            </w:tcBorders>
            <w:vAlign w:val="top"/>
          </w:tcPr>
          <w:p w14:paraId="1C615681">
            <w:pPr>
              <w:rPr>
                <w:rFonts w:ascii="Arial"/>
                <w:sz w:val="21"/>
              </w:rPr>
            </w:pPr>
          </w:p>
        </w:tc>
        <w:tc>
          <w:tcPr>
            <w:tcW w:w="628" w:type="dxa"/>
            <w:vMerge w:val="continue"/>
            <w:tcBorders>
              <w:top w:val="nil"/>
              <w:bottom w:val="nil"/>
            </w:tcBorders>
            <w:vAlign w:val="top"/>
          </w:tcPr>
          <w:p w14:paraId="18BABCD9">
            <w:pPr>
              <w:rPr>
                <w:rFonts w:ascii="Arial"/>
                <w:sz w:val="21"/>
              </w:rPr>
            </w:pPr>
          </w:p>
        </w:tc>
        <w:tc>
          <w:tcPr>
            <w:tcW w:w="719" w:type="dxa"/>
            <w:vMerge w:val="continue"/>
            <w:tcBorders>
              <w:top w:val="nil"/>
            </w:tcBorders>
            <w:vAlign w:val="top"/>
          </w:tcPr>
          <w:p w14:paraId="7DF1ADB9">
            <w:pPr>
              <w:rPr>
                <w:rFonts w:ascii="Arial"/>
                <w:sz w:val="21"/>
              </w:rPr>
            </w:pPr>
          </w:p>
        </w:tc>
        <w:tc>
          <w:tcPr>
            <w:tcW w:w="1115" w:type="dxa"/>
            <w:vMerge w:val="continue"/>
            <w:tcBorders>
              <w:top w:val="nil"/>
            </w:tcBorders>
            <w:vAlign w:val="top"/>
          </w:tcPr>
          <w:p w14:paraId="3E124363">
            <w:pPr>
              <w:rPr>
                <w:rFonts w:ascii="Arial"/>
                <w:sz w:val="21"/>
              </w:rPr>
            </w:pPr>
          </w:p>
        </w:tc>
        <w:tc>
          <w:tcPr>
            <w:tcW w:w="4360" w:type="dxa"/>
            <w:vAlign w:val="top"/>
          </w:tcPr>
          <w:p w14:paraId="57BE07E8">
            <w:pPr>
              <w:pStyle w:val="18"/>
              <w:spacing w:before="47" w:line="234" w:lineRule="auto"/>
              <w:ind w:left="20" w:right="14" w:hanging="1"/>
              <w:rPr>
                <w:sz w:val="20"/>
                <w:szCs w:val="20"/>
              </w:rPr>
            </w:pPr>
            <w:r>
              <w:rPr>
                <w:spacing w:val="4"/>
                <w:sz w:val="20"/>
                <w:szCs w:val="20"/>
              </w:rPr>
              <w:t>每一项平均排放值不达标扣0.5分，本项分值扣</w:t>
            </w:r>
            <w:r>
              <w:rPr>
                <w:spacing w:val="6"/>
                <w:sz w:val="20"/>
                <w:szCs w:val="20"/>
              </w:rPr>
              <w:t>完即止</w:t>
            </w:r>
            <w:r>
              <w:rPr>
                <w:spacing w:val="1"/>
                <w:sz w:val="20"/>
                <w:szCs w:val="20"/>
              </w:rPr>
              <w:t>；</w:t>
            </w:r>
          </w:p>
        </w:tc>
        <w:tc>
          <w:tcPr>
            <w:tcW w:w="4645" w:type="dxa"/>
            <w:vMerge w:val="continue"/>
            <w:tcBorders>
              <w:top w:val="nil"/>
            </w:tcBorders>
            <w:vAlign w:val="top"/>
          </w:tcPr>
          <w:p w14:paraId="53117528">
            <w:pPr>
              <w:rPr>
                <w:rFonts w:ascii="Arial"/>
                <w:sz w:val="21"/>
              </w:rPr>
            </w:pPr>
          </w:p>
        </w:tc>
        <w:tc>
          <w:tcPr>
            <w:tcW w:w="1084" w:type="dxa"/>
            <w:vMerge w:val="continue"/>
            <w:tcBorders>
              <w:top w:val="nil"/>
            </w:tcBorders>
            <w:vAlign w:val="top"/>
          </w:tcPr>
          <w:p w14:paraId="61261758">
            <w:pPr>
              <w:rPr>
                <w:rFonts w:ascii="Arial"/>
                <w:sz w:val="21"/>
              </w:rPr>
            </w:pPr>
          </w:p>
        </w:tc>
      </w:tr>
      <w:tr w14:paraId="38230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455" w:type="dxa"/>
            <w:vMerge w:val="continue"/>
            <w:tcBorders>
              <w:top w:val="nil"/>
            </w:tcBorders>
            <w:vAlign w:val="top"/>
          </w:tcPr>
          <w:p w14:paraId="4691E709">
            <w:pPr>
              <w:rPr>
                <w:rFonts w:ascii="Arial"/>
                <w:sz w:val="21"/>
              </w:rPr>
            </w:pPr>
          </w:p>
        </w:tc>
        <w:tc>
          <w:tcPr>
            <w:tcW w:w="1080" w:type="dxa"/>
            <w:vMerge w:val="continue"/>
            <w:tcBorders>
              <w:top w:val="nil"/>
            </w:tcBorders>
            <w:vAlign w:val="top"/>
          </w:tcPr>
          <w:p w14:paraId="7996A842">
            <w:pPr>
              <w:rPr>
                <w:rFonts w:ascii="Arial"/>
                <w:sz w:val="21"/>
              </w:rPr>
            </w:pPr>
          </w:p>
        </w:tc>
        <w:tc>
          <w:tcPr>
            <w:tcW w:w="628" w:type="dxa"/>
            <w:vMerge w:val="continue"/>
            <w:tcBorders>
              <w:top w:val="nil"/>
            </w:tcBorders>
            <w:vAlign w:val="top"/>
          </w:tcPr>
          <w:p w14:paraId="18FC9341">
            <w:pPr>
              <w:rPr>
                <w:rFonts w:ascii="Arial"/>
                <w:sz w:val="21"/>
              </w:rPr>
            </w:pPr>
          </w:p>
        </w:tc>
        <w:tc>
          <w:tcPr>
            <w:tcW w:w="719" w:type="dxa"/>
            <w:vAlign w:val="top"/>
          </w:tcPr>
          <w:p w14:paraId="50057B72">
            <w:pPr>
              <w:spacing w:line="285" w:lineRule="auto"/>
              <w:rPr>
                <w:rFonts w:ascii="Arial"/>
                <w:sz w:val="21"/>
              </w:rPr>
            </w:pPr>
          </w:p>
          <w:p w14:paraId="1BF652C9">
            <w:pPr>
              <w:pStyle w:val="18"/>
              <w:spacing w:before="65" w:line="190" w:lineRule="auto"/>
              <w:ind w:left="272"/>
              <w:rPr>
                <w:sz w:val="20"/>
                <w:szCs w:val="20"/>
              </w:rPr>
            </w:pPr>
            <w:r>
              <w:rPr>
                <w:spacing w:val="-7"/>
                <w:sz w:val="20"/>
                <w:szCs w:val="20"/>
              </w:rPr>
              <w:t>15</w:t>
            </w:r>
          </w:p>
        </w:tc>
        <w:tc>
          <w:tcPr>
            <w:tcW w:w="1115" w:type="dxa"/>
            <w:vAlign w:val="top"/>
          </w:tcPr>
          <w:p w14:paraId="6FA75A27">
            <w:pPr>
              <w:pStyle w:val="18"/>
              <w:spacing w:before="184"/>
              <w:ind w:left="249" w:right="34" w:hanging="212"/>
              <w:rPr>
                <w:sz w:val="20"/>
                <w:szCs w:val="20"/>
              </w:rPr>
            </w:pPr>
            <w:r>
              <w:rPr>
                <w:spacing w:val="7"/>
                <w:sz w:val="20"/>
                <w:szCs w:val="20"/>
              </w:rPr>
              <w:t>工艺系统运</w:t>
            </w:r>
            <w:r>
              <w:rPr>
                <w:spacing w:val="5"/>
                <w:sz w:val="20"/>
                <w:szCs w:val="20"/>
              </w:rPr>
              <w:t>行情况</w:t>
            </w:r>
          </w:p>
        </w:tc>
        <w:tc>
          <w:tcPr>
            <w:tcW w:w="4360" w:type="dxa"/>
            <w:vAlign w:val="top"/>
          </w:tcPr>
          <w:p w14:paraId="059A7084">
            <w:pPr>
              <w:pStyle w:val="18"/>
              <w:spacing w:before="49" w:line="239" w:lineRule="auto"/>
              <w:ind w:left="19" w:right="40" w:firstLine="1"/>
              <w:rPr>
                <w:sz w:val="20"/>
                <w:szCs w:val="20"/>
              </w:rPr>
            </w:pPr>
            <w:r>
              <w:rPr>
                <w:spacing w:val="7"/>
                <w:sz w:val="20"/>
                <w:szCs w:val="20"/>
              </w:rPr>
              <w:t>工艺系统能正常运行，得满分15分；每一个处理单元运行不正常扣0.2分，本项分值扣完即</w:t>
            </w:r>
            <w:r>
              <w:rPr>
                <w:sz w:val="20"/>
                <w:szCs w:val="20"/>
              </w:rPr>
              <w:t>止。</w:t>
            </w:r>
          </w:p>
        </w:tc>
        <w:tc>
          <w:tcPr>
            <w:tcW w:w="4645" w:type="dxa"/>
            <w:vAlign w:val="top"/>
          </w:tcPr>
          <w:p w14:paraId="30553E20">
            <w:pPr>
              <w:spacing w:line="253" w:lineRule="auto"/>
              <w:rPr>
                <w:rFonts w:ascii="Arial"/>
                <w:sz w:val="21"/>
              </w:rPr>
            </w:pPr>
          </w:p>
          <w:p w14:paraId="35D73C54">
            <w:pPr>
              <w:pStyle w:val="18"/>
              <w:spacing w:before="65" w:line="228" w:lineRule="auto"/>
              <w:ind w:left="22"/>
              <w:rPr>
                <w:sz w:val="20"/>
                <w:szCs w:val="20"/>
              </w:rPr>
            </w:pPr>
            <w:r>
              <w:rPr>
                <w:spacing w:val="9"/>
                <w:sz w:val="20"/>
                <w:szCs w:val="20"/>
              </w:rPr>
              <w:t>查看现场污水处理厂处理单元是否运行正常</w:t>
            </w:r>
          </w:p>
        </w:tc>
        <w:tc>
          <w:tcPr>
            <w:tcW w:w="1084" w:type="dxa"/>
            <w:vAlign w:val="top"/>
          </w:tcPr>
          <w:p w14:paraId="06B052D5">
            <w:pPr>
              <w:rPr>
                <w:rFonts w:ascii="Arial"/>
                <w:sz w:val="21"/>
              </w:rPr>
            </w:pPr>
          </w:p>
        </w:tc>
      </w:tr>
      <w:tr w14:paraId="758CC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455" w:type="dxa"/>
            <w:vMerge w:val="restart"/>
            <w:tcBorders>
              <w:bottom w:val="nil"/>
            </w:tcBorders>
            <w:vAlign w:val="top"/>
          </w:tcPr>
          <w:p w14:paraId="668B5C85">
            <w:pPr>
              <w:spacing w:line="275" w:lineRule="auto"/>
              <w:rPr>
                <w:rFonts w:ascii="Arial"/>
                <w:sz w:val="21"/>
              </w:rPr>
            </w:pPr>
          </w:p>
          <w:p w14:paraId="5FCE7693">
            <w:pPr>
              <w:spacing w:line="275" w:lineRule="auto"/>
              <w:rPr>
                <w:rFonts w:ascii="Arial"/>
                <w:sz w:val="21"/>
              </w:rPr>
            </w:pPr>
          </w:p>
          <w:p w14:paraId="40FCCDE2">
            <w:pPr>
              <w:spacing w:line="275" w:lineRule="auto"/>
              <w:rPr>
                <w:rFonts w:ascii="Arial"/>
                <w:sz w:val="21"/>
              </w:rPr>
            </w:pPr>
          </w:p>
          <w:p w14:paraId="3F30432C">
            <w:pPr>
              <w:spacing w:line="276" w:lineRule="auto"/>
              <w:rPr>
                <w:rFonts w:ascii="Arial"/>
                <w:sz w:val="21"/>
              </w:rPr>
            </w:pPr>
          </w:p>
          <w:p w14:paraId="3B261297">
            <w:pPr>
              <w:spacing w:line="276" w:lineRule="auto"/>
              <w:rPr>
                <w:rFonts w:ascii="Arial"/>
                <w:sz w:val="21"/>
              </w:rPr>
            </w:pPr>
          </w:p>
          <w:p w14:paraId="2469C228">
            <w:pPr>
              <w:pStyle w:val="18"/>
              <w:spacing w:before="65" w:line="189" w:lineRule="auto"/>
              <w:ind w:left="183"/>
              <w:rPr>
                <w:sz w:val="20"/>
                <w:szCs w:val="20"/>
              </w:rPr>
            </w:pPr>
            <w:r>
              <w:rPr>
                <w:sz w:val="20"/>
                <w:szCs w:val="20"/>
              </w:rPr>
              <w:t>2</w:t>
            </w:r>
          </w:p>
        </w:tc>
        <w:tc>
          <w:tcPr>
            <w:tcW w:w="1080" w:type="dxa"/>
            <w:vMerge w:val="restart"/>
            <w:tcBorders>
              <w:bottom w:val="nil"/>
            </w:tcBorders>
            <w:vAlign w:val="top"/>
          </w:tcPr>
          <w:p w14:paraId="0FD7F998">
            <w:pPr>
              <w:spacing w:line="242" w:lineRule="auto"/>
              <w:rPr>
                <w:rFonts w:ascii="Arial"/>
                <w:sz w:val="21"/>
              </w:rPr>
            </w:pPr>
          </w:p>
          <w:p w14:paraId="33C723BB">
            <w:pPr>
              <w:spacing w:line="242" w:lineRule="auto"/>
              <w:rPr>
                <w:rFonts w:ascii="Arial"/>
                <w:sz w:val="21"/>
              </w:rPr>
            </w:pPr>
          </w:p>
          <w:p w14:paraId="2A7B2E5A">
            <w:pPr>
              <w:spacing w:line="242" w:lineRule="auto"/>
              <w:rPr>
                <w:rFonts w:ascii="Arial"/>
                <w:sz w:val="21"/>
              </w:rPr>
            </w:pPr>
          </w:p>
          <w:p w14:paraId="7ECB830B">
            <w:pPr>
              <w:spacing w:line="242" w:lineRule="auto"/>
              <w:rPr>
                <w:rFonts w:ascii="Arial"/>
                <w:sz w:val="21"/>
              </w:rPr>
            </w:pPr>
          </w:p>
          <w:p w14:paraId="47426E8F">
            <w:pPr>
              <w:spacing w:line="243" w:lineRule="auto"/>
              <w:rPr>
                <w:rFonts w:ascii="Arial"/>
                <w:sz w:val="21"/>
              </w:rPr>
            </w:pPr>
          </w:p>
          <w:p w14:paraId="26787315">
            <w:pPr>
              <w:pStyle w:val="18"/>
              <w:spacing w:before="65" w:line="244" w:lineRule="auto"/>
              <w:ind w:left="20" w:right="15"/>
              <w:rPr>
                <w:sz w:val="20"/>
                <w:szCs w:val="20"/>
              </w:rPr>
            </w:pPr>
            <w:r>
              <w:rPr>
                <w:spacing w:val="7"/>
                <w:sz w:val="20"/>
                <w:szCs w:val="20"/>
              </w:rPr>
              <w:t>生产运行管</w:t>
            </w:r>
            <w:r>
              <w:rPr>
                <w:sz w:val="20"/>
                <w:szCs w:val="20"/>
              </w:rPr>
              <w:t>理</w:t>
            </w:r>
          </w:p>
        </w:tc>
        <w:tc>
          <w:tcPr>
            <w:tcW w:w="628" w:type="dxa"/>
            <w:vMerge w:val="restart"/>
            <w:tcBorders>
              <w:bottom w:val="nil"/>
            </w:tcBorders>
            <w:vAlign w:val="top"/>
          </w:tcPr>
          <w:p w14:paraId="3C663C76">
            <w:pPr>
              <w:spacing w:line="275" w:lineRule="auto"/>
              <w:rPr>
                <w:rFonts w:ascii="Arial"/>
                <w:sz w:val="21"/>
              </w:rPr>
            </w:pPr>
          </w:p>
          <w:p w14:paraId="5D76802E">
            <w:pPr>
              <w:spacing w:line="275" w:lineRule="auto"/>
              <w:rPr>
                <w:rFonts w:ascii="Arial"/>
                <w:sz w:val="21"/>
              </w:rPr>
            </w:pPr>
          </w:p>
          <w:p w14:paraId="27E72F60">
            <w:pPr>
              <w:spacing w:line="275" w:lineRule="auto"/>
              <w:rPr>
                <w:rFonts w:ascii="Arial"/>
                <w:sz w:val="21"/>
              </w:rPr>
            </w:pPr>
          </w:p>
          <w:p w14:paraId="1811B9FA">
            <w:pPr>
              <w:spacing w:line="275" w:lineRule="auto"/>
              <w:rPr>
                <w:rFonts w:ascii="Arial"/>
                <w:sz w:val="21"/>
              </w:rPr>
            </w:pPr>
          </w:p>
          <w:p w14:paraId="03A49FFD">
            <w:pPr>
              <w:spacing w:line="276" w:lineRule="auto"/>
              <w:rPr>
                <w:rFonts w:ascii="Arial"/>
                <w:sz w:val="21"/>
              </w:rPr>
            </w:pPr>
          </w:p>
          <w:p w14:paraId="5BB3C444">
            <w:pPr>
              <w:pStyle w:val="18"/>
              <w:spacing w:before="65" w:line="190" w:lineRule="auto"/>
              <w:ind w:left="226"/>
              <w:rPr>
                <w:sz w:val="20"/>
                <w:szCs w:val="20"/>
              </w:rPr>
            </w:pPr>
            <w:r>
              <w:rPr>
                <w:spacing w:val="-7"/>
                <w:sz w:val="20"/>
                <w:szCs w:val="20"/>
              </w:rPr>
              <w:t>16</w:t>
            </w:r>
          </w:p>
        </w:tc>
        <w:tc>
          <w:tcPr>
            <w:tcW w:w="719" w:type="dxa"/>
            <w:vMerge w:val="restart"/>
            <w:tcBorders>
              <w:bottom w:val="nil"/>
            </w:tcBorders>
            <w:vAlign w:val="top"/>
          </w:tcPr>
          <w:p w14:paraId="0D97A071">
            <w:pPr>
              <w:spacing w:line="284" w:lineRule="auto"/>
              <w:rPr>
                <w:rFonts w:ascii="Arial"/>
                <w:sz w:val="21"/>
              </w:rPr>
            </w:pPr>
          </w:p>
          <w:p w14:paraId="0C68A242">
            <w:pPr>
              <w:spacing w:line="285" w:lineRule="auto"/>
              <w:rPr>
                <w:rFonts w:ascii="Arial"/>
                <w:sz w:val="21"/>
              </w:rPr>
            </w:pPr>
          </w:p>
          <w:p w14:paraId="42CE905E">
            <w:pPr>
              <w:pStyle w:val="18"/>
              <w:spacing w:before="65" w:line="189" w:lineRule="auto"/>
              <w:ind w:left="312"/>
              <w:rPr>
                <w:sz w:val="20"/>
                <w:szCs w:val="20"/>
              </w:rPr>
            </w:pPr>
            <w:r>
              <w:rPr>
                <w:sz w:val="20"/>
                <w:szCs w:val="20"/>
              </w:rPr>
              <w:t>2</w:t>
            </w:r>
          </w:p>
        </w:tc>
        <w:tc>
          <w:tcPr>
            <w:tcW w:w="1115" w:type="dxa"/>
            <w:vMerge w:val="restart"/>
            <w:tcBorders>
              <w:bottom w:val="nil"/>
            </w:tcBorders>
            <w:vAlign w:val="top"/>
          </w:tcPr>
          <w:p w14:paraId="51DE11D1">
            <w:pPr>
              <w:spacing w:line="268" w:lineRule="auto"/>
              <w:rPr>
                <w:rFonts w:ascii="Arial"/>
                <w:sz w:val="21"/>
              </w:rPr>
            </w:pPr>
          </w:p>
          <w:p w14:paraId="7DDE9E84">
            <w:pPr>
              <w:spacing w:line="268" w:lineRule="auto"/>
              <w:rPr>
                <w:rFonts w:ascii="Arial"/>
                <w:sz w:val="21"/>
              </w:rPr>
            </w:pPr>
          </w:p>
          <w:p w14:paraId="293F8165">
            <w:pPr>
              <w:pStyle w:val="18"/>
              <w:spacing w:before="65" w:line="228" w:lineRule="auto"/>
              <w:ind w:left="143"/>
              <w:rPr>
                <w:sz w:val="20"/>
                <w:szCs w:val="20"/>
              </w:rPr>
            </w:pPr>
            <w:r>
              <w:rPr>
                <w:spacing w:val="6"/>
                <w:sz w:val="20"/>
                <w:szCs w:val="20"/>
              </w:rPr>
              <w:t>持证上岗</w:t>
            </w:r>
          </w:p>
        </w:tc>
        <w:tc>
          <w:tcPr>
            <w:tcW w:w="4360" w:type="dxa"/>
            <w:vMerge w:val="restart"/>
            <w:tcBorders>
              <w:bottom w:val="nil"/>
            </w:tcBorders>
            <w:vAlign w:val="top"/>
          </w:tcPr>
          <w:p w14:paraId="71AB36CD">
            <w:pPr>
              <w:spacing w:line="268" w:lineRule="auto"/>
              <w:rPr>
                <w:rFonts w:ascii="Arial"/>
                <w:sz w:val="21"/>
              </w:rPr>
            </w:pPr>
          </w:p>
          <w:p w14:paraId="183278DD">
            <w:pPr>
              <w:spacing w:line="268" w:lineRule="auto"/>
              <w:rPr>
                <w:rFonts w:ascii="Arial"/>
                <w:sz w:val="21"/>
              </w:rPr>
            </w:pPr>
          </w:p>
          <w:p w14:paraId="7689A882">
            <w:pPr>
              <w:pStyle w:val="18"/>
              <w:spacing w:before="65" w:line="228" w:lineRule="auto"/>
              <w:ind w:left="19"/>
              <w:rPr>
                <w:sz w:val="20"/>
                <w:szCs w:val="20"/>
              </w:rPr>
            </w:pPr>
            <w:r>
              <w:rPr>
                <w:spacing w:val="6"/>
                <w:sz w:val="20"/>
                <w:szCs w:val="20"/>
              </w:rPr>
              <w:t>得分=2*持证率</w:t>
            </w:r>
          </w:p>
        </w:tc>
        <w:tc>
          <w:tcPr>
            <w:tcW w:w="4645" w:type="dxa"/>
            <w:vAlign w:val="top"/>
          </w:tcPr>
          <w:p w14:paraId="73426E05">
            <w:pPr>
              <w:pStyle w:val="18"/>
              <w:spacing w:before="156" w:line="239" w:lineRule="auto"/>
              <w:ind w:left="19" w:right="10"/>
              <w:rPr>
                <w:sz w:val="20"/>
                <w:szCs w:val="20"/>
              </w:rPr>
            </w:pPr>
            <w:r>
              <w:rPr>
                <w:spacing w:val="9"/>
                <w:sz w:val="20"/>
                <w:szCs w:val="20"/>
              </w:rPr>
              <w:t>特殊工种需经行业主管部门培训合格持证上岗；普通岗位须经企业内部培训考核合格后持证上岗。</w:t>
            </w:r>
          </w:p>
        </w:tc>
        <w:tc>
          <w:tcPr>
            <w:tcW w:w="1084" w:type="dxa"/>
            <w:vMerge w:val="restart"/>
            <w:tcBorders>
              <w:bottom w:val="nil"/>
            </w:tcBorders>
            <w:vAlign w:val="top"/>
          </w:tcPr>
          <w:p w14:paraId="6A017330">
            <w:pPr>
              <w:rPr>
                <w:rFonts w:ascii="Arial"/>
                <w:sz w:val="21"/>
              </w:rPr>
            </w:pPr>
          </w:p>
        </w:tc>
      </w:tr>
      <w:tr w14:paraId="4AD7E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455" w:type="dxa"/>
            <w:vMerge w:val="continue"/>
            <w:tcBorders>
              <w:top w:val="nil"/>
              <w:bottom w:val="nil"/>
            </w:tcBorders>
            <w:vAlign w:val="top"/>
          </w:tcPr>
          <w:p w14:paraId="0C24EB67">
            <w:pPr>
              <w:rPr>
                <w:rFonts w:ascii="Arial"/>
                <w:sz w:val="21"/>
              </w:rPr>
            </w:pPr>
          </w:p>
        </w:tc>
        <w:tc>
          <w:tcPr>
            <w:tcW w:w="1080" w:type="dxa"/>
            <w:vMerge w:val="continue"/>
            <w:tcBorders>
              <w:top w:val="nil"/>
              <w:bottom w:val="nil"/>
            </w:tcBorders>
            <w:vAlign w:val="top"/>
          </w:tcPr>
          <w:p w14:paraId="02C9195A">
            <w:pPr>
              <w:rPr>
                <w:rFonts w:ascii="Arial"/>
                <w:sz w:val="21"/>
              </w:rPr>
            </w:pPr>
          </w:p>
        </w:tc>
        <w:tc>
          <w:tcPr>
            <w:tcW w:w="628" w:type="dxa"/>
            <w:vMerge w:val="continue"/>
            <w:tcBorders>
              <w:top w:val="nil"/>
              <w:bottom w:val="nil"/>
            </w:tcBorders>
            <w:vAlign w:val="top"/>
          </w:tcPr>
          <w:p w14:paraId="7F9211B5">
            <w:pPr>
              <w:rPr>
                <w:rFonts w:ascii="Arial"/>
                <w:sz w:val="21"/>
              </w:rPr>
            </w:pPr>
          </w:p>
        </w:tc>
        <w:tc>
          <w:tcPr>
            <w:tcW w:w="719" w:type="dxa"/>
            <w:vMerge w:val="continue"/>
            <w:tcBorders>
              <w:top w:val="nil"/>
            </w:tcBorders>
            <w:vAlign w:val="top"/>
          </w:tcPr>
          <w:p w14:paraId="1EC178BA">
            <w:pPr>
              <w:rPr>
                <w:rFonts w:ascii="Arial"/>
                <w:sz w:val="21"/>
              </w:rPr>
            </w:pPr>
          </w:p>
        </w:tc>
        <w:tc>
          <w:tcPr>
            <w:tcW w:w="1115" w:type="dxa"/>
            <w:vMerge w:val="continue"/>
            <w:tcBorders>
              <w:top w:val="nil"/>
            </w:tcBorders>
            <w:vAlign w:val="top"/>
          </w:tcPr>
          <w:p w14:paraId="4D7981A5">
            <w:pPr>
              <w:rPr>
                <w:rFonts w:ascii="Arial"/>
                <w:sz w:val="21"/>
              </w:rPr>
            </w:pPr>
          </w:p>
        </w:tc>
        <w:tc>
          <w:tcPr>
            <w:tcW w:w="4360" w:type="dxa"/>
            <w:vMerge w:val="continue"/>
            <w:tcBorders>
              <w:top w:val="nil"/>
            </w:tcBorders>
            <w:vAlign w:val="top"/>
          </w:tcPr>
          <w:p w14:paraId="767B9677">
            <w:pPr>
              <w:rPr>
                <w:rFonts w:ascii="Arial"/>
                <w:sz w:val="21"/>
              </w:rPr>
            </w:pPr>
          </w:p>
        </w:tc>
        <w:tc>
          <w:tcPr>
            <w:tcW w:w="4645" w:type="dxa"/>
            <w:vAlign w:val="top"/>
          </w:tcPr>
          <w:p w14:paraId="3267F2B3">
            <w:pPr>
              <w:pStyle w:val="18"/>
              <w:spacing w:before="75"/>
              <w:ind w:left="21" w:right="113"/>
              <w:rPr>
                <w:sz w:val="20"/>
                <w:szCs w:val="20"/>
              </w:rPr>
            </w:pPr>
            <w:r>
              <w:rPr>
                <w:spacing w:val="8"/>
                <w:sz w:val="20"/>
                <w:szCs w:val="20"/>
              </w:rPr>
              <w:t>持证率（%）=（持证人员数/应持证特殊工种操作</w:t>
            </w:r>
            <w:r>
              <w:rPr>
                <w:spacing w:val="1"/>
                <w:sz w:val="20"/>
                <w:szCs w:val="20"/>
              </w:rPr>
              <w:t>人员总数）×100%；</w:t>
            </w:r>
          </w:p>
        </w:tc>
        <w:tc>
          <w:tcPr>
            <w:tcW w:w="1084" w:type="dxa"/>
            <w:vMerge w:val="continue"/>
            <w:tcBorders>
              <w:top w:val="nil"/>
            </w:tcBorders>
            <w:vAlign w:val="top"/>
          </w:tcPr>
          <w:p w14:paraId="70C53D65">
            <w:pPr>
              <w:rPr>
                <w:rFonts w:ascii="Arial"/>
                <w:sz w:val="21"/>
              </w:rPr>
            </w:pPr>
          </w:p>
        </w:tc>
      </w:tr>
      <w:tr w14:paraId="00967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455" w:type="dxa"/>
            <w:vMerge w:val="continue"/>
            <w:tcBorders>
              <w:top w:val="nil"/>
              <w:bottom w:val="nil"/>
            </w:tcBorders>
            <w:vAlign w:val="top"/>
          </w:tcPr>
          <w:p w14:paraId="5AC1A012">
            <w:pPr>
              <w:rPr>
                <w:rFonts w:ascii="Arial"/>
                <w:sz w:val="21"/>
              </w:rPr>
            </w:pPr>
          </w:p>
        </w:tc>
        <w:tc>
          <w:tcPr>
            <w:tcW w:w="1080" w:type="dxa"/>
            <w:vMerge w:val="continue"/>
            <w:tcBorders>
              <w:top w:val="nil"/>
              <w:bottom w:val="nil"/>
            </w:tcBorders>
            <w:vAlign w:val="top"/>
          </w:tcPr>
          <w:p w14:paraId="15CC1DE7">
            <w:pPr>
              <w:rPr>
                <w:rFonts w:ascii="Arial"/>
                <w:sz w:val="21"/>
              </w:rPr>
            </w:pPr>
          </w:p>
        </w:tc>
        <w:tc>
          <w:tcPr>
            <w:tcW w:w="628" w:type="dxa"/>
            <w:vMerge w:val="continue"/>
            <w:tcBorders>
              <w:top w:val="nil"/>
              <w:bottom w:val="nil"/>
            </w:tcBorders>
            <w:vAlign w:val="top"/>
          </w:tcPr>
          <w:p w14:paraId="3C5EFA2A">
            <w:pPr>
              <w:rPr>
                <w:rFonts w:ascii="Arial"/>
                <w:sz w:val="21"/>
              </w:rPr>
            </w:pPr>
          </w:p>
        </w:tc>
        <w:tc>
          <w:tcPr>
            <w:tcW w:w="719" w:type="dxa"/>
            <w:vMerge w:val="restart"/>
            <w:tcBorders>
              <w:bottom w:val="nil"/>
            </w:tcBorders>
            <w:vAlign w:val="top"/>
          </w:tcPr>
          <w:p w14:paraId="6067C349">
            <w:pPr>
              <w:spacing w:line="340" w:lineRule="auto"/>
              <w:rPr>
                <w:rFonts w:ascii="Arial"/>
                <w:sz w:val="21"/>
              </w:rPr>
            </w:pPr>
          </w:p>
          <w:p w14:paraId="6FCE5B0D">
            <w:pPr>
              <w:spacing w:line="340" w:lineRule="auto"/>
              <w:rPr>
                <w:rFonts w:ascii="Arial"/>
                <w:sz w:val="21"/>
              </w:rPr>
            </w:pPr>
          </w:p>
          <w:p w14:paraId="053FFC4F">
            <w:pPr>
              <w:pStyle w:val="18"/>
              <w:spacing w:before="65" w:line="189" w:lineRule="auto"/>
              <w:ind w:left="309"/>
              <w:rPr>
                <w:sz w:val="20"/>
                <w:szCs w:val="20"/>
              </w:rPr>
            </w:pPr>
            <w:r>
              <w:rPr>
                <w:sz w:val="20"/>
                <w:szCs w:val="20"/>
              </w:rPr>
              <w:t>4</w:t>
            </w:r>
          </w:p>
        </w:tc>
        <w:tc>
          <w:tcPr>
            <w:tcW w:w="1115" w:type="dxa"/>
            <w:vMerge w:val="restart"/>
            <w:tcBorders>
              <w:bottom w:val="nil"/>
            </w:tcBorders>
            <w:vAlign w:val="top"/>
          </w:tcPr>
          <w:p w14:paraId="5A68F983">
            <w:pPr>
              <w:spacing w:line="256" w:lineRule="auto"/>
              <w:rPr>
                <w:rFonts w:ascii="Arial"/>
                <w:sz w:val="21"/>
              </w:rPr>
            </w:pPr>
          </w:p>
          <w:p w14:paraId="16655242">
            <w:pPr>
              <w:spacing w:line="256" w:lineRule="auto"/>
              <w:rPr>
                <w:rFonts w:ascii="Arial"/>
                <w:sz w:val="21"/>
              </w:rPr>
            </w:pPr>
          </w:p>
          <w:p w14:paraId="50E483F8">
            <w:pPr>
              <w:pStyle w:val="18"/>
              <w:spacing w:before="65" w:line="239" w:lineRule="auto"/>
              <w:ind w:left="356" w:right="34" w:hanging="320"/>
              <w:rPr>
                <w:sz w:val="20"/>
                <w:szCs w:val="20"/>
              </w:rPr>
            </w:pPr>
            <w:r>
              <w:rPr>
                <w:spacing w:val="7"/>
                <w:sz w:val="20"/>
                <w:szCs w:val="20"/>
              </w:rPr>
              <w:t>生产计划及</w:t>
            </w:r>
            <w:r>
              <w:rPr>
                <w:spacing w:val="2"/>
                <w:sz w:val="20"/>
                <w:szCs w:val="20"/>
              </w:rPr>
              <w:t>实施</w:t>
            </w:r>
          </w:p>
        </w:tc>
        <w:tc>
          <w:tcPr>
            <w:tcW w:w="4360" w:type="dxa"/>
            <w:vAlign w:val="top"/>
          </w:tcPr>
          <w:p w14:paraId="10447405">
            <w:pPr>
              <w:pStyle w:val="18"/>
              <w:spacing w:before="87" w:line="239" w:lineRule="auto"/>
              <w:ind w:left="19" w:right="14" w:firstLine="35"/>
              <w:rPr>
                <w:sz w:val="20"/>
                <w:szCs w:val="20"/>
              </w:rPr>
            </w:pPr>
            <w:r>
              <w:rPr>
                <w:spacing w:val="2"/>
                <w:sz w:val="20"/>
                <w:szCs w:val="20"/>
              </w:rPr>
              <w:t>(1)制定有季度/月度生产计划，得满分2分；每</w:t>
            </w:r>
            <w:r>
              <w:rPr>
                <w:spacing w:val="7"/>
                <w:sz w:val="20"/>
                <w:szCs w:val="20"/>
              </w:rPr>
              <w:t>少一份计划扣0.2分，本项分值扣完即止。</w:t>
            </w:r>
          </w:p>
        </w:tc>
        <w:tc>
          <w:tcPr>
            <w:tcW w:w="4645" w:type="dxa"/>
            <w:vMerge w:val="restart"/>
            <w:tcBorders>
              <w:bottom w:val="nil"/>
            </w:tcBorders>
            <w:vAlign w:val="top"/>
          </w:tcPr>
          <w:p w14:paraId="0DBF827D">
            <w:pPr>
              <w:spacing w:line="323" w:lineRule="auto"/>
              <w:rPr>
                <w:rFonts w:ascii="Arial"/>
                <w:sz w:val="21"/>
              </w:rPr>
            </w:pPr>
          </w:p>
          <w:p w14:paraId="590F58D2">
            <w:pPr>
              <w:spacing w:line="324" w:lineRule="auto"/>
              <w:rPr>
                <w:rFonts w:ascii="Arial"/>
                <w:sz w:val="21"/>
              </w:rPr>
            </w:pPr>
          </w:p>
          <w:p w14:paraId="354BE81B">
            <w:pPr>
              <w:pStyle w:val="18"/>
              <w:spacing w:before="65" w:line="228" w:lineRule="auto"/>
              <w:ind w:left="22"/>
              <w:rPr>
                <w:sz w:val="20"/>
                <w:szCs w:val="20"/>
              </w:rPr>
            </w:pPr>
            <w:r>
              <w:rPr>
                <w:spacing w:val="8"/>
                <w:sz w:val="20"/>
                <w:szCs w:val="20"/>
              </w:rPr>
              <w:t>查年/月度生产计划及实施情况记录</w:t>
            </w:r>
          </w:p>
        </w:tc>
        <w:tc>
          <w:tcPr>
            <w:tcW w:w="1084" w:type="dxa"/>
            <w:vMerge w:val="restart"/>
            <w:tcBorders>
              <w:bottom w:val="nil"/>
            </w:tcBorders>
            <w:vAlign w:val="top"/>
          </w:tcPr>
          <w:p w14:paraId="62C856C1">
            <w:pPr>
              <w:rPr>
                <w:rFonts w:ascii="Arial"/>
                <w:sz w:val="21"/>
              </w:rPr>
            </w:pPr>
          </w:p>
        </w:tc>
      </w:tr>
      <w:tr w14:paraId="5D708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455" w:type="dxa"/>
            <w:vMerge w:val="continue"/>
            <w:tcBorders>
              <w:top w:val="nil"/>
            </w:tcBorders>
            <w:vAlign w:val="top"/>
          </w:tcPr>
          <w:p w14:paraId="2A064687">
            <w:pPr>
              <w:rPr>
                <w:rFonts w:ascii="Arial"/>
                <w:sz w:val="21"/>
              </w:rPr>
            </w:pPr>
          </w:p>
        </w:tc>
        <w:tc>
          <w:tcPr>
            <w:tcW w:w="1080" w:type="dxa"/>
            <w:vMerge w:val="continue"/>
            <w:tcBorders>
              <w:top w:val="nil"/>
            </w:tcBorders>
            <w:vAlign w:val="top"/>
          </w:tcPr>
          <w:p w14:paraId="79712792">
            <w:pPr>
              <w:rPr>
                <w:rFonts w:ascii="Arial"/>
                <w:sz w:val="21"/>
              </w:rPr>
            </w:pPr>
          </w:p>
        </w:tc>
        <w:tc>
          <w:tcPr>
            <w:tcW w:w="628" w:type="dxa"/>
            <w:vMerge w:val="continue"/>
            <w:tcBorders>
              <w:top w:val="nil"/>
            </w:tcBorders>
            <w:vAlign w:val="top"/>
          </w:tcPr>
          <w:p w14:paraId="132EAD29">
            <w:pPr>
              <w:rPr>
                <w:rFonts w:ascii="Arial"/>
                <w:sz w:val="21"/>
              </w:rPr>
            </w:pPr>
          </w:p>
        </w:tc>
        <w:tc>
          <w:tcPr>
            <w:tcW w:w="719" w:type="dxa"/>
            <w:vMerge w:val="continue"/>
            <w:tcBorders>
              <w:top w:val="nil"/>
            </w:tcBorders>
            <w:vAlign w:val="top"/>
          </w:tcPr>
          <w:p w14:paraId="19A855C5">
            <w:pPr>
              <w:rPr>
                <w:rFonts w:ascii="Arial"/>
                <w:sz w:val="21"/>
              </w:rPr>
            </w:pPr>
          </w:p>
        </w:tc>
        <w:tc>
          <w:tcPr>
            <w:tcW w:w="1115" w:type="dxa"/>
            <w:vMerge w:val="continue"/>
            <w:tcBorders>
              <w:top w:val="nil"/>
            </w:tcBorders>
            <w:vAlign w:val="top"/>
          </w:tcPr>
          <w:p w14:paraId="0430C24A">
            <w:pPr>
              <w:rPr>
                <w:rFonts w:ascii="Arial"/>
                <w:sz w:val="21"/>
              </w:rPr>
            </w:pPr>
          </w:p>
        </w:tc>
        <w:tc>
          <w:tcPr>
            <w:tcW w:w="4360" w:type="dxa"/>
            <w:vAlign w:val="top"/>
          </w:tcPr>
          <w:p w14:paraId="107900CD">
            <w:pPr>
              <w:pStyle w:val="18"/>
              <w:spacing w:before="257"/>
              <w:ind w:left="22" w:right="14" w:firstLine="33"/>
              <w:rPr>
                <w:sz w:val="20"/>
                <w:szCs w:val="20"/>
              </w:rPr>
            </w:pPr>
            <w:r>
              <w:rPr>
                <w:spacing w:val="2"/>
                <w:sz w:val="20"/>
                <w:szCs w:val="20"/>
              </w:rPr>
              <w:t>(2)按季度/月计划有序实施，得满分2分；每少</w:t>
            </w:r>
            <w:r>
              <w:rPr>
                <w:spacing w:val="6"/>
                <w:sz w:val="20"/>
                <w:szCs w:val="20"/>
              </w:rPr>
              <w:t>一份计划扣0.2分，本项分值扣完即止。</w:t>
            </w:r>
          </w:p>
        </w:tc>
        <w:tc>
          <w:tcPr>
            <w:tcW w:w="4645" w:type="dxa"/>
            <w:vMerge w:val="continue"/>
            <w:tcBorders>
              <w:top w:val="nil"/>
            </w:tcBorders>
            <w:vAlign w:val="top"/>
          </w:tcPr>
          <w:p w14:paraId="080AACA6">
            <w:pPr>
              <w:rPr>
                <w:rFonts w:ascii="Arial"/>
                <w:sz w:val="21"/>
              </w:rPr>
            </w:pPr>
          </w:p>
        </w:tc>
        <w:tc>
          <w:tcPr>
            <w:tcW w:w="1084" w:type="dxa"/>
            <w:vMerge w:val="continue"/>
            <w:tcBorders>
              <w:top w:val="nil"/>
            </w:tcBorders>
            <w:vAlign w:val="top"/>
          </w:tcPr>
          <w:p w14:paraId="592F431F">
            <w:pPr>
              <w:rPr>
                <w:rFonts w:ascii="Arial"/>
                <w:sz w:val="21"/>
              </w:rPr>
            </w:pPr>
          </w:p>
        </w:tc>
      </w:tr>
    </w:tbl>
    <w:p w14:paraId="6D4EA27B">
      <w:pPr>
        <w:rPr>
          <w:rFonts w:ascii="Arial"/>
          <w:sz w:val="21"/>
        </w:rPr>
      </w:pPr>
    </w:p>
    <w:p w14:paraId="300CE097">
      <w:pPr>
        <w:rPr>
          <w:rFonts w:ascii="Arial" w:hAnsi="Arial" w:eastAsia="Arial" w:cs="Arial"/>
          <w:sz w:val="21"/>
          <w:szCs w:val="21"/>
        </w:rPr>
        <w:sectPr>
          <w:footerReference r:id="rId10" w:type="default"/>
          <w:pgSz w:w="16839" w:h="11906"/>
          <w:pgMar w:top="1012" w:right="1520" w:bottom="1355" w:left="1226" w:header="0" w:footer="1193" w:gutter="0"/>
          <w:pgNumType w:fmt="decimal"/>
          <w:cols w:space="720" w:num="1"/>
        </w:sectPr>
      </w:pPr>
    </w:p>
    <w:p w14:paraId="016AA9B7">
      <w:pPr>
        <w:spacing w:before="164"/>
      </w:pPr>
    </w:p>
    <w:tbl>
      <w:tblPr>
        <w:tblStyle w:val="17"/>
        <w:tblW w:w="14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080"/>
        <w:gridCol w:w="628"/>
        <w:gridCol w:w="719"/>
        <w:gridCol w:w="1115"/>
        <w:gridCol w:w="4360"/>
        <w:gridCol w:w="4645"/>
        <w:gridCol w:w="1084"/>
      </w:tblGrid>
      <w:tr w14:paraId="7E167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5" w:type="dxa"/>
            <w:textDirection w:val="tbRlV"/>
            <w:vAlign w:val="top"/>
          </w:tcPr>
          <w:p w14:paraId="25758379">
            <w:pPr>
              <w:pStyle w:val="18"/>
              <w:spacing w:before="123" w:line="218" w:lineRule="auto"/>
              <w:ind w:left="78"/>
              <w:rPr>
                <w:sz w:val="20"/>
                <w:szCs w:val="20"/>
              </w:rPr>
            </w:pPr>
            <w:r>
              <w:rPr>
                <w:b/>
                <w:bCs/>
                <w:spacing w:val="6"/>
                <w:sz w:val="20"/>
                <w:szCs w:val="20"/>
              </w:rPr>
              <w:t>序号</w:t>
            </w:r>
          </w:p>
        </w:tc>
        <w:tc>
          <w:tcPr>
            <w:tcW w:w="1080" w:type="dxa"/>
            <w:vAlign w:val="top"/>
          </w:tcPr>
          <w:p w14:paraId="26EDDA05">
            <w:pPr>
              <w:pStyle w:val="18"/>
              <w:spacing w:before="215" w:line="228" w:lineRule="auto"/>
              <w:ind w:left="125"/>
              <w:rPr>
                <w:sz w:val="20"/>
                <w:szCs w:val="20"/>
              </w:rPr>
            </w:pPr>
            <w:r>
              <w:rPr>
                <w:b/>
                <w:bCs/>
                <w:spacing w:val="5"/>
                <w:sz w:val="20"/>
                <w:szCs w:val="20"/>
              </w:rPr>
              <w:t>项目名称</w:t>
            </w:r>
          </w:p>
        </w:tc>
        <w:tc>
          <w:tcPr>
            <w:tcW w:w="628" w:type="dxa"/>
            <w:vAlign w:val="top"/>
          </w:tcPr>
          <w:p w14:paraId="1A57097C">
            <w:pPr>
              <w:pStyle w:val="18"/>
              <w:spacing w:before="79" w:line="239" w:lineRule="auto"/>
              <w:ind w:left="110" w:right="105" w:hanging="2"/>
              <w:rPr>
                <w:sz w:val="20"/>
                <w:szCs w:val="20"/>
              </w:rPr>
            </w:pPr>
            <w:r>
              <w:rPr>
                <w:b/>
                <w:bCs/>
                <w:spacing w:val="2"/>
                <w:sz w:val="20"/>
                <w:szCs w:val="20"/>
              </w:rPr>
              <w:t>项目</w:t>
            </w:r>
            <w:r>
              <w:rPr>
                <w:b/>
                <w:bCs/>
                <w:spacing w:val="1"/>
                <w:sz w:val="20"/>
                <w:szCs w:val="20"/>
              </w:rPr>
              <w:t>总分</w:t>
            </w:r>
          </w:p>
        </w:tc>
        <w:tc>
          <w:tcPr>
            <w:tcW w:w="719" w:type="dxa"/>
            <w:vAlign w:val="top"/>
          </w:tcPr>
          <w:p w14:paraId="056BDE31">
            <w:pPr>
              <w:pStyle w:val="18"/>
              <w:spacing w:before="214" w:line="228" w:lineRule="auto"/>
              <w:ind w:left="154"/>
              <w:rPr>
                <w:sz w:val="20"/>
                <w:szCs w:val="20"/>
              </w:rPr>
            </w:pPr>
            <w:r>
              <w:rPr>
                <w:b/>
                <w:bCs/>
                <w:spacing w:val="2"/>
                <w:sz w:val="20"/>
                <w:szCs w:val="20"/>
              </w:rPr>
              <w:t>分值</w:t>
            </w:r>
          </w:p>
        </w:tc>
        <w:tc>
          <w:tcPr>
            <w:tcW w:w="1115" w:type="dxa"/>
            <w:vAlign w:val="top"/>
          </w:tcPr>
          <w:p w14:paraId="27129F98">
            <w:pPr>
              <w:pStyle w:val="18"/>
              <w:spacing w:before="214" w:line="228" w:lineRule="auto"/>
              <w:ind w:left="138"/>
              <w:rPr>
                <w:sz w:val="20"/>
                <w:szCs w:val="20"/>
              </w:rPr>
            </w:pPr>
            <w:r>
              <w:rPr>
                <w:b/>
                <w:bCs/>
                <w:spacing w:val="6"/>
                <w:sz w:val="20"/>
                <w:szCs w:val="20"/>
              </w:rPr>
              <w:t>考核内容</w:t>
            </w:r>
          </w:p>
        </w:tc>
        <w:tc>
          <w:tcPr>
            <w:tcW w:w="4360" w:type="dxa"/>
            <w:vAlign w:val="top"/>
          </w:tcPr>
          <w:p w14:paraId="08BD1C9F">
            <w:pPr>
              <w:pStyle w:val="18"/>
              <w:spacing w:before="215" w:line="228" w:lineRule="auto"/>
              <w:ind w:left="1763"/>
              <w:rPr>
                <w:sz w:val="20"/>
                <w:szCs w:val="20"/>
              </w:rPr>
            </w:pPr>
            <w:r>
              <w:rPr>
                <w:b/>
                <w:bCs/>
                <w:spacing w:val="6"/>
                <w:sz w:val="20"/>
                <w:szCs w:val="20"/>
              </w:rPr>
              <w:t>评分标准</w:t>
            </w:r>
          </w:p>
        </w:tc>
        <w:tc>
          <w:tcPr>
            <w:tcW w:w="4645" w:type="dxa"/>
            <w:vAlign w:val="top"/>
          </w:tcPr>
          <w:p w14:paraId="24CB7694">
            <w:pPr>
              <w:pStyle w:val="18"/>
              <w:spacing w:before="214" w:line="228" w:lineRule="auto"/>
              <w:ind w:left="1908"/>
              <w:rPr>
                <w:sz w:val="20"/>
                <w:szCs w:val="20"/>
              </w:rPr>
            </w:pPr>
            <w:r>
              <w:rPr>
                <w:b/>
                <w:bCs/>
                <w:spacing w:val="6"/>
                <w:sz w:val="20"/>
                <w:szCs w:val="20"/>
              </w:rPr>
              <w:t>考核说明</w:t>
            </w:r>
          </w:p>
        </w:tc>
        <w:tc>
          <w:tcPr>
            <w:tcW w:w="1084" w:type="dxa"/>
            <w:vAlign w:val="top"/>
          </w:tcPr>
          <w:p w14:paraId="506BA0D8">
            <w:pPr>
              <w:pStyle w:val="18"/>
              <w:spacing w:before="214" w:line="228" w:lineRule="auto"/>
              <w:ind w:left="336"/>
              <w:rPr>
                <w:sz w:val="20"/>
                <w:szCs w:val="20"/>
              </w:rPr>
            </w:pPr>
            <w:r>
              <w:rPr>
                <w:b/>
                <w:bCs/>
                <w:spacing w:val="3"/>
                <w:sz w:val="20"/>
                <w:szCs w:val="20"/>
              </w:rPr>
              <w:t>得分</w:t>
            </w:r>
          </w:p>
        </w:tc>
      </w:tr>
      <w:tr w14:paraId="69157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455" w:type="dxa"/>
            <w:vMerge w:val="restart"/>
            <w:tcBorders>
              <w:bottom w:val="nil"/>
            </w:tcBorders>
            <w:vAlign w:val="top"/>
          </w:tcPr>
          <w:p w14:paraId="010E3DA0">
            <w:pPr>
              <w:rPr>
                <w:rFonts w:ascii="Arial"/>
                <w:sz w:val="21"/>
              </w:rPr>
            </w:pPr>
          </w:p>
        </w:tc>
        <w:tc>
          <w:tcPr>
            <w:tcW w:w="1080" w:type="dxa"/>
            <w:vMerge w:val="restart"/>
            <w:tcBorders>
              <w:bottom w:val="nil"/>
            </w:tcBorders>
            <w:vAlign w:val="top"/>
          </w:tcPr>
          <w:p w14:paraId="6A121464">
            <w:pPr>
              <w:rPr>
                <w:rFonts w:ascii="Arial"/>
                <w:sz w:val="21"/>
              </w:rPr>
            </w:pPr>
          </w:p>
        </w:tc>
        <w:tc>
          <w:tcPr>
            <w:tcW w:w="628" w:type="dxa"/>
            <w:vMerge w:val="restart"/>
            <w:tcBorders>
              <w:bottom w:val="nil"/>
            </w:tcBorders>
            <w:vAlign w:val="top"/>
          </w:tcPr>
          <w:p w14:paraId="150D0EF5">
            <w:pPr>
              <w:rPr>
                <w:rFonts w:ascii="Arial"/>
                <w:sz w:val="21"/>
              </w:rPr>
            </w:pPr>
          </w:p>
        </w:tc>
        <w:tc>
          <w:tcPr>
            <w:tcW w:w="719" w:type="dxa"/>
            <w:vMerge w:val="restart"/>
            <w:tcBorders>
              <w:bottom w:val="nil"/>
            </w:tcBorders>
            <w:vAlign w:val="top"/>
          </w:tcPr>
          <w:p w14:paraId="0695C722">
            <w:pPr>
              <w:spacing w:line="315" w:lineRule="auto"/>
              <w:rPr>
                <w:rFonts w:ascii="Arial"/>
                <w:sz w:val="21"/>
              </w:rPr>
            </w:pPr>
          </w:p>
          <w:p w14:paraId="3D48A201">
            <w:pPr>
              <w:spacing w:line="316" w:lineRule="auto"/>
              <w:rPr>
                <w:rFonts w:ascii="Arial"/>
                <w:sz w:val="21"/>
              </w:rPr>
            </w:pPr>
          </w:p>
          <w:p w14:paraId="4084871C">
            <w:pPr>
              <w:spacing w:line="316" w:lineRule="auto"/>
              <w:rPr>
                <w:rFonts w:ascii="Arial"/>
                <w:sz w:val="21"/>
              </w:rPr>
            </w:pPr>
          </w:p>
          <w:p w14:paraId="54D7B875">
            <w:pPr>
              <w:pStyle w:val="18"/>
              <w:spacing w:before="65" w:line="187" w:lineRule="auto"/>
              <w:ind w:left="314"/>
              <w:rPr>
                <w:sz w:val="20"/>
                <w:szCs w:val="20"/>
              </w:rPr>
            </w:pPr>
            <w:r>
              <w:rPr>
                <w:sz w:val="20"/>
                <w:szCs w:val="20"/>
              </w:rPr>
              <w:t>5</w:t>
            </w:r>
          </w:p>
        </w:tc>
        <w:tc>
          <w:tcPr>
            <w:tcW w:w="1115" w:type="dxa"/>
            <w:vMerge w:val="restart"/>
            <w:tcBorders>
              <w:bottom w:val="nil"/>
            </w:tcBorders>
            <w:vAlign w:val="top"/>
          </w:tcPr>
          <w:p w14:paraId="37C7281E">
            <w:pPr>
              <w:spacing w:line="304" w:lineRule="auto"/>
              <w:rPr>
                <w:rFonts w:ascii="Arial"/>
                <w:sz w:val="21"/>
              </w:rPr>
            </w:pPr>
          </w:p>
          <w:p w14:paraId="65B9F449">
            <w:pPr>
              <w:spacing w:line="304" w:lineRule="auto"/>
              <w:rPr>
                <w:rFonts w:ascii="Arial"/>
                <w:sz w:val="21"/>
              </w:rPr>
            </w:pPr>
          </w:p>
          <w:p w14:paraId="128ACEE1">
            <w:pPr>
              <w:spacing w:line="304" w:lineRule="auto"/>
              <w:rPr>
                <w:rFonts w:ascii="Arial"/>
                <w:sz w:val="21"/>
              </w:rPr>
            </w:pPr>
          </w:p>
          <w:p w14:paraId="56FD7475">
            <w:pPr>
              <w:pStyle w:val="18"/>
              <w:spacing w:before="65" w:line="228" w:lineRule="auto"/>
              <w:ind w:left="37"/>
              <w:rPr>
                <w:sz w:val="20"/>
                <w:szCs w:val="20"/>
              </w:rPr>
            </w:pPr>
            <w:r>
              <w:rPr>
                <w:spacing w:val="7"/>
                <w:sz w:val="20"/>
                <w:szCs w:val="20"/>
              </w:rPr>
              <w:t>工艺及管理</w:t>
            </w:r>
          </w:p>
        </w:tc>
        <w:tc>
          <w:tcPr>
            <w:tcW w:w="4360" w:type="dxa"/>
            <w:vAlign w:val="top"/>
          </w:tcPr>
          <w:p w14:paraId="42428A1C">
            <w:pPr>
              <w:pStyle w:val="18"/>
              <w:spacing w:before="51" w:line="244" w:lineRule="auto"/>
              <w:ind w:left="21" w:right="14" w:firstLine="7"/>
              <w:jc w:val="both"/>
              <w:rPr>
                <w:sz w:val="20"/>
                <w:szCs w:val="20"/>
              </w:rPr>
            </w:pPr>
            <w:r>
              <w:rPr>
                <w:spacing w:val="8"/>
                <w:sz w:val="20"/>
                <w:szCs w:val="20"/>
              </w:rPr>
              <w:t>（1）工艺系统运行情况考核，本项满分3分。</w:t>
            </w:r>
            <w:r>
              <w:rPr>
                <w:spacing w:val="4"/>
                <w:sz w:val="20"/>
                <w:szCs w:val="20"/>
              </w:rPr>
              <w:t>工艺系统运行稳定，得满分3分；部分工艺段运行不稳定，每个工艺段扣0.2分，本项分值扣完</w:t>
            </w:r>
            <w:r>
              <w:rPr>
                <w:spacing w:val="2"/>
                <w:sz w:val="20"/>
                <w:szCs w:val="20"/>
              </w:rPr>
              <w:t>即止。</w:t>
            </w:r>
          </w:p>
        </w:tc>
        <w:tc>
          <w:tcPr>
            <w:tcW w:w="4645" w:type="dxa"/>
            <w:vMerge w:val="restart"/>
            <w:tcBorders>
              <w:bottom w:val="nil"/>
            </w:tcBorders>
            <w:vAlign w:val="top"/>
          </w:tcPr>
          <w:p w14:paraId="27DE8736">
            <w:pPr>
              <w:spacing w:line="259" w:lineRule="auto"/>
              <w:rPr>
                <w:rFonts w:ascii="Arial"/>
                <w:sz w:val="21"/>
              </w:rPr>
            </w:pPr>
          </w:p>
          <w:p w14:paraId="6B79187B">
            <w:pPr>
              <w:spacing w:line="259" w:lineRule="auto"/>
              <w:rPr>
                <w:rFonts w:ascii="Arial"/>
                <w:sz w:val="21"/>
              </w:rPr>
            </w:pPr>
          </w:p>
          <w:p w14:paraId="6D0099B0">
            <w:pPr>
              <w:spacing w:line="259" w:lineRule="auto"/>
              <w:rPr>
                <w:rFonts w:ascii="Arial"/>
                <w:sz w:val="21"/>
              </w:rPr>
            </w:pPr>
          </w:p>
          <w:p w14:paraId="76B1674D">
            <w:pPr>
              <w:pStyle w:val="18"/>
              <w:spacing w:before="65" w:line="239" w:lineRule="auto"/>
              <w:ind w:left="20" w:right="12"/>
              <w:rPr>
                <w:sz w:val="20"/>
                <w:szCs w:val="20"/>
              </w:rPr>
            </w:pPr>
            <w:r>
              <w:rPr>
                <w:spacing w:val="9"/>
                <w:sz w:val="20"/>
                <w:szCs w:val="20"/>
              </w:rPr>
              <w:t>现场查看各工艺段污水处理系统的运行情况；查看</w:t>
            </w:r>
            <w:r>
              <w:rPr>
                <w:spacing w:val="8"/>
                <w:sz w:val="20"/>
                <w:szCs w:val="20"/>
              </w:rPr>
              <w:t>年/季度工艺运行分析报告。</w:t>
            </w:r>
          </w:p>
        </w:tc>
        <w:tc>
          <w:tcPr>
            <w:tcW w:w="1084" w:type="dxa"/>
            <w:vMerge w:val="restart"/>
            <w:tcBorders>
              <w:bottom w:val="nil"/>
            </w:tcBorders>
            <w:vAlign w:val="top"/>
          </w:tcPr>
          <w:p w14:paraId="40D4D67D">
            <w:pPr>
              <w:rPr>
                <w:rFonts w:ascii="Arial"/>
                <w:sz w:val="21"/>
              </w:rPr>
            </w:pPr>
          </w:p>
        </w:tc>
      </w:tr>
      <w:tr w14:paraId="50287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455" w:type="dxa"/>
            <w:vMerge w:val="continue"/>
            <w:tcBorders>
              <w:top w:val="nil"/>
              <w:bottom w:val="nil"/>
            </w:tcBorders>
            <w:vAlign w:val="top"/>
          </w:tcPr>
          <w:p w14:paraId="1D20E955">
            <w:pPr>
              <w:rPr>
                <w:rFonts w:ascii="Arial"/>
                <w:sz w:val="21"/>
              </w:rPr>
            </w:pPr>
          </w:p>
        </w:tc>
        <w:tc>
          <w:tcPr>
            <w:tcW w:w="1080" w:type="dxa"/>
            <w:vMerge w:val="continue"/>
            <w:tcBorders>
              <w:top w:val="nil"/>
              <w:bottom w:val="nil"/>
            </w:tcBorders>
            <w:vAlign w:val="top"/>
          </w:tcPr>
          <w:p w14:paraId="18783792">
            <w:pPr>
              <w:rPr>
                <w:rFonts w:ascii="Arial"/>
                <w:sz w:val="21"/>
              </w:rPr>
            </w:pPr>
          </w:p>
        </w:tc>
        <w:tc>
          <w:tcPr>
            <w:tcW w:w="628" w:type="dxa"/>
            <w:vMerge w:val="continue"/>
            <w:tcBorders>
              <w:top w:val="nil"/>
              <w:bottom w:val="nil"/>
            </w:tcBorders>
            <w:vAlign w:val="top"/>
          </w:tcPr>
          <w:p w14:paraId="3E8CDA7C">
            <w:pPr>
              <w:rPr>
                <w:rFonts w:ascii="Arial"/>
                <w:sz w:val="21"/>
              </w:rPr>
            </w:pPr>
          </w:p>
        </w:tc>
        <w:tc>
          <w:tcPr>
            <w:tcW w:w="719" w:type="dxa"/>
            <w:vMerge w:val="continue"/>
            <w:tcBorders>
              <w:top w:val="nil"/>
            </w:tcBorders>
            <w:vAlign w:val="top"/>
          </w:tcPr>
          <w:p w14:paraId="4424AD32">
            <w:pPr>
              <w:rPr>
                <w:rFonts w:ascii="Arial"/>
                <w:sz w:val="21"/>
              </w:rPr>
            </w:pPr>
          </w:p>
        </w:tc>
        <w:tc>
          <w:tcPr>
            <w:tcW w:w="1115" w:type="dxa"/>
            <w:vMerge w:val="continue"/>
            <w:tcBorders>
              <w:top w:val="nil"/>
            </w:tcBorders>
            <w:vAlign w:val="top"/>
          </w:tcPr>
          <w:p w14:paraId="266818D7">
            <w:pPr>
              <w:rPr>
                <w:rFonts w:ascii="Arial"/>
                <w:sz w:val="21"/>
              </w:rPr>
            </w:pPr>
          </w:p>
        </w:tc>
        <w:tc>
          <w:tcPr>
            <w:tcW w:w="4360" w:type="dxa"/>
            <w:vAlign w:val="top"/>
          </w:tcPr>
          <w:p w14:paraId="7597C79B">
            <w:pPr>
              <w:pStyle w:val="18"/>
              <w:spacing w:before="150" w:line="243" w:lineRule="auto"/>
              <w:ind w:left="18" w:right="14" w:firstLine="10"/>
              <w:jc w:val="both"/>
              <w:rPr>
                <w:sz w:val="20"/>
                <w:szCs w:val="20"/>
              </w:rPr>
            </w:pPr>
            <w:r>
              <w:rPr>
                <w:spacing w:val="7"/>
                <w:sz w:val="20"/>
                <w:szCs w:val="20"/>
              </w:rPr>
              <w:t>（2）工艺运行分析报告，本项满分2分。有年</w:t>
            </w:r>
            <w:r>
              <w:rPr>
                <w:spacing w:val="4"/>
                <w:sz w:val="20"/>
                <w:szCs w:val="20"/>
              </w:rPr>
              <w:t>度、季度工艺运行分析报告，得满分2分；每少</w:t>
            </w:r>
            <w:r>
              <w:rPr>
                <w:spacing w:val="6"/>
                <w:sz w:val="20"/>
                <w:szCs w:val="20"/>
              </w:rPr>
              <w:t>一项扣0.2分，本项分值扣完即止。</w:t>
            </w:r>
          </w:p>
        </w:tc>
        <w:tc>
          <w:tcPr>
            <w:tcW w:w="4645" w:type="dxa"/>
            <w:vMerge w:val="continue"/>
            <w:tcBorders>
              <w:top w:val="nil"/>
            </w:tcBorders>
            <w:vAlign w:val="top"/>
          </w:tcPr>
          <w:p w14:paraId="665420E4">
            <w:pPr>
              <w:rPr>
                <w:rFonts w:ascii="Arial"/>
                <w:sz w:val="21"/>
              </w:rPr>
            </w:pPr>
          </w:p>
        </w:tc>
        <w:tc>
          <w:tcPr>
            <w:tcW w:w="1084" w:type="dxa"/>
            <w:vMerge w:val="continue"/>
            <w:tcBorders>
              <w:top w:val="nil"/>
            </w:tcBorders>
            <w:vAlign w:val="top"/>
          </w:tcPr>
          <w:p w14:paraId="7637925C">
            <w:pPr>
              <w:rPr>
                <w:rFonts w:ascii="Arial"/>
                <w:sz w:val="21"/>
              </w:rPr>
            </w:pPr>
          </w:p>
        </w:tc>
      </w:tr>
      <w:tr w14:paraId="53D63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455" w:type="dxa"/>
            <w:vMerge w:val="continue"/>
            <w:tcBorders>
              <w:top w:val="nil"/>
              <w:bottom w:val="nil"/>
            </w:tcBorders>
            <w:vAlign w:val="top"/>
          </w:tcPr>
          <w:p w14:paraId="446B43EC">
            <w:pPr>
              <w:rPr>
                <w:rFonts w:ascii="Arial"/>
                <w:sz w:val="21"/>
              </w:rPr>
            </w:pPr>
          </w:p>
        </w:tc>
        <w:tc>
          <w:tcPr>
            <w:tcW w:w="1080" w:type="dxa"/>
            <w:vMerge w:val="continue"/>
            <w:tcBorders>
              <w:top w:val="nil"/>
              <w:bottom w:val="nil"/>
            </w:tcBorders>
            <w:vAlign w:val="top"/>
          </w:tcPr>
          <w:p w14:paraId="3D2A94F1">
            <w:pPr>
              <w:rPr>
                <w:rFonts w:ascii="Arial"/>
                <w:sz w:val="21"/>
              </w:rPr>
            </w:pPr>
          </w:p>
        </w:tc>
        <w:tc>
          <w:tcPr>
            <w:tcW w:w="628" w:type="dxa"/>
            <w:vMerge w:val="continue"/>
            <w:tcBorders>
              <w:top w:val="nil"/>
              <w:bottom w:val="nil"/>
            </w:tcBorders>
            <w:vAlign w:val="top"/>
          </w:tcPr>
          <w:p w14:paraId="3B959CCD">
            <w:pPr>
              <w:rPr>
                <w:rFonts w:ascii="Arial"/>
                <w:sz w:val="21"/>
              </w:rPr>
            </w:pPr>
          </w:p>
        </w:tc>
        <w:tc>
          <w:tcPr>
            <w:tcW w:w="719" w:type="dxa"/>
            <w:vMerge w:val="restart"/>
            <w:vAlign w:val="top"/>
          </w:tcPr>
          <w:p w14:paraId="47E70E46">
            <w:pPr>
              <w:spacing w:line="313" w:lineRule="auto"/>
              <w:rPr>
                <w:rFonts w:ascii="Arial"/>
                <w:sz w:val="21"/>
              </w:rPr>
            </w:pPr>
          </w:p>
          <w:p w14:paraId="78B68169">
            <w:pPr>
              <w:spacing w:line="314" w:lineRule="auto"/>
              <w:rPr>
                <w:rFonts w:ascii="Arial"/>
                <w:sz w:val="21"/>
              </w:rPr>
            </w:pPr>
          </w:p>
          <w:p w14:paraId="5F64DD6E">
            <w:pPr>
              <w:spacing w:line="314" w:lineRule="auto"/>
              <w:rPr>
                <w:rFonts w:ascii="Arial"/>
                <w:sz w:val="21"/>
              </w:rPr>
            </w:pPr>
          </w:p>
          <w:p w14:paraId="11ED5DA2">
            <w:pPr>
              <w:pStyle w:val="18"/>
              <w:spacing w:before="65" w:line="187" w:lineRule="auto"/>
              <w:ind w:left="314"/>
              <w:rPr>
                <w:sz w:val="20"/>
                <w:szCs w:val="20"/>
              </w:rPr>
            </w:pPr>
            <w:r>
              <w:rPr>
                <w:sz w:val="20"/>
                <w:szCs w:val="20"/>
              </w:rPr>
              <w:t>5</w:t>
            </w:r>
          </w:p>
        </w:tc>
        <w:tc>
          <w:tcPr>
            <w:tcW w:w="1115" w:type="dxa"/>
            <w:vMerge w:val="restart"/>
            <w:vAlign w:val="top"/>
          </w:tcPr>
          <w:p w14:paraId="499A9BDC">
            <w:pPr>
              <w:spacing w:line="257" w:lineRule="auto"/>
              <w:rPr>
                <w:rFonts w:ascii="Arial"/>
                <w:sz w:val="21"/>
              </w:rPr>
            </w:pPr>
          </w:p>
          <w:p w14:paraId="7B8B91F8">
            <w:pPr>
              <w:spacing w:line="257" w:lineRule="auto"/>
              <w:rPr>
                <w:rFonts w:ascii="Arial"/>
                <w:sz w:val="21"/>
              </w:rPr>
            </w:pPr>
          </w:p>
          <w:p w14:paraId="6434798A">
            <w:pPr>
              <w:spacing w:line="257" w:lineRule="auto"/>
              <w:rPr>
                <w:rFonts w:ascii="Arial"/>
                <w:sz w:val="21"/>
              </w:rPr>
            </w:pPr>
          </w:p>
          <w:p w14:paraId="6EF1CA65">
            <w:pPr>
              <w:pStyle w:val="18"/>
              <w:spacing w:before="65"/>
              <w:ind w:left="454" w:right="34" w:hanging="420"/>
              <w:rPr>
                <w:sz w:val="20"/>
                <w:szCs w:val="20"/>
              </w:rPr>
            </w:pPr>
            <w:r>
              <w:rPr>
                <w:spacing w:val="8"/>
                <w:sz w:val="20"/>
                <w:szCs w:val="20"/>
              </w:rPr>
              <w:t>运行质量控</w:t>
            </w:r>
            <w:r>
              <w:rPr>
                <w:sz w:val="20"/>
                <w:szCs w:val="20"/>
              </w:rPr>
              <w:t>制</w:t>
            </w:r>
          </w:p>
        </w:tc>
        <w:tc>
          <w:tcPr>
            <w:tcW w:w="4360" w:type="dxa"/>
            <w:vAlign w:val="top"/>
          </w:tcPr>
          <w:p w14:paraId="38425865">
            <w:pPr>
              <w:pStyle w:val="18"/>
              <w:numPr>
                <w:ilvl w:val="0"/>
                <w:numId w:val="2"/>
              </w:numPr>
              <w:spacing w:before="282" w:line="246" w:lineRule="auto"/>
              <w:ind w:left="-9" w:leftChars="0" w:firstLine="9" w:firstLineChars="0"/>
              <w:jc w:val="both"/>
              <w:rPr>
                <w:spacing w:val="-8"/>
                <w:sz w:val="20"/>
                <w:szCs w:val="20"/>
              </w:rPr>
            </w:pPr>
            <w:r>
              <w:rPr>
                <w:spacing w:val="4"/>
                <w:sz w:val="20"/>
                <w:szCs w:val="20"/>
              </w:rPr>
              <w:t>制定有质量控制管理制度体系，得满分1</w:t>
            </w:r>
            <w:r>
              <w:rPr>
                <w:spacing w:val="-8"/>
                <w:sz w:val="20"/>
                <w:szCs w:val="20"/>
              </w:rPr>
              <w:t>分；每缺一项扣0.2分，本项分值扣完即止。</w:t>
            </w:r>
          </w:p>
        </w:tc>
        <w:tc>
          <w:tcPr>
            <w:tcW w:w="4645" w:type="dxa"/>
            <w:vMerge w:val="restart"/>
            <w:vAlign w:val="top"/>
          </w:tcPr>
          <w:p w14:paraId="36425449">
            <w:pPr>
              <w:spacing w:line="257" w:lineRule="auto"/>
              <w:rPr>
                <w:rFonts w:ascii="Arial"/>
                <w:sz w:val="21"/>
              </w:rPr>
            </w:pPr>
          </w:p>
          <w:p w14:paraId="1DBEB6AD">
            <w:pPr>
              <w:spacing w:line="257" w:lineRule="auto"/>
              <w:rPr>
                <w:rFonts w:ascii="Arial"/>
                <w:sz w:val="21"/>
              </w:rPr>
            </w:pPr>
          </w:p>
          <w:p w14:paraId="6823146F">
            <w:pPr>
              <w:spacing w:line="257" w:lineRule="auto"/>
              <w:rPr>
                <w:rFonts w:ascii="Arial"/>
                <w:sz w:val="21"/>
              </w:rPr>
            </w:pPr>
          </w:p>
          <w:p w14:paraId="47F696F5">
            <w:pPr>
              <w:pStyle w:val="18"/>
              <w:spacing w:before="65"/>
              <w:ind w:left="19" w:right="12" w:firstLine="1"/>
              <w:rPr>
                <w:sz w:val="20"/>
                <w:szCs w:val="20"/>
              </w:rPr>
            </w:pPr>
            <w:r>
              <w:rPr>
                <w:spacing w:val="9"/>
                <w:sz w:val="20"/>
                <w:szCs w:val="20"/>
              </w:rPr>
              <w:t>现场考核水厂质量控制制度体系及落实情况，查看</w:t>
            </w:r>
            <w:r>
              <w:rPr>
                <w:spacing w:val="7"/>
                <w:sz w:val="20"/>
                <w:szCs w:val="20"/>
              </w:rPr>
              <w:t>排污许可证件等。</w:t>
            </w:r>
          </w:p>
        </w:tc>
        <w:tc>
          <w:tcPr>
            <w:tcW w:w="1084" w:type="dxa"/>
            <w:vMerge w:val="restart"/>
            <w:vAlign w:val="top"/>
          </w:tcPr>
          <w:p w14:paraId="3DB34A75">
            <w:pPr>
              <w:rPr>
                <w:rFonts w:ascii="Arial"/>
                <w:sz w:val="21"/>
              </w:rPr>
            </w:pPr>
          </w:p>
        </w:tc>
      </w:tr>
      <w:tr w14:paraId="5A4F0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455" w:type="dxa"/>
            <w:vMerge w:val="continue"/>
            <w:tcBorders>
              <w:bottom w:val="nil"/>
            </w:tcBorders>
            <w:vAlign w:val="top"/>
          </w:tcPr>
          <w:p w14:paraId="3C653513">
            <w:pPr>
              <w:pStyle w:val="18"/>
              <w:spacing w:before="282" w:line="246" w:lineRule="auto"/>
              <w:ind w:left="28" w:leftChars="0"/>
              <w:jc w:val="both"/>
            </w:pPr>
          </w:p>
        </w:tc>
        <w:tc>
          <w:tcPr>
            <w:tcW w:w="1080" w:type="dxa"/>
            <w:vMerge w:val="continue"/>
            <w:tcBorders>
              <w:bottom w:val="nil"/>
            </w:tcBorders>
            <w:vAlign w:val="top"/>
          </w:tcPr>
          <w:p w14:paraId="231C6191">
            <w:pPr>
              <w:pStyle w:val="18"/>
              <w:spacing w:before="282" w:line="246" w:lineRule="auto"/>
              <w:ind w:left="28" w:leftChars="0"/>
              <w:jc w:val="both"/>
            </w:pPr>
          </w:p>
        </w:tc>
        <w:tc>
          <w:tcPr>
            <w:tcW w:w="628" w:type="dxa"/>
            <w:vMerge w:val="continue"/>
            <w:tcBorders>
              <w:bottom w:val="nil"/>
            </w:tcBorders>
            <w:vAlign w:val="top"/>
          </w:tcPr>
          <w:p w14:paraId="49D04EE3">
            <w:pPr>
              <w:pStyle w:val="18"/>
              <w:spacing w:before="282" w:line="246" w:lineRule="auto"/>
              <w:ind w:left="28" w:leftChars="0"/>
              <w:jc w:val="both"/>
            </w:pPr>
          </w:p>
        </w:tc>
        <w:tc>
          <w:tcPr>
            <w:tcW w:w="719" w:type="dxa"/>
            <w:vMerge w:val="continue"/>
            <w:tcBorders>
              <w:bottom w:val="nil"/>
            </w:tcBorders>
            <w:vAlign w:val="top"/>
          </w:tcPr>
          <w:p w14:paraId="4DC57B2F">
            <w:pPr>
              <w:pStyle w:val="18"/>
              <w:spacing w:before="282" w:line="246" w:lineRule="auto"/>
              <w:ind w:left="28" w:leftChars="0"/>
              <w:jc w:val="both"/>
            </w:pPr>
          </w:p>
        </w:tc>
        <w:tc>
          <w:tcPr>
            <w:tcW w:w="1115" w:type="dxa"/>
            <w:vMerge w:val="continue"/>
            <w:tcBorders>
              <w:bottom w:val="nil"/>
            </w:tcBorders>
            <w:vAlign w:val="top"/>
          </w:tcPr>
          <w:p w14:paraId="5DB808C3">
            <w:pPr>
              <w:pStyle w:val="18"/>
              <w:spacing w:before="282" w:line="246" w:lineRule="auto"/>
              <w:ind w:left="28" w:leftChars="0"/>
              <w:jc w:val="both"/>
            </w:pPr>
          </w:p>
        </w:tc>
        <w:tc>
          <w:tcPr>
            <w:tcW w:w="4360" w:type="dxa"/>
            <w:vAlign w:val="top"/>
          </w:tcPr>
          <w:p w14:paraId="1A7F19D5">
            <w:pPr>
              <w:pStyle w:val="18"/>
              <w:numPr>
                <w:ilvl w:val="0"/>
                <w:numId w:val="0"/>
              </w:numPr>
              <w:spacing w:before="282" w:line="246" w:lineRule="auto"/>
              <w:jc w:val="both"/>
            </w:pPr>
            <w:r>
              <w:rPr>
                <w:spacing w:val="-8"/>
                <w:sz w:val="20"/>
                <w:szCs w:val="20"/>
              </w:rPr>
              <w:t>（2）</w:t>
            </w:r>
            <w:r>
              <w:rPr>
                <w:spacing w:val="5"/>
                <w:sz w:val="20"/>
                <w:szCs w:val="20"/>
              </w:rPr>
              <w:t>严格落实执行质量控制管理制度，得满分2分；</w:t>
            </w:r>
            <w:r>
              <w:rPr>
                <w:spacing w:val="4"/>
                <w:sz w:val="20"/>
                <w:szCs w:val="20"/>
              </w:rPr>
              <w:t>每缺一项扣0.2分，本项分值扣完即止。</w:t>
            </w:r>
          </w:p>
        </w:tc>
        <w:tc>
          <w:tcPr>
            <w:tcW w:w="4645" w:type="dxa"/>
            <w:vMerge w:val="continue"/>
            <w:tcBorders>
              <w:bottom w:val="nil"/>
            </w:tcBorders>
            <w:vAlign w:val="top"/>
          </w:tcPr>
          <w:p w14:paraId="5EDC6744">
            <w:pPr>
              <w:pStyle w:val="18"/>
              <w:spacing w:before="282" w:line="246" w:lineRule="auto"/>
              <w:ind w:left="28" w:leftChars="0"/>
              <w:jc w:val="both"/>
            </w:pPr>
          </w:p>
        </w:tc>
        <w:tc>
          <w:tcPr>
            <w:tcW w:w="1084" w:type="dxa"/>
            <w:vMerge w:val="continue"/>
            <w:tcBorders>
              <w:bottom w:val="nil"/>
            </w:tcBorders>
            <w:vAlign w:val="top"/>
          </w:tcPr>
          <w:p w14:paraId="1ED098CD">
            <w:pPr>
              <w:pStyle w:val="18"/>
              <w:spacing w:before="282" w:line="246" w:lineRule="auto"/>
              <w:ind w:left="28" w:leftChars="0"/>
              <w:jc w:val="both"/>
            </w:pPr>
          </w:p>
        </w:tc>
      </w:tr>
      <w:tr w14:paraId="06069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55" w:type="dxa"/>
            <w:vMerge w:val="continue"/>
            <w:tcBorders>
              <w:top w:val="nil"/>
            </w:tcBorders>
            <w:vAlign w:val="top"/>
          </w:tcPr>
          <w:p w14:paraId="49A389CC">
            <w:pPr>
              <w:rPr>
                <w:rFonts w:ascii="Arial"/>
                <w:sz w:val="21"/>
              </w:rPr>
            </w:pPr>
          </w:p>
        </w:tc>
        <w:tc>
          <w:tcPr>
            <w:tcW w:w="1080" w:type="dxa"/>
            <w:vMerge w:val="continue"/>
            <w:tcBorders>
              <w:top w:val="nil"/>
            </w:tcBorders>
            <w:vAlign w:val="top"/>
          </w:tcPr>
          <w:p w14:paraId="139CA8C5">
            <w:pPr>
              <w:rPr>
                <w:rFonts w:ascii="Arial"/>
                <w:sz w:val="21"/>
              </w:rPr>
            </w:pPr>
          </w:p>
        </w:tc>
        <w:tc>
          <w:tcPr>
            <w:tcW w:w="628" w:type="dxa"/>
            <w:vMerge w:val="continue"/>
            <w:tcBorders>
              <w:top w:val="nil"/>
            </w:tcBorders>
            <w:vAlign w:val="top"/>
          </w:tcPr>
          <w:p w14:paraId="49013727">
            <w:pPr>
              <w:rPr>
                <w:rFonts w:ascii="Arial"/>
                <w:sz w:val="21"/>
              </w:rPr>
            </w:pPr>
          </w:p>
        </w:tc>
        <w:tc>
          <w:tcPr>
            <w:tcW w:w="719" w:type="dxa"/>
            <w:vMerge w:val="continue"/>
            <w:tcBorders>
              <w:top w:val="nil"/>
            </w:tcBorders>
            <w:vAlign w:val="top"/>
          </w:tcPr>
          <w:p w14:paraId="10BDEAAE">
            <w:pPr>
              <w:rPr>
                <w:rFonts w:ascii="Arial"/>
                <w:sz w:val="21"/>
              </w:rPr>
            </w:pPr>
          </w:p>
        </w:tc>
        <w:tc>
          <w:tcPr>
            <w:tcW w:w="1115" w:type="dxa"/>
            <w:vMerge w:val="continue"/>
            <w:tcBorders>
              <w:top w:val="nil"/>
            </w:tcBorders>
            <w:vAlign w:val="top"/>
          </w:tcPr>
          <w:p w14:paraId="5BE4AFBB">
            <w:pPr>
              <w:rPr>
                <w:rFonts w:ascii="Arial"/>
                <w:sz w:val="21"/>
              </w:rPr>
            </w:pPr>
          </w:p>
        </w:tc>
        <w:tc>
          <w:tcPr>
            <w:tcW w:w="4360" w:type="dxa"/>
            <w:vAlign w:val="top"/>
          </w:tcPr>
          <w:p w14:paraId="595A6729">
            <w:pPr>
              <w:pStyle w:val="18"/>
              <w:spacing w:before="50" w:line="233" w:lineRule="auto"/>
              <w:ind w:left="19" w:firstLine="9"/>
              <w:rPr>
                <w:sz w:val="20"/>
                <w:szCs w:val="20"/>
              </w:rPr>
            </w:pPr>
            <w:r>
              <w:rPr>
                <w:spacing w:val="-5"/>
                <w:sz w:val="20"/>
                <w:szCs w:val="20"/>
              </w:rPr>
              <w:t>（3）及时办理/年检排污许可证等，得满分2分，</w:t>
            </w:r>
            <w:r>
              <w:rPr>
                <w:spacing w:val="5"/>
                <w:sz w:val="20"/>
                <w:szCs w:val="20"/>
              </w:rPr>
              <w:t>本项分值扣完即止。</w:t>
            </w:r>
          </w:p>
        </w:tc>
        <w:tc>
          <w:tcPr>
            <w:tcW w:w="4645" w:type="dxa"/>
            <w:vMerge w:val="continue"/>
            <w:tcBorders>
              <w:top w:val="nil"/>
            </w:tcBorders>
            <w:vAlign w:val="top"/>
          </w:tcPr>
          <w:p w14:paraId="58502D59">
            <w:pPr>
              <w:rPr>
                <w:rFonts w:ascii="Arial"/>
                <w:sz w:val="21"/>
              </w:rPr>
            </w:pPr>
          </w:p>
        </w:tc>
        <w:tc>
          <w:tcPr>
            <w:tcW w:w="1084" w:type="dxa"/>
            <w:vMerge w:val="continue"/>
            <w:tcBorders>
              <w:top w:val="nil"/>
            </w:tcBorders>
            <w:vAlign w:val="top"/>
          </w:tcPr>
          <w:p w14:paraId="4B305028">
            <w:pPr>
              <w:rPr>
                <w:rFonts w:ascii="Arial"/>
                <w:sz w:val="21"/>
              </w:rPr>
            </w:pPr>
          </w:p>
        </w:tc>
      </w:tr>
      <w:tr w14:paraId="6C98F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455" w:type="dxa"/>
            <w:vMerge w:val="restart"/>
            <w:tcBorders>
              <w:bottom w:val="nil"/>
            </w:tcBorders>
            <w:vAlign w:val="top"/>
          </w:tcPr>
          <w:p w14:paraId="19A449FF">
            <w:pPr>
              <w:spacing w:line="259" w:lineRule="auto"/>
              <w:rPr>
                <w:rFonts w:ascii="Arial"/>
                <w:sz w:val="21"/>
              </w:rPr>
            </w:pPr>
          </w:p>
          <w:p w14:paraId="3E969B74">
            <w:pPr>
              <w:spacing w:line="259" w:lineRule="auto"/>
              <w:rPr>
                <w:rFonts w:ascii="Arial"/>
                <w:sz w:val="21"/>
              </w:rPr>
            </w:pPr>
          </w:p>
          <w:p w14:paraId="45078B97">
            <w:pPr>
              <w:spacing w:line="259" w:lineRule="auto"/>
              <w:rPr>
                <w:rFonts w:ascii="Arial"/>
                <w:sz w:val="21"/>
              </w:rPr>
            </w:pPr>
          </w:p>
          <w:p w14:paraId="3BA48BAD">
            <w:pPr>
              <w:spacing w:line="259" w:lineRule="auto"/>
              <w:rPr>
                <w:rFonts w:ascii="Arial"/>
                <w:sz w:val="21"/>
              </w:rPr>
            </w:pPr>
          </w:p>
          <w:p w14:paraId="6BCED129">
            <w:pPr>
              <w:spacing w:line="260" w:lineRule="auto"/>
              <w:rPr>
                <w:rFonts w:ascii="Arial"/>
                <w:sz w:val="21"/>
              </w:rPr>
            </w:pPr>
          </w:p>
          <w:p w14:paraId="0D8699B9">
            <w:pPr>
              <w:spacing w:line="260" w:lineRule="auto"/>
              <w:rPr>
                <w:rFonts w:ascii="Arial"/>
                <w:sz w:val="21"/>
              </w:rPr>
            </w:pPr>
          </w:p>
          <w:p w14:paraId="651FBABD">
            <w:pPr>
              <w:spacing w:line="260" w:lineRule="auto"/>
              <w:rPr>
                <w:rFonts w:ascii="Arial"/>
                <w:sz w:val="21"/>
              </w:rPr>
            </w:pPr>
          </w:p>
          <w:p w14:paraId="4D9798AD">
            <w:pPr>
              <w:pStyle w:val="18"/>
              <w:spacing w:before="65" w:line="189" w:lineRule="auto"/>
              <w:ind w:left="185"/>
              <w:rPr>
                <w:sz w:val="20"/>
                <w:szCs w:val="20"/>
              </w:rPr>
            </w:pPr>
            <w:r>
              <w:rPr>
                <w:sz w:val="20"/>
                <w:szCs w:val="20"/>
              </w:rPr>
              <w:t>3</w:t>
            </w:r>
          </w:p>
        </w:tc>
        <w:tc>
          <w:tcPr>
            <w:tcW w:w="1080" w:type="dxa"/>
            <w:vMerge w:val="restart"/>
            <w:tcBorders>
              <w:bottom w:val="nil"/>
            </w:tcBorders>
            <w:vAlign w:val="top"/>
          </w:tcPr>
          <w:p w14:paraId="321C2EDF">
            <w:pPr>
              <w:spacing w:line="254" w:lineRule="auto"/>
              <w:rPr>
                <w:rFonts w:ascii="Arial"/>
                <w:sz w:val="21"/>
              </w:rPr>
            </w:pPr>
          </w:p>
          <w:p w14:paraId="7CEC44DB">
            <w:pPr>
              <w:spacing w:line="254" w:lineRule="auto"/>
              <w:rPr>
                <w:rFonts w:ascii="Arial"/>
                <w:sz w:val="21"/>
              </w:rPr>
            </w:pPr>
          </w:p>
          <w:p w14:paraId="6C29C1EE">
            <w:pPr>
              <w:spacing w:line="255" w:lineRule="auto"/>
              <w:rPr>
                <w:rFonts w:ascii="Arial"/>
                <w:sz w:val="21"/>
              </w:rPr>
            </w:pPr>
          </w:p>
          <w:p w14:paraId="45D39A03">
            <w:pPr>
              <w:spacing w:line="255" w:lineRule="auto"/>
              <w:rPr>
                <w:rFonts w:ascii="Arial"/>
                <w:sz w:val="21"/>
              </w:rPr>
            </w:pPr>
          </w:p>
          <w:p w14:paraId="38D3B9C7">
            <w:pPr>
              <w:spacing w:line="255" w:lineRule="auto"/>
              <w:rPr>
                <w:rFonts w:ascii="Arial"/>
                <w:sz w:val="21"/>
              </w:rPr>
            </w:pPr>
          </w:p>
          <w:p w14:paraId="02375DC5">
            <w:pPr>
              <w:spacing w:line="255" w:lineRule="auto"/>
              <w:rPr>
                <w:rFonts w:ascii="Arial"/>
                <w:sz w:val="21"/>
              </w:rPr>
            </w:pPr>
          </w:p>
          <w:p w14:paraId="3B8D2A2D">
            <w:pPr>
              <w:spacing w:line="255" w:lineRule="auto"/>
              <w:rPr>
                <w:rFonts w:ascii="Arial"/>
                <w:sz w:val="21"/>
              </w:rPr>
            </w:pPr>
          </w:p>
          <w:p w14:paraId="54291C19">
            <w:pPr>
              <w:pStyle w:val="18"/>
              <w:spacing w:before="65" w:line="228" w:lineRule="auto"/>
              <w:ind w:left="35"/>
              <w:rPr>
                <w:sz w:val="20"/>
                <w:szCs w:val="20"/>
              </w:rPr>
            </w:pPr>
            <w:r>
              <w:rPr>
                <w:rFonts w:hint="eastAsia"/>
                <w:spacing w:val="3"/>
                <w:sz w:val="20"/>
                <w:szCs w:val="20"/>
                <w:lang w:eastAsia="zh-CN"/>
              </w:rPr>
              <w:t>台账管理</w:t>
            </w:r>
          </w:p>
        </w:tc>
        <w:tc>
          <w:tcPr>
            <w:tcW w:w="628" w:type="dxa"/>
            <w:vMerge w:val="restart"/>
            <w:tcBorders>
              <w:bottom w:val="nil"/>
            </w:tcBorders>
            <w:vAlign w:val="top"/>
          </w:tcPr>
          <w:p w14:paraId="1349F244">
            <w:pPr>
              <w:spacing w:line="259" w:lineRule="auto"/>
              <w:rPr>
                <w:rFonts w:ascii="Arial"/>
                <w:sz w:val="21"/>
              </w:rPr>
            </w:pPr>
          </w:p>
          <w:p w14:paraId="36946160">
            <w:pPr>
              <w:spacing w:line="259" w:lineRule="auto"/>
              <w:rPr>
                <w:rFonts w:ascii="Arial"/>
                <w:sz w:val="21"/>
              </w:rPr>
            </w:pPr>
          </w:p>
          <w:p w14:paraId="33665B51">
            <w:pPr>
              <w:spacing w:line="259" w:lineRule="auto"/>
              <w:rPr>
                <w:rFonts w:ascii="Arial"/>
                <w:sz w:val="21"/>
              </w:rPr>
            </w:pPr>
          </w:p>
          <w:p w14:paraId="435340A0">
            <w:pPr>
              <w:spacing w:line="259" w:lineRule="auto"/>
              <w:rPr>
                <w:rFonts w:ascii="Arial"/>
                <w:sz w:val="21"/>
              </w:rPr>
            </w:pPr>
          </w:p>
          <w:p w14:paraId="1D67E30C">
            <w:pPr>
              <w:spacing w:line="259" w:lineRule="auto"/>
              <w:rPr>
                <w:rFonts w:ascii="Arial"/>
                <w:sz w:val="21"/>
              </w:rPr>
            </w:pPr>
          </w:p>
          <w:p w14:paraId="6B07827F">
            <w:pPr>
              <w:spacing w:line="260" w:lineRule="auto"/>
              <w:rPr>
                <w:rFonts w:ascii="Arial"/>
                <w:sz w:val="21"/>
              </w:rPr>
            </w:pPr>
          </w:p>
          <w:p w14:paraId="6CCB1DED">
            <w:pPr>
              <w:spacing w:line="260" w:lineRule="auto"/>
              <w:rPr>
                <w:rFonts w:ascii="Arial"/>
                <w:sz w:val="21"/>
              </w:rPr>
            </w:pPr>
          </w:p>
          <w:p w14:paraId="61157E2E">
            <w:pPr>
              <w:pStyle w:val="18"/>
              <w:spacing w:before="65" w:line="189" w:lineRule="auto"/>
              <w:ind w:left="226"/>
              <w:rPr>
                <w:sz w:val="20"/>
                <w:szCs w:val="20"/>
              </w:rPr>
            </w:pPr>
            <w:r>
              <w:rPr>
                <w:spacing w:val="-7"/>
                <w:sz w:val="20"/>
                <w:szCs w:val="20"/>
              </w:rPr>
              <w:t>14</w:t>
            </w:r>
          </w:p>
        </w:tc>
        <w:tc>
          <w:tcPr>
            <w:tcW w:w="719" w:type="dxa"/>
            <w:vMerge w:val="restart"/>
            <w:tcBorders>
              <w:bottom w:val="nil"/>
            </w:tcBorders>
            <w:vAlign w:val="top"/>
          </w:tcPr>
          <w:p w14:paraId="4F1981CA">
            <w:pPr>
              <w:spacing w:line="244" w:lineRule="auto"/>
              <w:rPr>
                <w:rFonts w:ascii="Arial"/>
                <w:sz w:val="21"/>
              </w:rPr>
            </w:pPr>
          </w:p>
          <w:p w14:paraId="7D3947E2">
            <w:pPr>
              <w:spacing w:line="244" w:lineRule="auto"/>
              <w:rPr>
                <w:rFonts w:ascii="Arial"/>
                <w:sz w:val="21"/>
              </w:rPr>
            </w:pPr>
          </w:p>
          <w:p w14:paraId="75A984A7">
            <w:pPr>
              <w:spacing w:line="244" w:lineRule="auto"/>
              <w:rPr>
                <w:rFonts w:ascii="Arial"/>
                <w:sz w:val="21"/>
              </w:rPr>
            </w:pPr>
          </w:p>
          <w:p w14:paraId="07662691">
            <w:pPr>
              <w:pStyle w:val="18"/>
              <w:spacing w:before="65" w:line="187" w:lineRule="auto"/>
              <w:ind w:left="314"/>
              <w:rPr>
                <w:sz w:val="20"/>
                <w:szCs w:val="20"/>
              </w:rPr>
            </w:pPr>
            <w:r>
              <w:rPr>
                <w:sz w:val="20"/>
                <w:szCs w:val="20"/>
              </w:rPr>
              <w:t>5</w:t>
            </w:r>
          </w:p>
        </w:tc>
        <w:tc>
          <w:tcPr>
            <w:tcW w:w="1115" w:type="dxa"/>
            <w:vMerge w:val="restart"/>
            <w:tcBorders>
              <w:bottom w:val="nil"/>
            </w:tcBorders>
            <w:vAlign w:val="top"/>
          </w:tcPr>
          <w:p w14:paraId="7F1080C4">
            <w:pPr>
              <w:spacing w:line="349" w:lineRule="auto"/>
              <w:rPr>
                <w:rFonts w:ascii="Arial"/>
                <w:sz w:val="21"/>
              </w:rPr>
            </w:pPr>
          </w:p>
          <w:p w14:paraId="49692D60">
            <w:pPr>
              <w:spacing w:line="349" w:lineRule="auto"/>
              <w:rPr>
                <w:rFonts w:ascii="Arial"/>
                <w:sz w:val="21"/>
              </w:rPr>
            </w:pPr>
          </w:p>
          <w:p w14:paraId="01ED0C13">
            <w:pPr>
              <w:pStyle w:val="18"/>
              <w:spacing w:before="65" w:line="228" w:lineRule="auto"/>
              <w:ind w:left="140"/>
              <w:rPr>
                <w:sz w:val="20"/>
                <w:szCs w:val="20"/>
              </w:rPr>
            </w:pPr>
            <w:r>
              <w:rPr>
                <w:spacing w:val="7"/>
                <w:sz w:val="20"/>
                <w:szCs w:val="20"/>
              </w:rPr>
              <w:t>运行</w:t>
            </w:r>
            <w:r>
              <w:rPr>
                <w:rFonts w:hint="eastAsia"/>
                <w:spacing w:val="7"/>
                <w:sz w:val="20"/>
                <w:szCs w:val="20"/>
                <w:lang w:eastAsia="zh-CN"/>
              </w:rPr>
              <w:t>台账</w:t>
            </w:r>
          </w:p>
        </w:tc>
        <w:tc>
          <w:tcPr>
            <w:tcW w:w="4360" w:type="dxa"/>
            <w:vAlign w:val="top"/>
          </w:tcPr>
          <w:p w14:paraId="1B258042">
            <w:pPr>
              <w:pStyle w:val="18"/>
              <w:spacing w:before="241" w:line="228" w:lineRule="auto"/>
              <w:jc w:val="both"/>
              <w:rPr>
                <w:sz w:val="20"/>
                <w:szCs w:val="20"/>
              </w:rPr>
            </w:pPr>
            <w:r>
              <w:rPr>
                <w:spacing w:val="-2"/>
                <w:sz w:val="20"/>
                <w:szCs w:val="20"/>
              </w:rPr>
              <w:t>(1)运行</w:t>
            </w:r>
            <w:r>
              <w:rPr>
                <w:rFonts w:hint="eastAsia"/>
                <w:spacing w:val="-2"/>
                <w:sz w:val="20"/>
                <w:szCs w:val="20"/>
                <w:lang w:eastAsia="zh-CN"/>
              </w:rPr>
              <w:t>台账记录</w:t>
            </w:r>
            <w:r>
              <w:rPr>
                <w:spacing w:val="-2"/>
                <w:sz w:val="20"/>
                <w:szCs w:val="20"/>
              </w:rPr>
              <w:t>齐全、真实可靠，得满分5分；</w:t>
            </w:r>
          </w:p>
        </w:tc>
        <w:tc>
          <w:tcPr>
            <w:tcW w:w="4645" w:type="dxa"/>
            <w:vMerge w:val="restart"/>
            <w:tcBorders>
              <w:bottom w:val="nil"/>
            </w:tcBorders>
            <w:vAlign w:val="top"/>
          </w:tcPr>
          <w:p w14:paraId="2AFEC9B3">
            <w:pPr>
              <w:spacing w:line="348" w:lineRule="auto"/>
              <w:rPr>
                <w:rFonts w:ascii="Arial"/>
                <w:sz w:val="21"/>
              </w:rPr>
            </w:pPr>
          </w:p>
          <w:p w14:paraId="3CCF949F">
            <w:pPr>
              <w:spacing w:line="349" w:lineRule="auto"/>
              <w:rPr>
                <w:rFonts w:ascii="Arial"/>
                <w:sz w:val="21"/>
              </w:rPr>
            </w:pPr>
          </w:p>
          <w:p w14:paraId="5C70D201">
            <w:pPr>
              <w:pStyle w:val="18"/>
              <w:spacing w:before="65" w:line="228" w:lineRule="auto"/>
              <w:jc w:val="right"/>
              <w:rPr>
                <w:sz w:val="20"/>
                <w:szCs w:val="20"/>
              </w:rPr>
            </w:pPr>
            <w:r>
              <w:rPr>
                <w:rFonts w:hint="eastAsia"/>
                <w:sz w:val="20"/>
                <w:szCs w:val="20"/>
                <w:lang w:eastAsia="zh-CN"/>
              </w:rPr>
              <w:t>台账记录</w:t>
            </w:r>
            <w:r>
              <w:rPr>
                <w:sz w:val="20"/>
                <w:szCs w:val="20"/>
              </w:rPr>
              <w:t>内容包括：水量、水质、设备交接班人等。</w:t>
            </w:r>
          </w:p>
        </w:tc>
        <w:tc>
          <w:tcPr>
            <w:tcW w:w="1084" w:type="dxa"/>
            <w:vMerge w:val="restart"/>
            <w:tcBorders>
              <w:bottom w:val="nil"/>
            </w:tcBorders>
            <w:vAlign w:val="top"/>
          </w:tcPr>
          <w:p w14:paraId="7CD69E9B">
            <w:pPr>
              <w:rPr>
                <w:rFonts w:ascii="Arial"/>
                <w:sz w:val="21"/>
              </w:rPr>
            </w:pPr>
          </w:p>
        </w:tc>
      </w:tr>
      <w:tr w14:paraId="1B359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55" w:type="dxa"/>
            <w:vMerge w:val="continue"/>
            <w:tcBorders>
              <w:top w:val="nil"/>
              <w:bottom w:val="nil"/>
            </w:tcBorders>
            <w:vAlign w:val="top"/>
          </w:tcPr>
          <w:p w14:paraId="3AB7F1ED">
            <w:pPr>
              <w:rPr>
                <w:rFonts w:ascii="Arial"/>
                <w:sz w:val="21"/>
              </w:rPr>
            </w:pPr>
          </w:p>
        </w:tc>
        <w:tc>
          <w:tcPr>
            <w:tcW w:w="1080" w:type="dxa"/>
            <w:vMerge w:val="continue"/>
            <w:tcBorders>
              <w:top w:val="nil"/>
              <w:bottom w:val="nil"/>
            </w:tcBorders>
            <w:vAlign w:val="top"/>
          </w:tcPr>
          <w:p w14:paraId="6C16897B">
            <w:pPr>
              <w:rPr>
                <w:rFonts w:ascii="Arial"/>
                <w:sz w:val="21"/>
              </w:rPr>
            </w:pPr>
          </w:p>
        </w:tc>
        <w:tc>
          <w:tcPr>
            <w:tcW w:w="628" w:type="dxa"/>
            <w:vMerge w:val="continue"/>
            <w:tcBorders>
              <w:top w:val="nil"/>
              <w:bottom w:val="nil"/>
            </w:tcBorders>
            <w:vAlign w:val="top"/>
          </w:tcPr>
          <w:p w14:paraId="5DECB67B">
            <w:pPr>
              <w:rPr>
                <w:rFonts w:ascii="Arial"/>
                <w:sz w:val="21"/>
              </w:rPr>
            </w:pPr>
          </w:p>
        </w:tc>
        <w:tc>
          <w:tcPr>
            <w:tcW w:w="719" w:type="dxa"/>
            <w:vMerge w:val="continue"/>
            <w:tcBorders>
              <w:top w:val="nil"/>
              <w:bottom w:val="nil"/>
            </w:tcBorders>
            <w:vAlign w:val="top"/>
          </w:tcPr>
          <w:p w14:paraId="4B522FE3">
            <w:pPr>
              <w:rPr>
                <w:rFonts w:ascii="Arial"/>
                <w:sz w:val="21"/>
              </w:rPr>
            </w:pPr>
          </w:p>
        </w:tc>
        <w:tc>
          <w:tcPr>
            <w:tcW w:w="1115" w:type="dxa"/>
            <w:vMerge w:val="continue"/>
            <w:tcBorders>
              <w:top w:val="nil"/>
              <w:bottom w:val="nil"/>
            </w:tcBorders>
            <w:vAlign w:val="top"/>
          </w:tcPr>
          <w:p w14:paraId="329FF1C1">
            <w:pPr>
              <w:rPr>
                <w:rFonts w:ascii="Arial"/>
                <w:sz w:val="21"/>
              </w:rPr>
            </w:pPr>
          </w:p>
        </w:tc>
        <w:tc>
          <w:tcPr>
            <w:tcW w:w="4360" w:type="dxa"/>
            <w:vAlign w:val="top"/>
          </w:tcPr>
          <w:p w14:paraId="0DD30C9B">
            <w:pPr>
              <w:pStyle w:val="18"/>
              <w:spacing w:before="49" w:line="233" w:lineRule="auto"/>
              <w:ind w:left="19" w:right="91" w:firstLine="35"/>
              <w:rPr>
                <w:sz w:val="20"/>
                <w:szCs w:val="20"/>
              </w:rPr>
            </w:pPr>
            <w:r>
              <w:rPr>
                <w:spacing w:val="3"/>
                <w:sz w:val="20"/>
                <w:szCs w:val="20"/>
              </w:rPr>
              <w:t>(2)运行</w:t>
            </w:r>
            <w:r>
              <w:rPr>
                <w:rFonts w:hint="eastAsia"/>
                <w:spacing w:val="3"/>
                <w:sz w:val="20"/>
                <w:szCs w:val="20"/>
                <w:lang w:eastAsia="zh-CN"/>
              </w:rPr>
              <w:t>台账记录</w:t>
            </w:r>
            <w:r>
              <w:rPr>
                <w:spacing w:val="3"/>
                <w:sz w:val="20"/>
                <w:szCs w:val="20"/>
              </w:rPr>
              <w:t>不齐全，每缺一项扣0.2分，</w:t>
            </w:r>
            <w:r>
              <w:rPr>
                <w:spacing w:val="7"/>
                <w:sz w:val="20"/>
                <w:szCs w:val="20"/>
              </w:rPr>
              <w:t>本项分值扣完即止；</w:t>
            </w:r>
          </w:p>
        </w:tc>
        <w:tc>
          <w:tcPr>
            <w:tcW w:w="4645" w:type="dxa"/>
            <w:vMerge w:val="continue"/>
            <w:tcBorders>
              <w:top w:val="nil"/>
              <w:bottom w:val="nil"/>
            </w:tcBorders>
            <w:vAlign w:val="top"/>
          </w:tcPr>
          <w:p w14:paraId="20AA53CA">
            <w:pPr>
              <w:rPr>
                <w:rFonts w:ascii="Arial"/>
                <w:sz w:val="21"/>
              </w:rPr>
            </w:pPr>
          </w:p>
        </w:tc>
        <w:tc>
          <w:tcPr>
            <w:tcW w:w="1084" w:type="dxa"/>
            <w:vMerge w:val="continue"/>
            <w:tcBorders>
              <w:top w:val="nil"/>
              <w:bottom w:val="nil"/>
            </w:tcBorders>
            <w:vAlign w:val="top"/>
          </w:tcPr>
          <w:p w14:paraId="50DF7123">
            <w:pPr>
              <w:rPr>
                <w:rFonts w:ascii="Arial"/>
                <w:sz w:val="21"/>
              </w:rPr>
            </w:pPr>
          </w:p>
        </w:tc>
      </w:tr>
      <w:tr w14:paraId="448FC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55" w:type="dxa"/>
            <w:vMerge w:val="continue"/>
            <w:tcBorders>
              <w:top w:val="nil"/>
              <w:bottom w:val="nil"/>
            </w:tcBorders>
            <w:vAlign w:val="top"/>
          </w:tcPr>
          <w:p w14:paraId="537079FF">
            <w:pPr>
              <w:rPr>
                <w:rFonts w:ascii="Arial"/>
                <w:sz w:val="21"/>
              </w:rPr>
            </w:pPr>
          </w:p>
        </w:tc>
        <w:tc>
          <w:tcPr>
            <w:tcW w:w="1080" w:type="dxa"/>
            <w:vMerge w:val="continue"/>
            <w:tcBorders>
              <w:top w:val="nil"/>
              <w:bottom w:val="nil"/>
            </w:tcBorders>
            <w:vAlign w:val="top"/>
          </w:tcPr>
          <w:p w14:paraId="0017EA62">
            <w:pPr>
              <w:rPr>
                <w:rFonts w:ascii="Arial"/>
                <w:sz w:val="21"/>
              </w:rPr>
            </w:pPr>
          </w:p>
        </w:tc>
        <w:tc>
          <w:tcPr>
            <w:tcW w:w="628" w:type="dxa"/>
            <w:vMerge w:val="continue"/>
            <w:tcBorders>
              <w:top w:val="nil"/>
              <w:bottom w:val="nil"/>
            </w:tcBorders>
            <w:vAlign w:val="top"/>
          </w:tcPr>
          <w:p w14:paraId="056DC382">
            <w:pPr>
              <w:rPr>
                <w:rFonts w:ascii="Arial"/>
                <w:sz w:val="21"/>
              </w:rPr>
            </w:pPr>
          </w:p>
        </w:tc>
        <w:tc>
          <w:tcPr>
            <w:tcW w:w="719" w:type="dxa"/>
            <w:vMerge w:val="continue"/>
            <w:tcBorders>
              <w:top w:val="nil"/>
            </w:tcBorders>
            <w:vAlign w:val="top"/>
          </w:tcPr>
          <w:p w14:paraId="316701FB">
            <w:pPr>
              <w:rPr>
                <w:rFonts w:ascii="Arial"/>
                <w:sz w:val="21"/>
              </w:rPr>
            </w:pPr>
          </w:p>
        </w:tc>
        <w:tc>
          <w:tcPr>
            <w:tcW w:w="1115" w:type="dxa"/>
            <w:vMerge w:val="continue"/>
            <w:tcBorders>
              <w:top w:val="nil"/>
            </w:tcBorders>
            <w:vAlign w:val="top"/>
          </w:tcPr>
          <w:p w14:paraId="42ADAD66">
            <w:pPr>
              <w:rPr>
                <w:rFonts w:ascii="Arial"/>
                <w:sz w:val="21"/>
              </w:rPr>
            </w:pPr>
          </w:p>
        </w:tc>
        <w:tc>
          <w:tcPr>
            <w:tcW w:w="4360" w:type="dxa"/>
            <w:vAlign w:val="top"/>
          </w:tcPr>
          <w:p w14:paraId="7C85D4F1">
            <w:pPr>
              <w:pStyle w:val="18"/>
              <w:spacing w:before="141" w:line="228" w:lineRule="auto"/>
              <w:ind w:left="55"/>
              <w:rPr>
                <w:sz w:val="20"/>
                <w:szCs w:val="20"/>
              </w:rPr>
            </w:pPr>
            <w:r>
              <w:rPr>
                <w:spacing w:val="4"/>
                <w:sz w:val="20"/>
                <w:szCs w:val="20"/>
              </w:rPr>
              <w:t>(3)无运行</w:t>
            </w:r>
            <w:r>
              <w:rPr>
                <w:rFonts w:hint="eastAsia"/>
                <w:spacing w:val="4"/>
                <w:sz w:val="20"/>
                <w:szCs w:val="20"/>
                <w:lang w:eastAsia="zh-CN"/>
              </w:rPr>
              <w:t>台账</w:t>
            </w:r>
            <w:r>
              <w:rPr>
                <w:spacing w:val="4"/>
                <w:sz w:val="20"/>
                <w:szCs w:val="20"/>
              </w:rPr>
              <w:t>不得分</w:t>
            </w:r>
          </w:p>
        </w:tc>
        <w:tc>
          <w:tcPr>
            <w:tcW w:w="4645" w:type="dxa"/>
            <w:vMerge w:val="continue"/>
            <w:tcBorders>
              <w:top w:val="nil"/>
            </w:tcBorders>
            <w:vAlign w:val="top"/>
          </w:tcPr>
          <w:p w14:paraId="1599B2D5">
            <w:pPr>
              <w:rPr>
                <w:rFonts w:ascii="Arial"/>
                <w:sz w:val="21"/>
              </w:rPr>
            </w:pPr>
          </w:p>
        </w:tc>
        <w:tc>
          <w:tcPr>
            <w:tcW w:w="1084" w:type="dxa"/>
            <w:vMerge w:val="continue"/>
            <w:tcBorders>
              <w:top w:val="nil"/>
            </w:tcBorders>
            <w:vAlign w:val="top"/>
          </w:tcPr>
          <w:p w14:paraId="60F6E580">
            <w:pPr>
              <w:rPr>
                <w:rFonts w:ascii="Arial"/>
                <w:sz w:val="21"/>
              </w:rPr>
            </w:pPr>
          </w:p>
        </w:tc>
      </w:tr>
      <w:tr w14:paraId="2EC4B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455" w:type="dxa"/>
            <w:vMerge w:val="continue"/>
            <w:tcBorders>
              <w:top w:val="nil"/>
              <w:bottom w:val="nil"/>
            </w:tcBorders>
            <w:vAlign w:val="top"/>
          </w:tcPr>
          <w:p w14:paraId="75B773CF">
            <w:pPr>
              <w:rPr>
                <w:rFonts w:ascii="Arial"/>
                <w:sz w:val="21"/>
              </w:rPr>
            </w:pPr>
          </w:p>
        </w:tc>
        <w:tc>
          <w:tcPr>
            <w:tcW w:w="1080" w:type="dxa"/>
            <w:vMerge w:val="continue"/>
            <w:tcBorders>
              <w:top w:val="nil"/>
              <w:bottom w:val="nil"/>
            </w:tcBorders>
            <w:vAlign w:val="top"/>
          </w:tcPr>
          <w:p w14:paraId="0F2860E4">
            <w:pPr>
              <w:rPr>
                <w:rFonts w:ascii="Arial"/>
                <w:sz w:val="21"/>
              </w:rPr>
            </w:pPr>
          </w:p>
        </w:tc>
        <w:tc>
          <w:tcPr>
            <w:tcW w:w="628" w:type="dxa"/>
            <w:vMerge w:val="continue"/>
            <w:tcBorders>
              <w:top w:val="nil"/>
              <w:bottom w:val="nil"/>
            </w:tcBorders>
            <w:vAlign w:val="top"/>
          </w:tcPr>
          <w:p w14:paraId="1E629D3A">
            <w:pPr>
              <w:rPr>
                <w:rFonts w:ascii="Arial"/>
                <w:sz w:val="21"/>
              </w:rPr>
            </w:pPr>
          </w:p>
        </w:tc>
        <w:tc>
          <w:tcPr>
            <w:tcW w:w="719" w:type="dxa"/>
            <w:vAlign w:val="top"/>
          </w:tcPr>
          <w:p w14:paraId="746F0CF5">
            <w:pPr>
              <w:spacing w:line="290" w:lineRule="auto"/>
              <w:rPr>
                <w:rFonts w:ascii="Arial"/>
                <w:sz w:val="21"/>
              </w:rPr>
            </w:pPr>
          </w:p>
          <w:p w14:paraId="5DFBE755">
            <w:pPr>
              <w:pStyle w:val="18"/>
              <w:spacing w:before="65" w:line="187" w:lineRule="auto"/>
              <w:ind w:left="314"/>
              <w:rPr>
                <w:sz w:val="20"/>
                <w:szCs w:val="20"/>
              </w:rPr>
            </w:pPr>
            <w:r>
              <w:rPr>
                <w:sz w:val="20"/>
                <w:szCs w:val="20"/>
              </w:rPr>
              <w:t>5</w:t>
            </w:r>
          </w:p>
        </w:tc>
        <w:tc>
          <w:tcPr>
            <w:tcW w:w="1115" w:type="dxa"/>
            <w:vAlign w:val="top"/>
          </w:tcPr>
          <w:p w14:paraId="2968155B">
            <w:pPr>
              <w:spacing w:line="255" w:lineRule="auto"/>
              <w:rPr>
                <w:rFonts w:ascii="Arial"/>
                <w:sz w:val="21"/>
              </w:rPr>
            </w:pPr>
          </w:p>
          <w:p w14:paraId="3C4E812E">
            <w:pPr>
              <w:pStyle w:val="18"/>
              <w:spacing w:before="65" w:line="228" w:lineRule="auto"/>
              <w:ind w:left="38"/>
              <w:rPr>
                <w:sz w:val="20"/>
                <w:szCs w:val="20"/>
              </w:rPr>
            </w:pPr>
            <w:r>
              <w:rPr>
                <w:spacing w:val="7"/>
                <w:sz w:val="20"/>
                <w:szCs w:val="20"/>
              </w:rPr>
              <w:t>设备</w:t>
            </w:r>
            <w:r>
              <w:rPr>
                <w:rFonts w:hint="eastAsia"/>
                <w:spacing w:val="7"/>
                <w:sz w:val="20"/>
                <w:szCs w:val="20"/>
                <w:lang w:eastAsia="zh-CN"/>
              </w:rPr>
              <w:t>及台账</w:t>
            </w:r>
          </w:p>
        </w:tc>
        <w:tc>
          <w:tcPr>
            <w:tcW w:w="4360" w:type="dxa"/>
            <w:vAlign w:val="top"/>
          </w:tcPr>
          <w:p w14:paraId="0DC3F210">
            <w:pPr>
              <w:pStyle w:val="18"/>
              <w:spacing w:before="49" w:line="239" w:lineRule="auto"/>
              <w:ind w:left="19" w:firstLine="16"/>
              <w:jc w:val="both"/>
              <w:rPr>
                <w:sz w:val="20"/>
                <w:szCs w:val="20"/>
              </w:rPr>
            </w:pPr>
            <w:r>
              <w:rPr>
                <w:rFonts w:hint="eastAsia"/>
                <w:spacing w:val="-5"/>
                <w:sz w:val="20"/>
                <w:szCs w:val="20"/>
                <w:lang w:eastAsia="zh-CN"/>
              </w:rPr>
              <w:t>台账记录</w:t>
            </w:r>
            <w:r>
              <w:rPr>
                <w:spacing w:val="-5"/>
                <w:sz w:val="20"/>
                <w:szCs w:val="20"/>
              </w:rPr>
              <w:t>齐全、真实可靠，得5分；记录不齐全，</w:t>
            </w:r>
            <w:r>
              <w:rPr>
                <w:spacing w:val="2"/>
                <w:sz w:val="20"/>
                <w:szCs w:val="20"/>
              </w:rPr>
              <w:t>每缺一项扣0.2分，本项分值扣完即止；无</w:t>
            </w:r>
            <w:r>
              <w:rPr>
                <w:rFonts w:hint="eastAsia"/>
                <w:spacing w:val="2"/>
                <w:sz w:val="20"/>
                <w:szCs w:val="20"/>
                <w:lang w:eastAsia="zh-CN"/>
              </w:rPr>
              <w:t>台账</w:t>
            </w:r>
            <w:r>
              <w:rPr>
                <w:spacing w:val="5"/>
                <w:sz w:val="20"/>
                <w:szCs w:val="20"/>
              </w:rPr>
              <w:t>不得分</w:t>
            </w:r>
          </w:p>
        </w:tc>
        <w:tc>
          <w:tcPr>
            <w:tcW w:w="4645" w:type="dxa"/>
            <w:vAlign w:val="top"/>
          </w:tcPr>
          <w:p w14:paraId="268A3F27">
            <w:pPr>
              <w:pStyle w:val="18"/>
              <w:spacing w:before="187" w:line="239" w:lineRule="auto"/>
              <w:ind w:left="20" w:right="12" w:firstLine="2"/>
              <w:rPr>
                <w:sz w:val="20"/>
                <w:szCs w:val="20"/>
              </w:rPr>
            </w:pPr>
            <w:r>
              <w:rPr>
                <w:spacing w:val="9"/>
                <w:sz w:val="20"/>
                <w:szCs w:val="20"/>
              </w:rPr>
              <w:t>设备运行记录</w:t>
            </w:r>
            <w:r>
              <w:rPr>
                <w:rFonts w:hint="eastAsia"/>
                <w:spacing w:val="9"/>
                <w:sz w:val="20"/>
                <w:szCs w:val="20"/>
                <w:lang w:eastAsia="zh-CN"/>
              </w:rPr>
              <w:t>台账</w:t>
            </w:r>
            <w:r>
              <w:rPr>
                <w:spacing w:val="9"/>
                <w:sz w:val="20"/>
                <w:szCs w:val="20"/>
              </w:rPr>
              <w:t>，设备建档；设备大修计划及记</w:t>
            </w:r>
            <w:r>
              <w:rPr>
                <w:spacing w:val="8"/>
                <w:sz w:val="20"/>
                <w:szCs w:val="20"/>
              </w:rPr>
              <w:t>录</w:t>
            </w:r>
            <w:r>
              <w:rPr>
                <w:rFonts w:hint="eastAsia"/>
                <w:spacing w:val="8"/>
                <w:sz w:val="20"/>
                <w:szCs w:val="20"/>
                <w:lang w:eastAsia="zh-CN"/>
              </w:rPr>
              <w:t>台账</w:t>
            </w:r>
            <w:r>
              <w:rPr>
                <w:spacing w:val="8"/>
                <w:sz w:val="20"/>
                <w:szCs w:val="20"/>
              </w:rPr>
              <w:t>；设备维护保养计划及记录</w:t>
            </w:r>
            <w:r>
              <w:rPr>
                <w:rFonts w:hint="eastAsia"/>
                <w:spacing w:val="8"/>
                <w:sz w:val="20"/>
                <w:szCs w:val="20"/>
                <w:lang w:eastAsia="zh-CN"/>
              </w:rPr>
              <w:t>台账</w:t>
            </w:r>
            <w:r>
              <w:rPr>
                <w:spacing w:val="8"/>
                <w:sz w:val="20"/>
                <w:szCs w:val="20"/>
              </w:rPr>
              <w:t>。</w:t>
            </w:r>
          </w:p>
        </w:tc>
        <w:tc>
          <w:tcPr>
            <w:tcW w:w="1084" w:type="dxa"/>
            <w:vAlign w:val="top"/>
          </w:tcPr>
          <w:p w14:paraId="199E59BE">
            <w:pPr>
              <w:rPr>
                <w:rFonts w:ascii="Arial"/>
                <w:sz w:val="21"/>
              </w:rPr>
            </w:pPr>
          </w:p>
        </w:tc>
      </w:tr>
      <w:tr w14:paraId="0AC33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455" w:type="dxa"/>
            <w:vMerge w:val="continue"/>
            <w:tcBorders>
              <w:top w:val="nil"/>
            </w:tcBorders>
            <w:vAlign w:val="top"/>
          </w:tcPr>
          <w:p w14:paraId="06D5AF30">
            <w:pPr>
              <w:rPr>
                <w:rFonts w:ascii="Arial"/>
                <w:sz w:val="21"/>
              </w:rPr>
            </w:pPr>
          </w:p>
        </w:tc>
        <w:tc>
          <w:tcPr>
            <w:tcW w:w="1080" w:type="dxa"/>
            <w:vMerge w:val="continue"/>
            <w:tcBorders>
              <w:top w:val="nil"/>
            </w:tcBorders>
            <w:vAlign w:val="top"/>
          </w:tcPr>
          <w:p w14:paraId="479E481E">
            <w:pPr>
              <w:rPr>
                <w:rFonts w:ascii="Arial"/>
                <w:sz w:val="21"/>
              </w:rPr>
            </w:pPr>
          </w:p>
        </w:tc>
        <w:tc>
          <w:tcPr>
            <w:tcW w:w="628" w:type="dxa"/>
            <w:vMerge w:val="continue"/>
            <w:tcBorders>
              <w:top w:val="nil"/>
            </w:tcBorders>
            <w:vAlign w:val="top"/>
          </w:tcPr>
          <w:p w14:paraId="59F77C92">
            <w:pPr>
              <w:rPr>
                <w:rFonts w:ascii="Arial"/>
                <w:sz w:val="21"/>
              </w:rPr>
            </w:pPr>
          </w:p>
        </w:tc>
        <w:tc>
          <w:tcPr>
            <w:tcW w:w="719" w:type="dxa"/>
            <w:vAlign w:val="top"/>
          </w:tcPr>
          <w:p w14:paraId="04A3C9B1">
            <w:pPr>
              <w:spacing w:line="269" w:lineRule="auto"/>
              <w:rPr>
                <w:rFonts w:ascii="Arial"/>
                <w:sz w:val="21"/>
              </w:rPr>
            </w:pPr>
          </w:p>
          <w:p w14:paraId="0881188D">
            <w:pPr>
              <w:spacing w:line="270" w:lineRule="auto"/>
              <w:rPr>
                <w:rFonts w:ascii="Arial"/>
                <w:sz w:val="21"/>
              </w:rPr>
            </w:pPr>
          </w:p>
          <w:p w14:paraId="1F3DEF32">
            <w:pPr>
              <w:pStyle w:val="18"/>
              <w:spacing w:before="65" w:line="189" w:lineRule="auto"/>
              <w:ind w:left="309"/>
              <w:rPr>
                <w:sz w:val="20"/>
                <w:szCs w:val="20"/>
              </w:rPr>
            </w:pPr>
            <w:r>
              <w:rPr>
                <w:sz w:val="20"/>
                <w:szCs w:val="20"/>
              </w:rPr>
              <w:t>4</w:t>
            </w:r>
          </w:p>
        </w:tc>
        <w:tc>
          <w:tcPr>
            <w:tcW w:w="1115" w:type="dxa"/>
            <w:vAlign w:val="top"/>
          </w:tcPr>
          <w:p w14:paraId="064306AC">
            <w:pPr>
              <w:spacing w:line="253" w:lineRule="auto"/>
              <w:rPr>
                <w:rFonts w:ascii="Arial"/>
                <w:sz w:val="21"/>
              </w:rPr>
            </w:pPr>
          </w:p>
          <w:p w14:paraId="3306A603">
            <w:pPr>
              <w:spacing w:line="253" w:lineRule="auto"/>
              <w:rPr>
                <w:rFonts w:ascii="Arial"/>
                <w:sz w:val="21"/>
              </w:rPr>
            </w:pPr>
          </w:p>
          <w:p w14:paraId="17F1DE17">
            <w:pPr>
              <w:pStyle w:val="18"/>
              <w:spacing w:before="65" w:line="228" w:lineRule="auto"/>
              <w:ind w:left="141"/>
              <w:rPr>
                <w:sz w:val="20"/>
                <w:szCs w:val="20"/>
              </w:rPr>
            </w:pPr>
            <w:r>
              <w:rPr>
                <w:spacing w:val="7"/>
                <w:sz w:val="20"/>
                <w:szCs w:val="20"/>
              </w:rPr>
              <w:t>档案管理</w:t>
            </w:r>
          </w:p>
        </w:tc>
        <w:tc>
          <w:tcPr>
            <w:tcW w:w="4360" w:type="dxa"/>
            <w:vAlign w:val="top"/>
          </w:tcPr>
          <w:p w14:paraId="24FDABEB">
            <w:pPr>
              <w:pStyle w:val="18"/>
              <w:spacing w:before="167" w:line="245" w:lineRule="auto"/>
              <w:ind w:left="19" w:right="14" w:firstLine="9"/>
              <w:jc w:val="both"/>
              <w:rPr>
                <w:sz w:val="20"/>
                <w:szCs w:val="20"/>
              </w:rPr>
            </w:pPr>
            <w:r>
              <w:rPr>
                <w:spacing w:val="8"/>
                <w:sz w:val="20"/>
                <w:szCs w:val="20"/>
              </w:rPr>
              <w:t>（1）运行台账、设备运行记录资料、设备维修</w:t>
            </w:r>
            <w:r>
              <w:rPr>
                <w:spacing w:val="5"/>
                <w:sz w:val="20"/>
                <w:szCs w:val="20"/>
              </w:rPr>
              <w:t>保养记录资料、生产计划、生产报表资料、安全</w:t>
            </w:r>
            <w:r>
              <w:rPr>
                <w:spacing w:val="4"/>
                <w:sz w:val="20"/>
                <w:szCs w:val="20"/>
              </w:rPr>
              <w:t>生产资料等完整、有序归档，得满分2分，每项</w:t>
            </w:r>
            <w:r>
              <w:rPr>
                <w:spacing w:val="7"/>
                <w:sz w:val="20"/>
                <w:szCs w:val="20"/>
              </w:rPr>
              <w:t>资料不齐全扣0.2分，本项分值扣完即止；</w:t>
            </w:r>
          </w:p>
        </w:tc>
        <w:tc>
          <w:tcPr>
            <w:tcW w:w="4645" w:type="dxa"/>
            <w:vAlign w:val="top"/>
          </w:tcPr>
          <w:p w14:paraId="76062D0D">
            <w:pPr>
              <w:pStyle w:val="18"/>
              <w:spacing w:before="168" w:line="245" w:lineRule="auto"/>
              <w:ind w:left="20" w:right="10" w:firstLine="1"/>
              <w:rPr>
                <w:sz w:val="20"/>
                <w:szCs w:val="20"/>
              </w:rPr>
            </w:pPr>
            <w:r>
              <w:rPr>
                <w:spacing w:val="9"/>
                <w:sz w:val="20"/>
                <w:szCs w:val="20"/>
              </w:rPr>
              <w:t>建立有生产运行设备、材料管理、安全、等档案。按时做好各岗位运行记录和统计报表；做好月报、年报的统计；数据应准确无误，字迹清晰，妥善保管。岗位运行记录保管期限不低于三年，统计报表</w:t>
            </w:r>
          </w:p>
        </w:tc>
        <w:tc>
          <w:tcPr>
            <w:tcW w:w="1084" w:type="dxa"/>
            <w:vAlign w:val="top"/>
          </w:tcPr>
          <w:p w14:paraId="5B7B07B4">
            <w:pPr>
              <w:rPr>
                <w:rFonts w:ascii="Arial"/>
                <w:sz w:val="21"/>
              </w:rPr>
            </w:pPr>
          </w:p>
        </w:tc>
      </w:tr>
    </w:tbl>
    <w:p w14:paraId="122C9436">
      <w:pPr>
        <w:spacing w:before="164"/>
      </w:pPr>
    </w:p>
    <w:tbl>
      <w:tblPr>
        <w:tblStyle w:val="17"/>
        <w:tblW w:w="14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080"/>
        <w:gridCol w:w="628"/>
        <w:gridCol w:w="719"/>
        <w:gridCol w:w="1115"/>
        <w:gridCol w:w="4360"/>
        <w:gridCol w:w="4645"/>
        <w:gridCol w:w="1084"/>
      </w:tblGrid>
      <w:tr w14:paraId="46A2E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5" w:type="dxa"/>
            <w:textDirection w:val="tbRlV"/>
            <w:vAlign w:val="top"/>
          </w:tcPr>
          <w:p w14:paraId="1A975DFC">
            <w:pPr>
              <w:pStyle w:val="18"/>
              <w:spacing w:before="123" w:line="218" w:lineRule="auto"/>
              <w:ind w:left="78"/>
              <w:rPr>
                <w:sz w:val="20"/>
                <w:szCs w:val="20"/>
              </w:rPr>
            </w:pPr>
            <w:r>
              <w:rPr>
                <w:b/>
                <w:bCs/>
                <w:spacing w:val="6"/>
                <w:sz w:val="20"/>
                <w:szCs w:val="20"/>
              </w:rPr>
              <w:t>序号</w:t>
            </w:r>
          </w:p>
        </w:tc>
        <w:tc>
          <w:tcPr>
            <w:tcW w:w="1080" w:type="dxa"/>
            <w:vAlign w:val="top"/>
          </w:tcPr>
          <w:p w14:paraId="144CBB92">
            <w:pPr>
              <w:pStyle w:val="18"/>
              <w:spacing w:before="215" w:line="228" w:lineRule="auto"/>
              <w:ind w:left="125"/>
              <w:rPr>
                <w:sz w:val="20"/>
                <w:szCs w:val="20"/>
              </w:rPr>
            </w:pPr>
            <w:r>
              <w:rPr>
                <w:b/>
                <w:bCs/>
                <w:spacing w:val="5"/>
                <w:sz w:val="20"/>
                <w:szCs w:val="20"/>
              </w:rPr>
              <w:t>项目名称</w:t>
            </w:r>
          </w:p>
        </w:tc>
        <w:tc>
          <w:tcPr>
            <w:tcW w:w="628" w:type="dxa"/>
            <w:vAlign w:val="top"/>
          </w:tcPr>
          <w:p w14:paraId="50C17B07">
            <w:pPr>
              <w:pStyle w:val="18"/>
              <w:spacing w:before="79" w:line="239" w:lineRule="auto"/>
              <w:ind w:left="110" w:right="105" w:hanging="2"/>
              <w:rPr>
                <w:sz w:val="20"/>
                <w:szCs w:val="20"/>
              </w:rPr>
            </w:pPr>
            <w:r>
              <w:rPr>
                <w:b/>
                <w:bCs/>
                <w:spacing w:val="2"/>
                <w:sz w:val="20"/>
                <w:szCs w:val="20"/>
              </w:rPr>
              <w:t>项目</w:t>
            </w:r>
            <w:r>
              <w:rPr>
                <w:b/>
                <w:bCs/>
                <w:spacing w:val="1"/>
                <w:sz w:val="20"/>
                <w:szCs w:val="20"/>
              </w:rPr>
              <w:t>总分</w:t>
            </w:r>
          </w:p>
        </w:tc>
        <w:tc>
          <w:tcPr>
            <w:tcW w:w="719" w:type="dxa"/>
            <w:vAlign w:val="top"/>
          </w:tcPr>
          <w:p w14:paraId="402F09FF">
            <w:pPr>
              <w:pStyle w:val="18"/>
              <w:spacing w:before="214" w:line="228" w:lineRule="auto"/>
              <w:ind w:left="154"/>
              <w:rPr>
                <w:sz w:val="20"/>
                <w:szCs w:val="20"/>
              </w:rPr>
            </w:pPr>
            <w:r>
              <w:rPr>
                <w:b/>
                <w:bCs/>
                <w:spacing w:val="2"/>
                <w:sz w:val="20"/>
                <w:szCs w:val="20"/>
              </w:rPr>
              <w:t>分值</w:t>
            </w:r>
          </w:p>
        </w:tc>
        <w:tc>
          <w:tcPr>
            <w:tcW w:w="1115" w:type="dxa"/>
            <w:vAlign w:val="top"/>
          </w:tcPr>
          <w:p w14:paraId="6DE9521F">
            <w:pPr>
              <w:pStyle w:val="18"/>
              <w:spacing w:before="214" w:line="228" w:lineRule="auto"/>
              <w:ind w:left="138"/>
              <w:rPr>
                <w:sz w:val="20"/>
                <w:szCs w:val="20"/>
              </w:rPr>
            </w:pPr>
            <w:r>
              <w:rPr>
                <w:b/>
                <w:bCs/>
                <w:spacing w:val="6"/>
                <w:sz w:val="20"/>
                <w:szCs w:val="20"/>
              </w:rPr>
              <w:t>考核内容</w:t>
            </w:r>
          </w:p>
        </w:tc>
        <w:tc>
          <w:tcPr>
            <w:tcW w:w="4360" w:type="dxa"/>
            <w:vAlign w:val="top"/>
          </w:tcPr>
          <w:p w14:paraId="54AAC21A">
            <w:pPr>
              <w:pStyle w:val="18"/>
              <w:spacing w:before="215" w:line="228" w:lineRule="auto"/>
              <w:ind w:left="1763"/>
              <w:rPr>
                <w:sz w:val="20"/>
                <w:szCs w:val="20"/>
              </w:rPr>
            </w:pPr>
            <w:r>
              <w:rPr>
                <w:b/>
                <w:bCs/>
                <w:spacing w:val="6"/>
                <w:sz w:val="20"/>
                <w:szCs w:val="20"/>
              </w:rPr>
              <w:t>评分标准</w:t>
            </w:r>
          </w:p>
        </w:tc>
        <w:tc>
          <w:tcPr>
            <w:tcW w:w="4645" w:type="dxa"/>
            <w:vAlign w:val="top"/>
          </w:tcPr>
          <w:p w14:paraId="582729BF">
            <w:pPr>
              <w:pStyle w:val="18"/>
              <w:spacing w:before="214" w:line="228" w:lineRule="auto"/>
              <w:ind w:left="1908"/>
              <w:rPr>
                <w:sz w:val="20"/>
                <w:szCs w:val="20"/>
              </w:rPr>
            </w:pPr>
            <w:r>
              <w:rPr>
                <w:b/>
                <w:bCs/>
                <w:spacing w:val="6"/>
                <w:sz w:val="20"/>
                <w:szCs w:val="20"/>
              </w:rPr>
              <w:t>考核说明</w:t>
            </w:r>
          </w:p>
        </w:tc>
        <w:tc>
          <w:tcPr>
            <w:tcW w:w="1084" w:type="dxa"/>
            <w:vAlign w:val="top"/>
          </w:tcPr>
          <w:p w14:paraId="0E3A9673">
            <w:pPr>
              <w:pStyle w:val="18"/>
              <w:spacing w:before="214" w:line="228" w:lineRule="auto"/>
              <w:ind w:left="336"/>
              <w:rPr>
                <w:sz w:val="20"/>
                <w:szCs w:val="20"/>
              </w:rPr>
            </w:pPr>
            <w:r>
              <w:rPr>
                <w:b/>
                <w:bCs/>
                <w:spacing w:val="3"/>
                <w:sz w:val="20"/>
                <w:szCs w:val="20"/>
              </w:rPr>
              <w:t>得分</w:t>
            </w:r>
          </w:p>
        </w:tc>
      </w:tr>
      <w:tr w14:paraId="78287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455" w:type="dxa"/>
            <w:vAlign w:val="top"/>
          </w:tcPr>
          <w:p w14:paraId="3C7B4775">
            <w:pPr>
              <w:rPr>
                <w:rFonts w:ascii="Arial"/>
                <w:sz w:val="21"/>
              </w:rPr>
            </w:pPr>
          </w:p>
        </w:tc>
        <w:tc>
          <w:tcPr>
            <w:tcW w:w="1080" w:type="dxa"/>
            <w:vAlign w:val="top"/>
          </w:tcPr>
          <w:p w14:paraId="6F7BBF32">
            <w:pPr>
              <w:rPr>
                <w:rFonts w:ascii="Arial"/>
                <w:sz w:val="21"/>
              </w:rPr>
            </w:pPr>
          </w:p>
        </w:tc>
        <w:tc>
          <w:tcPr>
            <w:tcW w:w="628" w:type="dxa"/>
            <w:vAlign w:val="top"/>
          </w:tcPr>
          <w:p w14:paraId="3B4F02F0">
            <w:pPr>
              <w:rPr>
                <w:rFonts w:ascii="Arial"/>
                <w:sz w:val="21"/>
              </w:rPr>
            </w:pPr>
          </w:p>
        </w:tc>
        <w:tc>
          <w:tcPr>
            <w:tcW w:w="719" w:type="dxa"/>
            <w:vAlign w:val="top"/>
          </w:tcPr>
          <w:p w14:paraId="0E6CC685">
            <w:pPr>
              <w:rPr>
                <w:rFonts w:ascii="Arial"/>
                <w:sz w:val="21"/>
              </w:rPr>
            </w:pPr>
          </w:p>
        </w:tc>
        <w:tc>
          <w:tcPr>
            <w:tcW w:w="1115" w:type="dxa"/>
            <w:vAlign w:val="top"/>
          </w:tcPr>
          <w:p w14:paraId="4428E483">
            <w:pPr>
              <w:rPr>
                <w:rFonts w:ascii="Arial"/>
                <w:sz w:val="21"/>
              </w:rPr>
            </w:pPr>
          </w:p>
        </w:tc>
        <w:tc>
          <w:tcPr>
            <w:tcW w:w="4360" w:type="dxa"/>
            <w:vAlign w:val="top"/>
          </w:tcPr>
          <w:p w14:paraId="7E4D25E3">
            <w:pPr>
              <w:pStyle w:val="18"/>
              <w:spacing w:before="45"/>
              <w:ind w:left="19" w:right="14" w:firstLine="10"/>
              <w:jc w:val="both"/>
              <w:rPr>
                <w:sz w:val="20"/>
                <w:szCs w:val="20"/>
              </w:rPr>
            </w:pPr>
            <w:r>
              <w:rPr>
                <w:spacing w:val="7"/>
                <w:sz w:val="20"/>
                <w:szCs w:val="20"/>
              </w:rPr>
              <w:t>（2）档案保持期限不低于三年得满分2分；否</w:t>
            </w:r>
            <w:r>
              <w:rPr>
                <w:spacing w:val="5"/>
                <w:sz w:val="20"/>
                <w:szCs w:val="20"/>
              </w:rPr>
              <w:t>则不得分。（运行不足三年的水厂，各年度档案齐全得2分，否则不得分。）</w:t>
            </w:r>
          </w:p>
        </w:tc>
        <w:tc>
          <w:tcPr>
            <w:tcW w:w="4645" w:type="dxa"/>
            <w:vAlign w:val="top"/>
          </w:tcPr>
          <w:p w14:paraId="734DECF4">
            <w:pPr>
              <w:pStyle w:val="18"/>
              <w:spacing w:before="46" w:line="228" w:lineRule="auto"/>
              <w:ind w:left="19"/>
              <w:rPr>
                <w:sz w:val="20"/>
                <w:szCs w:val="20"/>
              </w:rPr>
            </w:pPr>
            <w:r>
              <w:rPr>
                <w:spacing w:val="6"/>
                <w:sz w:val="20"/>
                <w:szCs w:val="20"/>
              </w:rPr>
              <w:t>应长期保存。</w:t>
            </w:r>
          </w:p>
        </w:tc>
        <w:tc>
          <w:tcPr>
            <w:tcW w:w="1084" w:type="dxa"/>
            <w:vAlign w:val="top"/>
          </w:tcPr>
          <w:p w14:paraId="725B8A72">
            <w:pPr>
              <w:rPr>
                <w:rFonts w:ascii="Arial"/>
                <w:sz w:val="21"/>
              </w:rPr>
            </w:pPr>
          </w:p>
        </w:tc>
      </w:tr>
      <w:tr w14:paraId="3D7B0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9" w:hRule="atLeast"/>
        </w:trPr>
        <w:tc>
          <w:tcPr>
            <w:tcW w:w="455" w:type="dxa"/>
            <w:vMerge w:val="restart"/>
            <w:tcBorders>
              <w:bottom w:val="nil"/>
            </w:tcBorders>
            <w:vAlign w:val="top"/>
          </w:tcPr>
          <w:p w14:paraId="762984BE">
            <w:pPr>
              <w:spacing w:line="253" w:lineRule="auto"/>
              <w:rPr>
                <w:rFonts w:ascii="Arial"/>
                <w:sz w:val="21"/>
              </w:rPr>
            </w:pPr>
          </w:p>
          <w:p w14:paraId="4730445E">
            <w:pPr>
              <w:spacing w:line="253" w:lineRule="auto"/>
              <w:rPr>
                <w:rFonts w:ascii="Arial"/>
                <w:sz w:val="21"/>
              </w:rPr>
            </w:pPr>
          </w:p>
          <w:p w14:paraId="77919F29">
            <w:pPr>
              <w:spacing w:line="253" w:lineRule="auto"/>
              <w:rPr>
                <w:rFonts w:ascii="Arial"/>
                <w:sz w:val="21"/>
              </w:rPr>
            </w:pPr>
          </w:p>
          <w:p w14:paraId="4AA7F705">
            <w:pPr>
              <w:spacing w:line="254" w:lineRule="auto"/>
              <w:rPr>
                <w:rFonts w:ascii="Arial"/>
                <w:sz w:val="21"/>
              </w:rPr>
            </w:pPr>
          </w:p>
          <w:p w14:paraId="6C4FF75B">
            <w:pPr>
              <w:pStyle w:val="18"/>
              <w:spacing w:before="65" w:line="189" w:lineRule="auto"/>
              <w:ind w:left="180"/>
              <w:rPr>
                <w:sz w:val="20"/>
                <w:szCs w:val="20"/>
              </w:rPr>
            </w:pPr>
            <w:r>
              <w:rPr>
                <w:sz w:val="20"/>
                <w:szCs w:val="20"/>
              </w:rPr>
              <w:t>4</w:t>
            </w:r>
          </w:p>
        </w:tc>
        <w:tc>
          <w:tcPr>
            <w:tcW w:w="1080" w:type="dxa"/>
            <w:vMerge w:val="restart"/>
            <w:tcBorders>
              <w:bottom w:val="nil"/>
            </w:tcBorders>
            <w:vAlign w:val="top"/>
          </w:tcPr>
          <w:p w14:paraId="430F420B">
            <w:pPr>
              <w:spacing w:line="245" w:lineRule="auto"/>
              <w:rPr>
                <w:rFonts w:ascii="Arial"/>
                <w:sz w:val="21"/>
              </w:rPr>
            </w:pPr>
          </w:p>
          <w:p w14:paraId="2D3A24D5">
            <w:pPr>
              <w:spacing w:line="245" w:lineRule="auto"/>
              <w:rPr>
                <w:rFonts w:ascii="Arial"/>
                <w:sz w:val="21"/>
              </w:rPr>
            </w:pPr>
          </w:p>
          <w:p w14:paraId="40548BAC">
            <w:pPr>
              <w:spacing w:line="245" w:lineRule="auto"/>
              <w:rPr>
                <w:rFonts w:ascii="Arial"/>
                <w:sz w:val="21"/>
              </w:rPr>
            </w:pPr>
          </w:p>
          <w:p w14:paraId="5DB3F912">
            <w:pPr>
              <w:spacing w:line="245" w:lineRule="auto"/>
              <w:rPr>
                <w:rFonts w:ascii="Arial"/>
                <w:sz w:val="21"/>
              </w:rPr>
            </w:pPr>
          </w:p>
          <w:p w14:paraId="16D6E92F">
            <w:pPr>
              <w:pStyle w:val="18"/>
              <w:spacing w:before="65" w:line="228" w:lineRule="auto"/>
              <w:ind w:left="22"/>
              <w:rPr>
                <w:sz w:val="20"/>
                <w:szCs w:val="20"/>
              </w:rPr>
            </w:pPr>
            <w:r>
              <w:rPr>
                <w:spacing w:val="7"/>
                <w:sz w:val="20"/>
                <w:szCs w:val="20"/>
              </w:rPr>
              <w:t>设备与仪表</w:t>
            </w:r>
          </w:p>
        </w:tc>
        <w:tc>
          <w:tcPr>
            <w:tcW w:w="628" w:type="dxa"/>
            <w:vMerge w:val="restart"/>
            <w:tcBorders>
              <w:bottom w:val="nil"/>
            </w:tcBorders>
            <w:vAlign w:val="top"/>
          </w:tcPr>
          <w:p w14:paraId="5EDFFA16">
            <w:pPr>
              <w:spacing w:line="253" w:lineRule="auto"/>
              <w:rPr>
                <w:rFonts w:ascii="Arial"/>
                <w:sz w:val="21"/>
              </w:rPr>
            </w:pPr>
          </w:p>
          <w:p w14:paraId="559CB538">
            <w:pPr>
              <w:spacing w:line="253" w:lineRule="auto"/>
              <w:rPr>
                <w:rFonts w:ascii="Arial"/>
                <w:sz w:val="21"/>
              </w:rPr>
            </w:pPr>
          </w:p>
          <w:p w14:paraId="1A913CB0">
            <w:pPr>
              <w:spacing w:line="253" w:lineRule="auto"/>
              <w:rPr>
                <w:rFonts w:ascii="Arial"/>
                <w:sz w:val="21"/>
              </w:rPr>
            </w:pPr>
          </w:p>
          <w:p w14:paraId="3EB41BE2">
            <w:pPr>
              <w:spacing w:line="254" w:lineRule="auto"/>
              <w:rPr>
                <w:rFonts w:ascii="Arial"/>
                <w:sz w:val="21"/>
              </w:rPr>
            </w:pPr>
          </w:p>
          <w:p w14:paraId="410DA3AB">
            <w:pPr>
              <w:pStyle w:val="18"/>
              <w:spacing w:before="65" w:line="189" w:lineRule="auto"/>
              <w:ind w:left="264"/>
              <w:rPr>
                <w:sz w:val="20"/>
                <w:szCs w:val="20"/>
              </w:rPr>
            </w:pPr>
            <w:r>
              <w:rPr>
                <w:sz w:val="20"/>
                <w:szCs w:val="20"/>
              </w:rPr>
              <w:t>8</w:t>
            </w:r>
          </w:p>
        </w:tc>
        <w:tc>
          <w:tcPr>
            <w:tcW w:w="719" w:type="dxa"/>
            <w:vAlign w:val="top"/>
          </w:tcPr>
          <w:p w14:paraId="0229285F">
            <w:pPr>
              <w:spacing w:line="298" w:lineRule="auto"/>
              <w:rPr>
                <w:rFonts w:ascii="Arial"/>
                <w:sz w:val="21"/>
              </w:rPr>
            </w:pPr>
          </w:p>
          <w:p w14:paraId="738151FF">
            <w:pPr>
              <w:spacing w:line="299" w:lineRule="auto"/>
              <w:rPr>
                <w:rFonts w:ascii="Arial"/>
                <w:sz w:val="21"/>
              </w:rPr>
            </w:pPr>
          </w:p>
          <w:p w14:paraId="0E1A56B6">
            <w:pPr>
              <w:pStyle w:val="18"/>
              <w:spacing w:before="65" w:line="187" w:lineRule="auto"/>
              <w:ind w:left="314"/>
              <w:rPr>
                <w:sz w:val="20"/>
                <w:szCs w:val="20"/>
              </w:rPr>
            </w:pPr>
            <w:r>
              <w:rPr>
                <w:sz w:val="20"/>
                <w:szCs w:val="20"/>
              </w:rPr>
              <w:t>5</w:t>
            </w:r>
          </w:p>
        </w:tc>
        <w:tc>
          <w:tcPr>
            <w:tcW w:w="1115" w:type="dxa"/>
            <w:vAlign w:val="top"/>
          </w:tcPr>
          <w:p w14:paraId="757EA02B">
            <w:pPr>
              <w:spacing w:line="281" w:lineRule="auto"/>
              <w:rPr>
                <w:rFonts w:ascii="Arial"/>
                <w:sz w:val="21"/>
              </w:rPr>
            </w:pPr>
          </w:p>
          <w:p w14:paraId="595F97FA">
            <w:pPr>
              <w:spacing w:line="282" w:lineRule="auto"/>
              <w:rPr>
                <w:rFonts w:ascii="Arial"/>
                <w:sz w:val="21"/>
              </w:rPr>
            </w:pPr>
          </w:p>
          <w:p w14:paraId="24CB66FD">
            <w:pPr>
              <w:pStyle w:val="18"/>
              <w:spacing w:before="65" w:line="228" w:lineRule="auto"/>
              <w:ind w:left="143"/>
              <w:rPr>
                <w:sz w:val="20"/>
                <w:szCs w:val="20"/>
              </w:rPr>
            </w:pPr>
            <w:r>
              <w:rPr>
                <w:spacing w:val="6"/>
                <w:sz w:val="20"/>
                <w:szCs w:val="20"/>
              </w:rPr>
              <w:t>设备运行</w:t>
            </w:r>
          </w:p>
        </w:tc>
        <w:tc>
          <w:tcPr>
            <w:tcW w:w="4360" w:type="dxa"/>
            <w:vAlign w:val="top"/>
          </w:tcPr>
          <w:p w14:paraId="1E797170">
            <w:pPr>
              <w:pStyle w:val="18"/>
              <w:spacing w:before="223" w:line="245" w:lineRule="auto"/>
              <w:ind w:left="19" w:firstLine="2"/>
              <w:rPr>
                <w:sz w:val="20"/>
                <w:szCs w:val="20"/>
              </w:rPr>
            </w:pPr>
            <w:r>
              <w:rPr>
                <w:spacing w:val="1"/>
                <w:sz w:val="20"/>
                <w:szCs w:val="20"/>
              </w:rPr>
              <w:t>各工艺段设备运行正常，得5分；提升泵站、格</w:t>
            </w:r>
            <w:r>
              <w:rPr>
                <w:spacing w:val="-3"/>
                <w:sz w:val="20"/>
                <w:szCs w:val="20"/>
              </w:rPr>
              <w:t>栅、沉砂、预处理、生物处理、混凝沉淀、消毒、</w:t>
            </w:r>
            <w:r>
              <w:rPr>
                <w:spacing w:val="6"/>
                <w:sz w:val="20"/>
                <w:szCs w:val="20"/>
              </w:rPr>
              <w:t>尾水排放各工艺段（如有）每有一段不正常扣</w:t>
            </w:r>
            <w:r>
              <w:rPr>
                <w:spacing w:val="4"/>
                <w:sz w:val="20"/>
                <w:szCs w:val="20"/>
              </w:rPr>
              <w:t>0.2分，本项分值扣完为止。</w:t>
            </w:r>
          </w:p>
        </w:tc>
        <w:tc>
          <w:tcPr>
            <w:tcW w:w="4645" w:type="dxa"/>
            <w:vAlign w:val="top"/>
          </w:tcPr>
          <w:p w14:paraId="1CB00BCA">
            <w:pPr>
              <w:spacing w:line="281" w:lineRule="auto"/>
              <w:rPr>
                <w:rFonts w:ascii="Arial"/>
                <w:sz w:val="21"/>
              </w:rPr>
            </w:pPr>
          </w:p>
          <w:p w14:paraId="5CD67729">
            <w:pPr>
              <w:spacing w:line="281" w:lineRule="auto"/>
              <w:rPr>
                <w:rFonts w:ascii="Arial"/>
                <w:sz w:val="21"/>
              </w:rPr>
            </w:pPr>
          </w:p>
          <w:p w14:paraId="0AFF946D">
            <w:pPr>
              <w:pStyle w:val="18"/>
              <w:spacing w:before="65" w:line="228" w:lineRule="auto"/>
              <w:ind w:left="23"/>
              <w:rPr>
                <w:sz w:val="20"/>
                <w:szCs w:val="20"/>
              </w:rPr>
            </w:pPr>
            <w:r>
              <w:rPr>
                <w:spacing w:val="8"/>
                <w:sz w:val="20"/>
                <w:szCs w:val="20"/>
              </w:rPr>
              <w:t>设备外观整洁、运行稳定，设备正常运行率&gt;95%。</w:t>
            </w:r>
          </w:p>
        </w:tc>
        <w:tc>
          <w:tcPr>
            <w:tcW w:w="1084" w:type="dxa"/>
            <w:vAlign w:val="top"/>
          </w:tcPr>
          <w:p w14:paraId="51DD7490">
            <w:pPr>
              <w:rPr>
                <w:rFonts w:ascii="Arial"/>
                <w:sz w:val="21"/>
              </w:rPr>
            </w:pPr>
          </w:p>
        </w:tc>
      </w:tr>
      <w:tr w14:paraId="633FB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455" w:type="dxa"/>
            <w:vMerge w:val="continue"/>
            <w:tcBorders>
              <w:top w:val="nil"/>
            </w:tcBorders>
            <w:vAlign w:val="top"/>
          </w:tcPr>
          <w:p w14:paraId="091BF047">
            <w:pPr>
              <w:rPr>
                <w:rFonts w:ascii="Arial"/>
                <w:sz w:val="21"/>
              </w:rPr>
            </w:pPr>
          </w:p>
        </w:tc>
        <w:tc>
          <w:tcPr>
            <w:tcW w:w="1080" w:type="dxa"/>
            <w:vMerge w:val="continue"/>
            <w:tcBorders>
              <w:top w:val="nil"/>
            </w:tcBorders>
            <w:vAlign w:val="top"/>
          </w:tcPr>
          <w:p w14:paraId="5C62B900">
            <w:pPr>
              <w:rPr>
                <w:rFonts w:ascii="Arial"/>
                <w:sz w:val="21"/>
              </w:rPr>
            </w:pPr>
          </w:p>
        </w:tc>
        <w:tc>
          <w:tcPr>
            <w:tcW w:w="628" w:type="dxa"/>
            <w:vMerge w:val="continue"/>
            <w:tcBorders>
              <w:top w:val="nil"/>
            </w:tcBorders>
            <w:vAlign w:val="top"/>
          </w:tcPr>
          <w:p w14:paraId="14516258">
            <w:pPr>
              <w:rPr>
                <w:rFonts w:ascii="Arial"/>
                <w:sz w:val="21"/>
              </w:rPr>
            </w:pPr>
          </w:p>
        </w:tc>
        <w:tc>
          <w:tcPr>
            <w:tcW w:w="719" w:type="dxa"/>
            <w:vAlign w:val="top"/>
          </w:tcPr>
          <w:p w14:paraId="6C877045">
            <w:pPr>
              <w:spacing w:line="288" w:lineRule="auto"/>
              <w:rPr>
                <w:rFonts w:ascii="Arial"/>
                <w:sz w:val="21"/>
              </w:rPr>
            </w:pPr>
          </w:p>
          <w:p w14:paraId="7104CA76">
            <w:pPr>
              <w:pStyle w:val="18"/>
              <w:spacing w:before="65" w:line="189" w:lineRule="auto"/>
              <w:ind w:left="314"/>
              <w:rPr>
                <w:sz w:val="20"/>
                <w:szCs w:val="20"/>
              </w:rPr>
            </w:pPr>
            <w:r>
              <w:rPr>
                <w:sz w:val="20"/>
                <w:szCs w:val="20"/>
              </w:rPr>
              <w:t>3</w:t>
            </w:r>
          </w:p>
        </w:tc>
        <w:tc>
          <w:tcPr>
            <w:tcW w:w="1115" w:type="dxa"/>
            <w:vAlign w:val="top"/>
          </w:tcPr>
          <w:p w14:paraId="79884F6E">
            <w:pPr>
              <w:pStyle w:val="18"/>
              <w:spacing w:before="184"/>
              <w:ind w:left="454" w:right="34" w:hanging="420"/>
              <w:rPr>
                <w:sz w:val="20"/>
                <w:szCs w:val="20"/>
              </w:rPr>
            </w:pPr>
            <w:r>
              <w:rPr>
                <w:spacing w:val="8"/>
                <w:sz w:val="20"/>
                <w:szCs w:val="20"/>
              </w:rPr>
              <w:t>在线监测仪</w:t>
            </w:r>
            <w:r>
              <w:rPr>
                <w:spacing w:val="1"/>
                <w:sz w:val="20"/>
                <w:szCs w:val="20"/>
              </w:rPr>
              <w:t>表</w:t>
            </w:r>
          </w:p>
        </w:tc>
        <w:tc>
          <w:tcPr>
            <w:tcW w:w="4360" w:type="dxa"/>
            <w:vAlign w:val="top"/>
          </w:tcPr>
          <w:p w14:paraId="644EBAF2">
            <w:pPr>
              <w:pStyle w:val="18"/>
              <w:spacing w:before="47"/>
              <w:ind w:left="20" w:right="146"/>
              <w:jc w:val="both"/>
              <w:rPr>
                <w:sz w:val="20"/>
                <w:szCs w:val="20"/>
              </w:rPr>
            </w:pPr>
            <w:r>
              <w:rPr>
                <w:spacing w:val="9"/>
                <w:sz w:val="20"/>
                <w:szCs w:val="20"/>
              </w:rPr>
              <w:t>按工艺要求布设水质在线监测设备仪表均显示</w:t>
            </w:r>
            <w:r>
              <w:rPr>
                <w:spacing w:val="7"/>
                <w:sz w:val="20"/>
                <w:szCs w:val="20"/>
              </w:rPr>
              <w:t>正常，得满分3分；每有一项显示不正常，扣</w:t>
            </w:r>
            <w:r>
              <w:rPr>
                <w:spacing w:val="6"/>
                <w:sz w:val="20"/>
                <w:szCs w:val="20"/>
              </w:rPr>
              <w:t>0.2分，本项分值扣完为止。</w:t>
            </w:r>
          </w:p>
        </w:tc>
        <w:tc>
          <w:tcPr>
            <w:tcW w:w="4645" w:type="dxa"/>
            <w:vAlign w:val="top"/>
          </w:tcPr>
          <w:p w14:paraId="56A38A48">
            <w:pPr>
              <w:pStyle w:val="18"/>
              <w:spacing w:before="186" w:line="239" w:lineRule="auto"/>
              <w:ind w:left="25" w:right="10" w:hanging="4"/>
              <w:rPr>
                <w:sz w:val="20"/>
                <w:szCs w:val="20"/>
              </w:rPr>
            </w:pPr>
            <w:r>
              <w:rPr>
                <w:spacing w:val="9"/>
                <w:sz w:val="20"/>
                <w:szCs w:val="20"/>
              </w:rPr>
              <w:t>现场查看在线监测仪、流量计等运行状况，显示是</w:t>
            </w:r>
            <w:r>
              <w:rPr>
                <w:spacing w:val="3"/>
                <w:sz w:val="20"/>
                <w:szCs w:val="20"/>
              </w:rPr>
              <w:t>否正常。</w:t>
            </w:r>
          </w:p>
        </w:tc>
        <w:tc>
          <w:tcPr>
            <w:tcW w:w="1084" w:type="dxa"/>
            <w:vAlign w:val="top"/>
          </w:tcPr>
          <w:p w14:paraId="41DF8AA5">
            <w:pPr>
              <w:rPr>
                <w:rFonts w:ascii="Arial"/>
                <w:sz w:val="21"/>
              </w:rPr>
            </w:pPr>
          </w:p>
        </w:tc>
      </w:tr>
      <w:tr w14:paraId="2C5D6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455" w:type="dxa"/>
            <w:vMerge w:val="restart"/>
            <w:tcBorders>
              <w:bottom w:val="nil"/>
            </w:tcBorders>
            <w:vAlign w:val="top"/>
          </w:tcPr>
          <w:p w14:paraId="4A16F12C">
            <w:pPr>
              <w:spacing w:line="243" w:lineRule="auto"/>
              <w:rPr>
                <w:rFonts w:ascii="Arial"/>
                <w:sz w:val="21"/>
              </w:rPr>
            </w:pPr>
          </w:p>
          <w:p w14:paraId="2A8320A6">
            <w:pPr>
              <w:spacing w:line="243" w:lineRule="auto"/>
              <w:rPr>
                <w:rFonts w:ascii="Arial"/>
                <w:sz w:val="21"/>
              </w:rPr>
            </w:pPr>
          </w:p>
          <w:p w14:paraId="0AEBC263">
            <w:pPr>
              <w:spacing w:line="244" w:lineRule="auto"/>
              <w:rPr>
                <w:rFonts w:ascii="Arial"/>
                <w:sz w:val="21"/>
              </w:rPr>
            </w:pPr>
          </w:p>
          <w:p w14:paraId="2E7D1A13">
            <w:pPr>
              <w:spacing w:line="244" w:lineRule="auto"/>
              <w:rPr>
                <w:rFonts w:ascii="Arial"/>
                <w:sz w:val="21"/>
              </w:rPr>
            </w:pPr>
          </w:p>
          <w:p w14:paraId="7076F3F9">
            <w:pPr>
              <w:spacing w:line="244" w:lineRule="auto"/>
              <w:rPr>
                <w:rFonts w:ascii="Arial"/>
                <w:sz w:val="21"/>
              </w:rPr>
            </w:pPr>
          </w:p>
          <w:p w14:paraId="735C873C">
            <w:pPr>
              <w:spacing w:line="244" w:lineRule="auto"/>
              <w:rPr>
                <w:rFonts w:ascii="Arial"/>
                <w:sz w:val="21"/>
              </w:rPr>
            </w:pPr>
          </w:p>
          <w:p w14:paraId="02EE8CFE">
            <w:pPr>
              <w:spacing w:line="244" w:lineRule="auto"/>
              <w:rPr>
                <w:rFonts w:ascii="Arial"/>
                <w:sz w:val="21"/>
              </w:rPr>
            </w:pPr>
          </w:p>
          <w:p w14:paraId="07354B16">
            <w:pPr>
              <w:spacing w:line="244" w:lineRule="auto"/>
              <w:rPr>
                <w:rFonts w:ascii="Arial"/>
                <w:sz w:val="21"/>
              </w:rPr>
            </w:pPr>
          </w:p>
          <w:p w14:paraId="56F4E888">
            <w:pPr>
              <w:spacing w:line="244" w:lineRule="auto"/>
              <w:rPr>
                <w:rFonts w:ascii="Arial"/>
                <w:sz w:val="21"/>
              </w:rPr>
            </w:pPr>
          </w:p>
          <w:p w14:paraId="52A81FEF">
            <w:pPr>
              <w:pStyle w:val="18"/>
              <w:spacing w:before="65" w:line="187" w:lineRule="auto"/>
              <w:ind w:left="185"/>
              <w:rPr>
                <w:sz w:val="20"/>
                <w:szCs w:val="20"/>
              </w:rPr>
            </w:pPr>
            <w:r>
              <w:rPr>
                <w:sz w:val="20"/>
                <w:szCs w:val="20"/>
              </w:rPr>
              <w:t>5</w:t>
            </w:r>
          </w:p>
        </w:tc>
        <w:tc>
          <w:tcPr>
            <w:tcW w:w="1080" w:type="dxa"/>
            <w:vMerge w:val="restart"/>
            <w:tcBorders>
              <w:bottom w:val="nil"/>
            </w:tcBorders>
            <w:vAlign w:val="top"/>
          </w:tcPr>
          <w:p w14:paraId="5BE2973F">
            <w:pPr>
              <w:spacing w:line="269" w:lineRule="auto"/>
              <w:rPr>
                <w:rFonts w:ascii="Arial"/>
                <w:sz w:val="21"/>
              </w:rPr>
            </w:pPr>
          </w:p>
          <w:p w14:paraId="554F1D5B">
            <w:pPr>
              <w:spacing w:line="269" w:lineRule="auto"/>
              <w:rPr>
                <w:rFonts w:ascii="Arial"/>
                <w:sz w:val="21"/>
              </w:rPr>
            </w:pPr>
          </w:p>
          <w:p w14:paraId="26F2A4D8">
            <w:pPr>
              <w:spacing w:line="270" w:lineRule="auto"/>
              <w:rPr>
                <w:rFonts w:ascii="Arial"/>
                <w:sz w:val="21"/>
              </w:rPr>
            </w:pPr>
          </w:p>
          <w:p w14:paraId="7809BC54">
            <w:pPr>
              <w:spacing w:line="270" w:lineRule="auto"/>
              <w:rPr>
                <w:rFonts w:ascii="Arial"/>
                <w:sz w:val="21"/>
              </w:rPr>
            </w:pPr>
          </w:p>
          <w:p w14:paraId="663D50C1">
            <w:pPr>
              <w:spacing w:line="270" w:lineRule="auto"/>
              <w:rPr>
                <w:rFonts w:ascii="Arial"/>
                <w:sz w:val="21"/>
              </w:rPr>
            </w:pPr>
          </w:p>
          <w:p w14:paraId="499818B2">
            <w:pPr>
              <w:spacing w:line="270" w:lineRule="auto"/>
              <w:rPr>
                <w:rFonts w:ascii="Arial"/>
                <w:sz w:val="21"/>
              </w:rPr>
            </w:pPr>
          </w:p>
          <w:p w14:paraId="459977CF">
            <w:pPr>
              <w:spacing w:line="270" w:lineRule="auto"/>
              <w:rPr>
                <w:rFonts w:ascii="Arial"/>
                <w:sz w:val="21"/>
              </w:rPr>
            </w:pPr>
          </w:p>
          <w:p w14:paraId="0CC63F3C">
            <w:pPr>
              <w:spacing w:line="270" w:lineRule="auto"/>
              <w:rPr>
                <w:rFonts w:ascii="Arial"/>
                <w:sz w:val="21"/>
              </w:rPr>
            </w:pPr>
          </w:p>
          <w:p w14:paraId="090722D3">
            <w:pPr>
              <w:pStyle w:val="18"/>
              <w:spacing w:before="65" w:line="228" w:lineRule="auto"/>
              <w:ind w:left="22"/>
              <w:rPr>
                <w:sz w:val="20"/>
                <w:szCs w:val="20"/>
              </w:rPr>
            </w:pPr>
            <w:r>
              <w:rPr>
                <w:spacing w:val="6"/>
                <w:sz w:val="20"/>
                <w:szCs w:val="20"/>
              </w:rPr>
              <w:t>安全管理</w:t>
            </w:r>
          </w:p>
        </w:tc>
        <w:tc>
          <w:tcPr>
            <w:tcW w:w="628" w:type="dxa"/>
            <w:vMerge w:val="restart"/>
            <w:tcBorders>
              <w:bottom w:val="nil"/>
            </w:tcBorders>
            <w:vAlign w:val="top"/>
          </w:tcPr>
          <w:p w14:paraId="1C1D006F">
            <w:pPr>
              <w:spacing w:line="243" w:lineRule="auto"/>
              <w:rPr>
                <w:rFonts w:ascii="Arial"/>
                <w:sz w:val="21"/>
              </w:rPr>
            </w:pPr>
          </w:p>
          <w:p w14:paraId="6F3326A3">
            <w:pPr>
              <w:spacing w:line="243" w:lineRule="auto"/>
              <w:rPr>
                <w:rFonts w:ascii="Arial"/>
                <w:sz w:val="21"/>
              </w:rPr>
            </w:pPr>
          </w:p>
          <w:p w14:paraId="1F830712">
            <w:pPr>
              <w:spacing w:line="243" w:lineRule="auto"/>
              <w:rPr>
                <w:rFonts w:ascii="Arial"/>
                <w:sz w:val="21"/>
              </w:rPr>
            </w:pPr>
          </w:p>
          <w:p w14:paraId="0D84A901">
            <w:pPr>
              <w:spacing w:line="243" w:lineRule="auto"/>
              <w:rPr>
                <w:rFonts w:ascii="Arial"/>
                <w:sz w:val="21"/>
              </w:rPr>
            </w:pPr>
          </w:p>
          <w:p w14:paraId="3E1C8EAB">
            <w:pPr>
              <w:spacing w:line="243" w:lineRule="auto"/>
              <w:rPr>
                <w:rFonts w:ascii="Arial"/>
                <w:sz w:val="21"/>
              </w:rPr>
            </w:pPr>
          </w:p>
          <w:p w14:paraId="4FD6E23E">
            <w:pPr>
              <w:spacing w:line="244" w:lineRule="auto"/>
              <w:rPr>
                <w:rFonts w:ascii="Arial"/>
                <w:sz w:val="21"/>
              </w:rPr>
            </w:pPr>
          </w:p>
          <w:p w14:paraId="3D24D7FE">
            <w:pPr>
              <w:spacing w:line="244" w:lineRule="auto"/>
              <w:rPr>
                <w:rFonts w:ascii="Arial"/>
                <w:sz w:val="21"/>
              </w:rPr>
            </w:pPr>
          </w:p>
          <w:p w14:paraId="23CF3D82">
            <w:pPr>
              <w:spacing w:line="244" w:lineRule="auto"/>
              <w:rPr>
                <w:rFonts w:ascii="Arial"/>
                <w:sz w:val="21"/>
              </w:rPr>
            </w:pPr>
          </w:p>
          <w:p w14:paraId="5658E5A8">
            <w:pPr>
              <w:spacing w:line="244" w:lineRule="auto"/>
              <w:rPr>
                <w:rFonts w:ascii="Arial"/>
                <w:sz w:val="21"/>
              </w:rPr>
            </w:pPr>
          </w:p>
          <w:p w14:paraId="28424E75">
            <w:pPr>
              <w:pStyle w:val="18"/>
              <w:spacing w:before="65" w:line="189" w:lineRule="auto"/>
              <w:ind w:left="226"/>
              <w:rPr>
                <w:sz w:val="20"/>
                <w:szCs w:val="20"/>
              </w:rPr>
            </w:pPr>
            <w:r>
              <w:rPr>
                <w:spacing w:val="-7"/>
                <w:sz w:val="20"/>
                <w:szCs w:val="20"/>
              </w:rPr>
              <w:t>12</w:t>
            </w:r>
          </w:p>
        </w:tc>
        <w:tc>
          <w:tcPr>
            <w:tcW w:w="719" w:type="dxa"/>
            <w:vAlign w:val="top"/>
          </w:tcPr>
          <w:p w14:paraId="68052E19">
            <w:pPr>
              <w:spacing w:line="376" w:lineRule="auto"/>
              <w:rPr>
                <w:rFonts w:ascii="Arial"/>
                <w:sz w:val="21"/>
              </w:rPr>
            </w:pPr>
          </w:p>
          <w:p w14:paraId="1BBC85FD">
            <w:pPr>
              <w:pStyle w:val="18"/>
              <w:spacing w:before="65" w:line="189" w:lineRule="auto"/>
              <w:ind w:left="312"/>
              <w:rPr>
                <w:sz w:val="20"/>
                <w:szCs w:val="20"/>
              </w:rPr>
            </w:pPr>
            <w:r>
              <w:rPr>
                <w:sz w:val="20"/>
                <w:szCs w:val="20"/>
              </w:rPr>
              <w:t>2</w:t>
            </w:r>
          </w:p>
        </w:tc>
        <w:tc>
          <w:tcPr>
            <w:tcW w:w="1115" w:type="dxa"/>
            <w:vAlign w:val="top"/>
          </w:tcPr>
          <w:p w14:paraId="40601D31">
            <w:pPr>
              <w:pStyle w:val="18"/>
              <w:spacing w:before="277" w:line="239" w:lineRule="auto"/>
              <w:ind w:left="453" w:right="34" w:hanging="414"/>
              <w:rPr>
                <w:sz w:val="20"/>
                <w:szCs w:val="20"/>
              </w:rPr>
            </w:pPr>
            <w:r>
              <w:rPr>
                <w:spacing w:val="7"/>
                <w:sz w:val="20"/>
                <w:szCs w:val="20"/>
              </w:rPr>
              <w:t>安全管理制</w:t>
            </w:r>
            <w:r>
              <w:rPr>
                <w:spacing w:val="1"/>
                <w:sz w:val="20"/>
                <w:szCs w:val="20"/>
              </w:rPr>
              <w:t>度</w:t>
            </w:r>
          </w:p>
        </w:tc>
        <w:tc>
          <w:tcPr>
            <w:tcW w:w="4360" w:type="dxa"/>
            <w:vAlign w:val="top"/>
          </w:tcPr>
          <w:p w14:paraId="1B8768EB">
            <w:pPr>
              <w:pStyle w:val="18"/>
              <w:spacing w:before="276" w:line="239" w:lineRule="auto"/>
              <w:ind w:left="19" w:right="14"/>
              <w:rPr>
                <w:sz w:val="20"/>
                <w:szCs w:val="20"/>
              </w:rPr>
            </w:pPr>
            <w:r>
              <w:rPr>
                <w:spacing w:val="4"/>
                <w:sz w:val="20"/>
                <w:szCs w:val="20"/>
              </w:rPr>
              <w:t>制定有安全管理制度，得满分2分；每缺一项扣</w:t>
            </w:r>
            <w:r>
              <w:rPr>
                <w:spacing w:val="7"/>
                <w:sz w:val="20"/>
                <w:szCs w:val="20"/>
              </w:rPr>
              <w:t>0.2分，本项分值扣完为止</w:t>
            </w:r>
          </w:p>
        </w:tc>
        <w:tc>
          <w:tcPr>
            <w:tcW w:w="4645" w:type="dxa"/>
            <w:vAlign w:val="top"/>
          </w:tcPr>
          <w:p w14:paraId="07ADC6FB">
            <w:pPr>
              <w:pStyle w:val="18"/>
              <w:spacing w:before="138" w:line="244" w:lineRule="auto"/>
              <w:ind w:left="19" w:right="10"/>
              <w:jc w:val="both"/>
              <w:rPr>
                <w:sz w:val="20"/>
                <w:szCs w:val="20"/>
              </w:rPr>
            </w:pPr>
            <w:r>
              <w:rPr>
                <w:spacing w:val="9"/>
                <w:sz w:val="20"/>
                <w:szCs w:val="20"/>
              </w:rPr>
              <w:t>有健全的各级安全管理机构；安全规章制度；安全检查记录齐全；安全检查</w:t>
            </w:r>
            <w:r>
              <w:rPr>
                <w:rFonts w:hint="eastAsia"/>
                <w:spacing w:val="9"/>
                <w:sz w:val="20"/>
                <w:szCs w:val="20"/>
                <w:lang w:eastAsia="zh-CN"/>
              </w:rPr>
              <w:t>台账及</w:t>
            </w:r>
            <w:r>
              <w:rPr>
                <w:spacing w:val="9"/>
                <w:sz w:val="20"/>
                <w:szCs w:val="20"/>
              </w:rPr>
              <w:t>安全隐患排除记录</w:t>
            </w:r>
            <w:r>
              <w:rPr>
                <w:spacing w:val="3"/>
                <w:sz w:val="20"/>
                <w:szCs w:val="20"/>
              </w:rPr>
              <w:t>齐全。</w:t>
            </w:r>
          </w:p>
        </w:tc>
        <w:tc>
          <w:tcPr>
            <w:tcW w:w="1084" w:type="dxa"/>
            <w:vAlign w:val="top"/>
          </w:tcPr>
          <w:p w14:paraId="7E5CF23F">
            <w:pPr>
              <w:rPr>
                <w:rFonts w:ascii="Arial"/>
                <w:sz w:val="21"/>
              </w:rPr>
            </w:pPr>
          </w:p>
        </w:tc>
      </w:tr>
      <w:tr w14:paraId="58E31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55" w:type="dxa"/>
            <w:vMerge w:val="continue"/>
            <w:tcBorders>
              <w:top w:val="nil"/>
              <w:bottom w:val="nil"/>
            </w:tcBorders>
            <w:vAlign w:val="top"/>
          </w:tcPr>
          <w:p w14:paraId="052F2BDC">
            <w:pPr>
              <w:rPr>
                <w:rFonts w:ascii="Arial"/>
                <w:sz w:val="21"/>
              </w:rPr>
            </w:pPr>
          </w:p>
        </w:tc>
        <w:tc>
          <w:tcPr>
            <w:tcW w:w="1080" w:type="dxa"/>
            <w:vMerge w:val="continue"/>
            <w:tcBorders>
              <w:top w:val="nil"/>
              <w:bottom w:val="nil"/>
            </w:tcBorders>
            <w:vAlign w:val="top"/>
          </w:tcPr>
          <w:p w14:paraId="57BEC8D2">
            <w:pPr>
              <w:rPr>
                <w:rFonts w:ascii="Arial"/>
                <w:sz w:val="21"/>
              </w:rPr>
            </w:pPr>
          </w:p>
        </w:tc>
        <w:tc>
          <w:tcPr>
            <w:tcW w:w="628" w:type="dxa"/>
            <w:vMerge w:val="continue"/>
            <w:tcBorders>
              <w:top w:val="nil"/>
              <w:bottom w:val="nil"/>
            </w:tcBorders>
            <w:vAlign w:val="top"/>
          </w:tcPr>
          <w:p w14:paraId="2B148594">
            <w:pPr>
              <w:rPr>
                <w:rFonts w:ascii="Arial"/>
                <w:sz w:val="21"/>
              </w:rPr>
            </w:pPr>
          </w:p>
        </w:tc>
        <w:tc>
          <w:tcPr>
            <w:tcW w:w="719" w:type="dxa"/>
            <w:vAlign w:val="top"/>
          </w:tcPr>
          <w:p w14:paraId="78731587">
            <w:pPr>
              <w:spacing w:line="339" w:lineRule="auto"/>
              <w:rPr>
                <w:rFonts w:ascii="Arial"/>
                <w:sz w:val="21"/>
              </w:rPr>
            </w:pPr>
          </w:p>
          <w:p w14:paraId="261CF181">
            <w:pPr>
              <w:pStyle w:val="18"/>
              <w:spacing w:before="65" w:line="189" w:lineRule="auto"/>
              <w:ind w:left="312"/>
              <w:rPr>
                <w:sz w:val="20"/>
                <w:szCs w:val="20"/>
              </w:rPr>
            </w:pPr>
            <w:r>
              <w:rPr>
                <w:sz w:val="20"/>
                <w:szCs w:val="20"/>
              </w:rPr>
              <w:t>2</w:t>
            </w:r>
          </w:p>
        </w:tc>
        <w:tc>
          <w:tcPr>
            <w:tcW w:w="1115" w:type="dxa"/>
            <w:vAlign w:val="top"/>
          </w:tcPr>
          <w:p w14:paraId="48A72395">
            <w:pPr>
              <w:pStyle w:val="18"/>
              <w:spacing w:before="237"/>
              <w:ind w:left="364" w:right="34" w:hanging="325"/>
              <w:rPr>
                <w:sz w:val="20"/>
                <w:szCs w:val="20"/>
              </w:rPr>
            </w:pPr>
            <w:r>
              <w:rPr>
                <w:spacing w:val="7"/>
                <w:sz w:val="20"/>
                <w:szCs w:val="20"/>
              </w:rPr>
              <w:t>安全规程及</w:t>
            </w:r>
            <w:r>
              <w:rPr>
                <w:spacing w:val="-2"/>
                <w:sz w:val="20"/>
                <w:szCs w:val="20"/>
              </w:rPr>
              <w:t>防护</w:t>
            </w:r>
          </w:p>
        </w:tc>
        <w:tc>
          <w:tcPr>
            <w:tcW w:w="4360" w:type="dxa"/>
            <w:vAlign w:val="top"/>
          </w:tcPr>
          <w:p w14:paraId="4794065F">
            <w:pPr>
              <w:pStyle w:val="18"/>
              <w:spacing w:before="236"/>
              <w:ind w:left="21" w:right="14" w:hanging="2"/>
              <w:rPr>
                <w:sz w:val="20"/>
                <w:szCs w:val="20"/>
              </w:rPr>
            </w:pPr>
            <w:r>
              <w:rPr>
                <w:spacing w:val="4"/>
                <w:sz w:val="20"/>
                <w:szCs w:val="20"/>
              </w:rPr>
              <w:t>制定有安全规程及防护措施，得满分2分，每缺</w:t>
            </w:r>
            <w:r>
              <w:rPr>
                <w:spacing w:val="6"/>
                <w:sz w:val="20"/>
                <w:szCs w:val="20"/>
              </w:rPr>
              <w:t>一项扣0.2分，本项分值扣完为止</w:t>
            </w:r>
          </w:p>
        </w:tc>
        <w:tc>
          <w:tcPr>
            <w:tcW w:w="4645" w:type="dxa"/>
            <w:vAlign w:val="top"/>
          </w:tcPr>
          <w:p w14:paraId="6649609D">
            <w:pPr>
              <w:pStyle w:val="18"/>
              <w:spacing w:before="102" w:line="243" w:lineRule="auto"/>
              <w:ind w:left="20" w:right="12" w:hanging="1"/>
              <w:rPr>
                <w:sz w:val="20"/>
                <w:szCs w:val="20"/>
              </w:rPr>
            </w:pPr>
            <w:r>
              <w:rPr>
                <w:spacing w:val="7"/>
                <w:sz w:val="20"/>
                <w:szCs w:val="20"/>
              </w:rPr>
              <w:t>操作规程齐全；岗位人员有必要的安全保护措施；</w:t>
            </w:r>
            <w:r>
              <w:rPr>
                <w:spacing w:val="9"/>
                <w:sz w:val="20"/>
                <w:szCs w:val="20"/>
              </w:rPr>
              <w:t>必要场所有安全警示牌；有毒、有害场所有安全防</w:t>
            </w:r>
            <w:r>
              <w:rPr>
                <w:sz w:val="20"/>
                <w:szCs w:val="20"/>
              </w:rPr>
              <w:t>护；</w:t>
            </w:r>
          </w:p>
        </w:tc>
        <w:tc>
          <w:tcPr>
            <w:tcW w:w="1084" w:type="dxa"/>
            <w:vAlign w:val="top"/>
          </w:tcPr>
          <w:p w14:paraId="212C5861">
            <w:pPr>
              <w:rPr>
                <w:rFonts w:ascii="Arial"/>
                <w:sz w:val="21"/>
              </w:rPr>
            </w:pPr>
          </w:p>
        </w:tc>
      </w:tr>
      <w:tr w14:paraId="7AE8B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455" w:type="dxa"/>
            <w:vMerge w:val="continue"/>
            <w:tcBorders>
              <w:top w:val="nil"/>
              <w:bottom w:val="nil"/>
            </w:tcBorders>
            <w:vAlign w:val="top"/>
          </w:tcPr>
          <w:p w14:paraId="767C5D61">
            <w:pPr>
              <w:rPr>
                <w:rFonts w:ascii="Arial"/>
                <w:sz w:val="21"/>
              </w:rPr>
            </w:pPr>
          </w:p>
        </w:tc>
        <w:tc>
          <w:tcPr>
            <w:tcW w:w="1080" w:type="dxa"/>
            <w:vMerge w:val="continue"/>
            <w:tcBorders>
              <w:top w:val="nil"/>
              <w:bottom w:val="nil"/>
            </w:tcBorders>
            <w:vAlign w:val="top"/>
          </w:tcPr>
          <w:p w14:paraId="255C00D4">
            <w:pPr>
              <w:rPr>
                <w:rFonts w:ascii="Arial"/>
                <w:sz w:val="21"/>
              </w:rPr>
            </w:pPr>
          </w:p>
        </w:tc>
        <w:tc>
          <w:tcPr>
            <w:tcW w:w="628" w:type="dxa"/>
            <w:vMerge w:val="continue"/>
            <w:tcBorders>
              <w:top w:val="nil"/>
              <w:bottom w:val="nil"/>
            </w:tcBorders>
            <w:vAlign w:val="top"/>
          </w:tcPr>
          <w:p w14:paraId="3D1F30F4">
            <w:pPr>
              <w:rPr>
                <w:rFonts w:ascii="Arial"/>
                <w:sz w:val="21"/>
              </w:rPr>
            </w:pPr>
          </w:p>
        </w:tc>
        <w:tc>
          <w:tcPr>
            <w:tcW w:w="719" w:type="dxa"/>
            <w:vAlign w:val="top"/>
          </w:tcPr>
          <w:p w14:paraId="60D28B1A">
            <w:pPr>
              <w:spacing w:line="331" w:lineRule="auto"/>
              <w:rPr>
                <w:rFonts w:ascii="Arial"/>
                <w:sz w:val="21"/>
              </w:rPr>
            </w:pPr>
          </w:p>
          <w:p w14:paraId="0415F73F">
            <w:pPr>
              <w:pStyle w:val="18"/>
              <w:spacing w:before="65" w:line="189" w:lineRule="auto"/>
              <w:ind w:left="309"/>
              <w:rPr>
                <w:sz w:val="20"/>
                <w:szCs w:val="20"/>
              </w:rPr>
            </w:pPr>
            <w:r>
              <w:rPr>
                <w:sz w:val="20"/>
                <w:szCs w:val="20"/>
              </w:rPr>
              <w:t>4</w:t>
            </w:r>
          </w:p>
        </w:tc>
        <w:tc>
          <w:tcPr>
            <w:tcW w:w="1115" w:type="dxa"/>
            <w:vAlign w:val="top"/>
          </w:tcPr>
          <w:p w14:paraId="0AE46E8A">
            <w:pPr>
              <w:spacing w:line="299" w:lineRule="auto"/>
              <w:rPr>
                <w:rFonts w:ascii="Arial"/>
                <w:sz w:val="21"/>
              </w:rPr>
            </w:pPr>
          </w:p>
          <w:p w14:paraId="499A0462">
            <w:pPr>
              <w:pStyle w:val="18"/>
              <w:spacing w:before="65" w:line="228" w:lineRule="auto"/>
              <w:ind w:left="144"/>
              <w:rPr>
                <w:sz w:val="20"/>
                <w:szCs w:val="20"/>
              </w:rPr>
            </w:pPr>
            <w:r>
              <w:rPr>
                <w:spacing w:val="6"/>
                <w:sz w:val="20"/>
                <w:szCs w:val="20"/>
              </w:rPr>
              <w:t>安全培训</w:t>
            </w:r>
          </w:p>
        </w:tc>
        <w:tc>
          <w:tcPr>
            <w:tcW w:w="4360" w:type="dxa"/>
            <w:vAlign w:val="top"/>
          </w:tcPr>
          <w:p w14:paraId="7EB57838">
            <w:pPr>
              <w:pStyle w:val="18"/>
              <w:spacing w:before="228"/>
              <w:ind w:left="23" w:right="40" w:hanging="3"/>
              <w:rPr>
                <w:sz w:val="20"/>
                <w:szCs w:val="20"/>
              </w:rPr>
            </w:pPr>
            <w:r>
              <w:rPr>
                <w:spacing w:val="8"/>
                <w:sz w:val="20"/>
                <w:szCs w:val="20"/>
              </w:rPr>
              <w:t>按计划开展年/季度安全培训，得4分；每缺一</w:t>
            </w:r>
            <w:r>
              <w:rPr>
                <w:spacing w:val="6"/>
                <w:sz w:val="20"/>
                <w:szCs w:val="20"/>
              </w:rPr>
              <w:t>次扣0.2分，本项分值扣完为止</w:t>
            </w:r>
          </w:p>
        </w:tc>
        <w:tc>
          <w:tcPr>
            <w:tcW w:w="4645" w:type="dxa"/>
            <w:vAlign w:val="top"/>
          </w:tcPr>
          <w:p w14:paraId="48AA5DA5">
            <w:pPr>
              <w:pStyle w:val="18"/>
              <w:spacing w:before="229"/>
              <w:ind w:left="20" w:right="12" w:firstLine="3"/>
              <w:rPr>
                <w:sz w:val="20"/>
                <w:szCs w:val="20"/>
              </w:rPr>
            </w:pPr>
            <w:r>
              <w:rPr>
                <w:spacing w:val="9"/>
                <w:sz w:val="20"/>
                <w:szCs w:val="20"/>
              </w:rPr>
              <w:t>安全培训要有年度、季度计划，并结合工作岗位对</w:t>
            </w:r>
            <w:r>
              <w:rPr>
                <w:spacing w:val="8"/>
                <w:sz w:val="20"/>
                <w:szCs w:val="20"/>
              </w:rPr>
              <w:t>职工进行安全教育，做有安全教育</w:t>
            </w:r>
            <w:r>
              <w:rPr>
                <w:rFonts w:hint="eastAsia"/>
                <w:spacing w:val="8"/>
                <w:sz w:val="20"/>
                <w:szCs w:val="20"/>
                <w:lang w:eastAsia="zh-CN"/>
              </w:rPr>
              <w:t>台账</w:t>
            </w:r>
            <w:r>
              <w:rPr>
                <w:spacing w:val="8"/>
                <w:sz w:val="20"/>
                <w:szCs w:val="20"/>
              </w:rPr>
              <w:t>。</w:t>
            </w:r>
          </w:p>
        </w:tc>
        <w:tc>
          <w:tcPr>
            <w:tcW w:w="1084" w:type="dxa"/>
            <w:vAlign w:val="top"/>
          </w:tcPr>
          <w:p w14:paraId="0839EAD3">
            <w:pPr>
              <w:rPr>
                <w:rFonts w:ascii="Arial"/>
                <w:sz w:val="21"/>
              </w:rPr>
            </w:pPr>
          </w:p>
        </w:tc>
      </w:tr>
      <w:tr w14:paraId="4DE38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455" w:type="dxa"/>
            <w:vMerge w:val="continue"/>
            <w:tcBorders>
              <w:top w:val="nil"/>
              <w:bottom w:val="nil"/>
            </w:tcBorders>
            <w:vAlign w:val="top"/>
          </w:tcPr>
          <w:p w14:paraId="40A72057">
            <w:pPr>
              <w:rPr>
                <w:rFonts w:ascii="Arial"/>
                <w:sz w:val="21"/>
              </w:rPr>
            </w:pPr>
          </w:p>
        </w:tc>
        <w:tc>
          <w:tcPr>
            <w:tcW w:w="1080" w:type="dxa"/>
            <w:vMerge w:val="continue"/>
            <w:tcBorders>
              <w:top w:val="nil"/>
              <w:bottom w:val="nil"/>
            </w:tcBorders>
            <w:vAlign w:val="top"/>
          </w:tcPr>
          <w:p w14:paraId="4751C81C">
            <w:pPr>
              <w:rPr>
                <w:rFonts w:ascii="Arial"/>
                <w:sz w:val="21"/>
              </w:rPr>
            </w:pPr>
          </w:p>
        </w:tc>
        <w:tc>
          <w:tcPr>
            <w:tcW w:w="628" w:type="dxa"/>
            <w:vMerge w:val="continue"/>
            <w:tcBorders>
              <w:top w:val="nil"/>
              <w:bottom w:val="nil"/>
            </w:tcBorders>
            <w:vAlign w:val="top"/>
          </w:tcPr>
          <w:p w14:paraId="144E99A1">
            <w:pPr>
              <w:rPr>
                <w:rFonts w:ascii="Arial"/>
                <w:sz w:val="21"/>
              </w:rPr>
            </w:pPr>
          </w:p>
        </w:tc>
        <w:tc>
          <w:tcPr>
            <w:tcW w:w="719" w:type="dxa"/>
            <w:vMerge w:val="restart"/>
            <w:tcBorders>
              <w:bottom w:val="nil"/>
            </w:tcBorders>
            <w:vAlign w:val="top"/>
          </w:tcPr>
          <w:p w14:paraId="6299A35E">
            <w:pPr>
              <w:spacing w:line="252" w:lineRule="auto"/>
              <w:rPr>
                <w:rFonts w:ascii="Arial"/>
                <w:sz w:val="21"/>
              </w:rPr>
            </w:pPr>
          </w:p>
          <w:p w14:paraId="1C85A6C6">
            <w:pPr>
              <w:spacing w:line="252" w:lineRule="auto"/>
              <w:rPr>
                <w:rFonts w:ascii="Arial"/>
                <w:sz w:val="21"/>
              </w:rPr>
            </w:pPr>
          </w:p>
          <w:p w14:paraId="4AD51F04">
            <w:pPr>
              <w:spacing w:line="253" w:lineRule="auto"/>
              <w:rPr>
                <w:rFonts w:ascii="Arial"/>
                <w:sz w:val="21"/>
              </w:rPr>
            </w:pPr>
          </w:p>
          <w:p w14:paraId="12FDFDAA">
            <w:pPr>
              <w:pStyle w:val="18"/>
              <w:spacing w:before="65" w:line="189" w:lineRule="auto"/>
              <w:ind w:left="309"/>
              <w:rPr>
                <w:sz w:val="20"/>
                <w:szCs w:val="20"/>
              </w:rPr>
            </w:pPr>
            <w:r>
              <w:rPr>
                <w:sz w:val="20"/>
                <w:szCs w:val="20"/>
              </w:rPr>
              <w:t>4</w:t>
            </w:r>
          </w:p>
        </w:tc>
        <w:tc>
          <w:tcPr>
            <w:tcW w:w="1115" w:type="dxa"/>
            <w:vMerge w:val="restart"/>
            <w:tcBorders>
              <w:bottom w:val="nil"/>
            </w:tcBorders>
            <w:vAlign w:val="top"/>
          </w:tcPr>
          <w:p w14:paraId="5C66B531">
            <w:pPr>
              <w:spacing w:line="241" w:lineRule="auto"/>
              <w:rPr>
                <w:rFonts w:ascii="Arial"/>
                <w:sz w:val="21"/>
              </w:rPr>
            </w:pPr>
          </w:p>
          <w:p w14:paraId="4CADEFE2">
            <w:pPr>
              <w:spacing w:line="242" w:lineRule="auto"/>
              <w:rPr>
                <w:rFonts w:ascii="Arial"/>
                <w:sz w:val="21"/>
              </w:rPr>
            </w:pPr>
          </w:p>
          <w:p w14:paraId="4200FA23">
            <w:pPr>
              <w:spacing w:line="242" w:lineRule="auto"/>
              <w:rPr>
                <w:rFonts w:ascii="Arial"/>
                <w:sz w:val="21"/>
              </w:rPr>
            </w:pPr>
          </w:p>
          <w:p w14:paraId="27F5DDC8">
            <w:pPr>
              <w:pStyle w:val="18"/>
              <w:spacing w:before="65" w:line="228" w:lineRule="auto"/>
              <w:ind w:left="140"/>
              <w:rPr>
                <w:sz w:val="20"/>
                <w:szCs w:val="20"/>
              </w:rPr>
            </w:pPr>
            <w:r>
              <w:rPr>
                <w:spacing w:val="7"/>
                <w:sz w:val="20"/>
                <w:szCs w:val="20"/>
              </w:rPr>
              <w:t>应急预案</w:t>
            </w:r>
          </w:p>
        </w:tc>
        <w:tc>
          <w:tcPr>
            <w:tcW w:w="4360" w:type="dxa"/>
            <w:vAlign w:val="top"/>
          </w:tcPr>
          <w:p w14:paraId="5AA33CC5">
            <w:pPr>
              <w:pStyle w:val="18"/>
              <w:spacing w:before="170" w:line="239" w:lineRule="auto"/>
              <w:ind w:left="24" w:right="40" w:firstLine="5"/>
              <w:rPr>
                <w:sz w:val="20"/>
                <w:szCs w:val="20"/>
              </w:rPr>
            </w:pPr>
            <w:r>
              <w:rPr>
                <w:spacing w:val="8"/>
                <w:sz w:val="20"/>
                <w:szCs w:val="20"/>
              </w:rPr>
              <w:t>（1）依据所在地城市污水处理安全应急预案制</w:t>
            </w:r>
            <w:r>
              <w:rPr>
                <w:spacing w:val="6"/>
                <w:sz w:val="20"/>
                <w:szCs w:val="20"/>
              </w:rPr>
              <w:t>定突发事件应急预案，得满分2分；</w:t>
            </w:r>
          </w:p>
        </w:tc>
        <w:tc>
          <w:tcPr>
            <w:tcW w:w="4645" w:type="dxa"/>
            <w:vMerge w:val="restart"/>
            <w:tcBorders>
              <w:bottom w:val="nil"/>
            </w:tcBorders>
            <w:vAlign w:val="top"/>
          </w:tcPr>
          <w:p w14:paraId="26971A62">
            <w:pPr>
              <w:spacing w:line="453" w:lineRule="auto"/>
              <w:rPr>
                <w:rFonts w:ascii="Arial"/>
                <w:sz w:val="21"/>
              </w:rPr>
            </w:pPr>
          </w:p>
          <w:p w14:paraId="39C935B1">
            <w:pPr>
              <w:pStyle w:val="18"/>
              <w:spacing w:before="65" w:line="246" w:lineRule="auto"/>
              <w:ind w:left="19" w:firstLine="2"/>
              <w:jc w:val="both"/>
              <w:rPr>
                <w:sz w:val="20"/>
                <w:szCs w:val="20"/>
              </w:rPr>
            </w:pPr>
            <w:r>
              <w:rPr>
                <w:sz w:val="20"/>
                <w:szCs w:val="20"/>
              </w:rPr>
              <w:t>查看应急预案、台账及演练资料，应急预案要上墙，</w:t>
            </w:r>
            <w:r>
              <w:rPr>
                <w:spacing w:val="7"/>
                <w:sz w:val="20"/>
                <w:szCs w:val="20"/>
              </w:rPr>
              <w:t>要有每月消防设施检测上墙记录，消防设施摆放齐</w:t>
            </w:r>
            <w:r>
              <w:rPr>
                <w:spacing w:val="-1"/>
                <w:sz w:val="20"/>
                <w:szCs w:val="20"/>
              </w:rPr>
              <w:t>全。</w:t>
            </w:r>
          </w:p>
        </w:tc>
        <w:tc>
          <w:tcPr>
            <w:tcW w:w="1084" w:type="dxa"/>
            <w:vMerge w:val="restart"/>
            <w:tcBorders>
              <w:bottom w:val="nil"/>
            </w:tcBorders>
            <w:vAlign w:val="top"/>
          </w:tcPr>
          <w:p w14:paraId="5CE20357">
            <w:pPr>
              <w:rPr>
                <w:rFonts w:ascii="Arial"/>
                <w:sz w:val="21"/>
              </w:rPr>
            </w:pPr>
          </w:p>
        </w:tc>
      </w:tr>
      <w:tr w14:paraId="7D06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55" w:type="dxa"/>
            <w:vMerge w:val="continue"/>
            <w:tcBorders>
              <w:top w:val="nil"/>
              <w:bottom w:val="nil"/>
            </w:tcBorders>
            <w:vAlign w:val="top"/>
          </w:tcPr>
          <w:p w14:paraId="58B58925">
            <w:pPr>
              <w:rPr>
                <w:rFonts w:ascii="Arial"/>
                <w:sz w:val="21"/>
              </w:rPr>
            </w:pPr>
          </w:p>
        </w:tc>
        <w:tc>
          <w:tcPr>
            <w:tcW w:w="1080" w:type="dxa"/>
            <w:vMerge w:val="continue"/>
            <w:tcBorders>
              <w:top w:val="nil"/>
              <w:bottom w:val="nil"/>
            </w:tcBorders>
            <w:vAlign w:val="top"/>
          </w:tcPr>
          <w:p w14:paraId="3FE003F3">
            <w:pPr>
              <w:rPr>
                <w:rFonts w:ascii="Arial"/>
                <w:sz w:val="21"/>
              </w:rPr>
            </w:pPr>
          </w:p>
        </w:tc>
        <w:tc>
          <w:tcPr>
            <w:tcW w:w="628" w:type="dxa"/>
            <w:vMerge w:val="continue"/>
            <w:tcBorders>
              <w:top w:val="nil"/>
              <w:bottom w:val="nil"/>
            </w:tcBorders>
            <w:vAlign w:val="top"/>
          </w:tcPr>
          <w:p w14:paraId="2CEA2690">
            <w:pPr>
              <w:rPr>
                <w:rFonts w:ascii="Arial"/>
                <w:sz w:val="21"/>
              </w:rPr>
            </w:pPr>
          </w:p>
        </w:tc>
        <w:tc>
          <w:tcPr>
            <w:tcW w:w="719" w:type="dxa"/>
            <w:vMerge w:val="continue"/>
            <w:tcBorders>
              <w:top w:val="nil"/>
              <w:bottom w:val="nil"/>
            </w:tcBorders>
            <w:vAlign w:val="top"/>
          </w:tcPr>
          <w:p w14:paraId="60FEC454">
            <w:pPr>
              <w:rPr>
                <w:rFonts w:ascii="Arial"/>
                <w:sz w:val="21"/>
              </w:rPr>
            </w:pPr>
          </w:p>
        </w:tc>
        <w:tc>
          <w:tcPr>
            <w:tcW w:w="1115" w:type="dxa"/>
            <w:vMerge w:val="continue"/>
            <w:tcBorders>
              <w:top w:val="nil"/>
              <w:bottom w:val="nil"/>
            </w:tcBorders>
            <w:vAlign w:val="top"/>
          </w:tcPr>
          <w:p w14:paraId="0D79783E">
            <w:pPr>
              <w:rPr>
                <w:rFonts w:ascii="Arial"/>
                <w:sz w:val="21"/>
              </w:rPr>
            </w:pPr>
          </w:p>
        </w:tc>
        <w:tc>
          <w:tcPr>
            <w:tcW w:w="4360" w:type="dxa"/>
            <w:vAlign w:val="top"/>
          </w:tcPr>
          <w:p w14:paraId="7096C17F">
            <w:pPr>
              <w:pStyle w:val="18"/>
              <w:spacing w:before="52" w:line="232" w:lineRule="auto"/>
              <w:ind w:left="19" w:right="94" w:firstLine="10"/>
              <w:rPr>
                <w:sz w:val="20"/>
                <w:szCs w:val="20"/>
              </w:rPr>
            </w:pPr>
            <w:r>
              <w:rPr>
                <w:spacing w:val="4"/>
                <w:sz w:val="20"/>
                <w:szCs w:val="20"/>
              </w:rPr>
              <w:t>（2）按季度组织应急预案演练，得满分2分；</w:t>
            </w:r>
            <w:r>
              <w:rPr>
                <w:spacing w:val="7"/>
                <w:sz w:val="20"/>
                <w:szCs w:val="20"/>
              </w:rPr>
              <w:t>每少一次演练扣0.2分，本项分值扣完即止。</w:t>
            </w:r>
          </w:p>
        </w:tc>
        <w:tc>
          <w:tcPr>
            <w:tcW w:w="4645" w:type="dxa"/>
            <w:vMerge w:val="continue"/>
            <w:tcBorders>
              <w:top w:val="nil"/>
              <w:bottom w:val="nil"/>
            </w:tcBorders>
            <w:vAlign w:val="top"/>
          </w:tcPr>
          <w:p w14:paraId="0650B57E">
            <w:pPr>
              <w:rPr>
                <w:rFonts w:ascii="Arial"/>
                <w:sz w:val="21"/>
              </w:rPr>
            </w:pPr>
          </w:p>
        </w:tc>
        <w:tc>
          <w:tcPr>
            <w:tcW w:w="1084" w:type="dxa"/>
            <w:vMerge w:val="continue"/>
            <w:tcBorders>
              <w:top w:val="nil"/>
              <w:bottom w:val="nil"/>
            </w:tcBorders>
            <w:vAlign w:val="top"/>
          </w:tcPr>
          <w:p w14:paraId="36447C08">
            <w:pPr>
              <w:rPr>
                <w:rFonts w:ascii="Arial"/>
                <w:sz w:val="21"/>
              </w:rPr>
            </w:pPr>
          </w:p>
        </w:tc>
      </w:tr>
      <w:tr w14:paraId="2647F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55" w:type="dxa"/>
            <w:vMerge w:val="continue"/>
            <w:tcBorders>
              <w:top w:val="nil"/>
            </w:tcBorders>
            <w:vAlign w:val="top"/>
          </w:tcPr>
          <w:p w14:paraId="11CA3318">
            <w:pPr>
              <w:rPr>
                <w:rFonts w:ascii="Arial"/>
                <w:sz w:val="21"/>
              </w:rPr>
            </w:pPr>
          </w:p>
        </w:tc>
        <w:tc>
          <w:tcPr>
            <w:tcW w:w="1080" w:type="dxa"/>
            <w:vMerge w:val="continue"/>
            <w:tcBorders>
              <w:top w:val="nil"/>
            </w:tcBorders>
            <w:vAlign w:val="top"/>
          </w:tcPr>
          <w:p w14:paraId="56B9638F">
            <w:pPr>
              <w:rPr>
                <w:rFonts w:ascii="Arial"/>
                <w:sz w:val="21"/>
              </w:rPr>
            </w:pPr>
          </w:p>
        </w:tc>
        <w:tc>
          <w:tcPr>
            <w:tcW w:w="628" w:type="dxa"/>
            <w:vMerge w:val="continue"/>
            <w:tcBorders>
              <w:top w:val="nil"/>
            </w:tcBorders>
            <w:vAlign w:val="top"/>
          </w:tcPr>
          <w:p w14:paraId="31821AFA">
            <w:pPr>
              <w:rPr>
                <w:rFonts w:ascii="Arial"/>
                <w:sz w:val="21"/>
              </w:rPr>
            </w:pPr>
          </w:p>
        </w:tc>
        <w:tc>
          <w:tcPr>
            <w:tcW w:w="719" w:type="dxa"/>
            <w:vMerge w:val="continue"/>
            <w:tcBorders>
              <w:top w:val="nil"/>
            </w:tcBorders>
            <w:vAlign w:val="top"/>
          </w:tcPr>
          <w:p w14:paraId="552B8E55">
            <w:pPr>
              <w:rPr>
                <w:rFonts w:ascii="Arial"/>
                <w:sz w:val="21"/>
              </w:rPr>
            </w:pPr>
          </w:p>
        </w:tc>
        <w:tc>
          <w:tcPr>
            <w:tcW w:w="1115" w:type="dxa"/>
            <w:vMerge w:val="continue"/>
            <w:tcBorders>
              <w:top w:val="nil"/>
            </w:tcBorders>
            <w:vAlign w:val="top"/>
          </w:tcPr>
          <w:p w14:paraId="2D63E58D">
            <w:pPr>
              <w:rPr>
                <w:rFonts w:ascii="Arial"/>
                <w:sz w:val="21"/>
              </w:rPr>
            </w:pPr>
          </w:p>
        </w:tc>
        <w:tc>
          <w:tcPr>
            <w:tcW w:w="4360" w:type="dxa"/>
            <w:vAlign w:val="top"/>
          </w:tcPr>
          <w:p w14:paraId="28A60AE0">
            <w:pPr>
              <w:pStyle w:val="18"/>
              <w:spacing w:before="103" w:line="228" w:lineRule="auto"/>
              <w:ind w:left="29"/>
              <w:rPr>
                <w:sz w:val="20"/>
                <w:szCs w:val="20"/>
              </w:rPr>
            </w:pPr>
            <w:r>
              <w:rPr>
                <w:spacing w:val="8"/>
                <w:sz w:val="20"/>
                <w:szCs w:val="20"/>
              </w:rPr>
              <w:t>（3）无应急预案、无应急演练不得分；</w:t>
            </w:r>
          </w:p>
        </w:tc>
        <w:tc>
          <w:tcPr>
            <w:tcW w:w="4645" w:type="dxa"/>
            <w:vMerge w:val="continue"/>
            <w:tcBorders>
              <w:top w:val="nil"/>
            </w:tcBorders>
            <w:vAlign w:val="top"/>
          </w:tcPr>
          <w:p w14:paraId="2091D372">
            <w:pPr>
              <w:rPr>
                <w:rFonts w:ascii="Arial"/>
                <w:sz w:val="21"/>
              </w:rPr>
            </w:pPr>
          </w:p>
        </w:tc>
        <w:tc>
          <w:tcPr>
            <w:tcW w:w="1084" w:type="dxa"/>
            <w:vMerge w:val="continue"/>
            <w:tcBorders>
              <w:top w:val="nil"/>
            </w:tcBorders>
            <w:vAlign w:val="top"/>
          </w:tcPr>
          <w:p w14:paraId="5516F613">
            <w:pPr>
              <w:rPr>
                <w:rFonts w:ascii="Arial"/>
                <w:sz w:val="21"/>
              </w:rPr>
            </w:pPr>
          </w:p>
        </w:tc>
      </w:tr>
    </w:tbl>
    <w:p w14:paraId="2A921CDD">
      <w:pPr>
        <w:rPr>
          <w:rFonts w:ascii="Arial"/>
          <w:sz w:val="21"/>
        </w:rPr>
      </w:pPr>
    </w:p>
    <w:p w14:paraId="29BE02D5">
      <w:pPr>
        <w:rPr>
          <w:rFonts w:ascii="Arial" w:hAnsi="Arial" w:eastAsia="Arial" w:cs="Arial"/>
          <w:sz w:val="21"/>
          <w:szCs w:val="21"/>
        </w:rPr>
        <w:sectPr>
          <w:footerReference r:id="rId11" w:type="default"/>
          <w:pgSz w:w="16839" w:h="11906"/>
          <w:pgMar w:top="1012" w:right="1520" w:bottom="1355" w:left="1226" w:header="0" w:footer="1193" w:gutter="0"/>
          <w:pgNumType w:fmt="decimal"/>
          <w:cols w:space="720" w:num="1"/>
        </w:sectPr>
      </w:pPr>
    </w:p>
    <w:p w14:paraId="0DE1A453">
      <w:pPr>
        <w:spacing w:before="164"/>
      </w:pPr>
    </w:p>
    <w:tbl>
      <w:tblPr>
        <w:tblStyle w:val="17"/>
        <w:tblW w:w="14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
        <w:gridCol w:w="1080"/>
        <w:gridCol w:w="628"/>
        <w:gridCol w:w="719"/>
        <w:gridCol w:w="1115"/>
        <w:gridCol w:w="4360"/>
        <w:gridCol w:w="4645"/>
        <w:gridCol w:w="1084"/>
      </w:tblGrid>
      <w:tr w14:paraId="7876E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5" w:type="dxa"/>
            <w:textDirection w:val="tbRlV"/>
            <w:vAlign w:val="top"/>
          </w:tcPr>
          <w:p w14:paraId="63CD566A">
            <w:pPr>
              <w:pStyle w:val="18"/>
              <w:spacing w:before="123" w:line="218" w:lineRule="auto"/>
              <w:ind w:left="78"/>
              <w:rPr>
                <w:sz w:val="20"/>
                <w:szCs w:val="20"/>
              </w:rPr>
            </w:pPr>
            <w:r>
              <w:rPr>
                <w:b/>
                <w:bCs/>
                <w:spacing w:val="6"/>
                <w:sz w:val="20"/>
                <w:szCs w:val="20"/>
              </w:rPr>
              <w:t>序号</w:t>
            </w:r>
          </w:p>
        </w:tc>
        <w:tc>
          <w:tcPr>
            <w:tcW w:w="1080" w:type="dxa"/>
            <w:vAlign w:val="top"/>
          </w:tcPr>
          <w:p w14:paraId="57DE826C">
            <w:pPr>
              <w:pStyle w:val="18"/>
              <w:spacing w:before="215" w:line="228" w:lineRule="auto"/>
              <w:ind w:left="125"/>
              <w:rPr>
                <w:sz w:val="20"/>
                <w:szCs w:val="20"/>
              </w:rPr>
            </w:pPr>
            <w:r>
              <w:rPr>
                <w:b/>
                <w:bCs/>
                <w:spacing w:val="5"/>
                <w:sz w:val="20"/>
                <w:szCs w:val="20"/>
              </w:rPr>
              <w:t>项目名称</w:t>
            </w:r>
          </w:p>
        </w:tc>
        <w:tc>
          <w:tcPr>
            <w:tcW w:w="628" w:type="dxa"/>
            <w:vAlign w:val="top"/>
          </w:tcPr>
          <w:p w14:paraId="2C881B82">
            <w:pPr>
              <w:pStyle w:val="18"/>
              <w:spacing w:before="79" w:line="239" w:lineRule="auto"/>
              <w:ind w:left="110" w:right="105" w:hanging="2"/>
              <w:rPr>
                <w:sz w:val="20"/>
                <w:szCs w:val="20"/>
              </w:rPr>
            </w:pPr>
            <w:r>
              <w:rPr>
                <w:b/>
                <w:bCs/>
                <w:spacing w:val="2"/>
                <w:sz w:val="20"/>
                <w:szCs w:val="20"/>
              </w:rPr>
              <w:t>项目</w:t>
            </w:r>
            <w:r>
              <w:rPr>
                <w:b/>
                <w:bCs/>
                <w:spacing w:val="1"/>
                <w:sz w:val="20"/>
                <w:szCs w:val="20"/>
              </w:rPr>
              <w:t>总分</w:t>
            </w:r>
          </w:p>
        </w:tc>
        <w:tc>
          <w:tcPr>
            <w:tcW w:w="719" w:type="dxa"/>
            <w:vAlign w:val="top"/>
          </w:tcPr>
          <w:p w14:paraId="1A39C951">
            <w:pPr>
              <w:pStyle w:val="18"/>
              <w:spacing w:before="214" w:line="228" w:lineRule="auto"/>
              <w:ind w:left="154"/>
              <w:rPr>
                <w:sz w:val="20"/>
                <w:szCs w:val="20"/>
              </w:rPr>
            </w:pPr>
            <w:r>
              <w:rPr>
                <w:b/>
                <w:bCs/>
                <w:spacing w:val="2"/>
                <w:sz w:val="20"/>
                <w:szCs w:val="20"/>
              </w:rPr>
              <w:t>分值</w:t>
            </w:r>
          </w:p>
        </w:tc>
        <w:tc>
          <w:tcPr>
            <w:tcW w:w="1115" w:type="dxa"/>
            <w:vAlign w:val="top"/>
          </w:tcPr>
          <w:p w14:paraId="292E425C">
            <w:pPr>
              <w:pStyle w:val="18"/>
              <w:spacing w:before="214" w:line="228" w:lineRule="auto"/>
              <w:ind w:left="138"/>
              <w:rPr>
                <w:sz w:val="20"/>
                <w:szCs w:val="20"/>
              </w:rPr>
            </w:pPr>
            <w:r>
              <w:rPr>
                <w:b/>
                <w:bCs/>
                <w:spacing w:val="6"/>
                <w:sz w:val="20"/>
                <w:szCs w:val="20"/>
              </w:rPr>
              <w:t>考核内容</w:t>
            </w:r>
          </w:p>
        </w:tc>
        <w:tc>
          <w:tcPr>
            <w:tcW w:w="4360" w:type="dxa"/>
            <w:vAlign w:val="top"/>
          </w:tcPr>
          <w:p w14:paraId="5734A34E">
            <w:pPr>
              <w:pStyle w:val="18"/>
              <w:spacing w:before="215" w:line="228" w:lineRule="auto"/>
              <w:ind w:left="1763"/>
              <w:rPr>
                <w:sz w:val="20"/>
                <w:szCs w:val="20"/>
              </w:rPr>
            </w:pPr>
            <w:r>
              <w:rPr>
                <w:b/>
                <w:bCs/>
                <w:spacing w:val="6"/>
                <w:sz w:val="20"/>
                <w:szCs w:val="20"/>
              </w:rPr>
              <w:t>评分标准</w:t>
            </w:r>
          </w:p>
        </w:tc>
        <w:tc>
          <w:tcPr>
            <w:tcW w:w="4645" w:type="dxa"/>
            <w:vAlign w:val="top"/>
          </w:tcPr>
          <w:p w14:paraId="391E623E">
            <w:pPr>
              <w:pStyle w:val="18"/>
              <w:spacing w:before="214" w:line="228" w:lineRule="auto"/>
              <w:ind w:left="1908"/>
              <w:rPr>
                <w:sz w:val="20"/>
                <w:szCs w:val="20"/>
              </w:rPr>
            </w:pPr>
            <w:r>
              <w:rPr>
                <w:b/>
                <w:bCs/>
                <w:spacing w:val="6"/>
                <w:sz w:val="20"/>
                <w:szCs w:val="20"/>
              </w:rPr>
              <w:t>考核说明</w:t>
            </w:r>
          </w:p>
        </w:tc>
        <w:tc>
          <w:tcPr>
            <w:tcW w:w="1084" w:type="dxa"/>
            <w:vAlign w:val="top"/>
          </w:tcPr>
          <w:p w14:paraId="1BA06546">
            <w:pPr>
              <w:pStyle w:val="18"/>
              <w:spacing w:before="214" w:line="228" w:lineRule="auto"/>
              <w:ind w:left="336"/>
              <w:rPr>
                <w:sz w:val="20"/>
                <w:szCs w:val="20"/>
              </w:rPr>
            </w:pPr>
            <w:r>
              <w:rPr>
                <w:b/>
                <w:bCs/>
                <w:spacing w:val="3"/>
                <w:sz w:val="20"/>
                <w:szCs w:val="20"/>
              </w:rPr>
              <w:t>得分</w:t>
            </w:r>
          </w:p>
        </w:tc>
      </w:tr>
      <w:tr w14:paraId="3726D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455" w:type="dxa"/>
            <w:vMerge w:val="restart"/>
            <w:tcBorders>
              <w:bottom w:val="nil"/>
            </w:tcBorders>
            <w:vAlign w:val="top"/>
          </w:tcPr>
          <w:p w14:paraId="6FCDA3C2">
            <w:pPr>
              <w:rPr>
                <w:rFonts w:ascii="Arial"/>
                <w:sz w:val="21"/>
              </w:rPr>
            </w:pPr>
          </w:p>
          <w:p w14:paraId="7572006C">
            <w:pPr>
              <w:rPr>
                <w:rFonts w:ascii="Arial"/>
                <w:sz w:val="21"/>
              </w:rPr>
            </w:pPr>
          </w:p>
          <w:p w14:paraId="791297FB">
            <w:pPr>
              <w:rPr>
                <w:rFonts w:ascii="Arial"/>
                <w:sz w:val="21"/>
              </w:rPr>
            </w:pPr>
          </w:p>
          <w:p w14:paraId="459BAAA8">
            <w:pPr>
              <w:rPr>
                <w:rFonts w:ascii="Arial"/>
                <w:sz w:val="21"/>
              </w:rPr>
            </w:pPr>
          </w:p>
          <w:p w14:paraId="48B2648F">
            <w:pPr>
              <w:rPr>
                <w:rFonts w:ascii="Arial"/>
                <w:sz w:val="21"/>
              </w:rPr>
            </w:pPr>
          </w:p>
          <w:p w14:paraId="699F72BE">
            <w:pPr>
              <w:spacing w:line="241" w:lineRule="auto"/>
              <w:rPr>
                <w:rFonts w:ascii="Arial"/>
                <w:sz w:val="21"/>
              </w:rPr>
            </w:pPr>
          </w:p>
          <w:p w14:paraId="2C27B4C6">
            <w:pPr>
              <w:spacing w:line="241" w:lineRule="auto"/>
              <w:rPr>
                <w:rFonts w:ascii="Arial"/>
                <w:sz w:val="21"/>
              </w:rPr>
            </w:pPr>
          </w:p>
          <w:p w14:paraId="74012F9D">
            <w:pPr>
              <w:pStyle w:val="18"/>
              <w:spacing w:before="65" w:line="189" w:lineRule="auto"/>
              <w:ind w:left="182"/>
              <w:rPr>
                <w:sz w:val="20"/>
                <w:szCs w:val="20"/>
              </w:rPr>
            </w:pPr>
            <w:r>
              <w:rPr>
                <w:sz w:val="20"/>
                <w:szCs w:val="20"/>
              </w:rPr>
              <w:t>6</w:t>
            </w:r>
          </w:p>
        </w:tc>
        <w:tc>
          <w:tcPr>
            <w:tcW w:w="1080" w:type="dxa"/>
            <w:vMerge w:val="restart"/>
            <w:tcBorders>
              <w:bottom w:val="nil"/>
            </w:tcBorders>
            <w:vAlign w:val="top"/>
          </w:tcPr>
          <w:p w14:paraId="64743116">
            <w:pPr>
              <w:spacing w:line="274" w:lineRule="auto"/>
              <w:rPr>
                <w:rFonts w:ascii="Arial"/>
                <w:sz w:val="21"/>
              </w:rPr>
            </w:pPr>
          </w:p>
          <w:p w14:paraId="0300B2B5">
            <w:pPr>
              <w:spacing w:line="275" w:lineRule="auto"/>
              <w:rPr>
                <w:rFonts w:ascii="Arial"/>
                <w:sz w:val="21"/>
              </w:rPr>
            </w:pPr>
          </w:p>
          <w:p w14:paraId="62A44050">
            <w:pPr>
              <w:spacing w:line="275" w:lineRule="auto"/>
              <w:rPr>
                <w:rFonts w:ascii="Arial"/>
                <w:sz w:val="21"/>
              </w:rPr>
            </w:pPr>
          </w:p>
          <w:p w14:paraId="28BA18C4">
            <w:pPr>
              <w:spacing w:line="275" w:lineRule="auto"/>
              <w:rPr>
                <w:rFonts w:ascii="Arial"/>
                <w:sz w:val="21"/>
              </w:rPr>
            </w:pPr>
          </w:p>
          <w:p w14:paraId="4BEB1EFC">
            <w:pPr>
              <w:spacing w:line="275" w:lineRule="auto"/>
              <w:rPr>
                <w:rFonts w:ascii="Arial"/>
                <w:sz w:val="21"/>
              </w:rPr>
            </w:pPr>
          </w:p>
          <w:p w14:paraId="5D1039C7">
            <w:pPr>
              <w:spacing w:line="275" w:lineRule="auto"/>
              <w:rPr>
                <w:rFonts w:ascii="Arial"/>
                <w:sz w:val="21"/>
              </w:rPr>
            </w:pPr>
          </w:p>
          <w:p w14:paraId="4076B583">
            <w:pPr>
              <w:pStyle w:val="18"/>
              <w:spacing w:before="65" w:line="227" w:lineRule="auto"/>
              <w:ind w:left="21"/>
              <w:rPr>
                <w:sz w:val="20"/>
                <w:szCs w:val="20"/>
              </w:rPr>
            </w:pPr>
            <w:r>
              <w:rPr>
                <w:spacing w:val="6"/>
                <w:sz w:val="20"/>
                <w:szCs w:val="20"/>
              </w:rPr>
              <w:t>厂容厂貌</w:t>
            </w:r>
          </w:p>
        </w:tc>
        <w:tc>
          <w:tcPr>
            <w:tcW w:w="628" w:type="dxa"/>
            <w:vMerge w:val="restart"/>
            <w:tcBorders>
              <w:bottom w:val="nil"/>
            </w:tcBorders>
            <w:vAlign w:val="top"/>
          </w:tcPr>
          <w:p w14:paraId="77003979">
            <w:pPr>
              <w:rPr>
                <w:rFonts w:ascii="Arial"/>
                <w:sz w:val="21"/>
              </w:rPr>
            </w:pPr>
          </w:p>
          <w:p w14:paraId="0359F470">
            <w:pPr>
              <w:rPr>
                <w:rFonts w:ascii="Arial"/>
                <w:sz w:val="21"/>
              </w:rPr>
            </w:pPr>
          </w:p>
          <w:p w14:paraId="093ED093">
            <w:pPr>
              <w:rPr>
                <w:rFonts w:ascii="Arial"/>
                <w:sz w:val="21"/>
              </w:rPr>
            </w:pPr>
          </w:p>
          <w:p w14:paraId="2C9E5805">
            <w:pPr>
              <w:spacing w:line="241" w:lineRule="auto"/>
              <w:rPr>
                <w:rFonts w:ascii="Arial"/>
                <w:sz w:val="21"/>
              </w:rPr>
            </w:pPr>
          </w:p>
          <w:p w14:paraId="34FF075B">
            <w:pPr>
              <w:spacing w:line="241" w:lineRule="auto"/>
              <w:rPr>
                <w:rFonts w:ascii="Arial"/>
                <w:sz w:val="21"/>
              </w:rPr>
            </w:pPr>
          </w:p>
          <w:p w14:paraId="6D152AE0">
            <w:pPr>
              <w:spacing w:line="241" w:lineRule="auto"/>
              <w:rPr>
                <w:rFonts w:ascii="Arial"/>
                <w:sz w:val="21"/>
              </w:rPr>
            </w:pPr>
          </w:p>
          <w:p w14:paraId="5C93BAAF">
            <w:pPr>
              <w:spacing w:line="241" w:lineRule="auto"/>
              <w:rPr>
                <w:rFonts w:ascii="Arial"/>
                <w:sz w:val="21"/>
              </w:rPr>
            </w:pPr>
          </w:p>
          <w:p w14:paraId="373A9B11">
            <w:pPr>
              <w:pStyle w:val="18"/>
              <w:spacing w:before="65" w:line="187" w:lineRule="auto"/>
              <w:ind w:left="267"/>
              <w:rPr>
                <w:sz w:val="20"/>
                <w:szCs w:val="20"/>
              </w:rPr>
            </w:pPr>
            <w:r>
              <w:rPr>
                <w:sz w:val="20"/>
                <w:szCs w:val="20"/>
              </w:rPr>
              <w:t>5</w:t>
            </w:r>
          </w:p>
        </w:tc>
        <w:tc>
          <w:tcPr>
            <w:tcW w:w="719" w:type="dxa"/>
            <w:vAlign w:val="top"/>
          </w:tcPr>
          <w:p w14:paraId="07BC2189">
            <w:pPr>
              <w:spacing w:line="322" w:lineRule="auto"/>
              <w:rPr>
                <w:rFonts w:ascii="Arial"/>
                <w:sz w:val="21"/>
              </w:rPr>
            </w:pPr>
          </w:p>
          <w:p w14:paraId="6AE96149">
            <w:pPr>
              <w:spacing w:line="322" w:lineRule="auto"/>
              <w:rPr>
                <w:rFonts w:ascii="Arial"/>
                <w:sz w:val="21"/>
              </w:rPr>
            </w:pPr>
          </w:p>
          <w:p w14:paraId="705A069D">
            <w:pPr>
              <w:pStyle w:val="18"/>
              <w:spacing w:before="65" w:line="189" w:lineRule="auto"/>
              <w:ind w:left="312"/>
              <w:rPr>
                <w:sz w:val="20"/>
                <w:szCs w:val="20"/>
              </w:rPr>
            </w:pPr>
            <w:r>
              <w:rPr>
                <w:sz w:val="20"/>
                <w:szCs w:val="20"/>
              </w:rPr>
              <w:t>2</w:t>
            </w:r>
          </w:p>
        </w:tc>
        <w:tc>
          <w:tcPr>
            <w:tcW w:w="1115" w:type="dxa"/>
            <w:vAlign w:val="top"/>
          </w:tcPr>
          <w:p w14:paraId="2720D704">
            <w:pPr>
              <w:spacing w:line="306" w:lineRule="auto"/>
              <w:rPr>
                <w:rFonts w:ascii="Arial"/>
                <w:sz w:val="21"/>
              </w:rPr>
            </w:pPr>
          </w:p>
          <w:p w14:paraId="651F811F">
            <w:pPr>
              <w:spacing w:line="306" w:lineRule="auto"/>
              <w:rPr>
                <w:rFonts w:ascii="Arial"/>
                <w:sz w:val="21"/>
              </w:rPr>
            </w:pPr>
          </w:p>
          <w:p w14:paraId="058295E2">
            <w:pPr>
              <w:pStyle w:val="18"/>
              <w:spacing w:before="65" w:line="228" w:lineRule="auto"/>
              <w:ind w:left="355"/>
              <w:rPr>
                <w:sz w:val="20"/>
                <w:szCs w:val="20"/>
              </w:rPr>
            </w:pPr>
            <w:r>
              <w:rPr>
                <w:spacing w:val="3"/>
                <w:sz w:val="20"/>
                <w:szCs w:val="20"/>
              </w:rPr>
              <w:t>室外</w:t>
            </w:r>
          </w:p>
        </w:tc>
        <w:tc>
          <w:tcPr>
            <w:tcW w:w="4360" w:type="dxa"/>
            <w:vAlign w:val="top"/>
          </w:tcPr>
          <w:p w14:paraId="67F21ACF">
            <w:pPr>
              <w:spacing w:line="305" w:lineRule="auto"/>
              <w:rPr>
                <w:rFonts w:ascii="Arial"/>
                <w:sz w:val="21"/>
              </w:rPr>
            </w:pPr>
          </w:p>
          <w:p w14:paraId="6081D4A9">
            <w:pPr>
              <w:spacing w:line="306" w:lineRule="auto"/>
              <w:rPr>
                <w:rFonts w:ascii="Arial"/>
                <w:sz w:val="21"/>
              </w:rPr>
            </w:pPr>
          </w:p>
          <w:p w14:paraId="77E3E3D0">
            <w:pPr>
              <w:pStyle w:val="18"/>
              <w:spacing w:before="65" w:line="225" w:lineRule="auto"/>
              <w:ind w:left="19"/>
              <w:rPr>
                <w:sz w:val="20"/>
                <w:szCs w:val="20"/>
              </w:rPr>
            </w:pPr>
            <w:r>
              <w:rPr>
                <w:spacing w:val="7"/>
                <w:sz w:val="20"/>
                <w:szCs w:val="20"/>
              </w:rPr>
              <w:t>每有一项不符合扣0.1分,本项分值扣完为止</w:t>
            </w:r>
          </w:p>
        </w:tc>
        <w:tc>
          <w:tcPr>
            <w:tcW w:w="4645" w:type="dxa"/>
            <w:vAlign w:val="top"/>
          </w:tcPr>
          <w:p w14:paraId="7F0FCE85">
            <w:pPr>
              <w:pStyle w:val="18"/>
              <w:spacing w:before="273" w:line="245" w:lineRule="auto"/>
              <w:ind w:left="19" w:right="12" w:firstLine="2"/>
              <w:jc w:val="both"/>
              <w:rPr>
                <w:sz w:val="20"/>
                <w:szCs w:val="20"/>
              </w:rPr>
            </w:pPr>
            <w:r>
              <w:rPr>
                <w:spacing w:val="9"/>
                <w:sz w:val="20"/>
                <w:szCs w:val="20"/>
              </w:rPr>
              <w:t>现场查看：建筑物外观整洁、无明显的破损；厂内道路完好、通畅，无破损；所有车辆在固定场所停放有序；阀门井、计量井等处整齐完好；厂内照明</w:t>
            </w:r>
            <w:r>
              <w:rPr>
                <w:spacing w:val="5"/>
                <w:sz w:val="20"/>
                <w:szCs w:val="20"/>
              </w:rPr>
              <w:t>设施亮灯率达到95%以上（含95%）。</w:t>
            </w:r>
          </w:p>
        </w:tc>
        <w:tc>
          <w:tcPr>
            <w:tcW w:w="1084" w:type="dxa"/>
            <w:vAlign w:val="top"/>
          </w:tcPr>
          <w:p w14:paraId="0EF5C096">
            <w:pPr>
              <w:rPr>
                <w:rFonts w:ascii="Arial"/>
                <w:sz w:val="21"/>
              </w:rPr>
            </w:pPr>
          </w:p>
        </w:tc>
      </w:tr>
      <w:tr w14:paraId="6ECE4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455" w:type="dxa"/>
            <w:vMerge w:val="continue"/>
            <w:tcBorders>
              <w:top w:val="nil"/>
              <w:bottom w:val="nil"/>
            </w:tcBorders>
            <w:vAlign w:val="top"/>
          </w:tcPr>
          <w:p w14:paraId="417533B2">
            <w:pPr>
              <w:rPr>
                <w:rFonts w:ascii="Arial"/>
                <w:sz w:val="21"/>
              </w:rPr>
            </w:pPr>
          </w:p>
        </w:tc>
        <w:tc>
          <w:tcPr>
            <w:tcW w:w="1080" w:type="dxa"/>
            <w:vMerge w:val="continue"/>
            <w:tcBorders>
              <w:top w:val="nil"/>
              <w:bottom w:val="nil"/>
            </w:tcBorders>
            <w:vAlign w:val="top"/>
          </w:tcPr>
          <w:p w14:paraId="1E6A7222">
            <w:pPr>
              <w:rPr>
                <w:rFonts w:ascii="Arial"/>
                <w:sz w:val="21"/>
              </w:rPr>
            </w:pPr>
          </w:p>
        </w:tc>
        <w:tc>
          <w:tcPr>
            <w:tcW w:w="628" w:type="dxa"/>
            <w:vMerge w:val="continue"/>
            <w:tcBorders>
              <w:top w:val="nil"/>
              <w:bottom w:val="nil"/>
            </w:tcBorders>
            <w:vAlign w:val="top"/>
          </w:tcPr>
          <w:p w14:paraId="401E9FEF">
            <w:pPr>
              <w:rPr>
                <w:rFonts w:ascii="Arial"/>
                <w:sz w:val="21"/>
              </w:rPr>
            </w:pPr>
          </w:p>
        </w:tc>
        <w:tc>
          <w:tcPr>
            <w:tcW w:w="719" w:type="dxa"/>
            <w:vAlign w:val="top"/>
          </w:tcPr>
          <w:p w14:paraId="2DACBCB5">
            <w:pPr>
              <w:spacing w:line="256" w:lineRule="auto"/>
              <w:rPr>
                <w:rFonts w:ascii="Arial"/>
                <w:sz w:val="21"/>
              </w:rPr>
            </w:pPr>
          </w:p>
          <w:p w14:paraId="7198294A">
            <w:pPr>
              <w:spacing w:line="257" w:lineRule="auto"/>
              <w:rPr>
                <w:rFonts w:ascii="Arial"/>
                <w:sz w:val="21"/>
              </w:rPr>
            </w:pPr>
          </w:p>
          <w:p w14:paraId="3B4F83B1">
            <w:pPr>
              <w:pStyle w:val="18"/>
              <w:spacing w:before="65" w:line="189" w:lineRule="auto"/>
              <w:ind w:left="325"/>
              <w:rPr>
                <w:sz w:val="20"/>
                <w:szCs w:val="20"/>
              </w:rPr>
            </w:pPr>
            <w:r>
              <w:rPr>
                <w:sz w:val="20"/>
                <w:szCs w:val="20"/>
              </w:rPr>
              <w:t>1</w:t>
            </w:r>
          </w:p>
        </w:tc>
        <w:tc>
          <w:tcPr>
            <w:tcW w:w="1115" w:type="dxa"/>
            <w:vAlign w:val="top"/>
          </w:tcPr>
          <w:p w14:paraId="5F36D95B">
            <w:pPr>
              <w:rPr>
                <w:rFonts w:ascii="Arial"/>
                <w:sz w:val="21"/>
              </w:rPr>
            </w:pPr>
          </w:p>
          <w:p w14:paraId="0E51F77D">
            <w:pPr>
              <w:spacing w:line="241" w:lineRule="auto"/>
              <w:rPr>
                <w:rFonts w:ascii="Arial"/>
                <w:sz w:val="21"/>
              </w:rPr>
            </w:pPr>
          </w:p>
          <w:p w14:paraId="4BF26000">
            <w:pPr>
              <w:pStyle w:val="18"/>
              <w:spacing w:before="65" w:line="228" w:lineRule="auto"/>
              <w:ind w:left="355"/>
              <w:rPr>
                <w:sz w:val="20"/>
                <w:szCs w:val="20"/>
              </w:rPr>
            </w:pPr>
            <w:r>
              <w:rPr>
                <w:spacing w:val="3"/>
                <w:sz w:val="20"/>
                <w:szCs w:val="20"/>
              </w:rPr>
              <w:t>室内</w:t>
            </w:r>
          </w:p>
        </w:tc>
        <w:tc>
          <w:tcPr>
            <w:tcW w:w="4360" w:type="dxa"/>
            <w:vAlign w:val="top"/>
          </w:tcPr>
          <w:p w14:paraId="505FC1B3">
            <w:pPr>
              <w:rPr>
                <w:rFonts w:ascii="Arial"/>
                <w:sz w:val="21"/>
              </w:rPr>
            </w:pPr>
          </w:p>
          <w:p w14:paraId="12A7E292">
            <w:pPr>
              <w:spacing w:line="241" w:lineRule="auto"/>
              <w:rPr>
                <w:rFonts w:ascii="Arial"/>
                <w:sz w:val="21"/>
              </w:rPr>
            </w:pPr>
          </w:p>
          <w:p w14:paraId="1C4C9ADD">
            <w:pPr>
              <w:pStyle w:val="18"/>
              <w:spacing w:before="65" w:line="225" w:lineRule="auto"/>
              <w:ind w:left="19"/>
              <w:rPr>
                <w:sz w:val="20"/>
                <w:szCs w:val="20"/>
              </w:rPr>
            </w:pPr>
            <w:r>
              <w:rPr>
                <w:spacing w:val="7"/>
                <w:sz w:val="20"/>
                <w:szCs w:val="20"/>
              </w:rPr>
              <w:t>每有一项不符合扣0.1分,本项分值扣完为止</w:t>
            </w:r>
          </w:p>
        </w:tc>
        <w:tc>
          <w:tcPr>
            <w:tcW w:w="4645" w:type="dxa"/>
            <w:vAlign w:val="top"/>
          </w:tcPr>
          <w:p w14:paraId="779B424E">
            <w:pPr>
              <w:pStyle w:val="18"/>
              <w:spacing w:before="141" w:line="245" w:lineRule="auto"/>
              <w:ind w:left="19" w:right="10" w:firstLine="1"/>
              <w:rPr>
                <w:sz w:val="20"/>
                <w:szCs w:val="20"/>
              </w:rPr>
            </w:pPr>
            <w:r>
              <w:rPr>
                <w:spacing w:val="9"/>
                <w:sz w:val="20"/>
                <w:szCs w:val="20"/>
              </w:rPr>
              <w:t>现场查看：办公室、值班室、操作室、机房内物品</w:t>
            </w:r>
            <w:r>
              <w:rPr>
                <w:spacing w:val="7"/>
                <w:sz w:val="20"/>
                <w:szCs w:val="20"/>
              </w:rPr>
              <w:t>摆放整齐，卫生整洁等，照明齐全有效；门、窗、</w:t>
            </w:r>
            <w:r>
              <w:rPr>
                <w:spacing w:val="9"/>
                <w:sz w:val="20"/>
                <w:szCs w:val="20"/>
              </w:rPr>
              <w:t>玻璃明亮无破损，墙壁整洁；办公桌椅、操作工具摆放整齐；操作人员着装整齐、干净、文明礼貌。</w:t>
            </w:r>
          </w:p>
        </w:tc>
        <w:tc>
          <w:tcPr>
            <w:tcW w:w="1084" w:type="dxa"/>
            <w:vAlign w:val="top"/>
          </w:tcPr>
          <w:p w14:paraId="5DEC4854">
            <w:pPr>
              <w:rPr>
                <w:rFonts w:ascii="Arial"/>
                <w:sz w:val="21"/>
              </w:rPr>
            </w:pPr>
          </w:p>
        </w:tc>
      </w:tr>
      <w:tr w14:paraId="4594E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5" w:type="dxa"/>
            <w:vMerge w:val="continue"/>
            <w:tcBorders>
              <w:top w:val="nil"/>
            </w:tcBorders>
            <w:vAlign w:val="top"/>
          </w:tcPr>
          <w:p w14:paraId="5E751D8F">
            <w:pPr>
              <w:rPr>
                <w:rFonts w:ascii="Arial"/>
                <w:sz w:val="21"/>
              </w:rPr>
            </w:pPr>
          </w:p>
        </w:tc>
        <w:tc>
          <w:tcPr>
            <w:tcW w:w="1080" w:type="dxa"/>
            <w:vMerge w:val="continue"/>
            <w:tcBorders>
              <w:top w:val="nil"/>
            </w:tcBorders>
            <w:vAlign w:val="top"/>
          </w:tcPr>
          <w:p w14:paraId="3ECC93BE">
            <w:pPr>
              <w:rPr>
                <w:rFonts w:ascii="Arial"/>
                <w:sz w:val="21"/>
              </w:rPr>
            </w:pPr>
          </w:p>
        </w:tc>
        <w:tc>
          <w:tcPr>
            <w:tcW w:w="628" w:type="dxa"/>
            <w:vMerge w:val="continue"/>
            <w:tcBorders>
              <w:top w:val="nil"/>
            </w:tcBorders>
            <w:vAlign w:val="top"/>
          </w:tcPr>
          <w:p w14:paraId="176F5B53">
            <w:pPr>
              <w:rPr>
                <w:rFonts w:ascii="Arial"/>
                <w:sz w:val="21"/>
              </w:rPr>
            </w:pPr>
          </w:p>
        </w:tc>
        <w:tc>
          <w:tcPr>
            <w:tcW w:w="719" w:type="dxa"/>
            <w:vAlign w:val="top"/>
          </w:tcPr>
          <w:p w14:paraId="6E228160">
            <w:pPr>
              <w:spacing w:line="260" w:lineRule="auto"/>
              <w:rPr>
                <w:rFonts w:ascii="Arial"/>
                <w:sz w:val="21"/>
              </w:rPr>
            </w:pPr>
          </w:p>
          <w:p w14:paraId="228214FE">
            <w:pPr>
              <w:pStyle w:val="18"/>
              <w:spacing w:before="65" w:line="189" w:lineRule="auto"/>
              <w:ind w:left="312"/>
              <w:rPr>
                <w:sz w:val="20"/>
                <w:szCs w:val="20"/>
              </w:rPr>
            </w:pPr>
            <w:r>
              <w:rPr>
                <w:sz w:val="20"/>
                <w:szCs w:val="20"/>
              </w:rPr>
              <w:t>2</w:t>
            </w:r>
          </w:p>
        </w:tc>
        <w:tc>
          <w:tcPr>
            <w:tcW w:w="1115" w:type="dxa"/>
            <w:vAlign w:val="top"/>
          </w:tcPr>
          <w:p w14:paraId="65A57450">
            <w:pPr>
              <w:pStyle w:val="18"/>
              <w:spacing w:before="159"/>
              <w:ind w:left="247" w:right="34" w:hanging="210"/>
              <w:rPr>
                <w:sz w:val="20"/>
                <w:szCs w:val="20"/>
              </w:rPr>
            </w:pPr>
            <w:r>
              <w:rPr>
                <w:spacing w:val="7"/>
                <w:sz w:val="20"/>
                <w:szCs w:val="20"/>
              </w:rPr>
              <w:t>构筑物及附</w:t>
            </w:r>
            <w:r>
              <w:rPr>
                <w:spacing w:val="6"/>
                <w:sz w:val="20"/>
                <w:szCs w:val="20"/>
              </w:rPr>
              <w:t>属设施</w:t>
            </w:r>
          </w:p>
        </w:tc>
        <w:tc>
          <w:tcPr>
            <w:tcW w:w="4360" w:type="dxa"/>
            <w:vAlign w:val="top"/>
          </w:tcPr>
          <w:p w14:paraId="04AB64EC">
            <w:pPr>
              <w:pStyle w:val="18"/>
              <w:spacing w:before="294" w:line="225" w:lineRule="auto"/>
              <w:ind w:left="19"/>
              <w:rPr>
                <w:sz w:val="20"/>
                <w:szCs w:val="20"/>
              </w:rPr>
            </w:pPr>
            <w:r>
              <w:rPr>
                <w:spacing w:val="7"/>
                <w:sz w:val="20"/>
                <w:szCs w:val="20"/>
              </w:rPr>
              <w:t>每有一项不符合扣0.1分,本项扣完为止</w:t>
            </w:r>
          </w:p>
        </w:tc>
        <w:tc>
          <w:tcPr>
            <w:tcW w:w="4645" w:type="dxa"/>
            <w:vAlign w:val="top"/>
          </w:tcPr>
          <w:p w14:paraId="1E9F1DCB">
            <w:pPr>
              <w:pStyle w:val="18"/>
              <w:spacing w:before="160" w:line="239" w:lineRule="auto"/>
              <w:ind w:left="20"/>
              <w:rPr>
                <w:sz w:val="20"/>
                <w:szCs w:val="20"/>
              </w:rPr>
            </w:pPr>
            <w:r>
              <w:rPr>
                <w:spacing w:val="6"/>
                <w:sz w:val="20"/>
                <w:szCs w:val="20"/>
              </w:rPr>
              <w:t>现场查看：构筑物无渗漏；附属设施油漆良好无大</w:t>
            </w:r>
            <w:r>
              <w:rPr>
                <w:sz w:val="20"/>
                <w:szCs w:val="20"/>
              </w:rPr>
              <w:t>面积锈蚀；堰口、池壁保持清洁、完好；池面清洁。</w:t>
            </w:r>
          </w:p>
        </w:tc>
        <w:tc>
          <w:tcPr>
            <w:tcW w:w="1084" w:type="dxa"/>
            <w:vAlign w:val="top"/>
          </w:tcPr>
          <w:p w14:paraId="6166AED3">
            <w:pPr>
              <w:rPr>
                <w:rFonts w:ascii="Arial"/>
                <w:sz w:val="21"/>
              </w:rPr>
            </w:pPr>
          </w:p>
        </w:tc>
      </w:tr>
      <w:tr w14:paraId="4CC1D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55" w:type="dxa"/>
            <w:vAlign w:val="top"/>
          </w:tcPr>
          <w:p w14:paraId="16DD1482">
            <w:pPr>
              <w:spacing w:line="396" w:lineRule="auto"/>
              <w:rPr>
                <w:rFonts w:ascii="Arial"/>
                <w:sz w:val="21"/>
              </w:rPr>
            </w:pPr>
          </w:p>
          <w:p w14:paraId="18CC539D">
            <w:pPr>
              <w:pStyle w:val="18"/>
              <w:spacing w:before="65" w:line="187" w:lineRule="auto"/>
              <w:ind w:left="185"/>
              <w:rPr>
                <w:sz w:val="20"/>
                <w:szCs w:val="20"/>
              </w:rPr>
            </w:pPr>
            <w:r>
              <w:rPr>
                <w:sz w:val="20"/>
                <w:szCs w:val="20"/>
              </w:rPr>
              <w:t>7</w:t>
            </w:r>
          </w:p>
        </w:tc>
        <w:tc>
          <w:tcPr>
            <w:tcW w:w="1080" w:type="dxa"/>
            <w:vAlign w:val="top"/>
          </w:tcPr>
          <w:p w14:paraId="5935D4D3">
            <w:pPr>
              <w:spacing w:line="362" w:lineRule="auto"/>
              <w:rPr>
                <w:rFonts w:ascii="Arial"/>
                <w:sz w:val="21"/>
              </w:rPr>
            </w:pPr>
          </w:p>
          <w:p w14:paraId="22F68AD6">
            <w:pPr>
              <w:pStyle w:val="18"/>
              <w:spacing w:before="65" w:line="228" w:lineRule="auto"/>
              <w:ind w:left="19"/>
              <w:rPr>
                <w:sz w:val="20"/>
                <w:szCs w:val="20"/>
              </w:rPr>
            </w:pPr>
            <w:r>
              <w:rPr>
                <w:spacing w:val="7"/>
                <w:sz w:val="20"/>
                <w:szCs w:val="20"/>
              </w:rPr>
              <w:t>制度建设</w:t>
            </w:r>
          </w:p>
        </w:tc>
        <w:tc>
          <w:tcPr>
            <w:tcW w:w="628" w:type="dxa"/>
            <w:vAlign w:val="top"/>
          </w:tcPr>
          <w:p w14:paraId="3E93FF7F">
            <w:pPr>
              <w:spacing w:line="396" w:lineRule="auto"/>
              <w:rPr>
                <w:rFonts w:ascii="Arial"/>
                <w:sz w:val="21"/>
              </w:rPr>
            </w:pPr>
          </w:p>
          <w:p w14:paraId="17043490">
            <w:pPr>
              <w:pStyle w:val="18"/>
              <w:spacing w:before="65" w:line="187" w:lineRule="auto"/>
              <w:ind w:left="267"/>
              <w:rPr>
                <w:sz w:val="20"/>
                <w:szCs w:val="20"/>
              </w:rPr>
            </w:pPr>
            <w:r>
              <w:rPr>
                <w:sz w:val="20"/>
                <w:szCs w:val="20"/>
              </w:rPr>
              <w:t>5</w:t>
            </w:r>
          </w:p>
        </w:tc>
        <w:tc>
          <w:tcPr>
            <w:tcW w:w="719" w:type="dxa"/>
            <w:vAlign w:val="top"/>
          </w:tcPr>
          <w:p w14:paraId="5EFB3684">
            <w:pPr>
              <w:spacing w:line="396" w:lineRule="auto"/>
              <w:rPr>
                <w:rFonts w:ascii="Arial"/>
                <w:sz w:val="21"/>
              </w:rPr>
            </w:pPr>
          </w:p>
          <w:p w14:paraId="7F3C3D9E">
            <w:pPr>
              <w:pStyle w:val="18"/>
              <w:spacing w:before="65" w:line="187" w:lineRule="auto"/>
              <w:ind w:left="314"/>
              <w:rPr>
                <w:sz w:val="20"/>
                <w:szCs w:val="20"/>
              </w:rPr>
            </w:pPr>
            <w:r>
              <w:rPr>
                <w:sz w:val="20"/>
                <w:szCs w:val="20"/>
              </w:rPr>
              <w:t>5</w:t>
            </w:r>
          </w:p>
        </w:tc>
        <w:tc>
          <w:tcPr>
            <w:tcW w:w="1115" w:type="dxa"/>
            <w:vAlign w:val="top"/>
          </w:tcPr>
          <w:p w14:paraId="39ACA9D0">
            <w:pPr>
              <w:spacing w:line="361" w:lineRule="auto"/>
              <w:rPr>
                <w:rFonts w:ascii="Arial"/>
                <w:sz w:val="21"/>
              </w:rPr>
            </w:pPr>
          </w:p>
          <w:p w14:paraId="19F9FAF1">
            <w:pPr>
              <w:pStyle w:val="18"/>
              <w:spacing w:before="65" w:line="228" w:lineRule="auto"/>
              <w:ind w:left="139"/>
              <w:rPr>
                <w:sz w:val="20"/>
                <w:szCs w:val="20"/>
              </w:rPr>
            </w:pPr>
            <w:r>
              <w:rPr>
                <w:spacing w:val="7"/>
                <w:sz w:val="20"/>
                <w:szCs w:val="20"/>
              </w:rPr>
              <w:t>操作管理</w:t>
            </w:r>
          </w:p>
        </w:tc>
        <w:tc>
          <w:tcPr>
            <w:tcW w:w="4360" w:type="dxa"/>
            <w:vAlign w:val="top"/>
          </w:tcPr>
          <w:p w14:paraId="20D9ADB9">
            <w:pPr>
              <w:spacing w:line="361" w:lineRule="auto"/>
              <w:rPr>
                <w:rFonts w:ascii="Arial"/>
                <w:sz w:val="21"/>
              </w:rPr>
            </w:pPr>
          </w:p>
          <w:p w14:paraId="6E8B34E6">
            <w:pPr>
              <w:pStyle w:val="18"/>
              <w:spacing w:before="65" w:line="225" w:lineRule="auto"/>
              <w:ind w:left="19"/>
              <w:rPr>
                <w:sz w:val="20"/>
                <w:szCs w:val="20"/>
              </w:rPr>
            </w:pPr>
            <w:r>
              <w:rPr>
                <w:spacing w:val="5"/>
                <w:sz w:val="20"/>
                <w:szCs w:val="20"/>
              </w:rPr>
              <w:t>缺一项扣0.2分,扣完为止</w:t>
            </w:r>
          </w:p>
        </w:tc>
        <w:tc>
          <w:tcPr>
            <w:tcW w:w="4645" w:type="dxa"/>
            <w:vAlign w:val="top"/>
          </w:tcPr>
          <w:p w14:paraId="45D5045C">
            <w:pPr>
              <w:pStyle w:val="18"/>
              <w:spacing w:before="155" w:line="243" w:lineRule="auto"/>
              <w:ind w:left="20" w:right="10"/>
              <w:jc w:val="both"/>
              <w:rPr>
                <w:sz w:val="20"/>
                <w:szCs w:val="20"/>
              </w:rPr>
            </w:pPr>
            <w:r>
              <w:rPr>
                <w:spacing w:val="9"/>
                <w:sz w:val="20"/>
                <w:szCs w:val="20"/>
              </w:rPr>
              <w:t>现场查看：生产管理制度、岗位责任制度、设备管理制度、化验室管理制度、岗位工作职责、各工艺</w:t>
            </w:r>
            <w:r>
              <w:rPr>
                <w:spacing w:val="8"/>
                <w:sz w:val="20"/>
                <w:szCs w:val="20"/>
              </w:rPr>
              <w:t>段/设备安全操作规程、防护措施齐全。</w:t>
            </w:r>
          </w:p>
        </w:tc>
        <w:tc>
          <w:tcPr>
            <w:tcW w:w="1084" w:type="dxa"/>
            <w:vAlign w:val="top"/>
          </w:tcPr>
          <w:p w14:paraId="77C3DE0E">
            <w:pPr>
              <w:rPr>
                <w:rFonts w:ascii="Arial"/>
                <w:sz w:val="21"/>
              </w:rPr>
            </w:pPr>
          </w:p>
        </w:tc>
      </w:tr>
      <w:tr w14:paraId="721EB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55" w:type="dxa"/>
            <w:vMerge w:val="restart"/>
            <w:tcBorders>
              <w:bottom w:val="nil"/>
            </w:tcBorders>
            <w:vAlign w:val="top"/>
          </w:tcPr>
          <w:p w14:paraId="44E6CB7B">
            <w:pPr>
              <w:spacing w:line="272" w:lineRule="auto"/>
              <w:rPr>
                <w:rFonts w:ascii="Arial"/>
                <w:sz w:val="21"/>
              </w:rPr>
            </w:pPr>
          </w:p>
          <w:p w14:paraId="4AB8D140">
            <w:pPr>
              <w:spacing w:line="272" w:lineRule="auto"/>
              <w:rPr>
                <w:rFonts w:ascii="Arial"/>
                <w:sz w:val="21"/>
              </w:rPr>
            </w:pPr>
          </w:p>
          <w:p w14:paraId="7F86C48A">
            <w:pPr>
              <w:spacing w:line="272" w:lineRule="auto"/>
              <w:rPr>
                <w:rFonts w:ascii="Arial"/>
                <w:sz w:val="21"/>
              </w:rPr>
            </w:pPr>
          </w:p>
          <w:p w14:paraId="0B6EC398">
            <w:pPr>
              <w:spacing w:line="272" w:lineRule="auto"/>
              <w:rPr>
                <w:rFonts w:ascii="Arial"/>
                <w:sz w:val="21"/>
              </w:rPr>
            </w:pPr>
          </w:p>
          <w:p w14:paraId="27856043">
            <w:pPr>
              <w:spacing w:line="272" w:lineRule="auto"/>
              <w:rPr>
                <w:rFonts w:ascii="Arial"/>
                <w:sz w:val="21"/>
              </w:rPr>
            </w:pPr>
          </w:p>
          <w:p w14:paraId="4C6B143B">
            <w:pPr>
              <w:spacing w:line="273" w:lineRule="auto"/>
              <w:rPr>
                <w:rFonts w:ascii="Arial"/>
                <w:sz w:val="21"/>
              </w:rPr>
            </w:pPr>
          </w:p>
          <w:p w14:paraId="7991E3DE">
            <w:pPr>
              <w:pStyle w:val="18"/>
              <w:spacing w:before="65" w:line="189" w:lineRule="auto"/>
              <w:ind w:left="181"/>
              <w:rPr>
                <w:sz w:val="20"/>
                <w:szCs w:val="20"/>
              </w:rPr>
            </w:pPr>
            <w:r>
              <w:rPr>
                <w:sz w:val="20"/>
                <w:szCs w:val="20"/>
              </w:rPr>
              <w:t>8</w:t>
            </w:r>
          </w:p>
        </w:tc>
        <w:tc>
          <w:tcPr>
            <w:tcW w:w="1080" w:type="dxa"/>
            <w:vMerge w:val="restart"/>
            <w:tcBorders>
              <w:bottom w:val="nil"/>
            </w:tcBorders>
            <w:vAlign w:val="top"/>
          </w:tcPr>
          <w:p w14:paraId="7E04D2E9">
            <w:pPr>
              <w:spacing w:line="266" w:lineRule="auto"/>
              <w:rPr>
                <w:rFonts w:ascii="Arial"/>
                <w:sz w:val="21"/>
              </w:rPr>
            </w:pPr>
          </w:p>
          <w:p w14:paraId="336257D0">
            <w:pPr>
              <w:spacing w:line="267" w:lineRule="auto"/>
              <w:rPr>
                <w:rFonts w:ascii="Arial"/>
                <w:sz w:val="21"/>
              </w:rPr>
            </w:pPr>
          </w:p>
          <w:p w14:paraId="3AF3B774">
            <w:pPr>
              <w:spacing w:line="267" w:lineRule="auto"/>
              <w:rPr>
                <w:rFonts w:ascii="Arial"/>
                <w:sz w:val="21"/>
              </w:rPr>
            </w:pPr>
          </w:p>
          <w:p w14:paraId="18FB4766">
            <w:pPr>
              <w:spacing w:line="267" w:lineRule="auto"/>
              <w:rPr>
                <w:rFonts w:ascii="Arial"/>
                <w:sz w:val="21"/>
              </w:rPr>
            </w:pPr>
          </w:p>
          <w:p w14:paraId="3C50E205">
            <w:pPr>
              <w:spacing w:line="267" w:lineRule="auto"/>
              <w:rPr>
                <w:rFonts w:ascii="Arial"/>
                <w:sz w:val="21"/>
              </w:rPr>
            </w:pPr>
          </w:p>
          <w:p w14:paraId="428A32A8">
            <w:pPr>
              <w:spacing w:line="267" w:lineRule="auto"/>
              <w:rPr>
                <w:rFonts w:ascii="Arial"/>
                <w:sz w:val="21"/>
              </w:rPr>
            </w:pPr>
          </w:p>
          <w:p w14:paraId="6EC7C6E0">
            <w:pPr>
              <w:pStyle w:val="18"/>
              <w:spacing w:before="65" w:line="228" w:lineRule="auto"/>
              <w:ind w:left="18"/>
              <w:rPr>
                <w:sz w:val="20"/>
                <w:szCs w:val="20"/>
              </w:rPr>
            </w:pPr>
            <w:r>
              <w:rPr>
                <w:spacing w:val="6"/>
                <w:sz w:val="20"/>
                <w:szCs w:val="20"/>
              </w:rPr>
              <w:t>加分项</w:t>
            </w:r>
          </w:p>
        </w:tc>
        <w:tc>
          <w:tcPr>
            <w:tcW w:w="2462" w:type="dxa"/>
            <w:gridSpan w:val="3"/>
            <w:vMerge w:val="restart"/>
            <w:tcBorders>
              <w:bottom w:val="nil"/>
            </w:tcBorders>
            <w:vAlign w:val="top"/>
          </w:tcPr>
          <w:p w14:paraId="20FD1A81">
            <w:pPr>
              <w:spacing w:line="449" w:lineRule="auto"/>
              <w:rPr>
                <w:rFonts w:ascii="Arial"/>
                <w:sz w:val="21"/>
              </w:rPr>
            </w:pPr>
          </w:p>
          <w:p w14:paraId="14606EF1">
            <w:pPr>
              <w:pStyle w:val="18"/>
              <w:spacing w:before="65" w:line="228" w:lineRule="auto"/>
              <w:ind w:left="604"/>
              <w:rPr>
                <w:sz w:val="20"/>
                <w:szCs w:val="20"/>
              </w:rPr>
            </w:pPr>
            <w:r>
              <w:rPr>
                <w:spacing w:val="8"/>
                <w:sz w:val="20"/>
                <w:szCs w:val="20"/>
              </w:rPr>
              <w:t>运营维护工作</w:t>
            </w:r>
          </w:p>
        </w:tc>
        <w:tc>
          <w:tcPr>
            <w:tcW w:w="4360" w:type="dxa"/>
            <w:vAlign w:val="top"/>
          </w:tcPr>
          <w:p w14:paraId="76902FA5">
            <w:pPr>
              <w:pStyle w:val="18"/>
              <w:spacing w:before="134" w:line="228" w:lineRule="auto"/>
              <w:ind w:left="22"/>
              <w:rPr>
                <w:sz w:val="20"/>
                <w:szCs w:val="20"/>
              </w:rPr>
            </w:pPr>
            <w:r>
              <w:rPr>
                <w:spacing w:val="6"/>
                <w:sz w:val="20"/>
                <w:szCs w:val="20"/>
              </w:rPr>
              <w:t>获市级表彰，每种奖励每个加1分；</w:t>
            </w:r>
          </w:p>
        </w:tc>
        <w:tc>
          <w:tcPr>
            <w:tcW w:w="4645" w:type="dxa"/>
            <w:vMerge w:val="restart"/>
            <w:tcBorders>
              <w:bottom w:val="nil"/>
            </w:tcBorders>
            <w:vAlign w:val="top"/>
          </w:tcPr>
          <w:p w14:paraId="1BE5C48F">
            <w:pPr>
              <w:spacing w:line="448" w:lineRule="auto"/>
              <w:rPr>
                <w:rFonts w:ascii="Arial"/>
                <w:sz w:val="21"/>
              </w:rPr>
            </w:pPr>
          </w:p>
          <w:p w14:paraId="227C1CEF">
            <w:pPr>
              <w:pStyle w:val="18"/>
              <w:spacing w:before="65" w:line="228" w:lineRule="auto"/>
              <w:ind w:left="19"/>
              <w:rPr>
                <w:sz w:val="20"/>
                <w:szCs w:val="20"/>
              </w:rPr>
            </w:pPr>
            <w:r>
              <w:rPr>
                <w:spacing w:val="8"/>
                <w:sz w:val="20"/>
                <w:szCs w:val="20"/>
              </w:rPr>
              <w:t>考核表彰情况</w:t>
            </w:r>
          </w:p>
        </w:tc>
        <w:tc>
          <w:tcPr>
            <w:tcW w:w="1084" w:type="dxa"/>
            <w:vMerge w:val="restart"/>
            <w:tcBorders>
              <w:bottom w:val="nil"/>
            </w:tcBorders>
            <w:vAlign w:val="top"/>
          </w:tcPr>
          <w:p w14:paraId="7D9BBDFA">
            <w:pPr>
              <w:rPr>
                <w:rFonts w:ascii="Arial"/>
                <w:sz w:val="21"/>
              </w:rPr>
            </w:pPr>
          </w:p>
        </w:tc>
      </w:tr>
      <w:tr w14:paraId="18EBD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55" w:type="dxa"/>
            <w:vMerge w:val="continue"/>
            <w:tcBorders>
              <w:top w:val="nil"/>
              <w:bottom w:val="nil"/>
            </w:tcBorders>
            <w:vAlign w:val="top"/>
          </w:tcPr>
          <w:p w14:paraId="6CC30B20">
            <w:pPr>
              <w:rPr>
                <w:rFonts w:ascii="Arial"/>
                <w:sz w:val="21"/>
              </w:rPr>
            </w:pPr>
          </w:p>
        </w:tc>
        <w:tc>
          <w:tcPr>
            <w:tcW w:w="1080" w:type="dxa"/>
            <w:vMerge w:val="continue"/>
            <w:tcBorders>
              <w:top w:val="nil"/>
              <w:bottom w:val="nil"/>
            </w:tcBorders>
            <w:vAlign w:val="top"/>
          </w:tcPr>
          <w:p w14:paraId="002E2C2D">
            <w:pPr>
              <w:rPr>
                <w:rFonts w:ascii="Arial"/>
                <w:sz w:val="21"/>
              </w:rPr>
            </w:pPr>
          </w:p>
        </w:tc>
        <w:tc>
          <w:tcPr>
            <w:tcW w:w="2462" w:type="dxa"/>
            <w:gridSpan w:val="3"/>
            <w:vMerge w:val="continue"/>
            <w:tcBorders>
              <w:top w:val="nil"/>
              <w:bottom w:val="nil"/>
            </w:tcBorders>
            <w:vAlign w:val="top"/>
          </w:tcPr>
          <w:p w14:paraId="39E6EC2C">
            <w:pPr>
              <w:rPr>
                <w:rFonts w:ascii="Arial"/>
                <w:sz w:val="21"/>
              </w:rPr>
            </w:pPr>
          </w:p>
        </w:tc>
        <w:tc>
          <w:tcPr>
            <w:tcW w:w="4360" w:type="dxa"/>
            <w:vAlign w:val="top"/>
          </w:tcPr>
          <w:p w14:paraId="2329010F">
            <w:pPr>
              <w:pStyle w:val="18"/>
              <w:spacing w:before="135" w:line="228" w:lineRule="auto"/>
              <w:ind w:left="22"/>
              <w:rPr>
                <w:sz w:val="20"/>
                <w:szCs w:val="20"/>
              </w:rPr>
            </w:pPr>
            <w:r>
              <w:rPr>
                <w:spacing w:val="6"/>
                <w:sz w:val="20"/>
                <w:szCs w:val="20"/>
              </w:rPr>
              <w:t>获省级表彰，每种奖励每个加3分；</w:t>
            </w:r>
          </w:p>
        </w:tc>
        <w:tc>
          <w:tcPr>
            <w:tcW w:w="4645" w:type="dxa"/>
            <w:vMerge w:val="continue"/>
            <w:tcBorders>
              <w:top w:val="nil"/>
              <w:bottom w:val="nil"/>
            </w:tcBorders>
            <w:vAlign w:val="top"/>
          </w:tcPr>
          <w:p w14:paraId="1C1419E2">
            <w:pPr>
              <w:rPr>
                <w:rFonts w:ascii="Arial"/>
                <w:sz w:val="21"/>
              </w:rPr>
            </w:pPr>
          </w:p>
        </w:tc>
        <w:tc>
          <w:tcPr>
            <w:tcW w:w="1084" w:type="dxa"/>
            <w:vMerge w:val="continue"/>
            <w:tcBorders>
              <w:top w:val="nil"/>
              <w:bottom w:val="nil"/>
            </w:tcBorders>
            <w:vAlign w:val="top"/>
          </w:tcPr>
          <w:p w14:paraId="2310D742">
            <w:pPr>
              <w:rPr>
                <w:rFonts w:ascii="Arial"/>
                <w:sz w:val="21"/>
              </w:rPr>
            </w:pPr>
          </w:p>
        </w:tc>
      </w:tr>
      <w:tr w14:paraId="348A2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455" w:type="dxa"/>
            <w:vMerge w:val="continue"/>
            <w:tcBorders>
              <w:top w:val="nil"/>
              <w:bottom w:val="nil"/>
            </w:tcBorders>
            <w:vAlign w:val="top"/>
          </w:tcPr>
          <w:p w14:paraId="3DB9261E">
            <w:pPr>
              <w:rPr>
                <w:rFonts w:ascii="Arial"/>
                <w:sz w:val="21"/>
              </w:rPr>
            </w:pPr>
          </w:p>
        </w:tc>
        <w:tc>
          <w:tcPr>
            <w:tcW w:w="1080" w:type="dxa"/>
            <w:vMerge w:val="continue"/>
            <w:tcBorders>
              <w:top w:val="nil"/>
              <w:bottom w:val="nil"/>
            </w:tcBorders>
            <w:vAlign w:val="top"/>
          </w:tcPr>
          <w:p w14:paraId="02223143">
            <w:pPr>
              <w:rPr>
                <w:rFonts w:ascii="Arial"/>
                <w:sz w:val="21"/>
              </w:rPr>
            </w:pPr>
          </w:p>
        </w:tc>
        <w:tc>
          <w:tcPr>
            <w:tcW w:w="2462" w:type="dxa"/>
            <w:gridSpan w:val="3"/>
            <w:vMerge w:val="continue"/>
            <w:tcBorders>
              <w:top w:val="nil"/>
            </w:tcBorders>
            <w:vAlign w:val="top"/>
          </w:tcPr>
          <w:p w14:paraId="500AEE32">
            <w:pPr>
              <w:rPr>
                <w:rFonts w:ascii="Arial"/>
                <w:sz w:val="21"/>
              </w:rPr>
            </w:pPr>
          </w:p>
        </w:tc>
        <w:tc>
          <w:tcPr>
            <w:tcW w:w="4360" w:type="dxa"/>
            <w:vAlign w:val="top"/>
          </w:tcPr>
          <w:p w14:paraId="58606C9D">
            <w:pPr>
              <w:pStyle w:val="18"/>
              <w:spacing w:before="52" w:line="212" w:lineRule="auto"/>
              <w:ind w:left="22"/>
              <w:rPr>
                <w:sz w:val="20"/>
                <w:szCs w:val="20"/>
              </w:rPr>
            </w:pPr>
            <w:r>
              <w:rPr>
                <w:spacing w:val="6"/>
                <w:sz w:val="20"/>
                <w:szCs w:val="20"/>
              </w:rPr>
              <w:t>获国家级表彰，每种奖励每个加5分。</w:t>
            </w:r>
          </w:p>
        </w:tc>
        <w:tc>
          <w:tcPr>
            <w:tcW w:w="4645" w:type="dxa"/>
            <w:vMerge w:val="continue"/>
            <w:tcBorders>
              <w:top w:val="nil"/>
            </w:tcBorders>
            <w:vAlign w:val="top"/>
          </w:tcPr>
          <w:p w14:paraId="1FE7BFFB">
            <w:pPr>
              <w:rPr>
                <w:rFonts w:ascii="Arial"/>
                <w:sz w:val="21"/>
              </w:rPr>
            </w:pPr>
          </w:p>
        </w:tc>
        <w:tc>
          <w:tcPr>
            <w:tcW w:w="1084" w:type="dxa"/>
            <w:vMerge w:val="continue"/>
            <w:tcBorders>
              <w:top w:val="nil"/>
              <w:bottom w:val="nil"/>
            </w:tcBorders>
            <w:vAlign w:val="top"/>
          </w:tcPr>
          <w:p w14:paraId="698AE381">
            <w:pPr>
              <w:rPr>
                <w:rFonts w:ascii="Arial"/>
                <w:sz w:val="21"/>
              </w:rPr>
            </w:pPr>
          </w:p>
        </w:tc>
      </w:tr>
      <w:tr w14:paraId="36134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55" w:type="dxa"/>
            <w:vMerge w:val="continue"/>
            <w:tcBorders>
              <w:top w:val="nil"/>
              <w:bottom w:val="nil"/>
            </w:tcBorders>
            <w:vAlign w:val="top"/>
          </w:tcPr>
          <w:p w14:paraId="61862E32">
            <w:pPr>
              <w:rPr>
                <w:rFonts w:ascii="Arial"/>
                <w:sz w:val="21"/>
              </w:rPr>
            </w:pPr>
          </w:p>
        </w:tc>
        <w:tc>
          <w:tcPr>
            <w:tcW w:w="1080" w:type="dxa"/>
            <w:vMerge w:val="continue"/>
            <w:tcBorders>
              <w:top w:val="nil"/>
              <w:bottom w:val="nil"/>
            </w:tcBorders>
            <w:vAlign w:val="top"/>
          </w:tcPr>
          <w:p w14:paraId="1A04940F">
            <w:pPr>
              <w:rPr>
                <w:rFonts w:ascii="Arial"/>
                <w:sz w:val="21"/>
              </w:rPr>
            </w:pPr>
          </w:p>
        </w:tc>
        <w:tc>
          <w:tcPr>
            <w:tcW w:w="2462" w:type="dxa"/>
            <w:gridSpan w:val="3"/>
            <w:vMerge w:val="restart"/>
            <w:tcBorders>
              <w:bottom w:val="nil"/>
            </w:tcBorders>
            <w:vAlign w:val="top"/>
          </w:tcPr>
          <w:p w14:paraId="50166290">
            <w:pPr>
              <w:spacing w:line="265" w:lineRule="auto"/>
              <w:rPr>
                <w:rFonts w:ascii="Arial"/>
                <w:sz w:val="21"/>
              </w:rPr>
            </w:pPr>
          </w:p>
          <w:p w14:paraId="07FA5363">
            <w:pPr>
              <w:spacing w:line="266" w:lineRule="auto"/>
              <w:rPr>
                <w:rFonts w:ascii="Arial"/>
                <w:sz w:val="21"/>
              </w:rPr>
            </w:pPr>
          </w:p>
          <w:p w14:paraId="77D250BF">
            <w:pPr>
              <w:pStyle w:val="18"/>
              <w:spacing w:before="65" w:line="228" w:lineRule="auto"/>
              <w:ind w:left="918"/>
              <w:rPr>
                <w:sz w:val="20"/>
                <w:szCs w:val="20"/>
              </w:rPr>
            </w:pPr>
            <w:r>
              <w:rPr>
                <w:spacing w:val="6"/>
                <w:sz w:val="20"/>
                <w:szCs w:val="20"/>
              </w:rPr>
              <w:t>影响力</w:t>
            </w:r>
          </w:p>
        </w:tc>
        <w:tc>
          <w:tcPr>
            <w:tcW w:w="4360" w:type="dxa"/>
            <w:vAlign w:val="top"/>
          </w:tcPr>
          <w:p w14:paraId="64E3444C">
            <w:pPr>
              <w:pStyle w:val="18"/>
              <w:spacing w:before="134" w:line="227" w:lineRule="auto"/>
              <w:ind w:left="22"/>
              <w:rPr>
                <w:sz w:val="20"/>
                <w:szCs w:val="20"/>
              </w:rPr>
            </w:pPr>
            <w:r>
              <w:rPr>
                <w:spacing w:val="5"/>
                <w:sz w:val="20"/>
                <w:szCs w:val="20"/>
              </w:rPr>
              <w:t>获市级媒体报道，每篇加1分；</w:t>
            </w:r>
          </w:p>
        </w:tc>
        <w:tc>
          <w:tcPr>
            <w:tcW w:w="4645" w:type="dxa"/>
            <w:vMerge w:val="restart"/>
            <w:tcBorders>
              <w:bottom w:val="nil"/>
            </w:tcBorders>
            <w:vAlign w:val="top"/>
          </w:tcPr>
          <w:p w14:paraId="0C55AE8D">
            <w:pPr>
              <w:spacing w:line="265" w:lineRule="auto"/>
              <w:rPr>
                <w:rFonts w:ascii="Arial"/>
                <w:sz w:val="21"/>
              </w:rPr>
            </w:pPr>
          </w:p>
          <w:p w14:paraId="59D4D69D">
            <w:pPr>
              <w:spacing w:line="266" w:lineRule="auto"/>
              <w:rPr>
                <w:rFonts w:ascii="Arial"/>
                <w:sz w:val="21"/>
              </w:rPr>
            </w:pPr>
          </w:p>
          <w:p w14:paraId="280F569B">
            <w:pPr>
              <w:pStyle w:val="18"/>
              <w:spacing w:before="65" w:line="227" w:lineRule="auto"/>
              <w:ind w:left="19"/>
              <w:rPr>
                <w:sz w:val="20"/>
                <w:szCs w:val="20"/>
              </w:rPr>
            </w:pPr>
            <w:r>
              <w:rPr>
                <w:spacing w:val="8"/>
                <w:sz w:val="20"/>
                <w:szCs w:val="20"/>
              </w:rPr>
              <w:t>考核媒体报道情况</w:t>
            </w:r>
          </w:p>
        </w:tc>
        <w:tc>
          <w:tcPr>
            <w:tcW w:w="1084" w:type="dxa"/>
            <w:vMerge w:val="continue"/>
            <w:tcBorders>
              <w:top w:val="nil"/>
              <w:bottom w:val="nil"/>
            </w:tcBorders>
            <w:vAlign w:val="top"/>
          </w:tcPr>
          <w:p w14:paraId="46B24640">
            <w:pPr>
              <w:rPr>
                <w:rFonts w:ascii="Arial"/>
                <w:sz w:val="21"/>
              </w:rPr>
            </w:pPr>
          </w:p>
        </w:tc>
      </w:tr>
      <w:tr w14:paraId="4116F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55" w:type="dxa"/>
            <w:vMerge w:val="continue"/>
            <w:tcBorders>
              <w:top w:val="nil"/>
              <w:bottom w:val="nil"/>
            </w:tcBorders>
            <w:vAlign w:val="top"/>
          </w:tcPr>
          <w:p w14:paraId="5EEC2362">
            <w:pPr>
              <w:rPr>
                <w:rFonts w:ascii="Arial"/>
                <w:sz w:val="21"/>
              </w:rPr>
            </w:pPr>
          </w:p>
        </w:tc>
        <w:tc>
          <w:tcPr>
            <w:tcW w:w="1080" w:type="dxa"/>
            <w:vMerge w:val="continue"/>
            <w:tcBorders>
              <w:top w:val="nil"/>
              <w:bottom w:val="nil"/>
            </w:tcBorders>
            <w:vAlign w:val="top"/>
          </w:tcPr>
          <w:p w14:paraId="392CB7DD">
            <w:pPr>
              <w:rPr>
                <w:rFonts w:ascii="Arial"/>
                <w:sz w:val="21"/>
              </w:rPr>
            </w:pPr>
          </w:p>
        </w:tc>
        <w:tc>
          <w:tcPr>
            <w:tcW w:w="2462" w:type="dxa"/>
            <w:gridSpan w:val="3"/>
            <w:vMerge w:val="continue"/>
            <w:tcBorders>
              <w:top w:val="nil"/>
              <w:bottom w:val="nil"/>
            </w:tcBorders>
            <w:vAlign w:val="top"/>
          </w:tcPr>
          <w:p w14:paraId="443FE0EF">
            <w:pPr>
              <w:rPr>
                <w:rFonts w:ascii="Arial"/>
                <w:sz w:val="21"/>
              </w:rPr>
            </w:pPr>
          </w:p>
        </w:tc>
        <w:tc>
          <w:tcPr>
            <w:tcW w:w="4360" w:type="dxa"/>
            <w:vAlign w:val="top"/>
          </w:tcPr>
          <w:p w14:paraId="0B216682">
            <w:pPr>
              <w:pStyle w:val="18"/>
              <w:spacing w:before="134" w:line="227" w:lineRule="auto"/>
              <w:ind w:left="22"/>
              <w:rPr>
                <w:sz w:val="20"/>
                <w:szCs w:val="20"/>
              </w:rPr>
            </w:pPr>
            <w:r>
              <w:rPr>
                <w:spacing w:val="6"/>
                <w:sz w:val="20"/>
                <w:szCs w:val="20"/>
              </w:rPr>
              <w:t>获省级媒体报道，每篇加3分；</w:t>
            </w:r>
          </w:p>
        </w:tc>
        <w:tc>
          <w:tcPr>
            <w:tcW w:w="4645" w:type="dxa"/>
            <w:vMerge w:val="continue"/>
            <w:tcBorders>
              <w:top w:val="nil"/>
              <w:bottom w:val="nil"/>
            </w:tcBorders>
            <w:vAlign w:val="top"/>
          </w:tcPr>
          <w:p w14:paraId="4CE98F59">
            <w:pPr>
              <w:rPr>
                <w:rFonts w:ascii="Arial"/>
                <w:sz w:val="21"/>
              </w:rPr>
            </w:pPr>
          </w:p>
        </w:tc>
        <w:tc>
          <w:tcPr>
            <w:tcW w:w="1084" w:type="dxa"/>
            <w:vMerge w:val="continue"/>
            <w:tcBorders>
              <w:top w:val="nil"/>
              <w:bottom w:val="nil"/>
            </w:tcBorders>
            <w:vAlign w:val="top"/>
          </w:tcPr>
          <w:p w14:paraId="235887AB">
            <w:pPr>
              <w:rPr>
                <w:rFonts w:ascii="Arial"/>
                <w:sz w:val="21"/>
              </w:rPr>
            </w:pPr>
          </w:p>
        </w:tc>
      </w:tr>
      <w:tr w14:paraId="486BB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55" w:type="dxa"/>
            <w:vMerge w:val="continue"/>
            <w:tcBorders>
              <w:top w:val="nil"/>
              <w:bottom w:val="nil"/>
            </w:tcBorders>
            <w:vAlign w:val="top"/>
          </w:tcPr>
          <w:p w14:paraId="1DB07CCB">
            <w:pPr>
              <w:rPr>
                <w:rFonts w:ascii="Arial"/>
                <w:sz w:val="21"/>
              </w:rPr>
            </w:pPr>
          </w:p>
        </w:tc>
        <w:tc>
          <w:tcPr>
            <w:tcW w:w="1080" w:type="dxa"/>
            <w:vMerge w:val="continue"/>
            <w:tcBorders>
              <w:top w:val="nil"/>
              <w:bottom w:val="nil"/>
            </w:tcBorders>
            <w:vAlign w:val="top"/>
          </w:tcPr>
          <w:p w14:paraId="09705124">
            <w:pPr>
              <w:rPr>
                <w:rFonts w:ascii="Arial"/>
                <w:sz w:val="21"/>
              </w:rPr>
            </w:pPr>
          </w:p>
        </w:tc>
        <w:tc>
          <w:tcPr>
            <w:tcW w:w="2462" w:type="dxa"/>
            <w:gridSpan w:val="3"/>
            <w:vMerge w:val="continue"/>
            <w:tcBorders>
              <w:top w:val="nil"/>
            </w:tcBorders>
            <w:vAlign w:val="top"/>
          </w:tcPr>
          <w:p w14:paraId="7DE9B22B">
            <w:pPr>
              <w:rPr>
                <w:rFonts w:ascii="Arial"/>
                <w:sz w:val="21"/>
              </w:rPr>
            </w:pPr>
          </w:p>
        </w:tc>
        <w:tc>
          <w:tcPr>
            <w:tcW w:w="4360" w:type="dxa"/>
            <w:vAlign w:val="top"/>
          </w:tcPr>
          <w:p w14:paraId="4BA98C32">
            <w:pPr>
              <w:pStyle w:val="18"/>
              <w:spacing w:before="135" w:line="227" w:lineRule="auto"/>
              <w:ind w:left="22"/>
              <w:rPr>
                <w:sz w:val="20"/>
                <w:szCs w:val="20"/>
              </w:rPr>
            </w:pPr>
            <w:r>
              <w:rPr>
                <w:spacing w:val="6"/>
                <w:sz w:val="20"/>
                <w:szCs w:val="20"/>
              </w:rPr>
              <w:t>获国家级媒体报道每篇加5分；</w:t>
            </w:r>
          </w:p>
        </w:tc>
        <w:tc>
          <w:tcPr>
            <w:tcW w:w="4645" w:type="dxa"/>
            <w:vMerge w:val="continue"/>
            <w:tcBorders>
              <w:top w:val="nil"/>
            </w:tcBorders>
            <w:vAlign w:val="top"/>
          </w:tcPr>
          <w:p w14:paraId="74714BCD">
            <w:pPr>
              <w:rPr>
                <w:rFonts w:ascii="Arial"/>
                <w:sz w:val="21"/>
              </w:rPr>
            </w:pPr>
          </w:p>
        </w:tc>
        <w:tc>
          <w:tcPr>
            <w:tcW w:w="1084" w:type="dxa"/>
            <w:vMerge w:val="continue"/>
            <w:tcBorders>
              <w:top w:val="nil"/>
              <w:bottom w:val="nil"/>
            </w:tcBorders>
            <w:vAlign w:val="top"/>
          </w:tcPr>
          <w:p w14:paraId="344DA379">
            <w:pPr>
              <w:rPr>
                <w:rFonts w:ascii="Arial"/>
                <w:sz w:val="21"/>
              </w:rPr>
            </w:pPr>
          </w:p>
        </w:tc>
      </w:tr>
      <w:tr w14:paraId="74F20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55" w:type="dxa"/>
            <w:vMerge w:val="continue"/>
            <w:tcBorders>
              <w:top w:val="nil"/>
            </w:tcBorders>
            <w:vAlign w:val="top"/>
          </w:tcPr>
          <w:p w14:paraId="60DC0985">
            <w:pPr>
              <w:rPr>
                <w:rFonts w:ascii="Arial"/>
                <w:sz w:val="21"/>
              </w:rPr>
            </w:pPr>
          </w:p>
        </w:tc>
        <w:tc>
          <w:tcPr>
            <w:tcW w:w="1080" w:type="dxa"/>
            <w:vMerge w:val="continue"/>
            <w:tcBorders>
              <w:top w:val="nil"/>
            </w:tcBorders>
            <w:vAlign w:val="top"/>
          </w:tcPr>
          <w:p w14:paraId="2876731E">
            <w:pPr>
              <w:rPr>
                <w:rFonts w:ascii="Arial"/>
                <w:sz w:val="21"/>
              </w:rPr>
            </w:pPr>
          </w:p>
        </w:tc>
        <w:tc>
          <w:tcPr>
            <w:tcW w:w="2462" w:type="dxa"/>
            <w:gridSpan w:val="3"/>
            <w:vAlign w:val="top"/>
          </w:tcPr>
          <w:p w14:paraId="6DF6180E">
            <w:pPr>
              <w:spacing w:line="296" w:lineRule="auto"/>
              <w:rPr>
                <w:rFonts w:ascii="Arial"/>
                <w:sz w:val="21"/>
              </w:rPr>
            </w:pPr>
          </w:p>
          <w:p w14:paraId="16FD43F7">
            <w:pPr>
              <w:pStyle w:val="18"/>
              <w:spacing w:before="65" w:line="228" w:lineRule="auto"/>
              <w:ind w:left="294"/>
              <w:rPr>
                <w:sz w:val="20"/>
                <w:szCs w:val="20"/>
              </w:rPr>
            </w:pPr>
            <w:r>
              <w:rPr>
                <w:spacing w:val="7"/>
                <w:sz w:val="20"/>
                <w:szCs w:val="20"/>
              </w:rPr>
              <w:t>处理突发事件(事故)</w:t>
            </w:r>
          </w:p>
        </w:tc>
        <w:tc>
          <w:tcPr>
            <w:tcW w:w="4360" w:type="dxa"/>
            <w:vAlign w:val="top"/>
          </w:tcPr>
          <w:p w14:paraId="4B3257B1">
            <w:pPr>
              <w:spacing w:line="297" w:lineRule="auto"/>
              <w:rPr>
                <w:rFonts w:ascii="Arial"/>
                <w:sz w:val="21"/>
              </w:rPr>
            </w:pPr>
          </w:p>
          <w:p w14:paraId="75E1DF52">
            <w:pPr>
              <w:pStyle w:val="18"/>
              <w:spacing w:before="65" w:line="227" w:lineRule="auto"/>
              <w:ind w:left="19"/>
              <w:rPr>
                <w:sz w:val="20"/>
                <w:szCs w:val="20"/>
              </w:rPr>
            </w:pPr>
            <w:r>
              <w:rPr>
                <w:spacing w:val="8"/>
                <w:sz w:val="20"/>
                <w:szCs w:val="20"/>
              </w:rPr>
              <w:t>得到社会好评，并经政府确认，每次加2分</w:t>
            </w:r>
          </w:p>
        </w:tc>
        <w:tc>
          <w:tcPr>
            <w:tcW w:w="4645" w:type="dxa"/>
            <w:vAlign w:val="top"/>
          </w:tcPr>
          <w:p w14:paraId="4B1F0130">
            <w:pPr>
              <w:spacing w:line="297" w:lineRule="auto"/>
              <w:rPr>
                <w:rFonts w:ascii="Arial"/>
                <w:sz w:val="21"/>
              </w:rPr>
            </w:pPr>
          </w:p>
          <w:p w14:paraId="555BA958">
            <w:pPr>
              <w:pStyle w:val="18"/>
              <w:spacing w:before="65" w:line="227" w:lineRule="auto"/>
              <w:ind w:left="19"/>
              <w:rPr>
                <w:sz w:val="20"/>
                <w:szCs w:val="20"/>
              </w:rPr>
            </w:pPr>
            <w:r>
              <w:rPr>
                <w:spacing w:val="9"/>
                <w:sz w:val="20"/>
                <w:szCs w:val="20"/>
              </w:rPr>
              <w:t>考核突发处理的社会影响力</w:t>
            </w:r>
          </w:p>
        </w:tc>
        <w:tc>
          <w:tcPr>
            <w:tcW w:w="1084" w:type="dxa"/>
            <w:vMerge w:val="continue"/>
            <w:tcBorders>
              <w:top w:val="nil"/>
            </w:tcBorders>
            <w:vAlign w:val="top"/>
          </w:tcPr>
          <w:p w14:paraId="3BBAD5E4">
            <w:pPr>
              <w:rPr>
                <w:rFonts w:ascii="Arial"/>
                <w:sz w:val="21"/>
              </w:rPr>
            </w:pPr>
          </w:p>
        </w:tc>
      </w:tr>
    </w:tbl>
    <w:p w14:paraId="36030041">
      <w:pPr>
        <w:spacing w:line="231" w:lineRule="exact"/>
        <w:rPr>
          <w:rFonts w:ascii="Arial" w:hAnsi="Arial" w:eastAsia="Arial" w:cs="Arial"/>
          <w:sz w:val="20"/>
          <w:szCs w:val="20"/>
        </w:rPr>
        <w:sectPr>
          <w:footerReference r:id="rId12" w:type="default"/>
          <w:pgSz w:w="16839" w:h="11906"/>
          <w:pgMar w:top="1012" w:right="1520" w:bottom="1355" w:left="1226" w:header="0" w:footer="1193" w:gutter="0"/>
          <w:pgNumType w:fmt="decimal"/>
          <w:cols w:space="720" w:num="1"/>
        </w:sectPr>
      </w:pPr>
    </w:p>
    <w:p w14:paraId="1EE2F70D">
      <w:pPr>
        <w:spacing w:line="258" w:lineRule="auto"/>
        <w:rPr>
          <w:rFonts w:ascii="Arial"/>
          <w:sz w:val="21"/>
        </w:rPr>
      </w:pPr>
    </w:p>
    <w:p w14:paraId="57BF729A">
      <w:pPr>
        <w:pStyle w:val="6"/>
        <w:spacing w:before="101" w:line="224" w:lineRule="auto"/>
        <w:ind w:left="3334"/>
        <w:outlineLvl w:val="0"/>
        <w:rPr>
          <w:sz w:val="32"/>
          <w:szCs w:val="32"/>
        </w:rPr>
      </w:pPr>
      <w:bookmarkStart w:id="35" w:name="_Toc6509"/>
      <w:r>
        <w:rPr>
          <w:b/>
          <w:bCs/>
          <w:spacing w:val="6"/>
          <w:sz w:val="32"/>
          <w:szCs w:val="32"/>
        </w:rPr>
        <w:t>第四章</w:t>
      </w:r>
      <w:r>
        <w:rPr>
          <w:rFonts w:hint="eastAsia"/>
          <w:b/>
          <w:bCs/>
          <w:spacing w:val="6"/>
          <w:sz w:val="32"/>
          <w:szCs w:val="32"/>
          <w:lang w:val="en-US" w:eastAsia="zh-CN"/>
        </w:rPr>
        <w:t xml:space="preserve"> </w:t>
      </w:r>
      <w:r>
        <w:rPr>
          <w:b/>
          <w:bCs/>
          <w:spacing w:val="6"/>
          <w:sz w:val="32"/>
          <w:szCs w:val="32"/>
        </w:rPr>
        <w:t>评标办法</w:t>
      </w:r>
      <w:bookmarkEnd w:id="35"/>
    </w:p>
    <w:p w14:paraId="7982396F">
      <w:pPr>
        <w:spacing w:line="297" w:lineRule="auto"/>
        <w:rPr>
          <w:rFonts w:ascii="Arial"/>
          <w:sz w:val="21"/>
        </w:rPr>
      </w:pPr>
    </w:p>
    <w:p w14:paraId="3C4B1692">
      <w:pPr>
        <w:spacing w:line="298" w:lineRule="auto"/>
        <w:rPr>
          <w:rFonts w:ascii="Arial"/>
          <w:sz w:val="21"/>
        </w:rPr>
      </w:pPr>
    </w:p>
    <w:p w14:paraId="72BE305F">
      <w:pPr>
        <w:pStyle w:val="6"/>
        <w:spacing w:before="65" w:line="227" w:lineRule="auto"/>
        <w:ind w:left="415"/>
        <w:rPr>
          <w:sz w:val="21"/>
          <w:szCs w:val="21"/>
        </w:rPr>
      </w:pPr>
      <w:r>
        <w:rPr>
          <w:b/>
          <w:bCs/>
          <w:spacing w:val="7"/>
          <w:sz w:val="21"/>
          <w:szCs w:val="21"/>
        </w:rPr>
        <w:t>一、评标依据及方式</w:t>
      </w:r>
    </w:p>
    <w:p w14:paraId="6D49F62C">
      <w:pPr>
        <w:pStyle w:val="6"/>
        <w:spacing w:before="113" w:line="280" w:lineRule="auto"/>
        <w:ind w:left="4" w:firstLine="432"/>
        <w:rPr>
          <w:sz w:val="21"/>
          <w:szCs w:val="21"/>
        </w:rPr>
      </w:pPr>
      <w:r>
        <w:rPr>
          <w:spacing w:val="4"/>
          <w:sz w:val="21"/>
          <w:szCs w:val="21"/>
        </w:rPr>
        <w:t>1.评标依据：评标委员会以招标文件和投标文件为评标依据，对投标人的投标报价、技术方案、</w:t>
      </w:r>
      <w:r>
        <w:rPr>
          <w:spacing w:val="9"/>
          <w:sz w:val="21"/>
          <w:szCs w:val="21"/>
        </w:rPr>
        <w:t>投入本项目人员、信誉及业绩、综合实力等方面内容按百分制打分。</w:t>
      </w:r>
    </w:p>
    <w:p w14:paraId="520284BE">
      <w:pPr>
        <w:pStyle w:val="6"/>
        <w:spacing w:before="114" w:line="228" w:lineRule="auto"/>
        <w:ind w:left="424"/>
        <w:rPr>
          <w:sz w:val="21"/>
          <w:szCs w:val="21"/>
        </w:rPr>
      </w:pPr>
      <w:r>
        <w:rPr>
          <w:spacing w:val="5"/>
          <w:sz w:val="21"/>
          <w:szCs w:val="21"/>
        </w:rPr>
        <w:t>2.评标方式：以封闭方式进行评标。</w:t>
      </w:r>
    </w:p>
    <w:p w14:paraId="140370CB">
      <w:pPr>
        <w:pStyle w:val="6"/>
        <w:spacing w:before="111" w:line="280" w:lineRule="auto"/>
        <w:ind w:left="209" w:right="71" w:firstLine="216"/>
        <w:rPr>
          <w:rFonts w:ascii="Arial"/>
          <w:sz w:val="21"/>
          <w:szCs w:val="21"/>
        </w:rPr>
      </w:pPr>
      <w:r>
        <w:rPr>
          <w:spacing w:val="10"/>
          <w:sz w:val="21"/>
          <w:szCs w:val="21"/>
        </w:rPr>
        <w:t>3.根据财库〔2012〕69号文规定，采购人和采购代理机构、评标委员会成员要严格遵守政府</w:t>
      </w:r>
      <w:r>
        <w:rPr>
          <w:spacing w:val="9"/>
          <w:sz w:val="21"/>
          <w:szCs w:val="21"/>
        </w:rPr>
        <w:t>采购相关法律制度，依法履行各自职责，公正、客观、审慎地组织和参与评审工作。</w:t>
      </w:r>
    </w:p>
    <w:p w14:paraId="43E6A0EE">
      <w:pPr>
        <w:pStyle w:val="6"/>
        <w:spacing w:before="65" w:line="228" w:lineRule="auto"/>
        <w:ind w:left="425"/>
        <w:rPr>
          <w:sz w:val="21"/>
          <w:szCs w:val="21"/>
        </w:rPr>
      </w:pPr>
      <w:r>
        <w:rPr>
          <w:b/>
          <w:bCs/>
          <w:spacing w:val="6"/>
          <w:sz w:val="21"/>
          <w:szCs w:val="21"/>
        </w:rPr>
        <w:t>二、评标办法</w:t>
      </w:r>
    </w:p>
    <w:p w14:paraId="2158918A">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firstLine="226" w:firstLineChars="100"/>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（一）采购人依据法律法规和招标文件的规定，对投标文件中的资格证明进行资格性审查，以确定投标供应商是否具备投标资格</w:t>
      </w:r>
    </w:p>
    <w:p w14:paraId="4FA88929">
      <w:pPr>
        <w:pStyle w:val="6"/>
        <w:keepNext w:val="0"/>
        <w:keepLines w:val="0"/>
        <w:pageBreakBefore w:val="0"/>
        <w:widowControl/>
        <w:tabs>
          <w:tab w:val="left" w:pos="6105"/>
        </w:tabs>
        <w:kinsoku w:val="0"/>
        <w:wordWrap/>
        <w:overflowPunct/>
        <w:topLinePunct w:val="0"/>
        <w:autoSpaceDE w:val="0"/>
        <w:autoSpaceDN w:val="0"/>
        <w:bidi w:val="0"/>
        <w:adjustRightInd w:val="0"/>
        <w:snapToGrid w:val="0"/>
        <w:spacing w:line="320" w:lineRule="exact"/>
        <w:ind w:left="0" w:firstLine="226" w:firstLineChars="100"/>
        <w:textAlignment w:val="baseline"/>
        <w:rPr>
          <w:rFonts w:hint="eastAsia" w:eastAsia="宋体"/>
          <w:sz w:val="21"/>
          <w:szCs w:val="21"/>
          <w:lang w:eastAsia="zh-CN"/>
        </w:rPr>
      </w:pPr>
      <w:r>
        <w:rPr>
          <w:rFonts w:hint="eastAsia"/>
          <w:spacing w:val="8"/>
          <w:sz w:val="21"/>
          <w:szCs w:val="21"/>
          <w:lang w:eastAsia="zh-CN"/>
        </w:rPr>
        <w:t>（</w:t>
      </w:r>
      <w:r>
        <w:rPr>
          <w:rFonts w:hint="eastAsia"/>
          <w:spacing w:val="8"/>
          <w:sz w:val="21"/>
          <w:szCs w:val="21"/>
          <w:lang w:val="en-US" w:eastAsia="zh-CN"/>
        </w:rPr>
        <w:t>二</w:t>
      </w:r>
      <w:r>
        <w:rPr>
          <w:rFonts w:hint="eastAsia"/>
          <w:spacing w:val="8"/>
          <w:sz w:val="21"/>
          <w:szCs w:val="21"/>
          <w:lang w:eastAsia="zh-CN"/>
        </w:rPr>
        <w:t>）</w:t>
      </w:r>
      <w:r>
        <w:rPr>
          <w:spacing w:val="8"/>
          <w:sz w:val="21"/>
          <w:szCs w:val="21"/>
        </w:rPr>
        <w:t>对进入详评的，采用综合评分法。</w:t>
      </w:r>
      <w:r>
        <w:rPr>
          <w:rFonts w:hint="eastAsia"/>
          <w:spacing w:val="8"/>
          <w:sz w:val="21"/>
          <w:szCs w:val="21"/>
          <w:lang w:eastAsia="zh-CN"/>
        </w:rPr>
        <w:tab/>
      </w:r>
    </w:p>
    <w:p w14:paraId="1A028D8E">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firstLine="226" w:firstLineChars="100"/>
        <w:textAlignment w:val="baseline"/>
        <w:rPr>
          <w:sz w:val="21"/>
          <w:szCs w:val="21"/>
        </w:rPr>
      </w:pPr>
      <w:r>
        <w:rPr>
          <w:spacing w:val="8"/>
          <w:sz w:val="21"/>
          <w:szCs w:val="21"/>
        </w:rPr>
        <w:t>（</w:t>
      </w:r>
      <w:r>
        <w:rPr>
          <w:rFonts w:hint="eastAsia"/>
          <w:spacing w:val="8"/>
          <w:sz w:val="21"/>
          <w:szCs w:val="21"/>
          <w:lang w:val="en-US" w:eastAsia="zh-CN"/>
        </w:rPr>
        <w:t>三</w:t>
      </w:r>
      <w:r>
        <w:rPr>
          <w:spacing w:val="8"/>
          <w:sz w:val="21"/>
          <w:szCs w:val="21"/>
        </w:rPr>
        <w:t>）计分办法（按四舍五入取至小数点后二位）</w:t>
      </w:r>
    </w:p>
    <w:p w14:paraId="3F251645">
      <w:pPr>
        <w:pStyle w:val="6"/>
        <w:spacing w:before="155" w:line="226" w:lineRule="auto"/>
        <w:ind w:left="437"/>
        <w:rPr>
          <w:rFonts w:hint="default" w:eastAsia="宋体"/>
          <w:sz w:val="21"/>
          <w:szCs w:val="21"/>
          <w:lang w:val="en-US" w:eastAsia="zh-CN"/>
        </w:rPr>
      </w:pPr>
      <w:r>
        <w:rPr>
          <w:b/>
          <w:bCs/>
          <w:spacing w:val="12"/>
          <w:sz w:val="21"/>
          <w:szCs w:val="21"/>
        </w:rPr>
        <w:t>1.价格分</w:t>
      </w:r>
      <w:r>
        <w:rPr>
          <w:spacing w:val="12"/>
          <w:sz w:val="21"/>
          <w:szCs w:val="21"/>
        </w:rPr>
        <w:t>………………………………………………………………………………</w:t>
      </w:r>
      <w:r>
        <w:rPr>
          <w:rFonts w:hint="eastAsia"/>
          <w:b/>
          <w:bCs/>
          <w:spacing w:val="12"/>
          <w:sz w:val="21"/>
          <w:szCs w:val="21"/>
          <w:lang w:val="en-US" w:eastAsia="zh-CN"/>
        </w:rPr>
        <w:t>30分</w:t>
      </w:r>
    </w:p>
    <w:p w14:paraId="6D43AA99">
      <w:pPr>
        <w:pStyle w:val="6"/>
        <w:spacing w:before="105" w:line="296" w:lineRule="auto"/>
        <w:ind w:right="70" w:firstLine="430"/>
        <w:rPr>
          <w:sz w:val="21"/>
          <w:szCs w:val="21"/>
        </w:rPr>
      </w:pPr>
      <w:r>
        <w:rPr>
          <w:spacing w:val="9"/>
          <w:sz w:val="21"/>
          <w:szCs w:val="21"/>
        </w:rPr>
        <w:t>（1）根据《政府采购促进中小企业发展管理办法》（财库〔2020〕46号）的规定、《广西壮族自治区财政厅关于进一步发挥政府采购政策</w:t>
      </w:r>
      <w:r>
        <w:rPr>
          <w:spacing w:val="8"/>
          <w:sz w:val="21"/>
          <w:szCs w:val="21"/>
        </w:rPr>
        <w:t>功能促进企业发展的通知》（桂财采〔2022〕30号）</w:t>
      </w:r>
      <w:r>
        <w:rPr>
          <w:spacing w:val="11"/>
          <w:sz w:val="21"/>
          <w:szCs w:val="21"/>
        </w:rPr>
        <w:t>的规定，投标人在其投标文件中提供《中小企业声明函》，投标</w:t>
      </w:r>
      <w:r>
        <w:rPr>
          <w:spacing w:val="10"/>
          <w:sz w:val="21"/>
          <w:szCs w:val="21"/>
        </w:rPr>
        <w:t>人承接本项目的全部服务且投标人</w:t>
      </w:r>
      <w:r>
        <w:rPr>
          <w:spacing w:val="11"/>
          <w:sz w:val="21"/>
          <w:szCs w:val="21"/>
        </w:rPr>
        <w:t>为符合政策要求的小型、微型企业的，对其投标报价给予20%的扣除，扣除后的价格为评标报价，</w:t>
      </w:r>
      <w:r>
        <w:rPr>
          <w:spacing w:val="7"/>
          <w:sz w:val="21"/>
          <w:szCs w:val="21"/>
        </w:rPr>
        <w:t>即评标报价=投标报价×（1-20%</w:t>
      </w:r>
      <w:r>
        <w:rPr>
          <w:spacing w:val="5"/>
          <w:sz w:val="21"/>
          <w:szCs w:val="21"/>
        </w:rPr>
        <w:t>）；</w:t>
      </w:r>
    </w:p>
    <w:p w14:paraId="1A9AC851">
      <w:pPr>
        <w:pStyle w:val="6"/>
        <w:spacing w:before="96" w:line="226" w:lineRule="auto"/>
        <w:ind w:left="431"/>
        <w:rPr>
          <w:sz w:val="21"/>
          <w:szCs w:val="21"/>
        </w:rPr>
      </w:pPr>
      <w:r>
        <w:rPr>
          <w:spacing w:val="7"/>
          <w:sz w:val="21"/>
          <w:szCs w:val="21"/>
        </w:rPr>
        <w:t>（2）除上述情况外，评标报价=投标报价。</w:t>
      </w:r>
    </w:p>
    <w:p w14:paraId="38ADB119">
      <w:pPr>
        <w:pStyle w:val="6"/>
        <w:spacing w:before="94" w:line="299" w:lineRule="auto"/>
        <w:ind w:left="4" w:right="106" w:firstLine="417"/>
        <w:rPr>
          <w:sz w:val="21"/>
          <w:szCs w:val="21"/>
        </w:rPr>
      </w:pPr>
      <w:r>
        <w:rPr>
          <w:b/>
          <w:bCs/>
          <w:spacing w:val="8"/>
          <w:sz w:val="21"/>
          <w:szCs w:val="21"/>
        </w:rPr>
        <w:t>注：评标报价为投标人的投标报价进行政策性扣除后的价格，评标</w:t>
      </w:r>
      <w:r>
        <w:rPr>
          <w:b/>
          <w:bCs/>
          <w:spacing w:val="7"/>
          <w:sz w:val="21"/>
          <w:szCs w:val="21"/>
        </w:rPr>
        <w:t>报价只是作为评标时使用。最终中标人的中标金额＝投标报价。</w:t>
      </w:r>
    </w:p>
    <w:p w14:paraId="3B81FC53">
      <w:pPr>
        <w:pStyle w:val="6"/>
        <w:spacing w:before="35" w:line="292" w:lineRule="auto"/>
        <w:ind w:right="68" w:firstLine="369"/>
        <w:rPr>
          <w:sz w:val="21"/>
          <w:szCs w:val="21"/>
        </w:rPr>
      </w:pPr>
      <w:r>
        <w:rPr>
          <w:spacing w:val="7"/>
          <w:sz w:val="21"/>
          <w:szCs w:val="21"/>
        </w:rPr>
        <w:t>（3）根据《关于政府采购支持监狱企业发展有关问题的通知》（财库[2014]68号）和《关于促</w:t>
      </w:r>
      <w:r>
        <w:rPr>
          <w:spacing w:val="10"/>
          <w:sz w:val="21"/>
          <w:szCs w:val="21"/>
        </w:rPr>
        <w:t>进残疾人就业政府采购政策的通知》（财库[2017]1</w:t>
      </w:r>
      <w:r>
        <w:rPr>
          <w:spacing w:val="9"/>
          <w:sz w:val="21"/>
          <w:szCs w:val="21"/>
        </w:rPr>
        <w:t>41号</w:t>
      </w:r>
      <w:r>
        <w:rPr>
          <w:spacing w:val="-2"/>
          <w:sz w:val="21"/>
          <w:szCs w:val="21"/>
        </w:rPr>
        <w:t>），</w:t>
      </w:r>
      <w:r>
        <w:rPr>
          <w:spacing w:val="9"/>
          <w:sz w:val="21"/>
          <w:szCs w:val="21"/>
        </w:rPr>
        <w:t>监狱企业和符合条件的残疾人福利性</w:t>
      </w:r>
      <w:r>
        <w:rPr>
          <w:spacing w:val="11"/>
          <w:sz w:val="21"/>
          <w:szCs w:val="21"/>
        </w:rPr>
        <w:t>单位视同小型、微型企业，享受小型、微型企业评审中价格扣除的政府</w:t>
      </w:r>
      <w:r>
        <w:rPr>
          <w:spacing w:val="10"/>
          <w:sz w:val="21"/>
          <w:szCs w:val="21"/>
        </w:rPr>
        <w:t>采购政策。监狱企业和残疾</w:t>
      </w:r>
      <w:r>
        <w:rPr>
          <w:spacing w:val="9"/>
          <w:sz w:val="21"/>
          <w:szCs w:val="21"/>
        </w:rPr>
        <w:t>人福利性单位属于小型、微型企业的，不重复享受政策。</w:t>
      </w:r>
    </w:p>
    <w:p w14:paraId="5AF846A5">
      <w:pPr>
        <w:pStyle w:val="6"/>
        <w:spacing w:before="92" w:line="226" w:lineRule="auto"/>
        <w:ind w:left="369"/>
        <w:rPr>
          <w:sz w:val="21"/>
          <w:szCs w:val="21"/>
        </w:rPr>
      </w:pPr>
      <w:r>
        <w:rPr>
          <w:spacing w:val="4"/>
          <w:sz w:val="21"/>
          <w:szCs w:val="21"/>
        </w:rPr>
        <w:t>（4）以进入评标的最低的评标报价为30分。</w:t>
      </w:r>
    </w:p>
    <w:p w14:paraId="6284EE0F">
      <w:pPr>
        <w:pStyle w:val="9"/>
        <w:spacing w:line="340" w:lineRule="exact"/>
        <w:ind w:firstLine="3255" w:firstLineChars="1550"/>
        <w:rPr>
          <w:rFonts w:hAnsi="宋体"/>
          <w:color w:val="000000"/>
          <w:szCs w:val="21"/>
          <w:highlight w:val="none"/>
        </w:rPr>
      </w:pPr>
      <w:r>
        <w:rPr>
          <w:rFonts w:hint="eastAsia" w:hAnsi="宋体"/>
          <w:color w:val="000000"/>
          <w:szCs w:val="21"/>
          <w:highlight w:val="none"/>
        </w:rPr>
        <w:t xml:space="preserve">最低投标人评标报价金额          </w:t>
      </w:r>
    </w:p>
    <w:p w14:paraId="58CC35F7">
      <w:pPr>
        <w:pStyle w:val="9"/>
        <w:spacing w:line="340" w:lineRule="exact"/>
        <w:ind w:firstLine="359" w:firstLineChars="171"/>
        <w:rPr>
          <w:rFonts w:hAnsi="宋体"/>
          <w:color w:val="000000"/>
          <w:szCs w:val="21"/>
          <w:highlight w:val="none"/>
        </w:rPr>
      </w:pPr>
      <w:r>
        <w:rPr>
          <w:color w:val="000000"/>
          <w:highlight w:val="none"/>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111125</wp:posOffset>
                </wp:positionV>
                <wp:extent cx="2199640" cy="0"/>
                <wp:effectExtent l="0" t="4445" r="0" b="0"/>
                <wp:wrapNone/>
                <wp:docPr id="1" name="直接连接符 1"/>
                <wp:cNvGraphicFramePr/>
                <a:graphic xmlns:a="http://schemas.openxmlformats.org/drawingml/2006/main">
                  <a:graphicData uri="http://schemas.microsoft.com/office/word/2010/wordprocessingShape">
                    <wps:wsp>
                      <wps:cNvCnPr/>
                      <wps:spPr>
                        <a:xfrm>
                          <a:off x="0" y="0"/>
                          <a:ext cx="21996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8.75pt;height:0pt;width:173.2pt;z-index:251662336;mso-width-relative:page;mso-height-relative:page;" filled="f" stroked="t" coordsize="21600,21600" o:gfxdata="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EPx9PXAAAACQEAAA8AAAAAAAAAAQAgAAAAIgAAAGRycy9kb3ducmV2LnhtbFBLAQIU&#10;ABQAAAAIAIdO4kCbZEtF9AEAAOQDAAAOAAAAAAAAAAEAIAAAACYBAABkcnMvZTJvRG9jLnhtbFBL&#10;BQYAAAAABgAGAFkBAACMBQAAAAA=&#10;">
                <v:fill on="f" focussize="0,0"/>
                <v:stroke color="#000000" joinstyle="round"/>
                <v:imagedata o:title=""/>
                <o:lock v:ext="edit" aspectratio="f"/>
              </v:line>
            </w:pict>
          </mc:Fallback>
        </mc:AlternateContent>
      </w:r>
      <w:r>
        <w:rPr>
          <w:rFonts w:hint="eastAsia" w:hAnsi="宋体"/>
          <w:color w:val="000000"/>
          <w:szCs w:val="21"/>
          <w:highlight w:val="none"/>
        </w:rPr>
        <w:t>（</w:t>
      </w:r>
      <w:r>
        <w:rPr>
          <w:rFonts w:hint="eastAsia" w:hAnsi="宋体"/>
          <w:color w:val="000000"/>
          <w:szCs w:val="21"/>
          <w:highlight w:val="none"/>
          <w:lang w:val="en-US" w:eastAsia="zh-CN"/>
        </w:rPr>
        <w:t>2</w:t>
      </w:r>
      <w:r>
        <w:rPr>
          <w:rFonts w:hint="eastAsia" w:hAnsi="宋体"/>
          <w:color w:val="000000"/>
          <w:szCs w:val="21"/>
          <w:highlight w:val="none"/>
        </w:rPr>
        <w:t xml:space="preserve">）投标人价格分 =                               　   </w:t>
      </w:r>
      <w:r>
        <w:rPr>
          <w:rFonts w:hint="eastAsia" w:hAnsi="宋体" w:eastAsia="宋体"/>
          <w:color w:val="000000"/>
          <w:szCs w:val="21"/>
          <w:highlight w:val="none"/>
          <w:lang w:val="en-US" w:eastAsia="zh-CN"/>
        </w:rPr>
        <w:t xml:space="preserve">   </w:t>
      </w:r>
      <w:r>
        <w:rPr>
          <w:rFonts w:hint="eastAsia" w:hAnsi="宋体"/>
          <w:color w:val="000000"/>
          <w:szCs w:val="21"/>
          <w:highlight w:val="none"/>
        </w:rPr>
        <w:t>×</w:t>
      </w:r>
      <w:r>
        <w:rPr>
          <w:rFonts w:hint="eastAsia" w:hAnsi="宋体"/>
          <w:color w:val="000000"/>
          <w:szCs w:val="21"/>
          <w:highlight w:val="none"/>
          <w:lang w:val="en-US" w:eastAsia="zh-CN"/>
        </w:rPr>
        <w:t>30</w:t>
      </w:r>
      <w:r>
        <w:rPr>
          <w:rFonts w:hint="eastAsia" w:hAnsi="宋体"/>
          <w:color w:val="000000"/>
          <w:szCs w:val="21"/>
          <w:highlight w:val="none"/>
        </w:rPr>
        <w:t>分</w:t>
      </w:r>
    </w:p>
    <w:p w14:paraId="26FBF701">
      <w:pPr>
        <w:pStyle w:val="9"/>
        <w:spacing w:line="340" w:lineRule="exact"/>
        <w:ind w:firstLine="535" w:firstLineChars="255"/>
        <w:rPr>
          <w:rFonts w:hAnsi="宋体"/>
          <w:color w:val="000000"/>
          <w:szCs w:val="21"/>
          <w:highlight w:val="none"/>
        </w:rPr>
      </w:pPr>
      <w:r>
        <w:rPr>
          <w:rFonts w:hint="eastAsia" w:hAnsi="宋体"/>
          <w:color w:val="000000"/>
          <w:szCs w:val="21"/>
          <w:highlight w:val="none"/>
        </w:rPr>
        <w:t xml:space="preserve">                           投标人评标报价金额  </w:t>
      </w:r>
    </w:p>
    <w:p w14:paraId="55597112">
      <w:pPr>
        <w:pStyle w:val="6"/>
        <w:spacing w:before="144" w:line="228" w:lineRule="auto"/>
        <w:ind w:left="424"/>
        <w:rPr>
          <w:sz w:val="21"/>
          <w:szCs w:val="21"/>
        </w:rPr>
      </w:pPr>
      <w:r>
        <w:rPr>
          <w:b/>
          <w:bCs/>
          <w:spacing w:val="9"/>
          <w:sz w:val="21"/>
          <w:szCs w:val="21"/>
        </w:rPr>
        <w:t>2.技术方案分……………………………………………………………………………45分</w:t>
      </w:r>
    </w:p>
    <w:p w14:paraId="34E66CB4">
      <w:pPr>
        <w:pStyle w:val="6"/>
        <w:spacing w:before="153" w:line="228" w:lineRule="auto"/>
        <w:ind w:left="431"/>
        <w:rPr>
          <w:sz w:val="21"/>
          <w:szCs w:val="21"/>
        </w:rPr>
      </w:pPr>
      <w:r>
        <w:rPr>
          <w:b/>
          <w:bCs/>
          <w:spacing w:val="3"/>
          <w:sz w:val="21"/>
          <w:szCs w:val="21"/>
        </w:rPr>
        <w:t>（1）运营实施方案分（满分10分）</w:t>
      </w:r>
    </w:p>
    <w:p w14:paraId="61D883A7">
      <w:pPr>
        <w:pStyle w:val="6"/>
        <w:spacing w:before="138" w:line="227" w:lineRule="auto"/>
        <w:ind w:left="421"/>
        <w:rPr>
          <w:sz w:val="21"/>
          <w:szCs w:val="21"/>
        </w:rPr>
      </w:pPr>
      <w:r>
        <w:rPr>
          <w:spacing w:val="9"/>
          <w:sz w:val="21"/>
          <w:szCs w:val="21"/>
        </w:rPr>
        <w:t>根据投标人提供的运营实施方案的完整度、响应程度、服务承诺优劣等进行评审。</w:t>
      </w:r>
    </w:p>
    <w:p w14:paraId="4D9778B0">
      <w:pPr>
        <w:pStyle w:val="6"/>
        <w:keepNext w:val="0"/>
        <w:keepLines w:val="0"/>
        <w:pageBreakBefore w:val="0"/>
        <w:widowControl/>
        <w:kinsoku w:val="0"/>
        <w:wordWrap/>
        <w:overflowPunct/>
        <w:topLinePunct w:val="0"/>
        <w:autoSpaceDE w:val="0"/>
        <w:autoSpaceDN w:val="0"/>
        <w:bidi w:val="0"/>
        <w:adjustRightInd w:val="0"/>
        <w:snapToGrid w:val="0"/>
        <w:spacing w:before="132" w:line="336" w:lineRule="auto"/>
        <w:ind w:left="1" w:right="164" w:firstLine="423"/>
        <w:jc w:val="both"/>
        <w:textAlignment w:val="baseline"/>
        <w:rPr>
          <w:sz w:val="20"/>
          <w:szCs w:val="20"/>
        </w:rPr>
      </w:pPr>
      <w:r>
        <w:rPr>
          <w:spacing w:val="11"/>
          <w:sz w:val="21"/>
          <w:szCs w:val="21"/>
        </w:rPr>
        <w:t>一档</w:t>
      </w:r>
      <w:r>
        <w:rPr>
          <w:spacing w:val="-6"/>
          <w:sz w:val="21"/>
          <w:szCs w:val="21"/>
        </w:rPr>
        <w:t>：（</w:t>
      </w:r>
      <w:r>
        <w:rPr>
          <w:spacing w:val="11"/>
          <w:sz w:val="21"/>
          <w:szCs w:val="21"/>
        </w:rPr>
        <w:t>1分）提供有运营实施方案简单，内容</w:t>
      </w:r>
      <w:r>
        <w:rPr>
          <w:spacing w:val="10"/>
          <w:sz w:val="21"/>
          <w:szCs w:val="21"/>
        </w:rPr>
        <w:t>缺失较多，阐述基本完整、但不详细，条理不</w:t>
      </w:r>
      <w:r>
        <w:rPr>
          <w:spacing w:val="3"/>
          <w:sz w:val="21"/>
          <w:szCs w:val="21"/>
        </w:rPr>
        <w:t>清晰</w:t>
      </w:r>
      <w:r>
        <w:rPr>
          <w:spacing w:val="3"/>
          <w:sz w:val="20"/>
          <w:szCs w:val="20"/>
        </w:rPr>
        <w:t>；</w:t>
      </w:r>
    </w:p>
    <w:p w14:paraId="7E1BDD92">
      <w:pPr>
        <w:keepNext w:val="0"/>
        <w:keepLines w:val="0"/>
        <w:pageBreakBefore w:val="0"/>
        <w:widowControl/>
        <w:kinsoku w:val="0"/>
        <w:wordWrap/>
        <w:overflowPunct/>
        <w:topLinePunct w:val="0"/>
        <w:autoSpaceDE w:val="0"/>
        <w:autoSpaceDN w:val="0"/>
        <w:bidi w:val="0"/>
        <w:adjustRightInd w:val="0"/>
        <w:snapToGrid w:val="0"/>
        <w:spacing w:line="336" w:lineRule="auto"/>
        <w:jc w:val="both"/>
        <w:textAlignment w:val="baseline"/>
        <w:rPr>
          <w:sz w:val="20"/>
          <w:szCs w:val="20"/>
        </w:rPr>
        <w:sectPr>
          <w:footerReference r:id="rId13" w:type="default"/>
          <w:pgSz w:w="11906" w:h="16839"/>
          <w:pgMar w:top="1431" w:right="1349" w:bottom="1355" w:left="1424" w:header="0" w:footer="1193" w:gutter="0"/>
          <w:pgNumType w:fmt="decimal"/>
          <w:cols w:space="720" w:num="1"/>
        </w:sectPr>
      </w:pPr>
    </w:p>
    <w:p w14:paraId="3A90C3D2">
      <w:pPr>
        <w:pStyle w:val="6"/>
        <w:keepNext w:val="0"/>
        <w:keepLines w:val="0"/>
        <w:pageBreakBefore w:val="0"/>
        <w:widowControl/>
        <w:kinsoku w:val="0"/>
        <w:wordWrap/>
        <w:overflowPunct/>
        <w:topLinePunct w:val="0"/>
        <w:autoSpaceDE w:val="0"/>
        <w:autoSpaceDN w:val="0"/>
        <w:bidi w:val="0"/>
        <w:adjustRightInd w:val="0"/>
        <w:snapToGrid w:val="0"/>
        <w:spacing w:before="111" w:line="335" w:lineRule="auto"/>
        <w:ind w:left="2" w:right="164" w:firstLine="422"/>
        <w:jc w:val="both"/>
        <w:textAlignment w:val="baseline"/>
        <w:rPr>
          <w:sz w:val="21"/>
          <w:szCs w:val="21"/>
        </w:rPr>
      </w:pPr>
      <w:r>
        <w:rPr>
          <w:spacing w:val="12"/>
          <w:sz w:val="21"/>
          <w:szCs w:val="21"/>
        </w:rPr>
        <w:t>二档</w:t>
      </w:r>
      <w:r>
        <w:rPr>
          <w:spacing w:val="-5"/>
          <w:sz w:val="21"/>
          <w:szCs w:val="21"/>
        </w:rPr>
        <w:t>：（</w:t>
      </w:r>
      <w:r>
        <w:rPr>
          <w:spacing w:val="12"/>
          <w:sz w:val="21"/>
          <w:szCs w:val="21"/>
        </w:rPr>
        <w:t>3分）提供有运营实施方案基本完整、但不够</w:t>
      </w:r>
      <w:r>
        <w:rPr>
          <w:spacing w:val="11"/>
          <w:sz w:val="21"/>
          <w:szCs w:val="21"/>
        </w:rPr>
        <w:t>全面、有针对性一般，方案包含有人员</w:t>
      </w:r>
      <w:r>
        <w:rPr>
          <w:spacing w:val="9"/>
          <w:sz w:val="21"/>
          <w:szCs w:val="21"/>
        </w:rPr>
        <w:t>培训、管理制度、应急保障方案、薪酬管理方案、年度费用预算方案，但陈述不详细，清晰；</w:t>
      </w:r>
    </w:p>
    <w:p w14:paraId="2DA024D1">
      <w:pPr>
        <w:pStyle w:val="6"/>
        <w:keepNext w:val="0"/>
        <w:keepLines w:val="0"/>
        <w:pageBreakBefore w:val="0"/>
        <w:widowControl/>
        <w:kinsoku w:val="0"/>
        <w:wordWrap/>
        <w:overflowPunct/>
        <w:topLinePunct w:val="0"/>
        <w:autoSpaceDE w:val="0"/>
        <w:autoSpaceDN w:val="0"/>
        <w:bidi w:val="0"/>
        <w:adjustRightInd w:val="0"/>
        <w:snapToGrid w:val="0"/>
        <w:spacing w:before="34" w:line="335" w:lineRule="auto"/>
        <w:ind w:left="2" w:right="164" w:firstLine="419"/>
        <w:jc w:val="both"/>
        <w:textAlignment w:val="baseline"/>
        <w:rPr>
          <w:sz w:val="21"/>
          <w:szCs w:val="21"/>
        </w:rPr>
      </w:pPr>
      <w:r>
        <w:rPr>
          <w:spacing w:val="12"/>
          <w:sz w:val="21"/>
          <w:szCs w:val="21"/>
        </w:rPr>
        <w:t>三档</w:t>
      </w:r>
      <w:r>
        <w:rPr>
          <w:spacing w:val="-5"/>
          <w:sz w:val="21"/>
          <w:szCs w:val="21"/>
        </w:rPr>
        <w:t>：（</w:t>
      </w:r>
      <w:r>
        <w:rPr>
          <w:spacing w:val="12"/>
          <w:sz w:val="21"/>
          <w:szCs w:val="21"/>
        </w:rPr>
        <w:t>5分）提供有运营实施方案基本完整、基本全面、有</w:t>
      </w:r>
      <w:r>
        <w:rPr>
          <w:spacing w:val="11"/>
          <w:sz w:val="21"/>
          <w:szCs w:val="21"/>
        </w:rPr>
        <w:t>针对性但不强，方案包含有人员</w:t>
      </w:r>
      <w:r>
        <w:rPr>
          <w:spacing w:val="9"/>
          <w:sz w:val="21"/>
          <w:szCs w:val="21"/>
        </w:rPr>
        <w:t>培训、管理制度、薪酬管理方案、年度费用预算方案等，但陈述基本详细、具体，基本可行；</w:t>
      </w:r>
    </w:p>
    <w:p w14:paraId="4C1A883D">
      <w:pPr>
        <w:pStyle w:val="6"/>
        <w:keepNext w:val="0"/>
        <w:keepLines w:val="0"/>
        <w:pageBreakBefore w:val="0"/>
        <w:widowControl/>
        <w:kinsoku w:val="0"/>
        <w:wordWrap/>
        <w:overflowPunct/>
        <w:topLinePunct w:val="0"/>
        <w:autoSpaceDE w:val="0"/>
        <w:autoSpaceDN w:val="0"/>
        <w:bidi w:val="0"/>
        <w:adjustRightInd w:val="0"/>
        <w:snapToGrid w:val="0"/>
        <w:spacing w:before="32" w:line="341" w:lineRule="auto"/>
        <w:ind w:right="16" w:firstLine="441"/>
        <w:jc w:val="both"/>
        <w:textAlignment w:val="baseline"/>
        <w:rPr>
          <w:sz w:val="21"/>
          <w:szCs w:val="21"/>
        </w:rPr>
      </w:pPr>
      <w:r>
        <w:rPr>
          <w:spacing w:val="10"/>
          <w:sz w:val="21"/>
          <w:szCs w:val="21"/>
        </w:rPr>
        <w:t>四档</w:t>
      </w:r>
      <w:r>
        <w:rPr>
          <w:spacing w:val="-5"/>
          <w:sz w:val="21"/>
          <w:szCs w:val="21"/>
        </w:rPr>
        <w:t>：（</w:t>
      </w:r>
      <w:r>
        <w:rPr>
          <w:spacing w:val="10"/>
          <w:sz w:val="21"/>
          <w:szCs w:val="21"/>
        </w:rPr>
        <w:t>7分）提供有运营实施方案较完整、较全面</w:t>
      </w:r>
      <w:r>
        <w:rPr>
          <w:spacing w:val="9"/>
          <w:sz w:val="21"/>
          <w:szCs w:val="21"/>
        </w:rPr>
        <w:t>、较有针对性，具有可行性，方案包含有</w:t>
      </w:r>
      <w:r>
        <w:rPr>
          <w:spacing w:val="7"/>
          <w:sz w:val="21"/>
          <w:szCs w:val="21"/>
        </w:rPr>
        <w:t>人员培训、管理制度、应急保障方案、薪酬管理方案、年度费用预算方案，保密承诺及廉洁承诺等，</w:t>
      </w:r>
      <w:r>
        <w:rPr>
          <w:spacing w:val="9"/>
          <w:sz w:val="21"/>
          <w:szCs w:val="21"/>
        </w:rPr>
        <w:t>但陈述基本详细、具体，服务承诺和保障措施考虑较周全；</w:t>
      </w:r>
    </w:p>
    <w:p w14:paraId="523EDAC2">
      <w:pPr>
        <w:pStyle w:val="6"/>
        <w:keepNext w:val="0"/>
        <w:keepLines w:val="0"/>
        <w:pageBreakBefore w:val="0"/>
        <w:widowControl/>
        <w:kinsoku w:val="0"/>
        <w:wordWrap/>
        <w:overflowPunct/>
        <w:topLinePunct w:val="0"/>
        <w:autoSpaceDE w:val="0"/>
        <w:autoSpaceDN w:val="0"/>
        <w:bidi w:val="0"/>
        <w:adjustRightInd w:val="0"/>
        <w:snapToGrid w:val="0"/>
        <w:spacing w:before="30" w:line="323" w:lineRule="auto"/>
        <w:ind w:left="2" w:firstLine="422"/>
        <w:jc w:val="both"/>
        <w:textAlignment w:val="baseline"/>
        <w:rPr>
          <w:sz w:val="21"/>
          <w:szCs w:val="21"/>
        </w:rPr>
      </w:pPr>
      <w:r>
        <w:rPr>
          <w:spacing w:val="6"/>
          <w:sz w:val="21"/>
          <w:szCs w:val="21"/>
        </w:rPr>
        <w:t>五档（10分</w:t>
      </w:r>
      <w:r>
        <w:rPr>
          <w:spacing w:val="-2"/>
          <w:sz w:val="21"/>
          <w:szCs w:val="21"/>
        </w:rPr>
        <w:t>）：</w:t>
      </w:r>
      <w:r>
        <w:rPr>
          <w:spacing w:val="6"/>
          <w:sz w:val="21"/>
          <w:szCs w:val="21"/>
        </w:rPr>
        <w:t>提供的运营实施方案完整、全面、有针对性，可行性强，方案包含有人员培训、</w:t>
      </w:r>
      <w:r>
        <w:rPr>
          <w:spacing w:val="10"/>
          <w:sz w:val="21"/>
          <w:szCs w:val="21"/>
        </w:rPr>
        <w:t>管理制度、应急保障方案、薪酬管理方案、年度费用预算方案，保密承</w:t>
      </w:r>
      <w:r>
        <w:rPr>
          <w:spacing w:val="9"/>
          <w:sz w:val="21"/>
          <w:szCs w:val="21"/>
        </w:rPr>
        <w:t>诺及廉洁承诺等，服务承诺</w:t>
      </w:r>
      <w:r>
        <w:rPr>
          <w:spacing w:val="8"/>
          <w:sz w:val="21"/>
          <w:szCs w:val="21"/>
        </w:rPr>
        <w:t>和保障措施考虑周全完整到位。</w:t>
      </w:r>
    </w:p>
    <w:p w14:paraId="084B0EC9">
      <w:pPr>
        <w:pStyle w:val="6"/>
        <w:spacing w:before="1" w:line="226" w:lineRule="auto"/>
        <w:ind w:left="421"/>
        <w:rPr>
          <w:sz w:val="21"/>
          <w:szCs w:val="21"/>
        </w:rPr>
      </w:pPr>
      <w:r>
        <w:rPr>
          <w:b/>
          <w:bCs/>
          <w:spacing w:val="7"/>
          <w:sz w:val="21"/>
          <w:szCs w:val="21"/>
        </w:rPr>
        <w:t>注：不提供运营实施方案不得分。</w:t>
      </w:r>
    </w:p>
    <w:p w14:paraId="13728643">
      <w:pPr>
        <w:pStyle w:val="6"/>
        <w:spacing w:before="133" w:line="228" w:lineRule="auto"/>
        <w:ind w:left="431"/>
        <w:rPr>
          <w:sz w:val="21"/>
          <w:szCs w:val="21"/>
        </w:rPr>
      </w:pPr>
      <w:r>
        <w:rPr>
          <w:b/>
          <w:bCs/>
          <w:spacing w:val="3"/>
          <w:sz w:val="21"/>
          <w:szCs w:val="21"/>
        </w:rPr>
        <w:t>（2）质量保障措施（满分10分）</w:t>
      </w:r>
    </w:p>
    <w:p w14:paraId="566FFA05">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jc w:val="both"/>
        <w:textAlignment w:val="baseline"/>
        <w:rPr>
          <w:rFonts w:hint="eastAsia" w:eastAsia="宋体"/>
          <w:spacing w:val="7"/>
          <w:sz w:val="21"/>
          <w:szCs w:val="21"/>
          <w:lang w:val="en-US" w:eastAsia="zh-CN"/>
        </w:rPr>
      </w:pPr>
      <w:r>
        <w:rPr>
          <w:spacing w:val="7"/>
          <w:sz w:val="21"/>
          <w:szCs w:val="21"/>
        </w:rPr>
        <w:t>一档（1分</w:t>
      </w:r>
      <w:r>
        <w:rPr>
          <w:spacing w:val="21"/>
          <w:sz w:val="21"/>
          <w:szCs w:val="21"/>
        </w:rPr>
        <w:t>）：</w:t>
      </w:r>
      <w:r>
        <w:rPr>
          <w:spacing w:val="7"/>
          <w:sz w:val="21"/>
          <w:szCs w:val="21"/>
        </w:rPr>
        <w:t>质量保障措施描述简单，有质量总目标，质量控制的基本程序不明</w:t>
      </w:r>
      <w:r>
        <w:rPr>
          <w:rFonts w:hint="eastAsia"/>
          <w:spacing w:val="7"/>
          <w:sz w:val="21"/>
          <w:szCs w:val="21"/>
          <w:lang w:val="en-US" w:eastAsia="zh-CN"/>
        </w:rPr>
        <w:t>确；</w:t>
      </w:r>
    </w:p>
    <w:p w14:paraId="48263E34">
      <w:pPr>
        <w:pStyle w:val="6"/>
        <w:keepNext w:val="0"/>
        <w:keepLines w:val="0"/>
        <w:pageBreakBefore w:val="0"/>
        <w:widowControl/>
        <w:kinsoku w:val="0"/>
        <w:wordWrap/>
        <w:overflowPunct/>
        <w:topLinePunct w:val="0"/>
        <w:autoSpaceDE w:val="0"/>
        <w:autoSpaceDN w:val="0"/>
        <w:bidi w:val="0"/>
        <w:adjustRightInd w:val="0"/>
        <w:snapToGrid w:val="0"/>
        <w:spacing w:before="138" w:line="337" w:lineRule="auto"/>
        <w:ind w:left="425" w:right="846"/>
        <w:jc w:val="both"/>
        <w:textAlignment w:val="baseline"/>
        <w:rPr>
          <w:rFonts w:hint="eastAsia" w:eastAsia="宋体"/>
          <w:sz w:val="21"/>
          <w:szCs w:val="21"/>
          <w:lang w:eastAsia="zh-CN"/>
        </w:rPr>
      </w:pPr>
      <w:r>
        <w:rPr>
          <w:spacing w:val="8"/>
          <w:sz w:val="21"/>
          <w:szCs w:val="21"/>
        </w:rPr>
        <w:t>二档（3分</w:t>
      </w:r>
      <w:r>
        <w:rPr>
          <w:spacing w:val="21"/>
          <w:sz w:val="21"/>
          <w:szCs w:val="21"/>
        </w:rPr>
        <w:t>）：</w:t>
      </w:r>
      <w:r>
        <w:rPr>
          <w:spacing w:val="8"/>
          <w:sz w:val="21"/>
          <w:szCs w:val="21"/>
        </w:rPr>
        <w:t>质量保障措施描述简单，有质量总目标，质量控制的基本程序</w:t>
      </w:r>
      <w:r>
        <w:rPr>
          <w:rFonts w:hint="eastAsia"/>
          <w:spacing w:val="8"/>
          <w:sz w:val="21"/>
          <w:szCs w:val="21"/>
          <w:lang w:eastAsia="zh-CN"/>
        </w:rPr>
        <w:t>；</w:t>
      </w:r>
    </w:p>
    <w:p w14:paraId="54177248">
      <w:pPr>
        <w:pStyle w:val="6"/>
        <w:keepNext w:val="0"/>
        <w:keepLines w:val="0"/>
        <w:pageBreakBefore w:val="0"/>
        <w:widowControl/>
        <w:kinsoku w:val="0"/>
        <w:wordWrap/>
        <w:overflowPunct/>
        <w:topLinePunct w:val="0"/>
        <w:autoSpaceDE w:val="0"/>
        <w:autoSpaceDN w:val="0"/>
        <w:bidi w:val="0"/>
        <w:adjustRightInd w:val="0"/>
        <w:snapToGrid w:val="0"/>
        <w:spacing w:before="31" w:line="335" w:lineRule="auto"/>
        <w:ind w:right="162" w:firstLine="420"/>
        <w:jc w:val="both"/>
        <w:textAlignment w:val="baseline"/>
        <w:rPr>
          <w:sz w:val="21"/>
          <w:szCs w:val="21"/>
        </w:rPr>
      </w:pPr>
      <w:r>
        <w:rPr>
          <w:spacing w:val="9"/>
          <w:sz w:val="21"/>
          <w:szCs w:val="21"/>
        </w:rPr>
        <w:t>三档（5分</w:t>
      </w:r>
      <w:r>
        <w:rPr>
          <w:spacing w:val="15"/>
          <w:sz w:val="21"/>
          <w:szCs w:val="21"/>
        </w:rPr>
        <w:t>）：</w:t>
      </w:r>
      <w:r>
        <w:rPr>
          <w:spacing w:val="9"/>
          <w:sz w:val="21"/>
          <w:szCs w:val="21"/>
        </w:rPr>
        <w:t>质量保障措施描述较完整，有质量总目标且进行了目标分解，质量控制的基本程序（包括质量事故的处理程序）及预防控制措施较为完整；</w:t>
      </w:r>
    </w:p>
    <w:p w14:paraId="65115D8C">
      <w:pPr>
        <w:pStyle w:val="6"/>
        <w:keepNext w:val="0"/>
        <w:keepLines w:val="0"/>
        <w:pageBreakBefore w:val="0"/>
        <w:widowControl/>
        <w:kinsoku w:val="0"/>
        <w:wordWrap/>
        <w:overflowPunct/>
        <w:topLinePunct w:val="0"/>
        <w:autoSpaceDE w:val="0"/>
        <w:autoSpaceDN w:val="0"/>
        <w:bidi w:val="0"/>
        <w:adjustRightInd w:val="0"/>
        <w:snapToGrid w:val="0"/>
        <w:spacing w:before="35" w:line="335" w:lineRule="auto"/>
        <w:ind w:right="162" w:firstLine="440"/>
        <w:jc w:val="both"/>
        <w:textAlignment w:val="baseline"/>
        <w:rPr>
          <w:sz w:val="21"/>
          <w:szCs w:val="21"/>
        </w:rPr>
      </w:pPr>
      <w:r>
        <w:rPr>
          <w:spacing w:val="9"/>
          <w:sz w:val="21"/>
          <w:szCs w:val="21"/>
        </w:rPr>
        <w:t>四档（7分</w:t>
      </w:r>
      <w:r>
        <w:rPr>
          <w:spacing w:val="14"/>
          <w:sz w:val="21"/>
          <w:szCs w:val="21"/>
        </w:rPr>
        <w:t>）：</w:t>
      </w:r>
      <w:r>
        <w:rPr>
          <w:spacing w:val="9"/>
          <w:sz w:val="21"/>
          <w:szCs w:val="21"/>
        </w:rPr>
        <w:t>质量保障措施描述完整、有针对性、</w:t>
      </w:r>
      <w:r>
        <w:rPr>
          <w:spacing w:val="8"/>
          <w:sz w:val="21"/>
          <w:szCs w:val="21"/>
        </w:rPr>
        <w:t>有合理性，有质量总目标且进行了目标分</w:t>
      </w:r>
      <w:r>
        <w:rPr>
          <w:spacing w:val="9"/>
          <w:sz w:val="21"/>
          <w:szCs w:val="21"/>
        </w:rPr>
        <w:t>解，质量控制的详细程序（包括质量事故的处理程序）及预防控制措施较好；</w:t>
      </w:r>
    </w:p>
    <w:p w14:paraId="379A6230">
      <w:pPr>
        <w:pStyle w:val="6"/>
        <w:keepNext w:val="0"/>
        <w:keepLines w:val="0"/>
        <w:pageBreakBefore w:val="0"/>
        <w:widowControl/>
        <w:kinsoku w:val="0"/>
        <w:wordWrap/>
        <w:overflowPunct/>
        <w:topLinePunct w:val="0"/>
        <w:autoSpaceDE w:val="0"/>
        <w:autoSpaceDN w:val="0"/>
        <w:bidi w:val="0"/>
        <w:adjustRightInd w:val="0"/>
        <w:snapToGrid w:val="0"/>
        <w:spacing w:before="30" w:line="338" w:lineRule="auto"/>
        <w:ind w:left="41" w:right="70" w:firstLine="383"/>
        <w:jc w:val="both"/>
        <w:textAlignment w:val="baseline"/>
        <w:rPr>
          <w:sz w:val="20"/>
          <w:szCs w:val="20"/>
        </w:rPr>
      </w:pPr>
      <w:r>
        <w:rPr>
          <w:spacing w:val="9"/>
          <w:sz w:val="21"/>
          <w:szCs w:val="21"/>
        </w:rPr>
        <w:t>五档（10分</w:t>
      </w:r>
      <w:r>
        <w:rPr>
          <w:spacing w:val="12"/>
          <w:sz w:val="21"/>
          <w:szCs w:val="21"/>
        </w:rPr>
        <w:t>）：</w:t>
      </w:r>
      <w:r>
        <w:rPr>
          <w:spacing w:val="9"/>
          <w:sz w:val="21"/>
          <w:szCs w:val="21"/>
        </w:rPr>
        <w:t>质量保障措施描述完整，有较强的针对性和</w:t>
      </w:r>
      <w:r>
        <w:rPr>
          <w:spacing w:val="8"/>
          <w:sz w:val="21"/>
          <w:szCs w:val="21"/>
        </w:rPr>
        <w:t>合理性，有质量总目标且进行了目标分解，质量控制的详细程序（包括质量事故的处理程序）及预防控制措施优秀。</w:t>
      </w:r>
    </w:p>
    <w:p w14:paraId="4DC793E6">
      <w:pPr>
        <w:pStyle w:val="6"/>
        <w:spacing w:before="47" w:line="227" w:lineRule="auto"/>
        <w:ind w:left="421"/>
        <w:rPr>
          <w:sz w:val="21"/>
          <w:szCs w:val="21"/>
        </w:rPr>
      </w:pPr>
      <w:r>
        <w:rPr>
          <w:b/>
          <w:bCs/>
          <w:spacing w:val="7"/>
          <w:sz w:val="21"/>
          <w:szCs w:val="21"/>
        </w:rPr>
        <w:t>注：不提供质量保障措施不得分。</w:t>
      </w:r>
    </w:p>
    <w:p w14:paraId="520C0C61">
      <w:pPr>
        <w:pStyle w:val="6"/>
        <w:spacing w:before="152" w:line="228" w:lineRule="auto"/>
        <w:ind w:left="431"/>
        <w:rPr>
          <w:sz w:val="21"/>
          <w:szCs w:val="21"/>
        </w:rPr>
      </w:pPr>
      <w:r>
        <w:rPr>
          <w:b/>
          <w:bCs/>
          <w:spacing w:val="4"/>
          <w:sz w:val="21"/>
          <w:szCs w:val="21"/>
        </w:rPr>
        <w:t>（3）突发事件应急方案（满分10分）</w:t>
      </w:r>
    </w:p>
    <w:p w14:paraId="72A4F3DF">
      <w:pPr>
        <w:pStyle w:val="6"/>
        <w:keepNext w:val="0"/>
        <w:keepLines w:val="0"/>
        <w:pageBreakBefore w:val="0"/>
        <w:widowControl/>
        <w:kinsoku w:val="0"/>
        <w:wordWrap/>
        <w:overflowPunct/>
        <w:topLinePunct w:val="0"/>
        <w:autoSpaceDE w:val="0"/>
        <w:autoSpaceDN w:val="0"/>
        <w:bidi w:val="0"/>
        <w:adjustRightInd w:val="0"/>
        <w:snapToGrid w:val="0"/>
        <w:spacing w:before="137" w:line="227" w:lineRule="auto"/>
        <w:ind w:left="425"/>
        <w:jc w:val="both"/>
        <w:textAlignment w:val="baseline"/>
        <w:rPr>
          <w:sz w:val="21"/>
          <w:szCs w:val="21"/>
        </w:rPr>
      </w:pPr>
      <w:r>
        <w:rPr>
          <w:spacing w:val="8"/>
          <w:sz w:val="21"/>
          <w:szCs w:val="21"/>
        </w:rPr>
        <w:t>一档（1</w:t>
      </w:r>
      <w:r>
        <w:rPr>
          <w:spacing w:val="21"/>
          <w:sz w:val="21"/>
          <w:szCs w:val="21"/>
        </w:rPr>
        <w:t>）：</w:t>
      </w:r>
      <w:r>
        <w:rPr>
          <w:spacing w:val="8"/>
          <w:sz w:val="21"/>
          <w:szCs w:val="21"/>
        </w:rPr>
        <w:t>所提供的方案内容不符合本项目服务采购需求；</w:t>
      </w:r>
    </w:p>
    <w:p w14:paraId="0854FA8B">
      <w:pPr>
        <w:pStyle w:val="6"/>
        <w:keepNext w:val="0"/>
        <w:keepLines w:val="0"/>
        <w:pageBreakBefore w:val="0"/>
        <w:widowControl/>
        <w:kinsoku w:val="0"/>
        <w:wordWrap/>
        <w:overflowPunct/>
        <w:topLinePunct w:val="0"/>
        <w:autoSpaceDE w:val="0"/>
        <w:autoSpaceDN w:val="0"/>
        <w:bidi w:val="0"/>
        <w:adjustRightInd w:val="0"/>
        <w:snapToGrid w:val="0"/>
        <w:spacing w:before="136" w:line="341" w:lineRule="auto"/>
        <w:ind w:left="1" w:right="70" w:firstLine="423"/>
        <w:jc w:val="both"/>
        <w:textAlignment w:val="baseline"/>
        <w:rPr>
          <w:sz w:val="21"/>
          <w:szCs w:val="21"/>
        </w:rPr>
      </w:pPr>
      <w:r>
        <w:rPr>
          <w:spacing w:val="8"/>
          <w:sz w:val="21"/>
          <w:szCs w:val="21"/>
        </w:rPr>
        <w:t>二档（3分</w:t>
      </w:r>
      <w:r>
        <w:rPr>
          <w:spacing w:val="13"/>
          <w:sz w:val="21"/>
          <w:szCs w:val="21"/>
        </w:rPr>
        <w:t>）：</w:t>
      </w:r>
      <w:r>
        <w:rPr>
          <w:spacing w:val="8"/>
          <w:sz w:val="21"/>
          <w:szCs w:val="21"/>
        </w:rPr>
        <w:t>机械故障、停电事故、自然灾害突发的应急方案简单</w:t>
      </w:r>
      <w:r>
        <w:rPr>
          <w:spacing w:val="7"/>
          <w:sz w:val="21"/>
          <w:szCs w:val="21"/>
        </w:rPr>
        <w:t>不具体，承诺应急服务响</w:t>
      </w:r>
      <w:r>
        <w:rPr>
          <w:spacing w:val="8"/>
          <w:sz w:val="21"/>
          <w:szCs w:val="21"/>
        </w:rPr>
        <w:t>应时间30分钟内人员及设备能按采购人通知</w:t>
      </w:r>
      <w:r>
        <w:rPr>
          <w:spacing w:val="7"/>
          <w:sz w:val="21"/>
          <w:szCs w:val="21"/>
        </w:rPr>
        <w:t>要求到达事故现场，并能按采购人指定的时间内完成事</w:t>
      </w:r>
      <w:r>
        <w:rPr>
          <w:spacing w:val="5"/>
          <w:sz w:val="21"/>
          <w:szCs w:val="21"/>
        </w:rPr>
        <w:t>故处理的；</w:t>
      </w:r>
    </w:p>
    <w:p w14:paraId="225AE58E">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left="1" w:right="70" w:firstLine="420"/>
        <w:jc w:val="both"/>
        <w:textAlignment w:val="baseline"/>
        <w:rPr>
          <w:sz w:val="21"/>
          <w:szCs w:val="21"/>
        </w:rPr>
      </w:pPr>
      <w:r>
        <w:rPr>
          <w:spacing w:val="8"/>
          <w:sz w:val="21"/>
          <w:szCs w:val="21"/>
        </w:rPr>
        <w:t>三档（5分</w:t>
      </w:r>
      <w:r>
        <w:rPr>
          <w:spacing w:val="13"/>
          <w:sz w:val="21"/>
          <w:szCs w:val="21"/>
        </w:rPr>
        <w:t>）：</w:t>
      </w:r>
      <w:r>
        <w:rPr>
          <w:spacing w:val="8"/>
          <w:sz w:val="21"/>
          <w:szCs w:val="21"/>
        </w:rPr>
        <w:t>机械故障、停电事故、自然灾害突发的应急方案较为详细的</w:t>
      </w:r>
      <w:r>
        <w:rPr>
          <w:spacing w:val="7"/>
          <w:sz w:val="21"/>
          <w:szCs w:val="21"/>
        </w:rPr>
        <w:t>，承诺应急服务响</w:t>
      </w:r>
      <w:r>
        <w:rPr>
          <w:spacing w:val="8"/>
          <w:sz w:val="21"/>
          <w:szCs w:val="21"/>
        </w:rPr>
        <w:t>应时间25分钟内人员及设备能按通知要求到达事</w:t>
      </w:r>
      <w:r>
        <w:rPr>
          <w:spacing w:val="7"/>
          <w:sz w:val="21"/>
          <w:szCs w:val="21"/>
        </w:rPr>
        <w:t>故现场，并能按采购人指定的时间内完成事故处理</w:t>
      </w:r>
      <w:r>
        <w:rPr>
          <w:sz w:val="21"/>
          <w:szCs w:val="21"/>
        </w:rPr>
        <w:t>的；</w:t>
      </w:r>
    </w:p>
    <w:p w14:paraId="621BFC93">
      <w:pPr>
        <w:pStyle w:val="6"/>
        <w:keepNext w:val="0"/>
        <w:keepLines w:val="0"/>
        <w:pageBreakBefore w:val="0"/>
        <w:widowControl/>
        <w:kinsoku w:val="0"/>
        <w:wordWrap/>
        <w:overflowPunct/>
        <w:topLinePunct w:val="0"/>
        <w:autoSpaceDE w:val="0"/>
        <w:autoSpaceDN w:val="0"/>
        <w:bidi w:val="0"/>
        <w:adjustRightInd w:val="0"/>
        <w:snapToGrid w:val="0"/>
        <w:spacing w:before="32" w:line="340" w:lineRule="auto"/>
        <w:ind w:right="70" w:firstLine="440"/>
        <w:jc w:val="both"/>
        <w:textAlignment w:val="baseline"/>
        <w:rPr>
          <w:sz w:val="21"/>
          <w:szCs w:val="21"/>
        </w:rPr>
      </w:pPr>
      <w:r>
        <w:rPr>
          <w:spacing w:val="7"/>
          <w:sz w:val="21"/>
          <w:szCs w:val="21"/>
        </w:rPr>
        <w:t>四档（7分</w:t>
      </w:r>
      <w:r>
        <w:rPr>
          <w:spacing w:val="20"/>
          <w:sz w:val="21"/>
          <w:szCs w:val="21"/>
        </w:rPr>
        <w:t>）：</w:t>
      </w:r>
      <w:r>
        <w:rPr>
          <w:spacing w:val="7"/>
          <w:sz w:val="21"/>
          <w:szCs w:val="21"/>
        </w:rPr>
        <w:t>机械故障、停电事故、自然灾害突发的应急方案详细、具体、可行，预案处置</w:t>
      </w:r>
      <w:r>
        <w:rPr>
          <w:spacing w:val="8"/>
          <w:sz w:val="21"/>
          <w:szCs w:val="21"/>
        </w:rPr>
        <w:t>场地合理、预案处置能力强，承诺应急服务响应时间</w:t>
      </w:r>
      <w:r>
        <w:rPr>
          <w:spacing w:val="7"/>
          <w:sz w:val="21"/>
          <w:szCs w:val="21"/>
        </w:rPr>
        <w:t>20分钟内人员及设备能按通知要求到达事故现</w:t>
      </w:r>
      <w:r>
        <w:rPr>
          <w:spacing w:val="9"/>
          <w:sz w:val="21"/>
          <w:szCs w:val="21"/>
        </w:rPr>
        <w:t>场，并能按采购人指定的时间内完成事故处理的；</w:t>
      </w:r>
    </w:p>
    <w:p w14:paraId="5E7BB973">
      <w:pPr>
        <w:pStyle w:val="6"/>
        <w:spacing w:before="35" w:line="340" w:lineRule="auto"/>
        <w:ind w:right="16" w:firstLine="424"/>
        <w:jc w:val="both"/>
        <w:rPr>
          <w:sz w:val="21"/>
          <w:szCs w:val="21"/>
        </w:rPr>
      </w:pPr>
      <w:r>
        <w:rPr>
          <w:spacing w:val="6"/>
          <w:sz w:val="21"/>
          <w:szCs w:val="21"/>
        </w:rPr>
        <w:t>五档（10分</w:t>
      </w:r>
      <w:r>
        <w:rPr>
          <w:sz w:val="21"/>
          <w:szCs w:val="21"/>
        </w:rPr>
        <w:t>）：</w:t>
      </w:r>
      <w:r>
        <w:rPr>
          <w:spacing w:val="6"/>
          <w:sz w:val="21"/>
          <w:szCs w:val="21"/>
        </w:rPr>
        <w:t>机械故障、停电事故、自然灾害突</w:t>
      </w:r>
      <w:r>
        <w:rPr>
          <w:spacing w:val="5"/>
          <w:sz w:val="21"/>
          <w:szCs w:val="21"/>
        </w:rPr>
        <w:t>发的应急方案详细、具体、可行、针对性强，</w:t>
      </w:r>
      <w:r>
        <w:rPr>
          <w:spacing w:val="7"/>
          <w:sz w:val="21"/>
          <w:szCs w:val="21"/>
        </w:rPr>
        <w:t>预案处置场地合理、预案处置能力强，承诺应急服务响应时间10分钟内人员及设备能按通知要求到</w:t>
      </w:r>
      <w:r>
        <w:rPr>
          <w:spacing w:val="9"/>
          <w:sz w:val="21"/>
          <w:szCs w:val="21"/>
        </w:rPr>
        <w:t>达事故现场，并能按采购人指定的时间内完成事故处理的。</w:t>
      </w:r>
    </w:p>
    <w:p w14:paraId="2C8139E8">
      <w:pPr>
        <w:pStyle w:val="6"/>
        <w:spacing w:before="50" w:line="227" w:lineRule="auto"/>
        <w:ind w:left="421"/>
        <w:rPr>
          <w:rFonts w:ascii="Arial"/>
          <w:sz w:val="21"/>
        </w:rPr>
      </w:pPr>
      <w:r>
        <w:rPr>
          <w:b/>
          <w:bCs/>
          <w:spacing w:val="7"/>
          <w:sz w:val="21"/>
          <w:szCs w:val="21"/>
        </w:rPr>
        <w:t>注：不提供突发事件应急方案不得分。</w:t>
      </w:r>
    </w:p>
    <w:p w14:paraId="158BA283">
      <w:pPr>
        <w:pStyle w:val="6"/>
        <w:spacing w:before="65" w:line="227" w:lineRule="auto"/>
        <w:ind w:left="434"/>
        <w:rPr>
          <w:sz w:val="21"/>
          <w:szCs w:val="21"/>
        </w:rPr>
      </w:pPr>
      <w:r>
        <w:rPr>
          <w:b/>
          <w:bCs/>
          <w:spacing w:val="5"/>
          <w:sz w:val="21"/>
          <w:szCs w:val="21"/>
        </w:rPr>
        <w:t>（4）拟投入本项目人员情况及安排（满分15分）</w:t>
      </w:r>
    </w:p>
    <w:p w14:paraId="31A6EAEE">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left="1" w:right="70" w:firstLine="420"/>
        <w:jc w:val="both"/>
        <w:textAlignment w:val="baseline"/>
        <w:rPr>
          <w:rFonts w:ascii="宋体" w:hAnsi="宋体" w:eastAsia="宋体" w:cs="宋体"/>
          <w:spacing w:val="7"/>
          <w:sz w:val="21"/>
          <w:szCs w:val="21"/>
        </w:rPr>
      </w:pPr>
      <w:r>
        <w:rPr>
          <w:rFonts w:ascii="宋体" w:hAnsi="宋体" w:eastAsia="宋体" w:cs="宋体"/>
          <w:spacing w:val="7"/>
          <w:sz w:val="21"/>
          <w:szCs w:val="21"/>
        </w:rPr>
        <w:t>一档：（0分）项目负责人无职称，人员工种基本配齐，投入运营人员低于10人，不符合运营要求；</w:t>
      </w:r>
    </w:p>
    <w:p w14:paraId="625CAE19">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left="1" w:right="70" w:firstLine="420"/>
        <w:jc w:val="both"/>
        <w:textAlignment w:val="baseline"/>
        <w:rPr>
          <w:rFonts w:ascii="宋体" w:hAnsi="宋体" w:eastAsia="宋体" w:cs="宋体"/>
          <w:spacing w:val="7"/>
          <w:sz w:val="21"/>
          <w:szCs w:val="21"/>
        </w:rPr>
      </w:pPr>
      <w:r>
        <w:rPr>
          <w:rFonts w:ascii="宋体" w:hAnsi="宋体" w:eastAsia="宋体" w:cs="宋体"/>
          <w:spacing w:val="7"/>
          <w:sz w:val="21"/>
          <w:szCs w:val="21"/>
        </w:rPr>
        <w:t>二档：（5分）项目负责人无职称，人员工种配备基本齐全（其中电工/机修至少1人、自动监控（污废水）运行工至少1人、污废水处理工至少4人），低于12人，基本符合运营要求；</w:t>
      </w:r>
    </w:p>
    <w:p w14:paraId="2118892F">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left="1" w:right="70" w:firstLine="420"/>
        <w:jc w:val="both"/>
        <w:textAlignment w:val="baseline"/>
        <w:rPr>
          <w:rFonts w:ascii="宋体" w:hAnsi="宋体" w:eastAsia="宋体" w:cs="宋体"/>
          <w:spacing w:val="7"/>
          <w:sz w:val="21"/>
          <w:szCs w:val="21"/>
        </w:rPr>
      </w:pPr>
      <w:r>
        <w:rPr>
          <w:rFonts w:ascii="宋体" w:hAnsi="宋体" w:eastAsia="宋体" w:cs="宋体"/>
          <w:spacing w:val="7"/>
          <w:sz w:val="21"/>
          <w:szCs w:val="21"/>
        </w:rPr>
        <w:t>三档：（10分）项目负责人有非生态环境保护工程等相关专业中级及以上职称，人员工种配备基本齐全（其中电工/机修至少1人、自动监控（污废水）运行工至少2人、污废水处理工至少6人），低于15人，满足运营要求；</w:t>
      </w:r>
    </w:p>
    <w:p w14:paraId="2F9CF4EC">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left="1" w:right="70" w:firstLine="420"/>
        <w:jc w:val="both"/>
        <w:textAlignment w:val="baseline"/>
        <w:rPr>
          <w:rFonts w:ascii="宋体" w:hAnsi="宋体" w:eastAsia="宋体" w:cs="宋体"/>
          <w:spacing w:val="7"/>
          <w:sz w:val="21"/>
          <w:szCs w:val="21"/>
        </w:rPr>
      </w:pPr>
      <w:r>
        <w:rPr>
          <w:rFonts w:ascii="宋体" w:hAnsi="宋体" w:eastAsia="宋体" w:cs="宋体"/>
          <w:spacing w:val="7"/>
          <w:sz w:val="21"/>
          <w:szCs w:val="21"/>
        </w:rPr>
        <w:t>四档：（15分）项目负责人有生态环境保护工程专业副高级及以上职称，技术负责人有生态环境保护工程专业副高级及以上职称，人员工种配备基本齐全</w:t>
      </w:r>
      <w:r>
        <w:rPr>
          <w:rFonts w:hint="eastAsia" w:cs="宋体"/>
          <w:spacing w:val="7"/>
          <w:sz w:val="21"/>
          <w:szCs w:val="21"/>
          <w:lang w:eastAsia="zh-CN"/>
        </w:rPr>
        <w:t>【</w:t>
      </w:r>
      <w:r>
        <w:rPr>
          <w:rFonts w:ascii="宋体" w:hAnsi="宋体" w:eastAsia="宋体" w:cs="宋体"/>
          <w:spacing w:val="7"/>
          <w:sz w:val="21"/>
          <w:szCs w:val="21"/>
        </w:rPr>
        <w:t>其中电工/机修至少3人、自动监控（污废水）运行工至少</w:t>
      </w:r>
      <w:r>
        <w:rPr>
          <w:rFonts w:hint="eastAsia" w:cs="宋体"/>
          <w:spacing w:val="7"/>
          <w:sz w:val="21"/>
          <w:szCs w:val="21"/>
          <w:lang w:val="en-US" w:eastAsia="zh-CN"/>
        </w:rPr>
        <w:t>3</w:t>
      </w:r>
      <w:r>
        <w:rPr>
          <w:rFonts w:ascii="宋体" w:hAnsi="宋体" w:eastAsia="宋体" w:cs="宋体"/>
          <w:spacing w:val="7"/>
          <w:sz w:val="21"/>
          <w:szCs w:val="21"/>
        </w:rPr>
        <w:t>人、污废水处理工至少9人</w:t>
      </w:r>
      <w:r>
        <w:rPr>
          <w:rFonts w:hint="eastAsia" w:cs="宋体"/>
          <w:spacing w:val="7"/>
          <w:sz w:val="21"/>
          <w:szCs w:val="21"/>
          <w:lang w:eastAsia="zh-CN"/>
        </w:rPr>
        <w:t>】</w:t>
      </w:r>
      <w:r>
        <w:rPr>
          <w:rFonts w:ascii="宋体" w:hAnsi="宋体" w:eastAsia="宋体" w:cs="宋体"/>
          <w:spacing w:val="7"/>
          <w:sz w:val="21"/>
          <w:szCs w:val="21"/>
        </w:rPr>
        <w:t>且投入运营人员不少于20人，能较好满足运营要求。</w:t>
      </w:r>
    </w:p>
    <w:p w14:paraId="7D5BC44C">
      <w:pPr>
        <w:pStyle w:val="6"/>
        <w:spacing w:before="1" w:line="243" w:lineRule="auto"/>
        <w:ind w:left="12" w:firstLine="412"/>
        <w:jc w:val="both"/>
        <w:rPr>
          <w:b/>
          <w:bCs/>
          <w:spacing w:val="4"/>
          <w:sz w:val="20"/>
          <w:szCs w:val="20"/>
        </w:rPr>
      </w:pPr>
      <w:r>
        <w:rPr>
          <w:b/>
          <w:bCs/>
          <w:spacing w:val="10"/>
          <w:sz w:val="20"/>
          <w:szCs w:val="20"/>
        </w:rPr>
        <w:t>注：拟投入本项目的电工/机修工必须提供相关上岗证书复印</w:t>
      </w:r>
      <w:r>
        <w:rPr>
          <w:b/>
          <w:bCs/>
          <w:spacing w:val="9"/>
          <w:sz w:val="20"/>
          <w:szCs w:val="20"/>
        </w:rPr>
        <w:t>件并加盖投标人公章（</w:t>
      </w:r>
      <w:r>
        <w:rPr>
          <w:b/>
          <w:bCs/>
          <w:sz w:val="20"/>
          <w:szCs w:val="20"/>
        </w:rPr>
        <w:t>CA</w:t>
      </w:r>
      <w:r>
        <w:rPr>
          <w:b/>
          <w:bCs/>
          <w:spacing w:val="9"/>
          <w:sz w:val="20"/>
          <w:szCs w:val="20"/>
        </w:rPr>
        <w:t>证书签</w:t>
      </w:r>
      <w:r>
        <w:rPr>
          <w:b/>
          <w:bCs/>
          <w:spacing w:val="8"/>
          <w:sz w:val="20"/>
          <w:szCs w:val="20"/>
        </w:rPr>
        <w:t>章</w:t>
      </w:r>
      <w:r>
        <w:rPr>
          <w:b/>
          <w:bCs/>
          <w:spacing w:val="-3"/>
          <w:sz w:val="20"/>
          <w:szCs w:val="20"/>
        </w:rPr>
        <w:t>），</w:t>
      </w:r>
      <w:r>
        <w:rPr>
          <w:b/>
          <w:bCs/>
          <w:spacing w:val="8"/>
          <w:sz w:val="20"/>
          <w:szCs w:val="20"/>
        </w:rPr>
        <w:t>其他人员如有职称证或岗位证书的需附相关证明材</w:t>
      </w:r>
      <w:r>
        <w:rPr>
          <w:b/>
          <w:bCs/>
          <w:spacing w:val="7"/>
          <w:sz w:val="20"/>
          <w:szCs w:val="20"/>
        </w:rPr>
        <w:t>料等复印件并加盖投标人公章（</w:t>
      </w:r>
      <w:r>
        <w:rPr>
          <w:b/>
          <w:bCs/>
          <w:sz w:val="20"/>
          <w:szCs w:val="20"/>
        </w:rPr>
        <w:t>CA</w:t>
      </w:r>
      <w:r>
        <w:rPr>
          <w:b/>
          <w:bCs/>
          <w:spacing w:val="7"/>
          <w:sz w:val="20"/>
          <w:szCs w:val="20"/>
        </w:rPr>
        <w:t>证书签</w:t>
      </w:r>
      <w:r>
        <w:rPr>
          <w:b/>
          <w:bCs/>
          <w:spacing w:val="5"/>
          <w:sz w:val="20"/>
          <w:szCs w:val="20"/>
        </w:rPr>
        <w:t>章</w:t>
      </w:r>
      <w:r>
        <w:rPr>
          <w:b/>
          <w:bCs/>
          <w:spacing w:val="13"/>
          <w:sz w:val="20"/>
          <w:szCs w:val="20"/>
        </w:rPr>
        <w:t>），</w:t>
      </w:r>
      <w:r>
        <w:rPr>
          <w:b/>
          <w:bCs/>
          <w:spacing w:val="5"/>
          <w:sz w:val="20"/>
          <w:szCs w:val="20"/>
        </w:rPr>
        <w:t>自动监控（污废水）运行工证书、污废水处理工证书必须提供且在有效期内</w:t>
      </w:r>
      <w:r>
        <w:rPr>
          <w:b/>
          <w:bCs/>
          <w:spacing w:val="4"/>
          <w:sz w:val="20"/>
          <w:szCs w:val="20"/>
        </w:rPr>
        <w:t>，否则不予计分。</w:t>
      </w:r>
    </w:p>
    <w:p w14:paraId="1D4700DA">
      <w:pPr>
        <w:pStyle w:val="6"/>
        <w:spacing w:before="1" w:line="243" w:lineRule="auto"/>
        <w:ind w:left="12" w:firstLine="412"/>
        <w:jc w:val="both"/>
        <w:rPr>
          <w:b/>
          <w:bCs/>
          <w:spacing w:val="4"/>
          <w:sz w:val="20"/>
          <w:szCs w:val="20"/>
        </w:rPr>
      </w:pPr>
    </w:p>
    <w:p w14:paraId="64FFCC74">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right="70"/>
        <w:jc w:val="both"/>
        <w:textAlignment w:val="baseline"/>
        <w:rPr>
          <w:rFonts w:ascii="宋体" w:hAnsi="宋体" w:eastAsia="宋体" w:cs="宋体"/>
          <w:spacing w:val="7"/>
          <w:sz w:val="21"/>
          <w:szCs w:val="21"/>
        </w:rPr>
      </w:pPr>
      <w:r>
        <w:rPr>
          <w:rFonts w:ascii="宋体" w:hAnsi="宋体" w:eastAsia="宋体" w:cs="宋体"/>
          <w:b/>
          <w:bCs/>
          <w:spacing w:val="5"/>
          <w:sz w:val="21"/>
          <w:szCs w:val="21"/>
        </w:rPr>
        <w:t>3.服务承诺分…………………………………………………………………………………10分</w:t>
      </w:r>
    </w:p>
    <w:p w14:paraId="4C4B0599">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left="1" w:right="70" w:firstLine="420"/>
        <w:jc w:val="both"/>
        <w:textAlignment w:val="baseline"/>
        <w:rPr>
          <w:rFonts w:ascii="宋体" w:hAnsi="宋体" w:eastAsia="宋体" w:cs="宋体"/>
          <w:spacing w:val="7"/>
          <w:sz w:val="21"/>
          <w:szCs w:val="21"/>
        </w:rPr>
      </w:pPr>
      <w:r>
        <w:rPr>
          <w:rFonts w:ascii="宋体" w:hAnsi="宋体" w:eastAsia="宋体" w:cs="宋体"/>
          <w:spacing w:val="7"/>
          <w:sz w:val="21"/>
          <w:szCs w:val="21"/>
        </w:rPr>
        <w:t>一档（1分）：服务承诺方案非常简单，不完全满足服务采购需求全部要求；</w:t>
      </w:r>
    </w:p>
    <w:p w14:paraId="76A6FDB3">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left="1" w:right="70" w:firstLine="420"/>
        <w:jc w:val="both"/>
        <w:textAlignment w:val="baseline"/>
        <w:rPr>
          <w:rFonts w:ascii="宋体" w:hAnsi="宋体" w:eastAsia="宋体" w:cs="宋体"/>
          <w:spacing w:val="7"/>
          <w:sz w:val="21"/>
          <w:szCs w:val="21"/>
        </w:rPr>
      </w:pPr>
      <w:r>
        <w:rPr>
          <w:rFonts w:ascii="宋体" w:hAnsi="宋体" w:eastAsia="宋体" w:cs="宋体"/>
          <w:spacing w:val="7"/>
          <w:sz w:val="21"/>
          <w:szCs w:val="21"/>
        </w:rPr>
        <w:t>二档（</w:t>
      </w:r>
      <w:r>
        <w:rPr>
          <w:rFonts w:hint="eastAsia" w:cs="宋体"/>
          <w:spacing w:val="7"/>
          <w:sz w:val="21"/>
          <w:szCs w:val="21"/>
          <w:lang w:val="en-US" w:eastAsia="zh-CN"/>
        </w:rPr>
        <w:t>3</w:t>
      </w:r>
      <w:r>
        <w:rPr>
          <w:rFonts w:ascii="宋体" w:hAnsi="宋体" w:eastAsia="宋体" w:cs="宋体"/>
          <w:spacing w:val="7"/>
          <w:sz w:val="21"/>
          <w:szCs w:val="21"/>
        </w:rPr>
        <w:t>分）：服务承诺方案内容一般，基本满足服务采购需求要求；</w:t>
      </w:r>
    </w:p>
    <w:p w14:paraId="556C092B">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left="1" w:right="70" w:firstLine="420"/>
        <w:jc w:val="both"/>
        <w:textAlignment w:val="baseline"/>
        <w:rPr>
          <w:rFonts w:ascii="宋体" w:hAnsi="宋体" w:eastAsia="宋体" w:cs="宋体"/>
          <w:spacing w:val="7"/>
          <w:sz w:val="21"/>
          <w:szCs w:val="21"/>
        </w:rPr>
      </w:pPr>
      <w:r>
        <w:rPr>
          <w:rFonts w:ascii="宋体" w:hAnsi="宋体" w:eastAsia="宋体" w:cs="宋体"/>
          <w:spacing w:val="7"/>
          <w:sz w:val="21"/>
          <w:szCs w:val="21"/>
        </w:rPr>
        <w:t>三档（5分）：服务承诺方案内容</w:t>
      </w:r>
      <w:r>
        <w:rPr>
          <w:rFonts w:hint="eastAsia" w:cs="宋体"/>
          <w:spacing w:val="7"/>
          <w:sz w:val="21"/>
          <w:szCs w:val="21"/>
          <w:lang w:val="en-US" w:eastAsia="zh-CN"/>
        </w:rPr>
        <w:t>较好，</w:t>
      </w:r>
      <w:r>
        <w:rPr>
          <w:rFonts w:ascii="宋体" w:hAnsi="宋体" w:eastAsia="宋体" w:cs="宋体"/>
          <w:spacing w:val="7"/>
          <w:sz w:val="21"/>
          <w:szCs w:val="21"/>
        </w:rPr>
        <w:t>基本满足服务采购需求要求；</w:t>
      </w:r>
    </w:p>
    <w:p w14:paraId="0C5F62C2">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left="1" w:right="70" w:firstLine="420"/>
        <w:jc w:val="both"/>
        <w:textAlignment w:val="baseline"/>
        <w:rPr>
          <w:rFonts w:ascii="宋体" w:hAnsi="宋体" w:eastAsia="宋体" w:cs="宋体"/>
          <w:spacing w:val="7"/>
          <w:sz w:val="21"/>
          <w:szCs w:val="21"/>
        </w:rPr>
      </w:pPr>
      <w:r>
        <w:rPr>
          <w:rFonts w:ascii="宋体" w:hAnsi="宋体" w:eastAsia="宋体" w:cs="宋体"/>
          <w:spacing w:val="7"/>
          <w:sz w:val="21"/>
          <w:szCs w:val="21"/>
        </w:rPr>
        <w:t>四档（7分）：服务承诺方案良好，方案对本项目处理量、时间，出水水质达标排放，处理设施设备维护管理、服务完成时间、验收、协调关系等内容较完整，陈述详细；基本满足服务采购需求的要求；</w:t>
      </w:r>
    </w:p>
    <w:p w14:paraId="185DD37B">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left="1" w:right="70" w:firstLine="420"/>
        <w:jc w:val="both"/>
        <w:textAlignment w:val="baseline"/>
        <w:rPr>
          <w:rFonts w:ascii="宋体" w:hAnsi="宋体" w:eastAsia="宋体" w:cs="宋体"/>
          <w:spacing w:val="7"/>
          <w:sz w:val="21"/>
          <w:szCs w:val="21"/>
        </w:rPr>
      </w:pPr>
      <w:r>
        <w:rPr>
          <w:rFonts w:ascii="宋体" w:hAnsi="宋体" w:eastAsia="宋体" w:cs="宋体"/>
          <w:spacing w:val="7"/>
          <w:sz w:val="21"/>
          <w:szCs w:val="21"/>
        </w:rPr>
        <w:t>五档（10分）：服务承诺方案优秀，方案对本项目处理量、时间，出水水质达标排放，处理设施设备维护管理、服务完成时间、验收、协调关系等内容完整，陈述详尽；完全满足服务采购需求的要求。</w:t>
      </w:r>
    </w:p>
    <w:p w14:paraId="4E8ECBC9">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left="1" w:right="70" w:firstLine="420"/>
        <w:jc w:val="both"/>
        <w:textAlignment w:val="baseline"/>
        <w:rPr>
          <w:rFonts w:hint="default" w:ascii="宋体" w:hAnsi="宋体" w:eastAsia="宋体" w:cs="宋体"/>
          <w:b/>
          <w:bCs/>
          <w:spacing w:val="7"/>
          <w:sz w:val="21"/>
          <w:szCs w:val="21"/>
          <w:lang w:val="en-US" w:eastAsia="zh-CN"/>
        </w:rPr>
      </w:pPr>
      <w:r>
        <w:rPr>
          <w:rFonts w:hint="eastAsia" w:cs="宋体"/>
          <w:b/>
          <w:bCs/>
          <w:spacing w:val="7"/>
          <w:sz w:val="21"/>
          <w:szCs w:val="21"/>
          <w:lang w:val="en-US" w:eastAsia="zh-CN"/>
        </w:rPr>
        <w:t>注：不提供服务承诺方案不得分。</w:t>
      </w:r>
    </w:p>
    <w:p w14:paraId="7F1C77C4">
      <w:pPr>
        <w:pStyle w:val="6"/>
        <w:spacing w:before="150" w:line="228" w:lineRule="auto"/>
        <w:rPr>
          <w:b/>
          <w:bCs/>
          <w:sz w:val="21"/>
          <w:szCs w:val="21"/>
        </w:rPr>
      </w:pPr>
      <w:r>
        <w:rPr>
          <w:b/>
          <w:bCs/>
          <w:spacing w:val="9"/>
          <w:sz w:val="21"/>
          <w:szCs w:val="21"/>
        </w:rPr>
        <w:t>4.履约能力</w:t>
      </w:r>
      <w:r>
        <w:rPr>
          <w:rFonts w:hint="eastAsia"/>
          <w:b/>
          <w:bCs/>
          <w:spacing w:val="9"/>
          <w:sz w:val="21"/>
          <w:szCs w:val="21"/>
          <w:lang w:val="en-US" w:eastAsia="zh-CN"/>
        </w:rPr>
        <w:t>分</w:t>
      </w:r>
      <w:r>
        <w:rPr>
          <w:b/>
          <w:bCs/>
          <w:spacing w:val="9"/>
          <w:sz w:val="21"/>
          <w:szCs w:val="21"/>
        </w:rPr>
        <w:t>………………………………………………………………………</w:t>
      </w:r>
      <w:r>
        <w:rPr>
          <w:b/>
          <w:bCs/>
          <w:spacing w:val="8"/>
          <w:sz w:val="21"/>
          <w:szCs w:val="21"/>
        </w:rPr>
        <w:t>…………15分</w:t>
      </w:r>
    </w:p>
    <w:p w14:paraId="223C1A22">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left="1" w:right="70" w:firstLine="420"/>
        <w:jc w:val="both"/>
        <w:textAlignment w:val="baseline"/>
        <w:rPr>
          <w:rFonts w:ascii="宋体" w:hAnsi="宋体" w:eastAsia="宋体" w:cs="宋体"/>
          <w:spacing w:val="7"/>
          <w:sz w:val="21"/>
          <w:szCs w:val="21"/>
        </w:rPr>
      </w:pPr>
      <w:r>
        <w:rPr>
          <w:rFonts w:ascii="宋体" w:hAnsi="宋体" w:eastAsia="宋体" w:cs="宋体"/>
          <w:spacing w:val="7"/>
          <w:sz w:val="21"/>
          <w:szCs w:val="21"/>
        </w:rPr>
        <w:t>（1）投标人通过质量管理体系认证证书、环境管理体系认证证书、职业健康与安全管理体系认证且有效的，每提供1项得1分；满分3分。</w:t>
      </w:r>
      <w:r>
        <w:rPr>
          <w:rFonts w:hint="eastAsia" w:cs="宋体"/>
          <w:spacing w:val="7"/>
          <w:sz w:val="21"/>
          <w:szCs w:val="21"/>
          <w:lang w:val="en-US" w:eastAsia="zh-CN"/>
        </w:rPr>
        <w:t>投</w:t>
      </w:r>
      <w:r>
        <w:rPr>
          <w:rFonts w:ascii="宋体" w:hAnsi="宋体" w:eastAsia="宋体" w:cs="宋体"/>
          <w:spacing w:val="7"/>
          <w:sz w:val="21"/>
          <w:szCs w:val="21"/>
        </w:rPr>
        <w:t>标文件中须提供有效证明材料复印件并加盖投标人公章（CA证书签章），不提供不得分。</w:t>
      </w:r>
    </w:p>
    <w:p w14:paraId="4B07257A">
      <w:pPr>
        <w:pStyle w:val="6"/>
        <w:keepNext w:val="0"/>
        <w:keepLines w:val="0"/>
        <w:pageBreakBefore w:val="0"/>
        <w:widowControl/>
        <w:kinsoku w:val="0"/>
        <w:wordWrap/>
        <w:overflowPunct/>
        <w:topLinePunct w:val="0"/>
        <w:autoSpaceDE w:val="0"/>
        <w:autoSpaceDN w:val="0"/>
        <w:bidi w:val="0"/>
        <w:adjustRightInd w:val="0"/>
        <w:snapToGrid w:val="0"/>
        <w:spacing w:before="31" w:line="341" w:lineRule="auto"/>
        <w:ind w:left="1" w:right="70" w:firstLine="420"/>
        <w:jc w:val="both"/>
        <w:textAlignment w:val="baseline"/>
        <w:rPr>
          <w:rFonts w:ascii="宋体" w:hAnsi="宋体" w:eastAsia="宋体" w:cs="宋体"/>
          <w:spacing w:val="7"/>
          <w:sz w:val="21"/>
          <w:szCs w:val="21"/>
        </w:rPr>
      </w:pPr>
      <w:r>
        <w:rPr>
          <w:rFonts w:ascii="宋体" w:hAnsi="宋体" w:eastAsia="宋体" w:cs="宋体"/>
          <w:spacing w:val="7"/>
          <w:sz w:val="21"/>
          <w:szCs w:val="21"/>
        </w:rPr>
        <w:t>（2）投标人202</w:t>
      </w:r>
      <w:r>
        <w:rPr>
          <w:rFonts w:hint="eastAsia" w:cs="宋体"/>
          <w:spacing w:val="7"/>
          <w:sz w:val="21"/>
          <w:szCs w:val="21"/>
          <w:lang w:val="en-US" w:eastAsia="zh-CN"/>
        </w:rPr>
        <w:t>2</w:t>
      </w:r>
      <w:r>
        <w:rPr>
          <w:rFonts w:ascii="宋体" w:hAnsi="宋体" w:eastAsia="宋体" w:cs="宋体"/>
          <w:spacing w:val="7"/>
          <w:sz w:val="21"/>
          <w:szCs w:val="21"/>
        </w:rPr>
        <w:t>年1月以来承接过污水处理设施运营管理项目类似业绩的（无不良记录，以中标通知书或签订的项目合同或协议书复印件为准，并能清晰反映所服务名称、类型、金额，包含BOT或PPP项目，否则不予计分），每提供1项得2分，满分12分。</w:t>
      </w:r>
    </w:p>
    <w:p w14:paraId="572A24D6">
      <w:pPr>
        <w:pStyle w:val="6"/>
        <w:spacing w:before="150" w:line="228" w:lineRule="auto"/>
        <w:ind w:left="649"/>
        <w:rPr>
          <w:rFonts w:ascii="Arial"/>
          <w:sz w:val="21"/>
        </w:rPr>
      </w:pPr>
      <w:r>
        <w:rPr>
          <w:b/>
          <w:bCs/>
          <w:spacing w:val="31"/>
          <w:sz w:val="21"/>
          <w:szCs w:val="21"/>
        </w:rPr>
        <w:t>5.综合得分＝1+2+3+4</w:t>
      </w:r>
    </w:p>
    <w:p w14:paraId="40A3052E">
      <w:pPr>
        <w:spacing w:line="243" w:lineRule="auto"/>
        <w:rPr>
          <w:rFonts w:ascii="Arial"/>
          <w:sz w:val="21"/>
        </w:rPr>
      </w:pPr>
    </w:p>
    <w:p w14:paraId="39A337FD">
      <w:pPr>
        <w:pStyle w:val="6"/>
        <w:spacing w:before="66" w:line="227" w:lineRule="auto"/>
        <w:ind w:left="362"/>
        <w:rPr>
          <w:lang w:val="en-US" w:eastAsia="en-US"/>
        </w:rPr>
      </w:pPr>
      <w:r>
        <w:rPr>
          <w:b/>
          <w:bCs/>
          <w:spacing w:val="8"/>
          <w:sz w:val="21"/>
          <w:szCs w:val="21"/>
        </w:rPr>
        <w:t>三、推荐及确定中标候选供应商原则</w:t>
      </w:r>
    </w:p>
    <w:p w14:paraId="73D94E7F">
      <w:pPr>
        <w:pStyle w:val="6"/>
        <w:spacing w:before="127" w:line="359" w:lineRule="auto"/>
        <w:ind w:right="399" w:firstLine="440" w:firstLineChars="200"/>
        <w:jc w:val="both"/>
        <w:rPr>
          <w:b w:val="0"/>
          <w:bCs w:val="0"/>
          <w:sz w:val="21"/>
          <w:szCs w:val="21"/>
        </w:rPr>
      </w:pPr>
      <w:r>
        <w:rPr>
          <w:b w:val="0"/>
          <w:bCs w:val="0"/>
          <w:spacing w:val="5"/>
          <w:sz w:val="21"/>
          <w:szCs w:val="21"/>
        </w:rPr>
        <w:t>(1)评标委员会根据综合得分由高到低排列次序，若得分相同时，按</w:t>
      </w:r>
      <w:r>
        <w:rPr>
          <w:rFonts w:hint="eastAsia"/>
          <w:b w:val="0"/>
          <w:bCs w:val="0"/>
          <w:spacing w:val="5"/>
          <w:sz w:val="21"/>
          <w:szCs w:val="21"/>
          <w:lang w:val="en-US" w:eastAsia="zh-CN"/>
        </w:rPr>
        <w:t>价格分</w:t>
      </w:r>
      <w:r>
        <w:rPr>
          <w:b w:val="0"/>
          <w:bCs w:val="0"/>
          <w:spacing w:val="5"/>
          <w:sz w:val="21"/>
          <w:szCs w:val="21"/>
        </w:rPr>
        <w:t>由低到高顺序排列；</w:t>
      </w:r>
      <w:r>
        <w:rPr>
          <w:b w:val="0"/>
          <w:bCs w:val="0"/>
          <w:spacing w:val="6"/>
          <w:sz w:val="21"/>
          <w:szCs w:val="21"/>
        </w:rPr>
        <w:t>若得分相同且</w:t>
      </w:r>
      <w:r>
        <w:rPr>
          <w:rFonts w:hint="eastAsia"/>
          <w:b w:val="0"/>
          <w:bCs w:val="0"/>
          <w:spacing w:val="6"/>
          <w:sz w:val="21"/>
          <w:szCs w:val="21"/>
          <w:lang w:val="en-US" w:eastAsia="zh-CN"/>
        </w:rPr>
        <w:t>价格分</w:t>
      </w:r>
      <w:r>
        <w:rPr>
          <w:b w:val="0"/>
          <w:bCs w:val="0"/>
          <w:spacing w:val="6"/>
          <w:sz w:val="21"/>
          <w:szCs w:val="21"/>
        </w:rPr>
        <w:t>也相同的，</w:t>
      </w:r>
      <w:r>
        <w:rPr>
          <w:rFonts w:hint="eastAsia"/>
          <w:b w:val="0"/>
          <w:bCs w:val="0"/>
          <w:spacing w:val="6"/>
          <w:sz w:val="21"/>
          <w:szCs w:val="21"/>
          <w:lang w:val="en-US" w:eastAsia="zh-CN"/>
        </w:rPr>
        <w:t>依次技术方案分、履约能力分、服务承诺分</w:t>
      </w:r>
      <w:r>
        <w:rPr>
          <w:b w:val="0"/>
          <w:bCs w:val="0"/>
          <w:spacing w:val="6"/>
          <w:sz w:val="21"/>
          <w:szCs w:val="21"/>
        </w:rPr>
        <w:t>由高到低顺序确定中标供应商，</w:t>
      </w:r>
      <w:r>
        <w:rPr>
          <w:rFonts w:hint="eastAsia"/>
          <w:b w:val="0"/>
          <w:bCs w:val="0"/>
          <w:spacing w:val="6"/>
          <w:sz w:val="21"/>
          <w:szCs w:val="21"/>
          <w:lang w:val="en-US" w:eastAsia="zh-CN"/>
        </w:rPr>
        <w:t>均</w:t>
      </w:r>
      <w:r>
        <w:rPr>
          <w:b w:val="0"/>
          <w:bCs w:val="0"/>
          <w:spacing w:val="6"/>
          <w:sz w:val="21"/>
          <w:szCs w:val="21"/>
        </w:rPr>
        <w:t>相同的由评标委员会按照抽签的方式决定排次次序。</w:t>
      </w:r>
    </w:p>
    <w:p w14:paraId="61F249DA">
      <w:pPr>
        <w:pStyle w:val="6"/>
        <w:spacing w:before="33" w:line="353" w:lineRule="auto"/>
        <w:ind w:right="452" w:firstLine="456" w:firstLineChars="200"/>
        <w:rPr>
          <w:b w:val="0"/>
          <w:bCs w:val="0"/>
          <w:sz w:val="21"/>
          <w:szCs w:val="21"/>
        </w:rPr>
      </w:pPr>
      <w:r>
        <w:rPr>
          <w:b w:val="0"/>
          <w:bCs w:val="0"/>
          <w:spacing w:val="9"/>
          <w:sz w:val="21"/>
          <w:szCs w:val="21"/>
        </w:rPr>
        <w:t>(2)评标委员会可推荐前三名为中标候选供应商，采购人应当确定</w:t>
      </w:r>
      <w:r>
        <w:rPr>
          <w:b w:val="0"/>
          <w:bCs w:val="0"/>
          <w:spacing w:val="8"/>
          <w:sz w:val="21"/>
          <w:szCs w:val="21"/>
        </w:rPr>
        <w:t>评标委员会推荐排名第一的</w:t>
      </w:r>
      <w:r>
        <w:rPr>
          <w:b w:val="0"/>
          <w:bCs w:val="0"/>
          <w:spacing w:val="5"/>
          <w:sz w:val="21"/>
          <w:szCs w:val="21"/>
        </w:rPr>
        <w:t>中标候选人为中标供应商。</w:t>
      </w:r>
    </w:p>
    <w:p w14:paraId="3FB3E845">
      <w:pPr>
        <w:pStyle w:val="6"/>
        <w:spacing w:before="34" w:line="359" w:lineRule="auto"/>
        <w:ind w:right="452" w:firstLine="456" w:firstLineChars="200"/>
        <w:jc w:val="both"/>
        <w:rPr>
          <w:b w:val="0"/>
          <w:bCs w:val="0"/>
          <w:sz w:val="21"/>
          <w:szCs w:val="21"/>
        </w:rPr>
      </w:pPr>
      <w:r>
        <w:rPr>
          <w:b w:val="0"/>
          <w:bCs w:val="0"/>
          <w:spacing w:val="9"/>
          <w:sz w:val="21"/>
          <w:szCs w:val="21"/>
        </w:rPr>
        <w:t>(3)第一中标候选供应商放弃中标、因不可抗力提出不能履行合同</w:t>
      </w:r>
      <w:r>
        <w:rPr>
          <w:b w:val="0"/>
          <w:bCs w:val="0"/>
          <w:spacing w:val="8"/>
          <w:sz w:val="21"/>
          <w:szCs w:val="21"/>
        </w:rPr>
        <w:t>，或者招标文件规定应当提</w:t>
      </w:r>
      <w:r>
        <w:rPr>
          <w:b w:val="0"/>
          <w:bCs w:val="0"/>
          <w:spacing w:val="6"/>
          <w:sz w:val="21"/>
          <w:szCs w:val="21"/>
        </w:rPr>
        <w:t>交履约保证金而在规定的期限内未能提交的，或因失信行为被取消中标候选供应商资格的，采购人</w:t>
      </w:r>
      <w:r>
        <w:rPr>
          <w:b w:val="0"/>
          <w:bCs w:val="0"/>
          <w:spacing w:val="8"/>
          <w:sz w:val="21"/>
          <w:szCs w:val="21"/>
        </w:rPr>
        <w:t>可以确定第二中标候选供应商为中标供应</w:t>
      </w:r>
      <w:r>
        <w:rPr>
          <w:b w:val="0"/>
          <w:bCs w:val="0"/>
          <w:spacing w:val="7"/>
          <w:sz w:val="21"/>
          <w:szCs w:val="21"/>
        </w:rPr>
        <w:t>商，并依此类推。</w:t>
      </w:r>
    </w:p>
    <w:p w14:paraId="2EA576C2">
      <w:pPr>
        <w:pStyle w:val="6"/>
        <w:spacing w:before="33" w:line="227" w:lineRule="auto"/>
        <w:ind w:left="832"/>
        <w:jc w:val="both"/>
        <w:rPr>
          <w:sz w:val="21"/>
          <w:szCs w:val="21"/>
        </w:rPr>
      </w:pPr>
      <w:r>
        <w:rPr>
          <w:b/>
          <w:bCs/>
          <w:spacing w:val="-5"/>
          <w:sz w:val="21"/>
          <w:szCs w:val="21"/>
        </w:rPr>
        <w:t>附</w:t>
      </w:r>
      <w:r>
        <w:rPr>
          <w:rFonts w:hint="eastAsia"/>
          <w:b/>
          <w:bCs/>
          <w:spacing w:val="-5"/>
          <w:sz w:val="21"/>
          <w:szCs w:val="21"/>
          <w:lang w:val="en-US" w:eastAsia="zh-CN"/>
        </w:rPr>
        <w:t xml:space="preserve"> </w:t>
      </w:r>
      <w:r>
        <w:rPr>
          <w:b/>
          <w:bCs/>
          <w:spacing w:val="-5"/>
          <w:sz w:val="21"/>
          <w:szCs w:val="21"/>
        </w:rPr>
        <w:t>表</w:t>
      </w:r>
    </w:p>
    <w:p w14:paraId="1A0EF6F7">
      <w:pPr>
        <w:pStyle w:val="6"/>
        <w:spacing w:before="180" w:line="219" w:lineRule="auto"/>
        <w:ind w:left="2895"/>
        <w:outlineLvl w:val="9"/>
        <w:rPr>
          <w:sz w:val="30"/>
          <w:szCs w:val="30"/>
        </w:rPr>
      </w:pPr>
      <w:bookmarkStart w:id="36" w:name="_Toc2845"/>
      <w:r>
        <w:rPr>
          <w:b/>
          <w:bCs/>
          <w:spacing w:val="-4"/>
          <w:sz w:val="30"/>
          <w:szCs w:val="30"/>
        </w:rPr>
        <w:t>统计上大中小微型企业划分标准</w:t>
      </w:r>
      <w:bookmarkEnd w:id="36"/>
    </w:p>
    <w:p w14:paraId="7C9C005B">
      <w:pPr>
        <w:spacing w:before="60"/>
      </w:pPr>
    </w:p>
    <w:tbl>
      <w:tblPr>
        <w:tblStyle w:val="17"/>
        <w:tblW w:w="9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5"/>
        <w:gridCol w:w="1444"/>
        <w:gridCol w:w="748"/>
        <w:gridCol w:w="1187"/>
        <w:gridCol w:w="1795"/>
        <w:gridCol w:w="1504"/>
        <w:gridCol w:w="1051"/>
      </w:tblGrid>
      <w:tr w14:paraId="31EF1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235" w:type="dxa"/>
            <w:shd w:val="clear" w:color="auto" w:fill="8DB3E2"/>
            <w:vAlign w:val="top"/>
          </w:tcPr>
          <w:p w14:paraId="2BC5749E">
            <w:pPr>
              <w:pStyle w:val="18"/>
              <w:spacing w:before="162" w:line="220" w:lineRule="auto"/>
              <w:ind w:left="764"/>
              <w:rPr>
                <w:sz w:val="18"/>
                <w:szCs w:val="18"/>
              </w:rPr>
            </w:pPr>
            <w:r>
              <w:rPr>
                <w:b/>
                <w:bCs/>
                <w:spacing w:val="-4"/>
                <w:sz w:val="18"/>
                <w:szCs w:val="18"/>
              </w:rPr>
              <w:t>行业名称</w:t>
            </w:r>
          </w:p>
        </w:tc>
        <w:tc>
          <w:tcPr>
            <w:tcW w:w="1444" w:type="dxa"/>
            <w:shd w:val="clear" w:color="auto" w:fill="8DB3E2"/>
            <w:vAlign w:val="top"/>
          </w:tcPr>
          <w:p w14:paraId="4AB42729">
            <w:pPr>
              <w:pStyle w:val="18"/>
              <w:spacing w:before="162" w:line="220" w:lineRule="auto"/>
              <w:ind w:left="364"/>
              <w:rPr>
                <w:sz w:val="18"/>
                <w:szCs w:val="18"/>
              </w:rPr>
            </w:pPr>
            <w:r>
              <w:rPr>
                <w:b/>
                <w:bCs/>
                <w:spacing w:val="-4"/>
                <w:sz w:val="18"/>
                <w:szCs w:val="18"/>
              </w:rPr>
              <w:t>指标名称</w:t>
            </w:r>
          </w:p>
        </w:tc>
        <w:tc>
          <w:tcPr>
            <w:tcW w:w="748" w:type="dxa"/>
            <w:shd w:val="clear" w:color="auto" w:fill="8DB3E2"/>
            <w:vAlign w:val="top"/>
          </w:tcPr>
          <w:p w14:paraId="5B1D636E">
            <w:pPr>
              <w:pStyle w:val="18"/>
              <w:spacing w:before="29" w:line="299" w:lineRule="auto"/>
              <w:ind w:left="196" w:right="194" w:hanging="1"/>
              <w:rPr>
                <w:sz w:val="18"/>
                <w:szCs w:val="18"/>
              </w:rPr>
            </w:pPr>
            <w:r>
              <w:rPr>
                <w:b/>
                <w:bCs/>
                <w:spacing w:val="-6"/>
                <w:sz w:val="18"/>
                <w:szCs w:val="18"/>
              </w:rPr>
              <w:t>计量</w:t>
            </w:r>
            <w:r>
              <w:rPr>
                <w:b/>
                <w:bCs/>
                <w:spacing w:val="-7"/>
                <w:sz w:val="18"/>
                <w:szCs w:val="18"/>
              </w:rPr>
              <w:t>单位</w:t>
            </w:r>
          </w:p>
        </w:tc>
        <w:tc>
          <w:tcPr>
            <w:tcW w:w="1187" w:type="dxa"/>
            <w:shd w:val="clear" w:color="auto" w:fill="8DB3E2"/>
            <w:vAlign w:val="top"/>
          </w:tcPr>
          <w:p w14:paraId="6D597AC2">
            <w:pPr>
              <w:pStyle w:val="18"/>
              <w:spacing w:before="162" w:line="220" w:lineRule="auto"/>
              <w:ind w:left="419"/>
              <w:rPr>
                <w:sz w:val="18"/>
                <w:szCs w:val="18"/>
              </w:rPr>
            </w:pPr>
            <w:r>
              <w:rPr>
                <w:b/>
                <w:bCs/>
                <w:spacing w:val="-7"/>
                <w:sz w:val="18"/>
                <w:szCs w:val="18"/>
              </w:rPr>
              <w:t>大型</w:t>
            </w:r>
          </w:p>
        </w:tc>
        <w:tc>
          <w:tcPr>
            <w:tcW w:w="1795" w:type="dxa"/>
            <w:shd w:val="clear" w:color="auto" w:fill="8DB3E2"/>
            <w:vAlign w:val="top"/>
          </w:tcPr>
          <w:p w14:paraId="4CA3BCE4">
            <w:pPr>
              <w:pStyle w:val="18"/>
              <w:spacing w:before="162" w:line="220" w:lineRule="auto"/>
              <w:ind w:left="737"/>
              <w:rPr>
                <w:sz w:val="18"/>
                <w:szCs w:val="18"/>
              </w:rPr>
            </w:pPr>
            <w:r>
              <w:rPr>
                <w:b/>
                <w:bCs/>
                <w:spacing w:val="-14"/>
                <w:sz w:val="18"/>
                <w:szCs w:val="18"/>
              </w:rPr>
              <w:t>中型</w:t>
            </w:r>
          </w:p>
        </w:tc>
        <w:tc>
          <w:tcPr>
            <w:tcW w:w="1504" w:type="dxa"/>
            <w:shd w:val="clear" w:color="auto" w:fill="8DB3E2"/>
            <w:vAlign w:val="top"/>
          </w:tcPr>
          <w:p w14:paraId="49F6BFCC">
            <w:pPr>
              <w:pStyle w:val="18"/>
              <w:spacing w:before="163" w:line="221" w:lineRule="auto"/>
              <w:ind w:left="581"/>
              <w:rPr>
                <w:sz w:val="18"/>
                <w:szCs w:val="18"/>
              </w:rPr>
            </w:pPr>
            <w:r>
              <w:rPr>
                <w:b/>
                <w:bCs/>
                <w:spacing w:val="-8"/>
                <w:sz w:val="18"/>
                <w:szCs w:val="18"/>
              </w:rPr>
              <w:t>小型</w:t>
            </w:r>
          </w:p>
        </w:tc>
        <w:tc>
          <w:tcPr>
            <w:tcW w:w="1051" w:type="dxa"/>
            <w:shd w:val="clear" w:color="auto" w:fill="8DB3E2"/>
            <w:vAlign w:val="top"/>
          </w:tcPr>
          <w:p w14:paraId="3054B73C">
            <w:pPr>
              <w:pStyle w:val="18"/>
              <w:spacing w:before="162" w:line="219" w:lineRule="auto"/>
              <w:ind w:left="349"/>
              <w:rPr>
                <w:sz w:val="18"/>
                <w:szCs w:val="18"/>
              </w:rPr>
            </w:pPr>
            <w:r>
              <w:rPr>
                <w:b/>
                <w:bCs/>
                <w:spacing w:val="-6"/>
                <w:sz w:val="18"/>
                <w:szCs w:val="18"/>
              </w:rPr>
              <w:t>微型</w:t>
            </w:r>
          </w:p>
        </w:tc>
      </w:tr>
      <w:tr w14:paraId="0D07E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235" w:type="dxa"/>
            <w:vAlign w:val="top"/>
          </w:tcPr>
          <w:p w14:paraId="7CE9036E">
            <w:pPr>
              <w:pStyle w:val="18"/>
              <w:spacing w:before="46" w:line="219" w:lineRule="auto"/>
              <w:ind w:left="113"/>
              <w:rPr>
                <w:sz w:val="18"/>
                <w:szCs w:val="18"/>
              </w:rPr>
            </w:pPr>
            <w:r>
              <w:rPr>
                <w:spacing w:val="-1"/>
                <w:sz w:val="18"/>
                <w:szCs w:val="18"/>
              </w:rPr>
              <w:t>农、林、牧、渔业</w:t>
            </w:r>
          </w:p>
        </w:tc>
        <w:tc>
          <w:tcPr>
            <w:tcW w:w="1444" w:type="dxa"/>
            <w:vAlign w:val="top"/>
          </w:tcPr>
          <w:p w14:paraId="790A2331">
            <w:pPr>
              <w:pStyle w:val="18"/>
              <w:spacing w:before="46" w:line="219" w:lineRule="auto"/>
              <w:ind w:left="190"/>
              <w:rPr>
                <w:sz w:val="18"/>
                <w:szCs w:val="18"/>
              </w:rPr>
            </w:pPr>
            <w:r>
              <w:rPr>
                <w:spacing w:val="-2"/>
                <w:sz w:val="18"/>
                <w:szCs w:val="18"/>
              </w:rPr>
              <w:t>营业收入（Y)</w:t>
            </w:r>
          </w:p>
        </w:tc>
        <w:tc>
          <w:tcPr>
            <w:tcW w:w="748" w:type="dxa"/>
            <w:vAlign w:val="top"/>
          </w:tcPr>
          <w:p w14:paraId="2633D64E">
            <w:pPr>
              <w:pStyle w:val="18"/>
              <w:spacing w:before="45" w:line="220" w:lineRule="auto"/>
              <w:ind w:left="202"/>
              <w:rPr>
                <w:sz w:val="18"/>
                <w:szCs w:val="18"/>
              </w:rPr>
            </w:pPr>
            <w:r>
              <w:rPr>
                <w:spacing w:val="-6"/>
                <w:sz w:val="18"/>
                <w:szCs w:val="18"/>
              </w:rPr>
              <w:t>万元</w:t>
            </w:r>
          </w:p>
        </w:tc>
        <w:tc>
          <w:tcPr>
            <w:tcW w:w="1187" w:type="dxa"/>
            <w:vAlign w:val="top"/>
          </w:tcPr>
          <w:p w14:paraId="14883D3F">
            <w:pPr>
              <w:pStyle w:val="18"/>
              <w:spacing w:before="46" w:line="237" w:lineRule="auto"/>
              <w:ind w:left="234"/>
              <w:rPr>
                <w:sz w:val="18"/>
                <w:szCs w:val="18"/>
              </w:rPr>
            </w:pPr>
            <w:r>
              <w:rPr>
                <w:spacing w:val="-1"/>
                <w:sz w:val="18"/>
                <w:szCs w:val="18"/>
              </w:rPr>
              <w:t>Y≥20000</w:t>
            </w:r>
          </w:p>
        </w:tc>
        <w:tc>
          <w:tcPr>
            <w:tcW w:w="1795" w:type="dxa"/>
            <w:vAlign w:val="top"/>
          </w:tcPr>
          <w:p w14:paraId="6851718B">
            <w:pPr>
              <w:pStyle w:val="18"/>
              <w:spacing w:before="45" w:line="236" w:lineRule="auto"/>
              <w:ind w:left="321"/>
              <w:rPr>
                <w:sz w:val="18"/>
                <w:szCs w:val="18"/>
              </w:rPr>
            </w:pPr>
            <w:r>
              <w:rPr>
                <w:spacing w:val="-1"/>
                <w:sz w:val="18"/>
                <w:szCs w:val="18"/>
              </w:rPr>
              <w:t>500≤Y＜20000</w:t>
            </w:r>
          </w:p>
        </w:tc>
        <w:tc>
          <w:tcPr>
            <w:tcW w:w="1504" w:type="dxa"/>
            <w:vAlign w:val="top"/>
          </w:tcPr>
          <w:p w14:paraId="1AAB0718">
            <w:pPr>
              <w:pStyle w:val="18"/>
              <w:spacing w:before="45" w:line="236" w:lineRule="auto"/>
              <w:ind w:left="311"/>
              <w:rPr>
                <w:sz w:val="18"/>
                <w:szCs w:val="18"/>
              </w:rPr>
            </w:pPr>
            <w:r>
              <w:rPr>
                <w:spacing w:val="-2"/>
                <w:sz w:val="18"/>
                <w:szCs w:val="18"/>
              </w:rPr>
              <w:t>50≤Y＜500</w:t>
            </w:r>
          </w:p>
        </w:tc>
        <w:tc>
          <w:tcPr>
            <w:tcW w:w="1051" w:type="dxa"/>
            <w:vAlign w:val="top"/>
          </w:tcPr>
          <w:p w14:paraId="548C4804">
            <w:pPr>
              <w:pStyle w:val="18"/>
              <w:spacing w:before="45"/>
              <w:ind w:left="301"/>
              <w:rPr>
                <w:sz w:val="18"/>
                <w:szCs w:val="18"/>
              </w:rPr>
            </w:pPr>
            <w:r>
              <w:rPr>
                <w:spacing w:val="-1"/>
                <w:sz w:val="18"/>
                <w:szCs w:val="18"/>
              </w:rPr>
              <w:t>Y＜50</w:t>
            </w:r>
          </w:p>
        </w:tc>
      </w:tr>
      <w:tr w14:paraId="7BA6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restart"/>
            <w:tcBorders>
              <w:bottom w:val="nil"/>
            </w:tcBorders>
            <w:vAlign w:val="top"/>
          </w:tcPr>
          <w:p w14:paraId="07812CC4">
            <w:pPr>
              <w:pStyle w:val="18"/>
              <w:spacing w:before="244" w:line="232" w:lineRule="auto"/>
              <w:ind w:left="115"/>
              <w:rPr>
                <w:sz w:val="18"/>
                <w:szCs w:val="18"/>
              </w:rPr>
            </w:pPr>
            <w:r>
              <w:rPr>
                <w:spacing w:val="-4"/>
                <w:sz w:val="18"/>
                <w:szCs w:val="18"/>
              </w:rPr>
              <w:t>工业×</w:t>
            </w:r>
          </w:p>
        </w:tc>
        <w:tc>
          <w:tcPr>
            <w:tcW w:w="1444" w:type="dxa"/>
            <w:vAlign w:val="top"/>
          </w:tcPr>
          <w:p w14:paraId="6560F4EE">
            <w:pPr>
              <w:pStyle w:val="18"/>
              <w:spacing w:before="45" w:line="220" w:lineRule="auto"/>
              <w:ind w:left="187"/>
              <w:rPr>
                <w:sz w:val="18"/>
                <w:szCs w:val="18"/>
              </w:rPr>
            </w:pPr>
            <w:r>
              <w:rPr>
                <w:spacing w:val="-2"/>
                <w:sz w:val="18"/>
                <w:szCs w:val="18"/>
              </w:rPr>
              <w:t>从业人员（X)</w:t>
            </w:r>
          </w:p>
        </w:tc>
        <w:tc>
          <w:tcPr>
            <w:tcW w:w="748" w:type="dxa"/>
            <w:vAlign w:val="top"/>
          </w:tcPr>
          <w:p w14:paraId="286E3358">
            <w:pPr>
              <w:pStyle w:val="18"/>
              <w:spacing w:before="45" w:line="222" w:lineRule="auto"/>
              <w:ind w:left="288"/>
              <w:rPr>
                <w:sz w:val="18"/>
                <w:szCs w:val="18"/>
              </w:rPr>
            </w:pPr>
            <w:r>
              <w:rPr>
                <w:sz w:val="18"/>
                <w:szCs w:val="18"/>
              </w:rPr>
              <w:t>人</w:t>
            </w:r>
          </w:p>
        </w:tc>
        <w:tc>
          <w:tcPr>
            <w:tcW w:w="1187" w:type="dxa"/>
            <w:vAlign w:val="top"/>
          </w:tcPr>
          <w:p w14:paraId="368314F2">
            <w:pPr>
              <w:pStyle w:val="18"/>
              <w:spacing w:before="46" w:line="237" w:lineRule="auto"/>
              <w:ind w:left="280"/>
              <w:rPr>
                <w:sz w:val="18"/>
                <w:szCs w:val="18"/>
              </w:rPr>
            </w:pPr>
            <w:r>
              <w:rPr>
                <w:spacing w:val="-1"/>
                <w:sz w:val="18"/>
                <w:szCs w:val="18"/>
              </w:rPr>
              <w:t>X≥1000</w:t>
            </w:r>
          </w:p>
        </w:tc>
        <w:tc>
          <w:tcPr>
            <w:tcW w:w="1795" w:type="dxa"/>
            <w:vAlign w:val="top"/>
          </w:tcPr>
          <w:p w14:paraId="09091589">
            <w:pPr>
              <w:pStyle w:val="18"/>
              <w:spacing w:before="45" w:line="236" w:lineRule="auto"/>
              <w:ind w:left="366"/>
              <w:rPr>
                <w:sz w:val="18"/>
                <w:szCs w:val="18"/>
              </w:rPr>
            </w:pPr>
            <w:r>
              <w:rPr>
                <w:spacing w:val="-1"/>
                <w:sz w:val="18"/>
                <w:szCs w:val="18"/>
              </w:rPr>
              <w:t>300≤X＜1000</w:t>
            </w:r>
          </w:p>
        </w:tc>
        <w:tc>
          <w:tcPr>
            <w:tcW w:w="1504" w:type="dxa"/>
            <w:vAlign w:val="top"/>
          </w:tcPr>
          <w:p w14:paraId="33EA8D1C">
            <w:pPr>
              <w:pStyle w:val="18"/>
              <w:spacing w:before="45" w:line="236" w:lineRule="auto"/>
              <w:ind w:left="310"/>
              <w:rPr>
                <w:sz w:val="18"/>
                <w:szCs w:val="18"/>
              </w:rPr>
            </w:pPr>
            <w:r>
              <w:rPr>
                <w:spacing w:val="-2"/>
                <w:sz w:val="18"/>
                <w:szCs w:val="18"/>
              </w:rPr>
              <w:t>20≤X＜300</w:t>
            </w:r>
          </w:p>
        </w:tc>
        <w:tc>
          <w:tcPr>
            <w:tcW w:w="1051" w:type="dxa"/>
            <w:vAlign w:val="top"/>
          </w:tcPr>
          <w:p w14:paraId="0A114DE0">
            <w:pPr>
              <w:pStyle w:val="18"/>
              <w:spacing w:before="45"/>
              <w:ind w:left="301"/>
              <w:rPr>
                <w:sz w:val="18"/>
                <w:szCs w:val="18"/>
              </w:rPr>
            </w:pPr>
            <w:r>
              <w:rPr>
                <w:spacing w:val="-1"/>
                <w:sz w:val="18"/>
                <w:szCs w:val="18"/>
              </w:rPr>
              <w:t>X＜20</w:t>
            </w:r>
          </w:p>
        </w:tc>
      </w:tr>
      <w:tr w14:paraId="6ADFE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235" w:type="dxa"/>
            <w:vMerge w:val="continue"/>
            <w:tcBorders>
              <w:top w:val="nil"/>
            </w:tcBorders>
            <w:vAlign w:val="top"/>
          </w:tcPr>
          <w:p w14:paraId="5034D49A">
            <w:pPr>
              <w:rPr>
                <w:rFonts w:ascii="Arial"/>
                <w:sz w:val="21"/>
              </w:rPr>
            </w:pPr>
          </w:p>
        </w:tc>
        <w:tc>
          <w:tcPr>
            <w:tcW w:w="1444" w:type="dxa"/>
            <w:vAlign w:val="top"/>
          </w:tcPr>
          <w:p w14:paraId="76B6EAF7">
            <w:pPr>
              <w:pStyle w:val="18"/>
              <w:spacing w:before="47" w:line="219" w:lineRule="auto"/>
              <w:ind w:left="190"/>
              <w:rPr>
                <w:sz w:val="18"/>
                <w:szCs w:val="18"/>
              </w:rPr>
            </w:pPr>
            <w:r>
              <w:rPr>
                <w:spacing w:val="-2"/>
                <w:sz w:val="18"/>
                <w:szCs w:val="18"/>
              </w:rPr>
              <w:t>营业收入（Y)</w:t>
            </w:r>
          </w:p>
        </w:tc>
        <w:tc>
          <w:tcPr>
            <w:tcW w:w="748" w:type="dxa"/>
            <w:vAlign w:val="top"/>
          </w:tcPr>
          <w:p w14:paraId="0DA04D31">
            <w:pPr>
              <w:pStyle w:val="18"/>
              <w:spacing w:before="47" w:line="220" w:lineRule="auto"/>
              <w:ind w:left="202"/>
              <w:rPr>
                <w:sz w:val="18"/>
                <w:szCs w:val="18"/>
              </w:rPr>
            </w:pPr>
            <w:r>
              <w:rPr>
                <w:spacing w:val="-6"/>
                <w:sz w:val="18"/>
                <w:szCs w:val="18"/>
              </w:rPr>
              <w:t>万元</w:t>
            </w:r>
          </w:p>
        </w:tc>
        <w:tc>
          <w:tcPr>
            <w:tcW w:w="1187" w:type="dxa"/>
            <w:vAlign w:val="top"/>
          </w:tcPr>
          <w:p w14:paraId="3EC7325C">
            <w:pPr>
              <w:pStyle w:val="18"/>
              <w:spacing w:before="47" w:line="237" w:lineRule="auto"/>
              <w:ind w:left="234"/>
              <w:rPr>
                <w:sz w:val="18"/>
                <w:szCs w:val="18"/>
              </w:rPr>
            </w:pPr>
            <w:r>
              <w:rPr>
                <w:spacing w:val="-1"/>
                <w:sz w:val="18"/>
                <w:szCs w:val="18"/>
              </w:rPr>
              <w:t>Y≥40000</w:t>
            </w:r>
          </w:p>
        </w:tc>
        <w:tc>
          <w:tcPr>
            <w:tcW w:w="1795" w:type="dxa"/>
            <w:vAlign w:val="top"/>
          </w:tcPr>
          <w:p w14:paraId="4F5FBD79">
            <w:pPr>
              <w:pStyle w:val="18"/>
              <w:spacing w:before="47" w:line="236" w:lineRule="auto"/>
              <w:ind w:left="273"/>
              <w:rPr>
                <w:sz w:val="18"/>
                <w:szCs w:val="18"/>
              </w:rPr>
            </w:pPr>
            <w:r>
              <w:rPr>
                <w:spacing w:val="-1"/>
                <w:sz w:val="18"/>
                <w:szCs w:val="18"/>
              </w:rPr>
              <w:t>2000≤Y＜40000</w:t>
            </w:r>
          </w:p>
        </w:tc>
        <w:tc>
          <w:tcPr>
            <w:tcW w:w="1504" w:type="dxa"/>
            <w:vAlign w:val="top"/>
          </w:tcPr>
          <w:p w14:paraId="20F1C436">
            <w:pPr>
              <w:pStyle w:val="18"/>
              <w:spacing w:before="47" w:line="236" w:lineRule="auto"/>
              <w:ind w:left="220"/>
              <w:rPr>
                <w:sz w:val="18"/>
                <w:szCs w:val="18"/>
              </w:rPr>
            </w:pPr>
            <w:r>
              <w:rPr>
                <w:spacing w:val="-1"/>
                <w:sz w:val="18"/>
                <w:szCs w:val="18"/>
              </w:rPr>
              <w:t>300≤Y＜2000</w:t>
            </w:r>
          </w:p>
        </w:tc>
        <w:tc>
          <w:tcPr>
            <w:tcW w:w="1051" w:type="dxa"/>
            <w:vAlign w:val="top"/>
          </w:tcPr>
          <w:p w14:paraId="2B93E48B">
            <w:pPr>
              <w:pStyle w:val="18"/>
              <w:spacing w:before="46"/>
              <w:ind w:left="257"/>
              <w:rPr>
                <w:sz w:val="18"/>
                <w:szCs w:val="18"/>
              </w:rPr>
            </w:pPr>
            <w:r>
              <w:rPr>
                <w:spacing w:val="-1"/>
                <w:sz w:val="18"/>
                <w:szCs w:val="18"/>
              </w:rPr>
              <w:t>Y＜300</w:t>
            </w:r>
          </w:p>
        </w:tc>
      </w:tr>
      <w:tr w14:paraId="5C64D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restart"/>
            <w:tcBorders>
              <w:bottom w:val="nil"/>
            </w:tcBorders>
            <w:vAlign w:val="top"/>
          </w:tcPr>
          <w:p w14:paraId="0CC2EB9C">
            <w:pPr>
              <w:pStyle w:val="18"/>
              <w:spacing w:before="246" w:line="220" w:lineRule="auto"/>
              <w:ind w:left="115"/>
              <w:rPr>
                <w:sz w:val="18"/>
                <w:szCs w:val="18"/>
              </w:rPr>
            </w:pPr>
            <w:r>
              <w:rPr>
                <w:spacing w:val="-4"/>
                <w:sz w:val="18"/>
                <w:szCs w:val="18"/>
              </w:rPr>
              <w:t>建筑业</w:t>
            </w:r>
          </w:p>
        </w:tc>
        <w:tc>
          <w:tcPr>
            <w:tcW w:w="1444" w:type="dxa"/>
            <w:vAlign w:val="top"/>
          </w:tcPr>
          <w:p w14:paraId="2CF685E2">
            <w:pPr>
              <w:pStyle w:val="18"/>
              <w:spacing w:before="47" w:line="219" w:lineRule="auto"/>
              <w:ind w:left="190"/>
              <w:rPr>
                <w:sz w:val="18"/>
                <w:szCs w:val="18"/>
              </w:rPr>
            </w:pPr>
            <w:r>
              <w:rPr>
                <w:spacing w:val="-2"/>
                <w:sz w:val="18"/>
                <w:szCs w:val="18"/>
              </w:rPr>
              <w:t>营业收入（Y)</w:t>
            </w:r>
          </w:p>
        </w:tc>
        <w:tc>
          <w:tcPr>
            <w:tcW w:w="748" w:type="dxa"/>
            <w:vAlign w:val="top"/>
          </w:tcPr>
          <w:p w14:paraId="05D41260">
            <w:pPr>
              <w:pStyle w:val="18"/>
              <w:spacing w:before="47" w:line="220" w:lineRule="auto"/>
              <w:ind w:left="202"/>
              <w:rPr>
                <w:sz w:val="18"/>
                <w:szCs w:val="18"/>
              </w:rPr>
            </w:pPr>
            <w:r>
              <w:rPr>
                <w:spacing w:val="-6"/>
                <w:sz w:val="18"/>
                <w:szCs w:val="18"/>
              </w:rPr>
              <w:t>万元</w:t>
            </w:r>
          </w:p>
        </w:tc>
        <w:tc>
          <w:tcPr>
            <w:tcW w:w="1187" w:type="dxa"/>
            <w:vAlign w:val="top"/>
          </w:tcPr>
          <w:p w14:paraId="43F68EC8">
            <w:pPr>
              <w:pStyle w:val="18"/>
              <w:spacing w:before="47" w:line="237" w:lineRule="auto"/>
              <w:ind w:left="234"/>
              <w:rPr>
                <w:sz w:val="18"/>
                <w:szCs w:val="18"/>
              </w:rPr>
            </w:pPr>
            <w:r>
              <w:rPr>
                <w:spacing w:val="-1"/>
                <w:sz w:val="18"/>
                <w:szCs w:val="18"/>
              </w:rPr>
              <w:t>Y≥80000</w:t>
            </w:r>
          </w:p>
        </w:tc>
        <w:tc>
          <w:tcPr>
            <w:tcW w:w="1795" w:type="dxa"/>
            <w:vAlign w:val="top"/>
          </w:tcPr>
          <w:p w14:paraId="50BC3A29">
            <w:pPr>
              <w:pStyle w:val="18"/>
              <w:spacing w:before="47" w:line="236" w:lineRule="auto"/>
              <w:ind w:left="273"/>
              <w:rPr>
                <w:sz w:val="18"/>
                <w:szCs w:val="18"/>
              </w:rPr>
            </w:pPr>
            <w:r>
              <w:rPr>
                <w:spacing w:val="-1"/>
                <w:sz w:val="18"/>
                <w:szCs w:val="18"/>
              </w:rPr>
              <w:t>6000≤Y＜80000</w:t>
            </w:r>
          </w:p>
        </w:tc>
        <w:tc>
          <w:tcPr>
            <w:tcW w:w="1504" w:type="dxa"/>
            <w:vAlign w:val="top"/>
          </w:tcPr>
          <w:p w14:paraId="6E20892B">
            <w:pPr>
              <w:pStyle w:val="18"/>
              <w:spacing w:before="47" w:line="236" w:lineRule="auto"/>
              <w:ind w:left="220"/>
              <w:rPr>
                <w:sz w:val="18"/>
                <w:szCs w:val="18"/>
              </w:rPr>
            </w:pPr>
            <w:r>
              <w:rPr>
                <w:spacing w:val="-1"/>
                <w:sz w:val="18"/>
                <w:szCs w:val="18"/>
              </w:rPr>
              <w:t>300≤Y＜6000</w:t>
            </w:r>
          </w:p>
        </w:tc>
        <w:tc>
          <w:tcPr>
            <w:tcW w:w="1051" w:type="dxa"/>
            <w:vAlign w:val="top"/>
          </w:tcPr>
          <w:p w14:paraId="63BEE567">
            <w:pPr>
              <w:pStyle w:val="18"/>
              <w:spacing w:before="46"/>
              <w:ind w:left="257"/>
              <w:rPr>
                <w:sz w:val="18"/>
                <w:szCs w:val="18"/>
              </w:rPr>
            </w:pPr>
            <w:r>
              <w:rPr>
                <w:spacing w:val="-1"/>
                <w:sz w:val="18"/>
                <w:szCs w:val="18"/>
              </w:rPr>
              <w:t>Y＜300</w:t>
            </w:r>
          </w:p>
        </w:tc>
      </w:tr>
      <w:tr w14:paraId="220DC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continue"/>
            <w:tcBorders>
              <w:top w:val="nil"/>
            </w:tcBorders>
            <w:vAlign w:val="top"/>
          </w:tcPr>
          <w:p w14:paraId="10F3C9A0">
            <w:pPr>
              <w:rPr>
                <w:rFonts w:ascii="Arial"/>
                <w:sz w:val="21"/>
              </w:rPr>
            </w:pPr>
          </w:p>
        </w:tc>
        <w:tc>
          <w:tcPr>
            <w:tcW w:w="1444" w:type="dxa"/>
            <w:vAlign w:val="top"/>
          </w:tcPr>
          <w:p w14:paraId="48265E3A">
            <w:pPr>
              <w:pStyle w:val="18"/>
              <w:spacing w:before="46" w:line="219" w:lineRule="auto"/>
              <w:ind w:left="192"/>
              <w:rPr>
                <w:sz w:val="18"/>
                <w:szCs w:val="18"/>
              </w:rPr>
            </w:pPr>
            <w:r>
              <w:rPr>
                <w:spacing w:val="-2"/>
                <w:sz w:val="18"/>
                <w:szCs w:val="18"/>
              </w:rPr>
              <w:t>资产总额（Z)</w:t>
            </w:r>
          </w:p>
        </w:tc>
        <w:tc>
          <w:tcPr>
            <w:tcW w:w="748" w:type="dxa"/>
            <w:vAlign w:val="top"/>
          </w:tcPr>
          <w:p w14:paraId="45A29E0A">
            <w:pPr>
              <w:pStyle w:val="18"/>
              <w:spacing w:before="46" w:line="220" w:lineRule="auto"/>
              <w:ind w:left="202"/>
              <w:rPr>
                <w:sz w:val="18"/>
                <w:szCs w:val="18"/>
              </w:rPr>
            </w:pPr>
            <w:r>
              <w:rPr>
                <w:spacing w:val="-6"/>
                <w:sz w:val="18"/>
                <w:szCs w:val="18"/>
              </w:rPr>
              <w:t>万元</w:t>
            </w:r>
          </w:p>
        </w:tc>
        <w:tc>
          <w:tcPr>
            <w:tcW w:w="1187" w:type="dxa"/>
            <w:vAlign w:val="top"/>
          </w:tcPr>
          <w:p w14:paraId="6438CBB5">
            <w:pPr>
              <w:pStyle w:val="18"/>
              <w:spacing w:before="46" w:line="237" w:lineRule="auto"/>
              <w:ind w:left="236"/>
              <w:rPr>
                <w:sz w:val="18"/>
                <w:szCs w:val="18"/>
              </w:rPr>
            </w:pPr>
            <w:r>
              <w:rPr>
                <w:spacing w:val="-1"/>
                <w:sz w:val="18"/>
                <w:szCs w:val="18"/>
              </w:rPr>
              <w:t>Z≥80000</w:t>
            </w:r>
          </w:p>
        </w:tc>
        <w:tc>
          <w:tcPr>
            <w:tcW w:w="1795" w:type="dxa"/>
            <w:vAlign w:val="top"/>
          </w:tcPr>
          <w:p w14:paraId="1AB006B4">
            <w:pPr>
              <w:pStyle w:val="18"/>
              <w:spacing w:before="46" w:line="236" w:lineRule="auto"/>
              <w:ind w:left="275"/>
              <w:rPr>
                <w:sz w:val="18"/>
                <w:szCs w:val="18"/>
              </w:rPr>
            </w:pPr>
            <w:r>
              <w:rPr>
                <w:spacing w:val="-1"/>
                <w:sz w:val="18"/>
                <w:szCs w:val="18"/>
              </w:rPr>
              <w:t>5000≤Z＜80000</w:t>
            </w:r>
          </w:p>
        </w:tc>
        <w:tc>
          <w:tcPr>
            <w:tcW w:w="1504" w:type="dxa"/>
            <w:vAlign w:val="top"/>
          </w:tcPr>
          <w:p w14:paraId="1C9C5863">
            <w:pPr>
              <w:pStyle w:val="18"/>
              <w:spacing w:before="46" w:line="236" w:lineRule="auto"/>
              <w:ind w:left="220"/>
              <w:rPr>
                <w:sz w:val="18"/>
                <w:szCs w:val="18"/>
              </w:rPr>
            </w:pPr>
            <w:r>
              <w:rPr>
                <w:spacing w:val="-1"/>
                <w:sz w:val="18"/>
                <w:szCs w:val="18"/>
              </w:rPr>
              <w:t>300≤Z＜5000</w:t>
            </w:r>
          </w:p>
        </w:tc>
        <w:tc>
          <w:tcPr>
            <w:tcW w:w="1051" w:type="dxa"/>
            <w:vAlign w:val="top"/>
          </w:tcPr>
          <w:p w14:paraId="39E42A8A">
            <w:pPr>
              <w:pStyle w:val="18"/>
              <w:spacing w:before="45"/>
              <w:ind w:left="260"/>
              <w:rPr>
                <w:sz w:val="18"/>
                <w:szCs w:val="18"/>
              </w:rPr>
            </w:pPr>
            <w:r>
              <w:rPr>
                <w:spacing w:val="-2"/>
                <w:sz w:val="18"/>
                <w:szCs w:val="18"/>
              </w:rPr>
              <w:t>Z＜300</w:t>
            </w:r>
          </w:p>
        </w:tc>
      </w:tr>
      <w:tr w14:paraId="5750C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restart"/>
            <w:tcBorders>
              <w:bottom w:val="nil"/>
            </w:tcBorders>
            <w:vAlign w:val="top"/>
          </w:tcPr>
          <w:p w14:paraId="5907923C">
            <w:pPr>
              <w:pStyle w:val="18"/>
              <w:spacing w:before="244" w:line="220" w:lineRule="auto"/>
              <w:ind w:left="113"/>
              <w:rPr>
                <w:sz w:val="18"/>
                <w:szCs w:val="18"/>
              </w:rPr>
            </w:pPr>
            <w:r>
              <w:rPr>
                <w:spacing w:val="-3"/>
                <w:sz w:val="18"/>
                <w:szCs w:val="18"/>
              </w:rPr>
              <w:t>批发业</w:t>
            </w:r>
          </w:p>
        </w:tc>
        <w:tc>
          <w:tcPr>
            <w:tcW w:w="1444" w:type="dxa"/>
            <w:vAlign w:val="top"/>
          </w:tcPr>
          <w:p w14:paraId="25CB1049">
            <w:pPr>
              <w:pStyle w:val="18"/>
              <w:spacing w:before="47" w:line="220" w:lineRule="auto"/>
              <w:ind w:left="187"/>
              <w:rPr>
                <w:sz w:val="18"/>
                <w:szCs w:val="18"/>
              </w:rPr>
            </w:pPr>
            <w:r>
              <w:rPr>
                <w:spacing w:val="-2"/>
                <w:sz w:val="18"/>
                <w:szCs w:val="18"/>
              </w:rPr>
              <w:t>从业人员（X)</w:t>
            </w:r>
          </w:p>
        </w:tc>
        <w:tc>
          <w:tcPr>
            <w:tcW w:w="748" w:type="dxa"/>
            <w:vAlign w:val="top"/>
          </w:tcPr>
          <w:p w14:paraId="14D3152C">
            <w:pPr>
              <w:pStyle w:val="18"/>
              <w:spacing w:before="47" w:line="222" w:lineRule="auto"/>
              <w:ind w:left="288"/>
              <w:rPr>
                <w:sz w:val="18"/>
                <w:szCs w:val="18"/>
              </w:rPr>
            </w:pPr>
            <w:r>
              <w:rPr>
                <w:sz w:val="18"/>
                <w:szCs w:val="18"/>
              </w:rPr>
              <w:t>人</w:t>
            </w:r>
          </w:p>
        </w:tc>
        <w:tc>
          <w:tcPr>
            <w:tcW w:w="1187" w:type="dxa"/>
            <w:vAlign w:val="top"/>
          </w:tcPr>
          <w:p w14:paraId="2FAEFCB1">
            <w:pPr>
              <w:pStyle w:val="18"/>
              <w:spacing w:before="47" w:line="237" w:lineRule="auto"/>
              <w:ind w:left="326"/>
              <w:rPr>
                <w:sz w:val="18"/>
                <w:szCs w:val="18"/>
              </w:rPr>
            </w:pPr>
            <w:r>
              <w:rPr>
                <w:spacing w:val="-1"/>
                <w:sz w:val="18"/>
                <w:szCs w:val="18"/>
              </w:rPr>
              <w:t>X≥200</w:t>
            </w:r>
          </w:p>
        </w:tc>
        <w:tc>
          <w:tcPr>
            <w:tcW w:w="1795" w:type="dxa"/>
            <w:vAlign w:val="top"/>
          </w:tcPr>
          <w:p w14:paraId="4F48C674">
            <w:pPr>
              <w:pStyle w:val="18"/>
              <w:spacing w:before="47" w:line="236" w:lineRule="auto"/>
              <w:ind w:left="453"/>
              <w:rPr>
                <w:sz w:val="18"/>
                <w:szCs w:val="18"/>
              </w:rPr>
            </w:pPr>
            <w:r>
              <w:rPr>
                <w:spacing w:val="-1"/>
                <w:sz w:val="18"/>
                <w:szCs w:val="18"/>
              </w:rPr>
              <w:t>20≤X＜200</w:t>
            </w:r>
          </w:p>
        </w:tc>
        <w:tc>
          <w:tcPr>
            <w:tcW w:w="1504" w:type="dxa"/>
            <w:vAlign w:val="top"/>
          </w:tcPr>
          <w:p w14:paraId="0BA30F92">
            <w:pPr>
              <w:pStyle w:val="18"/>
              <w:spacing w:before="47" w:line="236" w:lineRule="auto"/>
              <w:ind w:left="400"/>
              <w:rPr>
                <w:sz w:val="18"/>
                <w:szCs w:val="18"/>
              </w:rPr>
            </w:pPr>
            <w:r>
              <w:rPr>
                <w:spacing w:val="-2"/>
                <w:sz w:val="18"/>
                <w:szCs w:val="18"/>
              </w:rPr>
              <w:t>5≤X＜20</w:t>
            </w:r>
          </w:p>
        </w:tc>
        <w:tc>
          <w:tcPr>
            <w:tcW w:w="1051" w:type="dxa"/>
            <w:vAlign w:val="top"/>
          </w:tcPr>
          <w:p w14:paraId="49BB4BE4">
            <w:pPr>
              <w:pStyle w:val="18"/>
              <w:spacing w:before="47"/>
              <w:ind w:left="347"/>
              <w:rPr>
                <w:sz w:val="18"/>
                <w:szCs w:val="18"/>
              </w:rPr>
            </w:pPr>
            <w:r>
              <w:rPr>
                <w:spacing w:val="-2"/>
                <w:sz w:val="18"/>
                <w:szCs w:val="18"/>
              </w:rPr>
              <w:t>X＜5</w:t>
            </w:r>
          </w:p>
        </w:tc>
      </w:tr>
      <w:tr w14:paraId="16FCE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continue"/>
            <w:tcBorders>
              <w:top w:val="nil"/>
            </w:tcBorders>
            <w:vAlign w:val="top"/>
          </w:tcPr>
          <w:p w14:paraId="4289B25C">
            <w:pPr>
              <w:rPr>
                <w:rFonts w:ascii="Arial"/>
                <w:sz w:val="21"/>
              </w:rPr>
            </w:pPr>
          </w:p>
        </w:tc>
        <w:tc>
          <w:tcPr>
            <w:tcW w:w="1444" w:type="dxa"/>
            <w:vAlign w:val="top"/>
          </w:tcPr>
          <w:p w14:paraId="546E79D0">
            <w:pPr>
              <w:pStyle w:val="18"/>
              <w:spacing w:before="46" w:line="219" w:lineRule="auto"/>
              <w:ind w:left="190"/>
              <w:rPr>
                <w:sz w:val="18"/>
                <w:szCs w:val="18"/>
              </w:rPr>
            </w:pPr>
            <w:r>
              <w:rPr>
                <w:spacing w:val="-2"/>
                <w:sz w:val="18"/>
                <w:szCs w:val="18"/>
              </w:rPr>
              <w:t>营业收入（Y)</w:t>
            </w:r>
          </w:p>
        </w:tc>
        <w:tc>
          <w:tcPr>
            <w:tcW w:w="748" w:type="dxa"/>
            <w:vAlign w:val="top"/>
          </w:tcPr>
          <w:p w14:paraId="418D1F45">
            <w:pPr>
              <w:pStyle w:val="18"/>
              <w:spacing w:before="46" w:line="220" w:lineRule="auto"/>
              <w:ind w:left="202"/>
              <w:rPr>
                <w:sz w:val="18"/>
                <w:szCs w:val="18"/>
              </w:rPr>
            </w:pPr>
            <w:r>
              <w:rPr>
                <w:spacing w:val="-6"/>
                <w:sz w:val="18"/>
                <w:szCs w:val="18"/>
              </w:rPr>
              <w:t>万元</w:t>
            </w:r>
          </w:p>
        </w:tc>
        <w:tc>
          <w:tcPr>
            <w:tcW w:w="1187" w:type="dxa"/>
            <w:vAlign w:val="top"/>
          </w:tcPr>
          <w:p w14:paraId="5AAEDC52">
            <w:pPr>
              <w:pStyle w:val="18"/>
              <w:spacing w:before="46" w:line="237" w:lineRule="auto"/>
              <w:ind w:left="234"/>
              <w:rPr>
                <w:sz w:val="18"/>
                <w:szCs w:val="18"/>
              </w:rPr>
            </w:pPr>
            <w:r>
              <w:rPr>
                <w:spacing w:val="-1"/>
                <w:sz w:val="18"/>
                <w:szCs w:val="18"/>
              </w:rPr>
              <w:t>Y≥40000</w:t>
            </w:r>
          </w:p>
        </w:tc>
        <w:tc>
          <w:tcPr>
            <w:tcW w:w="1795" w:type="dxa"/>
            <w:vAlign w:val="top"/>
          </w:tcPr>
          <w:p w14:paraId="7187EEA3">
            <w:pPr>
              <w:pStyle w:val="18"/>
              <w:spacing w:before="46" w:line="236" w:lineRule="auto"/>
              <w:ind w:left="275"/>
              <w:rPr>
                <w:sz w:val="18"/>
                <w:szCs w:val="18"/>
              </w:rPr>
            </w:pPr>
            <w:r>
              <w:rPr>
                <w:spacing w:val="-1"/>
                <w:sz w:val="18"/>
                <w:szCs w:val="18"/>
              </w:rPr>
              <w:t>5000≤Y＜40000</w:t>
            </w:r>
          </w:p>
        </w:tc>
        <w:tc>
          <w:tcPr>
            <w:tcW w:w="1504" w:type="dxa"/>
            <w:vAlign w:val="top"/>
          </w:tcPr>
          <w:p w14:paraId="3886200B">
            <w:pPr>
              <w:pStyle w:val="18"/>
              <w:spacing w:before="46" w:line="236" w:lineRule="auto"/>
              <w:ind w:left="184"/>
              <w:rPr>
                <w:sz w:val="18"/>
                <w:szCs w:val="18"/>
              </w:rPr>
            </w:pPr>
            <w:r>
              <w:rPr>
                <w:spacing w:val="-2"/>
                <w:sz w:val="18"/>
                <w:szCs w:val="18"/>
              </w:rPr>
              <w:t>1000≤Y＜5000</w:t>
            </w:r>
          </w:p>
        </w:tc>
        <w:tc>
          <w:tcPr>
            <w:tcW w:w="1051" w:type="dxa"/>
            <w:vAlign w:val="top"/>
          </w:tcPr>
          <w:p w14:paraId="35FCC110">
            <w:pPr>
              <w:pStyle w:val="18"/>
              <w:spacing w:before="46"/>
              <w:ind w:left="212"/>
              <w:rPr>
                <w:sz w:val="18"/>
                <w:szCs w:val="18"/>
              </w:rPr>
            </w:pPr>
            <w:r>
              <w:rPr>
                <w:spacing w:val="-1"/>
                <w:sz w:val="18"/>
                <w:szCs w:val="18"/>
              </w:rPr>
              <w:t>Y＜1000</w:t>
            </w:r>
          </w:p>
        </w:tc>
      </w:tr>
      <w:tr w14:paraId="17B6E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restart"/>
            <w:tcBorders>
              <w:bottom w:val="nil"/>
            </w:tcBorders>
            <w:vAlign w:val="top"/>
          </w:tcPr>
          <w:p w14:paraId="5CFBBF42">
            <w:pPr>
              <w:pStyle w:val="18"/>
              <w:spacing w:before="245" w:line="219" w:lineRule="auto"/>
              <w:ind w:left="114"/>
              <w:rPr>
                <w:sz w:val="18"/>
                <w:szCs w:val="18"/>
              </w:rPr>
            </w:pPr>
            <w:r>
              <w:rPr>
                <w:spacing w:val="-3"/>
                <w:sz w:val="18"/>
                <w:szCs w:val="18"/>
              </w:rPr>
              <w:t>零售业</w:t>
            </w:r>
          </w:p>
        </w:tc>
        <w:tc>
          <w:tcPr>
            <w:tcW w:w="1444" w:type="dxa"/>
            <w:vAlign w:val="top"/>
          </w:tcPr>
          <w:p w14:paraId="7487CCF4">
            <w:pPr>
              <w:pStyle w:val="18"/>
              <w:spacing w:before="48" w:line="220" w:lineRule="auto"/>
              <w:ind w:left="187"/>
              <w:rPr>
                <w:sz w:val="18"/>
                <w:szCs w:val="18"/>
              </w:rPr>
            </w:pPr>
            <w:r>
              <w:rPr>
                <w:spacing w:val="-2"/>
                <w:sz w:val="18"/>
                <w:szCs w:val="18"/>
              </w:rPr>
              <w:t>从业人员（X)</w:t>
            </w:r>
          </w:p>
        </w:tc>
        <w:tc>
          <w:tcPr>
            <w:tcW w:w="748" w:type="dxa"/>
            <w:vAlign w:val="top"/>
          </w:tcPr>
          <w:p w14:paraId="137E7D13">
            <w:pPr>
              <w:pStyle w:val="18"/>
              <w:spacing w:before="48" w:line="222" w:lineRule="auto"/>
              <w:ind w:left="288"/>
              <w:rPr>
                <w:sz w:val="18"/>
                <w:szCs w:val="18"/>
              </w:rPr>
            </w:pPr>
            <w:r>
              <w:rPr>
                <w:sz w:val="18"/>
                <w:szCs w:val="18"/>
              </w:rPr>
              <w:t>人</w:t>
            </w:r>
          </w:p>
        </w:tc>
        <w:tc>
          <w:tcPr>
            <w:tcW w:w="1187" w:type="dxa"/>
            <w:vAlign w:val="top"/>
          </w:tcPr>
          <w:p w14:paraId="23F46691">
            <w:pPr>
              <w:pStyle w:val="18"/>
              <w:spacing w:before="48" w:line="237" w:lineRule="auto"/>
              <w:ind w:left="326"/>
              <w:rPr>
                <w:sz w:val="18"/>
                <w:szCs w:val="18"/>
              </w:rPr>
            </w:pPr>
            <w:r>
              <w:rPr>
                <w:spacing w:val="-1"/>
                <w:sz w:val="18"/>
                <w:szCs w:val="18"/>
              </w:rPr>
              <w:t>X≥300</w:t>
            </w:r>
          </w:p>
        </w:tc>
        <w:tc>
          <w:tcPr>
            <w:tcW w:w="1795" w:type="dxa"/>
            <w:vAlign w:val="top"/>
          </w:tcPr>
          <w:p w14:paraId="247E90BD">
            <w:pPr>
              <w:pStyle w:val="18"/>
              <w:spacing w:before="47" w:line="236" w:lineRule="auto"/>
              <w:ind w:left="455"/>
              <w:rPr>
                <w:sz w:val="18"/>
                <w:szCs w:val="18"/>
              </w:rPr>
            </w:pPr>
            <w:r>
              <w:rPr>
                <w:spacing w:val="-2"/>
                <w:sz w:val="18"/>
                <w:szCs w:val="18"/>
              </w:rPr>
              <w:t>50≤X＜300</w:t>
            </w:r>
          </w:p>
        </w:tc>
        <w:tc>
          <w:tcPr>
            <w:tcW w:w="1504" w:type="dxa"/>
            <w:vAlign w:val="top"/>
          </w:tcPr>
          <w:p w14:paraId="316DF591">
            <w:pPr>
              <w:pStyle w:val="18"/>
              <w:spacing w:before="47" w:line="236" w:lineRule="auto"/>
              <w:ind w:left="364"/>
              <w:rPr>
                <w:sz w:val="18"/>
                <w:szCs w:val="18"/>
              </w:rPr>
            </w:pPr>
            <w:r>
              <w:rPr>
                <w:spacing w:val="-3"/>
                <w:sz w:val="18"/>
                <w:szCs w:val="18"/>
              </w:rPr>
              <w:t>10≤X＜50</w:t>
            </w:r>
          </w:p>
        </w:tc>
        <w:tc>
          <w:tcPr>
            <w:tcW w:w="1051" w:type="dxa"/>
            <w:vAlign w:val="top"/>
          </w:tcPr>
          <w:p w14:paraId="46FA86D1">
            <w:pPr>
              <w:pStyle w:val="18"/>
              <w:spacing w:before="47"/>
              <w:ind w:left="301"/>
              <w:rPr>
                <w:sz w:val="18"/>
                <w:szCs w:val="18"/>
              </w:rPr>
            </w:pPr>
            <w:r>
              <w:rPr>
                <w:spacing w:val="-1"/>
                <w:sz w:val="18"/>
                <w:szCs w:val="18"/>
              </w:rPr>
              <w:t>X＜10</w:t>
            </w:r>
          </w:p>
        </w:tc>
      </w:tr>
      <w:tr w14:paraId="0B5B1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continue"/>
            <w:tcBorders>
              <w:top w:val="nil"/>
            </w:tcBorders>
            <w:vAlign w:val="top"/>
          </w:tcPr>
          <w:p w14:paraId="19F9D88B">
            <w:pPr>
              <w:rPr>
                <w:rFonts w:ascii="Arial"/>
                <w:sz w:val="21"/>
              </w:rPr>
            </w:pPr>
          </w:p>
        </w:tc>
        <w:tc>
          <w:tcPr>
            <w:tcW w:w="1444" w:type="dxa"/>
            <w:vAlign w:val="top"/>
          </w:tcPr>
          <w:p w14:paraId="6865738A">
            <w:pPr>
              <w:pStyle w:val="18"/>
              <w:spacing w:before="47" w:line="219" w:lineRule="auto"/>
              <w:ind w:left="190"/>
              <w:rPr>
                <w:sz w:val="18"/>
                <w:szCs w:val="18"/>
              </w:rPr>
            </w:pPr>
            <w:r>
              <w:rPr>
                <w:spacing w:val="-2"/>
                <w:sz w:val="18"/>
                <w:szCs w:val="18"/>
              </w:rPr>
              <w:t>营业收入（Y)</w:t>
            </w:r>
          </w:p>
        </w:tc>
        <w:tc>
          <w:tcPr>
            <w:tcW w:w="748" w:type="dxa"/>
            <w:vAlign w:val="top"/>
          </w:tcPr>
          <w:p w14:paraId="7DA296A1">
            <w:pPr>
              <w:pStyle w:val="18"/>
              <w:spacing w:before="47" w:line="220" w:lineRule="auto"/>
              <w:ind w:left="202"/>
              <w:rPr>
                <w:sz w:val="18"/>
                <w:szCs w:val="18"/>
              </w:rPr>
            </w:pPr>
            <w:r>
              <w:rPr>
                <w:spacing w:val="-6"/>
                <w:sz w:val="18"/>
                <w:szCs w:val="18"/>
              </w:rPr>
              <w:t>万元</w:t>
            </w:r>
          </w:p>
        </w:tc>
        <w:tc>
          <w:tcPr>
            <w:tcW w:w="1187" w:type="dxa"/>
            <w:vAlign w:val="top"/>
          </w:tcPr>
          <w:p w14:paraId="27CDA7D9">
            <w:pPr>
              <w:pStyle w:val="18"/>
              <w:spacing w:before="47" w:line="237" w:lineRule="auto"/>
              <w:ind w:left="234"/>
              <w:rPr>
                <w:sz w:val="18"/>
                <w:szCs w:val="18"/>
              </w:rPr>
            </w:pPr>
            <w:r>
              <w:rPr>
                <w:spacing w:val="-1"/>
                <w:sz w:val="18"/>
                <w:szCs w:val="18"/>
              </w:rPr>
              <w:t>Y≥20000</w:t>
            </w:r>
          </w:p>
        </w:tc>
        <w:tc>
          <w:tcPr>
            <w:tcW w:w="1795" w:type="dxa"/>
            <w:vAlign w:val="top"/>
          </w:tcPr>
          <w:p w14:paraId="58FB5BF6">
            <w:pPr>
              <w:pStyle w:val="18"/>
              <w:spacing w:before="46" w:line="236" w:lineRule="auto"/>
              <w:ind w:left="321"/>
              <w:rPr>
                <w:sz w:val="18"/>
                <w:szCs w:val="18"/>
              </w:rPr>
            </w:pPr>
            <w:r>
              <w:rPr>
                <w:spacing w:val="-1"/>
                <w:sz w:val="18"/>
                <w:szCs w:val="18"/>
              </w:rPr>
              <w:t>500≤Y＜20000</w:t>
            </w:r>
          </w:p>
        </w:tc>
        <w:tc>
          <w:tcPr>
            <w:tcW w:w="1504" w:type="dxa"/>
            <w:vAlign w:val="top"/>
          </w:tcPr>
          <w:p w14:paraId="170E564C">
            <w:pPr>
              <w:pStyle w:val="18"/>
              <w:spacing w:before="46" w:line="236" w:lineRule="auto"/>
              <w:ind w:left="275"/>
              <w:rPr>
                <w:sz w:val="18"/>
                <w:szCs w:val="18"/>
              </w:rPr>
            </w:pPr>
            <w:r>
              <w:rPr>
                <w:spacing w:val="-3"/>
                <w:sz w:val="18"/>
                <w:szCs w:val="18"/>
              </w:rPr>
              <w:t>100≤Y＜500</w:t>
            </w:r>
          </w:p>
        </w:tc>
        <w:tc>
          <w:tcPr>
            <w:tcW w:w="1051" w:type="dxa"/>
            <w:vAlign w:val="top"/>
          </w:tcPr>
          <w:p w14:paraId="33DC15C9">
            <w:pPr>
              <w:pStyle w:val="18"/>
              <w:spacing w:before="46"/>
              <w:ind w:left="257"/>
              <w:rPr>
                <w:sz w:val="18"/>
                <w:szCs w:val="18"/>
              </w:rPr>
            </w:pPr>
            <w:r>
              <w:rPr>
                <w:spacing w:val="-1"/>
                <w:sz w:val="18"/>
                <w:szCs w:val="18"/>
              </w:rPr>
              <w:t>Y＜100</w:t>
            </w:r>
          </w:p>
        </w:tc>
      </w:tr>
      <w:tr w14:paraId="31A0E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restart"/>
            <w:tcBorders>
              <w:bottom w:val="nil"/>
            </w:tcBorders>
            <w:vAlign w:val="top"/>
          </w:tcPr>
          <w:p w14:paraId="67A5F302">
            <w:pPr>
              <w:pStyle w:val="18"/>
              <w:spacing w:before="245" w:line="219" w:lineRule="auto"/>
              <w:ind w:left="117"/>
              <w:rPr>
                <w:sz w:val="18"/>
                <w:szCs w:val="18"/>
              </w:rPr>
            </w:pPr>
            <w:r>
              <w:rPr>
                <w:spacing w:val="-2"/>
                <w:sz w:val="18"/>
                <w:szCs w:val="18"/>
              </w:rPr>
              <w:t>交通运输业×</w:t>
            </w:r>
          </w:p>
        </w:tc>
        <w:tc>
          <w:tcPr>
            <w:tcW w:w="1444" w:type="dxa"/>
            <w:vAlign w:val="top"/>
          </w:tcPr>
          <w:p w14:paraId="0CB05193">
            <w:pPr>
              <w:pStyle w:val="18"/>
              <w:spacing w:before="48" w:line="220" w:lineRule="auto"/>
              <w:ind w:left="187"/>
              <w:rPr>
                <w:sz w:val="18"/>
                <w:szCs w:val="18"/>
              </w:rPr>
            </w:pPr>
            <w:r>
              <w:rPr>
                <w:spacing w:val="-2"/>
                <w:sz w:val="18"/>
                <w:szCs w:val="18"/>
              </w:rPr>
              <w:t>从业人员（X)</w:t>
            </w:r>
          </w:p>
        </w:tc>
        <w:tc>
          <w:tcPr>
            <w:tcW w:w="748" w:type="dxa"/>
            <w:vAlign w:val="top"/>
          </w:tcPr>
          <w:p w14:paraId="08F56BBE">
            <w:pPr>
              <w:pStyle w:val="18"/>
              <w:spacing w:before="48" w:line="222" w:lineRule="auto"/>
              <w:ind w:left="288"/>
              <w:rPr>
                <w:sz w:val="18"/>
                <w:szCs w:val="18"/>
              </w:rPr>
            </w:pPr>
            <w:r>
              <w:rPr>
                <w:sz w:val="18"/>
                <w:szCs w:val="18"/>
              </w:rPr>
              <w:t>人</w:t>
            </w:r>
          </w:p>
        </w:tc>
        <w:tc>
          <w:tcPr>
            <w:tcW w:w="1187" w:type="dxa"/>
            <w:vAlign w:val="top"/>
          </w:tcPr>
          <w:p w14:paraId="624D7737">
            <w:pPr>
              <w:pStyle w:val="18"/>
              <w:spacing w:before="48" w:line="237" w:lineRule="auto"/>
              <w:ind w:left="280"/>
              <w:rPr>
                <w:sz w:val="18"/>
                <w:szCs w:val="18"/>
              </w:rPr>
            </w:pPr>
            <w:r>
              <w:rPr>
                <w:spacing w:val="-1"/>
                <w:sz w:val="18"/>
                <w:szCs w:val="18"/>
              </w:rPr>
              <w:t>X≥1000</w:t>
            </w:r>
          </w:p>
        </w:tc>
        <w:tc>
          <w:tcPr>
            <w:tcW w:w="1795" w:type="dxa"/>
            <w:vAlign w:val="top"/>
          </w:tcPr>
          <w:p w14:paraId="611371B5">
            <w:pPr>
              <w:pStyle w:val="18"/>
              <w:spacing w:before="48" w:line="236" w:lineRule="auto"/>
              <w:ind w:left="366"/>
              <w:rPr>
                <w:sz w:val="18"/>
                <w:szCs w:val="18"/>
              </w:rPr>
            </w:pPr>
            <w:r>
              <w:rPr>
                <w:spacing w:val="-1"/>
                <w:sz w:val="18"/>
                <w:szCs w:val="18"/>
              </w:rPr>
              <w:t>300≤X＜1000</w:t>
            </w:r>
          </w:p>
        </w:tc>
        <w:tc>
          <w:tcPr>
            <w:tcW w:w="1504" w:type="dxa"/>
            <w:vAlign w:val="top"/>
          </w:tcPr>
          <w:p w14:paraId="6CEB5510">
            <w:pPr>
              <w:pStyle w:val="18"/>
              <w:spacing w:before="48" w:line="236" w:lineRule="auto"/>
              <w:ind w:left="310"/>
              <w:rPr>
                <w:sz w:val="18"/>
                <w:szCs w:val="18"/>
              </w:rPr>
            </w:pPr>
            <w:r>
              <w:rPr>
                <w:spacing w:val="-2"/>
                <w:sz w:val="18"/>
                <w:szCs w:val="18"/>
              </w:rPr>
              <w:t>20≤X＜300</w:t>
            </w:r>
          </w:p>
        </w:tc>
        <w:tc>
          <w:tcPr>
            <w:tcW w:w="1051" w:type="dxa"/>
            <w:vAlign w:val="top"/>
          </w:tcPr>
          <w:p w14:paraId="5EE0A13D">
            <w:pPr>
              <w:pStyle w:val="18"/>
              <w:spacing w:before="47"/>
              <w:ind w:left="301"/>
              <w:rPr>
                <w:sz w:val="18"/>
                <w:szCs w:val="18"/>
              </w:rPr>
            </w:pPr>
            <w:r>
              <w:rPr>
                <w:spacing w:val="-1"/>
                <w:sz w:val="18"/>
                <w:szCs w:val="18"/>
              </w:rPr>
              <w:t>X＜20</w:t>
            </w:r>
          </w:p>
        </w:tc>
      </w:tr>
      <w:tr w14:paraId="031AA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continue"/>
            <w:tcBorders>
              <w:top w:val="nil"/>
            </w:tcBorders>
            <w:vAlign w:val="top"/>
          </w:tcPr>
          <w:p w14:paraId="21D92800">
            <w:pPr>
              <w:rPr>
                <w:rFonts w:ascii="Arial"/>
                <w:sz w:val="21"/>
              </w:rPr>
            </w:pPr>
          </w:p>
        </w:tc>
        <w:tc>
          <w:tcPr>
            <w:tcW w:w="1444" w:type="dxa"/>
            <w:vAlign w:val="top"/>
          </w:tcPr>
          <w:p w14:paraId="16402C36">
            <w:pPr>
              <w:pStyle w:val="18"/>
              <w:spacing w:before="47" w:line="219" w:lineRule="auto"/>
              <w:ind w:left="190"/>
              <w:rPr>
                <w:sz w:val="18"/>
                <w:szCs w:val="18"/>
              </w:rPr>
            </w:pPr>
            <w:r>
              <w:rPr>
                <w:spacing w:val="-2"/>
                <w:sz w:val="18"/>
                <w:szCs w:val="18"/>
              </w:rPr>
              <w:t>营业收入（Y)</w:t>
            </w:r>
          </w:p>
        </w:tc>
        <w:tc>
          <w:tcPr>
            <w:tcW w:w="748" w:type="dxa"/>
            <w:vAlign w:val="top"/>
          </w:tcPr>
          <w:p w14:paraId="19731EA7">
            <w:pPr>
              <w:pStyle w:val="18"/>
              <w:spacing w:before="47" w:line="220" w:lineRule="auto"/>
              <w:ind w:left="202"/>
              <w:rPr>
                <w:sz w:val="18"/>
                <w:szCs w:val="18"/>
              </w:rPr>
            </w:pPr>
            <w:r>
              <w:rPr>
                <w:spacing w:val="-6"/>
                <w:sz w:val="18"/>
                <w:szCs w:val="18"/>
              </w:rPr>
              <w:t>万元</w:t>
            </w:r>
          </w:p>
        </w:tc>
        <w:tc>
          <w:tcPr>
            <w:tcW w:w="1187" w:type="dxa"/>
            <w:vAlign w:val="top"/>
          </w:tcPr>
          <w:p w14:paraId="16285A38">
            <w:pPr>
              <w:pStyle w:val="18"/>
              <w:spacing w:before="47" w:line="237" w:lineRule="auto"/>
              <w:ind w:left="234"/>
              <w:rPr>
                <w:sz w:val="18"/>
                <w:szCs w:val="18"/>
              </w:rPr>
            </w:pPr>
            <w:r>
              <w:rPr>
                <w:spacing w:val="-1"/>
                <w:sz w:val="18"/>
                <w:szCs w:val="18"/>
              </w:rPr>
              <w:t>Y≥30000</w:t>
            </w:r>
          </w:p>
        </w:tc>
        <w:tc>
          <w:tcPr>
            <w:tcW w:w="1795" w:type="dxa"/>
            <w:vAlign w:val="top"/>
          </w:tcPr>
          <w:p w14:paraId="3D448A64">
            <w:pPr>
              <w:pStyle w:val="18"/>
              <w:spacing w:before="47" w:line="236" w:lineRule="auto"/>
              <w:ind w:left="275"/>
              <w:rPr>
                <w:sz w:val="18"/>
                <w:szCs w:val="18"/>
              </w:rPr>
            </w:pPr>
            <w:r>
              <w:rPr>
                <w:spacing w:val="-1"/>
                <w:sz w:val="18"/>
                <w:szCs w:val="18"/>
              </w:rPr>
              <w:t>3000≤Y＜30000</w:t>
            </w:r>
          </w:p>
        </w:tc>
        <w:tc>
          <w:tcPr>
            <w:tcW w:w="1504" w:type="dxa"/>
            <w:vAlign w:val="top"/>
          </w:tcPr>
          <w:p w14:paraId="2A731FF7">
            <w:pPr>
              <w:pStyle w:val="18"/>
              <w:spacing w:before="47" w:line="236" w:lineRule="auto"/>
              <w:ind w:left="218"/>
              <w:rPr>
                <w:sz w:val="18"/>
                <w:szCs w:val="18"/>
              </w:rPr>
            </w:pPr>
            <w:r>
              <w:rPr>
                <w:spacing w:val="-1"/>
                <w:sz w:val="18"/>
                <w:szCs w:val="18"/>
              </w:rPr>
              <w:t>200≤Y＜3000</w:t>
            </w:r>
          </w:p>
        </w:tc>
        <w:tc>
          <w:tcPr>
            <w:tcW w:w="1051" w:type="dxa"/>
            <w:vAlign w:val="top"/>
          </w:tcPr>
          <w:p w14:paraId="3F8B7D17">
            <w:pPr>
              <w:pStyle w:val="18"/>
              <w:spacing w:before="46"/>
              <w:ind w:left="257"/>
              <w:rPr>
                <w:sz w:val="18"/>
                <w:szCs w:val="18"/>
              </w:rPr>
            </w:pPr>
            <w:r>
              <w:rPr>
                <w:spacing w:val="-1"/>
                <w:sz w:val="18"/>
                <w:szCs w:val="18"/>
              </w:rPr>
              <w:t>Y＜200</w:t>
            </w:r>
          </w:p>
        </w:tc>
      </w:tr>
      <w:tr w14:paraId="76761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restart"/>
            <w:tcBorders>
              <w:bottom w:val="nil"/>
            </w:tcBorders>
            <w:vAlign w:val="top"/>
          </w:tcPr>
          <w:p w14:paraId="1DA9997A">
            <w:pPr>
              <w:pStyle w:val="18"/>
              <w:spacing w:before="245" w:line="220" w:lineRule="auto"/>
              <w:ind w:left="113"/>
              <w:rPr>
                <w:sz w:val="18"/>
                <w:szCs w:val="18"/>
              </w:rPr>
            </w:pPr>
            <w:r>
              <w:rPr>
                <w:spacing w:val="-2"/>
                <w:sz w:val="18"/>
                <w:szCs w:val="18"/>
              </w:rPr>
              <w:t>仓储业×</w:t>
            </w:r>
          </w:p>
        </w:tc>
        <w:tc>
          <w:tcPr>
            <w:tcW w:w="1444" w:type="dxa"/>
            <w:vAlign w:val="top"/>
          </w:tcPr>
          <w:p w14:paraId="75102C96">
            <w:pPr>
              <w:pStyle w:val="18"/>
              <w:spacing w:before="46" w:line="220" w:lineRule="auto"/>
              <w:ind w:left="187"/>
              <w:rPr>
                <w:sz w:val="18"/>
                <w:szCs w:val="18"/>
              </w:rPr>
            </w:pPr>
            <w:r>
              <w:rPr>
                <w:spacing w:val="-2"/>
                <w:sz w:val="18"/>
                <w:szCs w:val="18"/>
              </w:rPr>
              <w:t>从业人员（X)</w:t>
            </w:r>
          </w:p>
        </w:tc>
        <w:tc>
          <w:tcPr>
            <w:tcW w:w="748" w:type="dxa"/>
            <w:vAlign w:val="top"/>
          </w:tcPr>
          <w:p w14:paraId="2283A53B">
            <w:pPr>
              <w:pStyle w:val="18"/>
              <w:spacing w:before="46" w:line="222" w:lineRule="auto"/>
              <w:ind w:left="288"/>
              <w:rPr>
                <w:sz w:val="18"/>
                <w:szCs w:val="18"/>
              </w:rPr>
            </w:pPr>
            <w:r>
              <w:rPr>
                <w:sz w:val="18"/>
                <w:szCs w:val="18"/>
              </w:rPr>
              <w:t>人</w:t>
            </w:r>
          </w:p>
        </w:tc>
        <w:tc>
          <w:tcPr>
            <w:tcW w:w="1187" w:type="dxa"/>
            <w:vAlign w:val="top"/>
          </w:tcPr>
          <w:p w14:paraId="7500BDC7">
            <w:pPr>
              <w:pStyle w:val="18"/>
              <w:spacing w:before="46" w:line="237" w:lineRule="auto"/>
              <w:ind w:left="326"/>
              <w:rPr>
                <w:sz w:val="18"/>
                <w:szCs w:val="18"/>
              </w:rPr>
            </w:pPr>
            <w:r>
              <w:rPr>
                <w:spacing w:val="-1"/>
                <w:sz w:val="18"/>
                <w:szCs w:val="18"/>
              </w:rPr>
              <w:t>X≥200</w:t>
            </w:r>
          </w:p>
        </w:tc>
        <w:tc>
          <w:tcPr>
            <w:tcW w:w="1795" w:type="dxa"/>
            <w:vAlign w:val="top"/>
          </w:tcPr>
          <w:p w14:paraId="74F6682C">
            <w:pPr>
              <w:pStyle w:val="18"/>
              <w:spacing w:before="46" w:line="236" w:lineRule="auto"/>
              <w:ind w:left="366"/>
              <w:rPr>
                <w:sz w:val="18"/>
                <w:szCs w:val="18"/>
              </w:rPr>
            </w:pPr>
            <w:r>
              <w:rPr>
                <w:spacing w:val="-3"/>
                <w:sz w:val="18"/>
                <w:szCs w:val="18"/>
              </w:rPr>
              <w:t>100≤X＜200</w:t>
            </w:r>
          </w:p>
        </w:tc>
        <w:tc>
          <w:tcPr>
            <w:tcW w:w="1504" w:type="dxa"/>
            <w:vAlign w:val="top"/>
          </w:tcPr>
          <w:p w14:paraId="2DDF4C18">
            <w:pPr>
              <w:pStyle w:val="18"/>
              <w:spacing w:before="46" w:line="236" w:lineRule="auto"/>
              <w:ind w:left="310"/>
              <w:rPr>
                <w:sz w:val="18"/>
                <w:szCs w:val="18"/>
              </w:rPr>
            </w:pPr>
            <w:r>
              <w:rPr>
                <w:spacing w:val="-2"/>
                <w:sz w:val="18"/>
                <w:szCs w:val="18"/>
              </w:rPr>
              <w:t>20≤X＜100</w:t>
            </w:r>
          </w:p>
        </w:tc>
        <w:tc>
          <w:tcPr>
            <w:tcW w:w="1051" w:type="dxa"/>
            <w:vAlign w:val="top"/>
          </w:tcPr>
          <w:p w14:paraId="28053025">
            <w:pPr>
              <w:pStyle w:val="18"/>
              <w:spacing w:before="45"/>
              <w:ind w:left="301"/>
              <w:rPr>
                <w:sz w:val="18"/>
                <w:szCs w:val="18"/>
              </w:rPr>
            </w:pPr>
            <w:r>
              <w:rPr>
                <w:spacing w:val="-1"/>
                <w:sz w:val="18"/>
                <w:szCs w:val="18"/>
              </w:rPr>
              <w:t>X＜20</w:t>
            </w:r>
          </w:p>
        </w:tc>
      </w:tr>
      <w:tr w14:paraId="546FE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continue"/>
            <w:tcBorders>
              <w:top w:val="nil"/>
            </w:tcBorders>
            <w:vAlign w:val="top"/>
          </w:tcPr>
          <w:p w14:paraId="5571D157">
            <w:pPr>
              <w:rPr>
                <w:rFonts w:ascii="Arial"/>
                <w:sz w:val="21"/>
              </w:rPr>
            </w:pPr>
          </w:p>
        </w:tc>
        <w:tc>
          <w:tcPr>
            <w:tcW w:w="1444" w:type="dxa"/>
            <w:vAlign w:val="top"/>
          </w:tcPr>
          <w:p w14:paraId="74C2D7CE">
            <w:pPr>
              <w:pStyle w:val="18"/>
              <w:spacing w:before="48" w:line="219" w:lineRule="auto"/>
              <w:ind w:left="190"/>
              <w:rPr>
                <w:sz w:val="18"/>
                <w:szCs w:val="18"/>
              </w:rPr>
            </w:pPr>
            <w:r>
              <w:rPr>
                <w:spacing w:val="-2"/>
                <w:sz w:val="18"/>
                <w:szCs w:val="18"/>
              </w:rPr>
              <w:t>营业收入（Y)</w:t>
            </w:r>
          </w:p>
        </w:tc>
        <w:tc>
          <w:tcPr>
            <w:tcW w:w="748" w:type="dxa"/>
            <w:vAlign w:val="top"/>
          </w:tcPr>
          <w:p w14:paraId="2BFEEC72">
            <w:pPr>
              <w:pStyle w:val="18"/>
              <w:spacing w:before="47" w:line="220" w:lineRule="auto"/>
              <w:ind w:left="202"/>
              <w:rPr>
                <w:sz w:val="18"/>
                <w:szCs w:val="18"/>
              </w:rPr>
            </w:pPr>
            <w:r>
              <w:rPr>
                <w:spacing w:val="-6"/>
                <w:sz w:val="18"/>
                <w:szCs w:val="18"/>
              </w:rPr>
              <w:t>万元</w:t>
            </w:r>
          </w:p>
        </w:tc>
        <w:tc>
          <w:tcPr>
            <w:tcW w:w="1187" w:type="dxa"/>
            <w:vAlign w:val="top"/>
          </w:tcPr>
          <w:p w14:paraId="361FD094">
            <w:pPr>
              <w:pStyle w:val="18"/>
              <w:spacing w:before="48" w:line="237" w:lineRule="auto"/>
              <w:ind w:left="234"/>
              <w:rPr>
                <w:sz w:val="18"/>
                <w:szCs w:val="18"/>
              </w:rPr>
            </w:pPr>
            <w:r>
              <w:rPr>
                <w:spacing w:val="-1"/>
                <w:sz w:val="18"/>
                <w:szCs w:val="18"/>
              </w:rPr>
              <w:t>Y≥30000</w:t>
            </w:r>
          </w:p>
        </w:tc>
        <w:tc>
          <w:tcPr>
            <w:tcW w:w="1795" w:type="dxa"/>
            <w:vAlign w:val="top"/>
          </w:tcPr>
          <w:p w14:paraId="2949AC71">
            <w:pPr>
              <w:pStyle w:val="18"/>
              <w:spacing w:before="47" w:line="236" w:lineRule="auto"/>
              <w:ind w:left="285"/>
              <w:rPr>
                <w:sz w:val="18"/>
                <w:szCs w:val="18"/>
              </w:rPr>
            </w:pPr>
            <w:r>
              <w:rPr>
                <w:spacing w:val="-2"/>
                <w:sz w:val="18"/>
                <w:szCs w:val="18"/>
              </w:rPr>
              <w:t>1000≤Y＜30000</w:t>
            </w:r>
          </w:p>
        </w:tc>
        <w:tc>
          <w:tcPr>
            <w:tcW w:w="1504" w:type="dxa"/>
            <w:vAlign w:val="top"/>
          </w:tcPr>
          <w:p w14:paraId="233FB9F2">
            <w:pPr>
              <w:pStyle w:val="18"/>
              <w:spacing w:before="47" w:line="236" w:lineRule="auto"/>
              <w:ind w:left="230"/>
              <w:rPr>
                <w:sz w:val="18"/>
                <w:szCs w:val="18"/>
              </w:rPr>
            </w:pPr>
            <w:r>
              <w:rPr>
                <w:spacing w:val="-2"/>
                <w:sz w:val="18"/>
                <w:szCs w:val="18"/>
              </w:rPr>
              <w:t>100≤Y＜1000</w:t>
            </w:r>
          </w:p>
        </w:tc>
        <w:tc>
          <w:tcPr>
            <w:tcW w:w="1051" w:type="dxa"/>
            <w:vAlign w:val="top"/>
          </w:tcPr>
          <w:p w14:paraId="25B3937C">
            <w:pPr>
              <w:pStyle w:val="18"/>
              <w:spacing w:before="47"/>
              <w:ind w:left="257"/>
              <w:rPr>
                <w:sz w:val="18"/>
                <w:szCs w:val="18"/>
              </w:rPr>
            </w:pPr>
            <w:r>
              <w:rPr>
                <w:spacing w:val="-1"/>
                <w:sz w:val="18"/>
                <w:szCs w:val="18"/>
              </w:rPr>
              <w:t>Y＜100</w:t>
            </w:r>
          </w:p>
        </w:tc>
      </w:tr>
      <w:tr w14:paraId="63CA5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restart"/>
            <w:tcBorders>
              <w:bottom w:val="nil"/>
            </w:tcBorders>
            <w:vAlign w:val="top"/>
          </w:tcPr>
          <w:p w14:paraId="613C3897">
            <w:pPr>
              <w:pStyle w:val="18"/>
              <w:spacing w:before="245" w:line="221" w:lineRule="auto"/>
              <w:ind w:left="127"/>
              <w:rPr>
                <w:sz w:val="18"/>
                <w:szCs w:val="18"/>
              </w:rPr>
            </w:pPr>
            <w:r>
              <w:rPr>
                <w:spacing w:val="-7"/>
                <w:sz w:val="18"/>
                <w:szCs w:val="18"/>
              </w:rPr>
              <w:t>邮政业</w:t>
            </w:r>
          </w:p>
        </w:tc>
        <w:tc>
          <w:tcPr>
            <w:tcW w:w="1444" w:type="dxa"/>
            <w:vAlign w:val="top"/>
          </w:tcPr>
          <w:p w14:paraId="25646AAB">
            <w:pPr>
              <w:pStyle w:val="18"/>
              <w:spacing w:before="46" w:line="220" w:lineRule="auto"/>
              <w:ind w:left="187"/>
              <w:rPr>
                <w:sz w:val="18"/>
                <w:szCs w:val="18"/>
              </w:rPr>
            </w:pPr>
            <w:r>
              <w:rPr>
                <w:spacing w:val="-2"/>
                <w:sz w:val="18"/>
                <w:szCs w:val="18"/>
              </w:rPr>
              <w:t>从业人员（X)</w:t>
            </w:r>
          </w:p>
        </w:tc>
        <w:tc>
          <w:tcPr>
            <w:tcW w:w="748" w:type="dxa"/>
            <w:vAlign w:val="top"/>
          </w:tcPr>
          <w:p w14:paraId="7720C6E9">
            <w:pPr>
              <w:pStyle w:val="18"/>
              <w:spacing w:before="46" w:line="222" w:lineRule="auto"/>
              <w:ind w:left="288"/>
              <w:rPr>
                <w:sz w:val="18"/>
                <w:szCs w:val="18"/>
              </w:rPr>
            </w:pPr>
            <w:r>
              <w:rPr>
                <w:sz w:val="18"/>
                <w:szCs w:val="18"/>
              </w:rPr>
              <w:t>人</w:t>
            </w:r>
          </w:p>
        </w:tc>
        <w:tc>
          <w:tcPr>
            <w:tcW w:w="1187" w:type="dxa"/>
            <w:vAlign w:val="top"/>
          </w:tcPr>
          <w:p w14:paraId="7E2997EF">
            <w:pPr>
              <w:pStyle w:val="18"/>
              <w:spacing w:before="47" w:line="237" w:lineRule="auto"/>
              <w:ind w:left="280"/>
              <w:rPr>
                <w:sz w:val="18"/>
                <w:szCs w:val="18"/>
              </w:rPr>
            </w:pPr>
            <w:r>
              <w:rPr>
                <w:spacing w:val="-1"/>
                <w:sz w:val="18"/>
                <w:szCs w:val="18"/>
              </w:rPr>
              <w:t>X≥1000</w:t>
            </w:r>
          </w:p>
        </w:tc>
        <w:tc>
          <w:tcPr>
            <w:tcW w:w="1795" w:type="dxa"/>
            <w:vAlign w:val="top"/>
          </w:tcPr>
          <w:p w14:paraId="54BCDF87">
            <w:pPr>
              <w:pStyle w:val="18"/>
              <w:spacing w:before="46" w:line="236" w:lineRule="auto"/>
              <w:ind w:left="366"/>
              <w:rPr>
                <w:sz w:val="18"/>
                <w:szCs w:val="18"/>
              </w:rPr>
            </w:pPr>
            <w:r>
              <w:rPr>
                <w:spacing w:val="-1"/>
                <w:sz w:val="18"/>
                <w:szCs w:val="18"/>
              </w:rPr>
              <w:t>300≤X＜1000</w:t>
            </w:r>
          </w:p>
        </w:tc>
        <w:tc>
          <w:tcPr>
            <w:tcW w:w="1504" w:type="dxa"/>
            <w:vAlign w:val="top"/>
          </w:tcPr>
          <w:p w14:paraId="72C76F5B">
            <w:pPr>
              <w:pStyle w:val="18"/>
              <w:spacing w:before="46" w:line="236" w:lineRule="auto"/>
              <w:ind w:left="310"/>
              <w:rPr>
                <w:sz w:val="18"/>
                <w:szCs w:val="18"/>
              </w:rPr>
            </w:pPr>
            <w:r>
              <w:rPr>
                <w:spacing w:val="-2"/>
                <w:sz w:val="18"/>
                <w:szCs w:val="18"/>
              </w:rPr>
              <w:t>20≤X＜300</w:t>
            </w:r>
          </w:p>
        </w:tc>
        <w:tc>
          <w:tcPr>
            <w:tcW w:w="1051" w:type="dxa"/>
            <w:vAlign w:val="top"/>
          </w:tcPr>
          <w:p w14:paraId="67CEEF6D">
            <w:pPr>
              <w:pStyle w:val="18"/>
              <w:spacing w:before="46"/>
              <w:ind w:left="301"/>
              <w:rPr>
                <w:sz w:val="18"/>
                <w:szCs w:val="18"/>
              </w:rPr>
            </w:pPr>
            <w:r>
              <w:rPr>
                <w:spacing w:val="-1"/>
                <w:sz w:val="18"/>
                <w:szCs w:val="18"/>
              </w:rPr>
              <w:t>X＜20</w:t>
            </w:r>
          </w:p>
        </w:tc>
      </w:tr>
      <w:tr w14:paraId="6C6CC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continue"/>
            <w:tcBorders>
              <w:top w:val="nil"/>
            </w:tcBorders>
            <w:vAlign w:val="top"/>
          </w:tcPr>
          <w:p w14:paraId="73C06A83">
            <w:pPr>
              <w:rPr>
                <w:rFonts w:ascii="Arial"/>
                <w:sz w:val="21"/>
              </w:rPr>
            </w:pPr>
          </w:p>
        </w:tc>
        <w:tc>
          <w:tcPr>
            <w:tcW w:w="1444" w:type="dxa"/>
            <w:vAlign w:val="top"/>
          </w:tcPr>
          <w:p w14:paraId="499A0E93">
            <w:pPr>
              <w:pStyle w:val="18"/>
              <w:spacing w:before="48" w:line="219" w:lineRule="auto"/>
              <w:ind w:left="190"/>
              <w:rPr>
                <w:sz w:val="18"/>
                <w:szCs w:val="18"/>
              </w:rPr>
            </w:pPr>
            <w:r>
              <w:rPr>
                <w:spacing w:val="-2"/>
                <w:sz w:val="18"/>
                <w:szCs w:val="18"/>
              </w:rPr>
              <w:t>营业收入（Y)</w:t>
            </w:r>
          </w:p>
        </w:tc>
        <w:tc>
          <w:tcPr>
            <w:tcW w:w="748" w:type="dxa"/>
            <w:vAlign w:val="top"/>
          </w:tcPr>
          <w:p w14:paraId="74BFA638">
            <w:pPr>
              <w:pStyle w:val="18"/>
              <w:spacing w:before="48" w:line="220" w:lineRule="auto"/>
              <w:ind w:left="202"/>
              <w:rPr>
                <w:sz w:val="18"/>
                <w:szCs w:val="18"/>
              </w:rPr>
            </w:pPr>
            <w:r>
              <w:rPr>
                <w:spacing w:val="-6"/>
                <w:sz w:val="18"/>
                <w:szCs w:val="18"/>
              </w:rPr>
              <w:t>万元</w:t>
            </w:r>
          </w:p>
        </w:tc>
        <w:tc>
          <w:tcPr>
            <w:tcW w:w="1187" w:type="dxa"/>
            <w:vAlign w:val="top"/>
          </w:tcPr>
          <w:p w14:paraId="5C98A9E8">
            <w:pPr>
              <w:pStyle w:val="18"/>
              <w:spacing w:before="48" w:line="237" w:lineRule="auto"/>
              <w:ind w:left="234"/>
              <w:rPr>
                <w:sz w:val="18"/>
                <w:szCs w:val="18"/>
              </w:rPr>
            </w:pPr>
            <w:r>
              <w:rPr>
                <w:spacing w:val="-1"/>
                <w:sz w:val="18"/>
                <w:szCs w:val="18"/>
              </w:rPr>
              <w:t>Y≥30000</w:t>
            </w:r>
          </w:p>
        </w:tc>
        <w:tc>
          <w:tcPr>
            <w:tcW w:w="1795" w:type="dxa"/>
            <w:vAlign w:val="top"/>
          </w:tcPr>
          <w:p w14:paraId="3C8A4966">
            <w:pPr>
              <w:pStyle w:val="18"/>
              <w:spacing w:before="48" w:line="236" w:lineRule="auto"/>
              <w:ind w:left="273"/>
              <w:rPr>
                <w:sz w:val="18"/>
                <w:szCs w:val="18"/>
              </w:rPr>
            </w:pPr>
            <w:r>
              <w:rPr>
                <w:spacing w:val="-1"/>
                <w:sz w:val="18"/>
                <w:szCs w:val="18"/>
              </w:rPr>
              <w:t>2000≤Y＜30000</w:t>
            </w:r>
          </w:p>
        </w:tc>
        <w:tc>
          <w:tcPr>
            <w:tcW w:w="1504" w:type="dxa"/>
            <w:vAlign w:val="top"/>
          </w:tcPr>
          <w:p w14:paraId="7D7E9379">
            <w:pPr>
              <w:pStyle w:val="18"/>
              <w:spacing w:before="48" w:line="236" w:lineRule="auto"/>
              <w:ind w:left="230"/>
              <w:rPr>
                <w:sz w:val="18"/>
                <w:szCs w:val="18"/>
              </w:rPr>
            </w:pPr>
            <w:r>
              <w:rPr>
                <w:spacing w:val="-2"/>
                <w:sz w:val="18"/>
                <w:szCs w:val="18"/>
              </w:rPr>
              <w:t>100≤Y＜2000</w:t>
            </w:r>
          </w:p>
        </w:tc>
        <w:tc>
          <w:tcPr>
            <w:tcW w:w="1051" w:type="dxa"/>
            <w:vAlign w:val="top"/>
          </w:tcPr>
          <w:p w14:paraId="5FB59732">
            <w:pPr>
              <w:pStyle w:val="18"/>
              <w:spacing w:before="47"/>
              <w:ind w:left="257"/>
              <w:rPr>
                <w:sz w:val="18"/>
                <w:szCs w:val="18"/>
              </w:rPr>
            </w:pPr>
            <w:r>
              <w:rPr>
                <w:spacing w:val="-1"/>
                <w:sz w:val="18"/>
                <w:szCs w:val="18"/>
              </w:rPr>
              <w:t>Y＜100</w:t>
            </w:r>
          </w:p>
        </w:tc>
      </w:tr>
      <w:tr w14:paraId="5E690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235" w:type="dxa"/>
            <w:vMerge w:val="restart"/>
            <w:tcBorders>
              <w:bottom w:val="nil"/>
            </w:tcBorders>
            <w:vAlign w:val="top"/>
          </w:tcPr>
          <w:p w14:paraId="5A727D59">
            <w:pPr>
              <w:pStyle w:val="18"/>
              <w:spacing w:before="246" w:line="219" w:lineRule="auto"/>
              <w:ind w:left="113"/>
              <w:rPr>
                <w:sz w:val="18"/>
                <w:szCs w:val="18"/>
              </w:rPr>
            </w:pPr>
            <w:r>
              <w:rPr>
                <w:spacing w:val="-3"/>
                <w:sz w:val="18"/>
                <w:szCs w:val="18"/>
              </w:rPr>
              <w:t>住宿业</w:t>
            </w:r>
          </w:p>
        </w:tc>
        <w:tc>
          <w:tcPr>
            <w:tcW w:w="1444" w:type="dxa"/>
            <w:vAlign w:val="top"/>
          </w:tcPr>
          <w:p w14:paraId="0CD13AEC">
            <w:pPr>
              <w:pStyle w:val="18"/>
              <w:spacing w:before="47" w:line="220" w:lineRule="auto"/>
              <w:ind w:left="187"/>
              <w:rPr>
                <w:sz w:val="18"/>
                <w:szCs w:val="18"/>
              </w:rPr>
            </w:pPr>
            <w:r>
              <w:rPr>
                <w:spacing w:val="-2"/>
                <w:sz w:val="18"/>
                <w:szCs w:val="18"/>
              </w:rPr>
              <w:t>从业人员（X)</w:t>
            </w:r>
          </w:p>
        </w:tc>
        <w:tc>
          <w:tcPr>
            <w:tcW w:w="748" w:type="dxa"/>
            <w:vAlign w:val="top"/>
          </w:tcPr>
          <w:p w14:paraId="62322B43">
            <w:pPr>
              <w:pStyle w:val="18"/>
              <w:spacing w:before="47" w:line="222" w:lineRule="auto"/>
              <w:ind w:left="288"/>
              <w:rPr>
                <w:sz w:val="18"/>
                <w:szCs w:val="18"/>
              </w:rPr>
            </w:pPr>
            <w:r>
              <w:rPr>
                <w:sz w:val="18"/>
                <w:szCs w:val="18"/>
              </w:rPr>
              <w:t>人</w:t>
            </w:r>
          </w:p>
        </w:tc>
        <w:tc>
          <w:tcPr>
            <w:tcW w:w="1187" w:type="dxa"/>
            <w:vAlign w:val="top"/>
          </w:tcPr>
          <w:p w14:paraId="441F55AA">
            <w:pPr>
              <w:pStyle w:val="18"/>
              <w:spacing w:before="47" w:line="237" w:lineRule="auto"/>
              <w:ind w:left="326"/>
              <w:rPr>
                <w:sz w:val="18"/>
                <w:szCs w:val="18"/>
              </w:rPr>
            </w:pPr>
            <w:r>
              <w:rPr>
                <w:spacing w:val="-1"/>
                <w:sz w:val="18"/>
                <w:szCs w:val="18"/>
              </w:rPr>
              <w:t>X≥300</w:t>
            </w:r>
          </w:p>
        </w:tc>
        <w:tc>
          <w:tcPr>
            <w:tcW w:w="1795" w:type="dxa"/>
            <w:vAlign w:val="top"/>
          </w:tcPr>
          <w:p w14:paraId="3C510BD7">
            <w:pPr>
              <w:pStyle w:val="18"/>
              <w:spacing w:before="47" w:line="236" w:lineRule="auto"/>
              <w:ind w:left="366"/>
              <w:rPr>
                <w:sz w:val="18"/>
                <w:szCs w:val="18"/>
              </w:rPr>
            </w:pPr>
            <w:r>
              <w:rPr>
                <w:spacing w:val="-3"/>
                <w:sz w:val="18"/>
                <w:szCs w:val="18"/>
              </w:rPr>
              <w:t>100≤X＜300</w:t>
            </w:r>
          </w:p>
        </w:tc>
        <w:tc>
          <w:tcPr>
            <w:tcW w:w="1504" w:type="dxa"/>
            <w:vAlign w:val="top"/>
          </w:tcPr>
          <w:p w14:paraId="7CCBF671">
            <w:pPr>
              <w:pStyle w:val="18"/>
              <w:spacing w:before="47" w:line="236" w:lineRule="auto"/>
              <w:ind w:left="321"/>
              <w:rPr>
                <w:sz w:val="18"/>
                <w:szCs w:val="18"/>
              </w:rPr>
            </w:pPr>
            <w:r>
              <w:rPr>
                <w:spacing w:val="-3"/>
                <w:sz w:val="18"/>
                <w:szCs w:val="18"/>
              </w:rPr>
              <w:t>10≤X＜100</w:t>
            </w:r>
          </w:p>
        </w:tc>
        <w:tc>
          <w:tcPr>
            <w:tcW w:w="1051" w:type="dxa"/>
            <w:vAlign w:val="top"/>
          </w:tcPr>
          <w:p w14:paraId="518D3588">
            <w:pPr>
              <w:pStyle w:val="18"/>
              <w:spacing w:before="46"/>
              <w:ind w:left="301"/>
              <w:rPr>
                <w:sz w:val="18"/>
                <w:szCs w:val="18"/>
              </w:rPr>
            </w:pPr>
            <w:r>
              <w:rPr>
                <w:spacing w:val="-1"/>
                <w:sz w:val="18"/>
                <w:szCs w:val="18"/>
              </w:rPr>
              <w:t>X＜10</w:t>
            </w:r>
          </w:p>
        </w:tc>
      </w:tr>
      <w:tr w14:paraId="560EF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continue"/>
            <w:tcBorders>
              <w:top w:val="nil"/>
            </w:tcBorders>
            <w:vAlign w:val="top"/>
          </w:tcPr>
          <w:p w14:paraId="19436FD9">
            <w:pPr>
              <w:rPr>
                <w:rFonts w:ascii="Arial"/>
                <w:sz w:val="21"/>
              </w:rPr>
            </w:pPr>
          </w:p>
        </w:tc>
        <w:tc>
          <w:tcPr>
            <w:tcW w:w="1444" w:type="dxa"/>
            <w:vAlign w:val="top"/>
          </w:tcPr>
          <w:p w14:paraId="553CF107">
            <w:pPr>
              <w:pStyle w:val="18"/>
              <w:spacing w:before="47" w:line="219" w:lineRule="auto"/>
              <w:ind w:left="190"/>
              <w:rPr>
                <w:sz w:val="18"/>
                <w:szCs w:val="18"/>
              </w:rPr>
            </w:pPr>
            <w:r>
              <w:rPr>
                <w:spacing w:val="-2"/>
                <w:sz w:val="18"/>
                <w:szCs w:val="18"/>
              </w:rPr>
              <w:t>营业收入（Y)</w:t>
            </w:r>
          </w:p>
        </w:tc>
        <w:tc>
          <w:tcPr>
            <w:tcW w:w="748" w:type="dxa"/>
            <w:vAlign w:val="top"/>
          </w:tcPr>
          <w:p w14:paraId="21BD3DEF">
            <w:pPr>
              <w:pStyle w:val="18"/>
              <w:spacing w:before="47" w:line="220" w:lineRule="auto"/>
              <w:ind w:left="202"/>
              <w:rPr>
                <w:sz w:val="18"/>
                <w:szCs w:val="18"/>
              </w:rPr>
            </w:pPr>
            <w:r>
              <w:rPr>
                <w:spacing w:val="-6"/>
                <w:sz w:val="18"/>
                <w:szCs w:val="18"/>
              </w:rPr>
              <w:t>万元</w:t>
            </w:r>
          </w:p>
        </w:tc>
        <w:tc>
          <w:tcPr>
            <w:tcW w:w="1187" w:type="dxa"/>
            <w:vAlign w:val="top"/>
          </w:tcPr>
          <w:p w14:paraId="6E4749F2">
            <w:pPr>
              <w:pStyle w:val="18"/>
              <w:spacing w:before="47" w:line="237" w:lineRule="auto"/>
              <w:ind w:left="234"/>
              <w:rPr>
                <w:sz w:val="18"/>
                <w:szCs w:val="18"/>
              </w:rPr>
            </w:pPr>
            <w:r>
              <w:rPr>
                <w:spacing w:val="-1"/>
                <w:sz w:val="18"/>
                <w:szCs w:val="18"/>
              </w:rPr>
              <w:t>Y≥10000</w:t>
            </w:r>
          </w:p>
        </w:tc>
        <w:tc>
          <w:tcPr>
            <w:tcW w:w="1795" w:type="dxa"/>
            <w:vAlign w:val="top"/>
          </w:tcPr>
          <w:p w14:paraId="2C66F6CB">
            <w:pPr>
              <w:pStyle w:val="18"/>
              <w:spacing w:before="47" w:line="236" w:lineRule="auto"/>
              <w:ind w:left="273"/>
              <w:rPr>
                <w:sz w:val="18"/>
                <w:szCs w:val="18"/>
              </w:rPr>
            </w:pPr>
            <w:r>
              <w:rPr>
                <w:spacing w:val="-1"/>
                <w:sz w:val="18"/>
                <w:szCs w:val="18"/>
              </w:rPr>
              <w:t>2000≤Y＜10000</w:t>
            </w:r>
          </w:p>
        </w:tc>
        <w:tc>
          <w:tcPr>
            <w:tcW w:w="1504" w:type="dxa"/>
            <w:vAlign w:val="top"/>
          </w:tcPr>
          <w:p w14:paraId="1C943A00">
            <w:pPr>
              <w:pStyle w:val="18"/>
              <w:spacing w:before="47" w:line="236" w:lineRule="auto"/>
              <w:ind w:left="230"/>
              <w:rPr>
                <w:sz w:val="18"/>
                <w:szCs w:val="18"/>
              </w:rPr>
            </w:pPr>
            <w:r>
              <w:rPr>
                <w:spacing w:val="-2"/>
                <w:sz w:val="18"/>
                <w:szCs w:val="18"/>
              </w:rPr>
              <w:t>100≤Y＜2000</w:t>
            </w:r>
          </w:p>
        </w:tc>
        <w:tc>
          <w:tcPr>
            <w:tcW w:w="1051" w:type="dxa"/>
            <w:vAlign w:val="top"/>
          </w:tcPr>
          <w:p w14:paraId="3CFBA928">
            <w:pPr>
              <w:pStyle w:val="18"/>
              <w:spacing w:before="46"/>
              <w:ind w:left="257"/>
              <w:rPr>
                <w:sz w:val="18"/>
                <w:szCs w:val="18"/>
              </w:rPr>
            </w:pPr>
            <w:r>
              <w:rPr>
                <w:spacing w:val="-1"/>
                <w:sz w:val="18"/>
                <w:szCs w:val="18"/>
              </w:rPr>
              <w:t>Y＜100</w:t>
            </w:r>
          </w:p>
        </w:tc>
      </w:tr>
      <w:tr w14:paraId="7210C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235" w:type="dxa"/>
            <w:vMerge w:val="restart"/>
            <w:tcBorders>
              <w:bottom w:val="nil"/>
            </w:tcBorders>
            <w:vAlign w:val="top"/>
          </w:tcPr>
          <w:p w14:paraId="44990F9A">
            <w:pPr>
              <w:pStyle w:val="18"/>
              <w:spacing w:before="245" w:line="219" w:lineRule="auto"/>
              <w:ind w:left="115"/>
              <w:rPr>
                <w:sz w:val="18"/>
                <w:szCs w:val="18"/>
              </w:rPr>
            </w:pPr>
            <w:r>
              <w:rPr>
                <w:spacing w:val="-3"/>
                <w:sz w:val="18"/>
                <w:szCs w:val="18"/>
              </w:rPr>
              <w:t>餐饮业</w:t>
            </w:r>
          </w:p>
        </w:tc>
        <w:tc>
          <w:tcPr>
            <w:tcW w:w="1444" w:type="dxa"/>
            <w:vAlign w:val="top"/>
          </w:tcPr>
          <w:p w14:paraId="08E5FC29">
            <w:pPr>
              <w:pStyle w:val="18"/>
              <w:spacing w:before="48" w:line="220" w:lineRule="auto"/>
              <w:ind w:left="187"/>
              <w:rPr>
                <w:sz w:val="18"/>
                <w:szCs w:val="18"/>
              </w:rPr>
            </w:pPr>
            <w:r>
              <w:rPr>
                <w:spacing w:val="-2"/>
                <w:sz w:val="18"/>
                <w:szCs w:val="18"/>
              </w:rPr>
              <w:t>从业人员（X)</w:t>
            </w:r>
          </w:p>
        </w:tc>
        <w:tc>
          <w:tcPr>
            <w:tcW w:w="748" w:type="dxa"/>
            <w:vAlign w:val="top"/>
          </w:tcPr>
          <w:p w14:paraId="0BD82E49">
            <w:pPr>
              <w:pStyle w:val="18"/>
              <w:spacing w:before="48" w:line="222" w:lineRule="auto"/>
              <w:ind w:left="288"/>
              <w:rPr>
                <w:sz w:val="18"/>
                <w:szCs w:val="18"/>
              </w:rPr>
            </w:pPr>
            <w:r>
              <w:rPr>
                <w:sz w:val="18"/>
                <w:szCs w:val="18"/>
              </w:rPr>
              <w:t>人</w:t>
            </w:r>
          </w:p>
        </w:tc>
        <w:tc>
          <w:tcPr>
            <w:tcW w:w="1187" w:type="dxa"/>
            <w:vAlign w:val="top"/>
          </w:tcPr>
          <w:p w14:paraId="591E4F00">
            <w:pPr>
              <w:pStyle w:val="18"/>
              <w:spacing w:before="48" w:line="237" w:lineRule="auto"/>
              <w:ind w:left="326"/>
              <w:rPr>
                <w:sz w:val="18"/>
                <w:szCs w:val="18"/>
              </w:rPr>
            </w:pPr>
            <w:r>
              <w:rPr>
                <w:spacing w:val="-1"/>
                <w:sz w:val="18"/>
                <w:szCs w:val="18"/>
              </w:rPr>
              <w:t>X≥300</w:t>
            </w:r>
          </w:p>
        </w:tc>
        <w:tc>
          <w:tcPr>
            <w:tcW w:w="1795" w:type="dxa"/>
            <w:vAlign w:val="top"/>
          </w:tcPr>
          <w:p w14:paraId="38A1D597">
            <w:pPr>
              <w:pStyle w:val="18"/>
              <w:spacing w:before="48" w:line="236" w:lineRule="auto"/>
              <w:ind w:left="366"/>
              <w:rPr>
                <w:sz w:val="18"/>
                <w:szCs w:val="18"/>
              </w:rPr>
            </w:pPr>
            <w:r>
              <w:rPr>
                <w:spacing w:val="-3"/>
                <w:sz w:val="18"/>
                <w:szCs w:val="18"/>
              </w:rPr>
              <w:t>100≤X＜300</w:t>
            </w:r>
          </w:p>
        </w:tc>
        <w:tc>
          <w:tcPr>
            <w:tcW w:w="1504" w:type="dxa"/>
            <w:vAlign w:val="top"/>
          </w:tcPr>
          <w:p w14:paraId="0861BD07">
            <w:pPr>
              <w:pStyle w:val="18"/>
              <w:spacing w:before="48" w:line="236" w:lineRule="auto"/>
              <w:ind w:left="321"/>
              <w:rPr>
                <w:sz w:val="18"/>
                <w:szCs w:val="18"/>
              </w:rPr>
            </w:pPr>
            <w:r>
              <w:rPr>
                <w:spacing w:val="-3"/>
                <w:sz w:val="18"/>
                <w:szCs w:val="18"/>
              </w:rPr>
              <w:t>10≤X＜100</w:t>
            </w:r>
          </w:p>
        </w:tc>
        <w:tc>
          <w:tcPr>
            <w:tcW w:w="1051" w:type="dxa"/>
            <w:vAlign w:val="top"/>
          </w:tcPr>
          <w:p w14:paraId="20FEA414">
            <w:pPr>
              <w:pStyle w:val="18"/>
              <w:spacing w:before="48"/>
              <w:ind w:left="301"/>
              <w:rPr>
                <w:sz w:val="18"/>
                <w:szCs w:val="18"/>
              </w:rPr>
            </w:pPr>
            <w:r>
              <w:rPr>
                <w:spacing w:val="-1"/>
                <w:sz w:val="18"/>
                <w:szCs w:val="18"/>
              </w:rPr>
              <w:t>X＜10</w:t>
            </w:r>
          </w:p>
        </w:tc>
      </w:tr>
      <w:tr w14:paraId="57872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continue"/>
            <w:tcBorders>
              <w:top w:val="nil"/>
            </w:tcBorders>
            <w:vAlign w:val="top"/>
          </w:tcPr>
          <w:p w14:paraId="202D1B2C">
            <w:pPr>
              <w:rPr>
                <w:rFonts w:ascii="Arial"/>
                <w:sz w:val="21"/>
              </w:rPr>
            </w:pPr>
          </w:p>
        </w:tc>
        <w:tc>
          <w:tcPr>
            <w:tcW w:w="1444" w:type="dxa"/>
            <w:vAlign w:val="top"/>
          </w:tcPr>
          <w:p w14:paraId="16F561AF">
            <w:pPr>
              <w:pStyle w:val="18"/>
              <w:spacing w:before="48" w:line="219" w:lineRule="auto"/>
              <w:ind w:left="190"/>
              <w:rPr>
                <w:sz w:val="18"/>
                <w:szCs w:val="18"/>
              </w:rPr>
            </w:pPr>
            <w:r>
              <w:rPr>
                <w:spacing w:val="-2"/>
                <w:sz w:val="18"/>
                <w:szCs w:val="18"/>
              </w:rPr>
              <w:t>营业收入（Y)</w:t>
            </w:r>
          </w:p>
        </w:tc>
        <w:tc>
          <w:tcPr>
            <w:tcW w:w="748" w:type="dxa"/>
            <w:vAlign w:val="top"/>
          </w:tcPr>
          <w:p w14:paraId="1FF116EC">
            <w:pPr>
              <w:pStyle w:val="18"/>
              <w:spacing w:before="48" w:line="220" w:lineRule="auto"/>
              <w:ind w:left="202"/>
              <w:rPr>
                <w:sz w:val="18"/>
                <w:szCs w:val="18"/>
              </w:rPr>
            </w:pPr>
            <w:r>
              <w:rPr>
                <w:spacing w:val="-6"/>
                <w:sz w:val="18"/>
                <w:szCs w:val="18"/>
              </w:rPr>
              <w:t>万元</w:t>
            </w:r>
          </w:p>
        </w:tc>
        <w:tc>
          <w:tcPr>
            <w:tcW w:w="1187" w:type="dxa"/>
            <w:vAlign w:val="top"/>
          </w:tcPr>
          <w:p w14:paraId="684C4AB4">
            <w:pPr>
              <w:pStyle w:val="18"/>
              <w:spacing w:before="48" w:line="237" w:lineRule="auto"/>
              <w:ind w:left="234"/>
              <w:rPr>
                <w:sz w:val="18"/>
                <w:szCs w:val="18"/>
              </w:rPr>
            </w:pPr>
            <w:r>
              <w:rPr>
                <w:spacing w:val="-1"/>
                <w:sz w:val="18"/>
                <w:szCs w:val="18"/>
              </w:rPr>
              <w:t>Y≥10000</w:t>
            </w:r>
          </w:p>
        </w:tc>
        <w:tc>
          <w:tcPr>
            <w:tcW w:w="1795" w:type="dxa"/>
            <w:vAlign w:val="top"/>
          </w:tcPr>
          <w:p w14:paraId="0E090E9A">
            <w:pPr>
              <w:pStyle w:val="18"/>
              <w:spacing w:before="48" w:line="236" w:lineRule="auto"/>
              <w:ind w:left="273"/>
              <w:rPr>
                <w:sz w:val="18"/>
                <w:szCs w:val="18"/>
              </w:rPr>
            </w:pPr>
            <w:r>
              <w:rPr>
                <w:spacing w:val="-1"/>
                <w:sz w:val="18"/>
                <w:szCs w:val="18"/>
              </w:rPr>
              <w:t>2000≤Y＜10000</w:t>
            </w:r>
          </w:p>
        </w:tc>
        <w:tc>
          <w:tcPr>
            <w:tcW w:w="1504" w:type="dxa"/>
            <w:vAlign w:val="top"/>
          </w:tcPr>
          <w:p w14:paraId="776684A6">
            <w:pPr>
              <w:pStyle w:val="18"/>
              <w:spacing w:before="48" w:line="236" w:lineRule="auto"/>
              <w:ind w:left="230"/>
              <w:rPr>
                <w:sz w:val="18"/>
                <w:szCs w:val="18"/>
              </w:rPr>
            </w:pPr>
            <w:r>
              <w:rPr>
                <w:spacing w:val="-2"/>
                <w:sz w:val="18"/>
                <w:szCs w:val="18"/>
              </w:rPr>
              <w:t>100≤Y＜2000</w:t>
            </w:r>
          </w:p>
        </w:tc>
        <w:tc>
          <w:tcPr>
            <w:tcW w:w="1051" w:type="dxa"/>
            <w:vAlign w:val="top"/>
          </w:tcPr>
          <w:p w14:paraId="46143BF1">
            <w:pPr>
              <w:pStyle w:val="18"/>
              <w:spacing w:before="48"/>
              <w:ind w:left="257"/>
              <w:rPr>
                <w:sz w:val="18"/>
                <w:szCs w:val="18"/>
              </w:rPr>
            </w:pPr>
            <w:r>
              <w:rPr>
                <w:spacing w:val="-1"/>
                <w:sz w:val="18"/>
                <w:szCs w:val="18"/>
              </w:rPr>
              <w:t>Y＜100</w:t>
            </w:r>
          </w:p>
        </w:tc>
      </w:tr>
      <w:tr w14:paraId="74EB8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restart"/>
            <w:tcBorders>
              <w:bottom w:val="nil"/>
            </w:tcBorders>
            <w:vAlign w:val="top"/>
          </w:tcPr>
          <w:p w14:paraId="573858B8">
            <w:pPr>
              <w:pStyle w:val="18"/>
              <w:spacing w:before="246" w:line="219" w:lineRule="auto"/>
              <w:ind w:left="113"/>
              <w:rPr>
                <w:sz w:val="18"/>
                <w:szCs w:val="18"/>
              </w:rPr>
            </w:pPr>
            <w:r>
              <w:rPr>
                <w:spacing w:val="-2"/>
                <w:sz w:val="18"/>
                <w:szCs w:val="18"/>
              </w:rPr>
              <w:t>信息传输业×</w:t>
            </w:r>
          </w:p>
        </w:tc>
        <w:tc>
          <w:tcPr>
            <w:tcW w:w="1444" w:type="dxa"/>
            <w:vAlign w:val="top"/>
          </w:tcPr>
          <w:p w14:paraId="484C2B3F">
            <w:pPr>
              <w:pStyle w:val="18"/>
              <w:spacing w:before="50" w:line="220" w:lineRule="auto"/>
              <w:ind w:left="187"/>
              <w:rPr>
                <w:sz w:val="18"/>
                <w:szCs w:val="18"/>
              </w:rPr>
            </w:pPr>
            <w:r>
              <w:rPr>
                <w:spacing w:val="-2"/>
                <w:sz w:val="18"/>
                <w:szCs w:val="18"/>
              </w:rPr>
              <w:t>从业人员（X)</w:t>
            </w:r>
          </w:p>
        </w:tc>
        <w:tc>
          <w:tcPr>
            <w:tcW w:w="748" w:type="dxa"/>
            <w:vAlign w:val="top"/>
          </w:tcPr>
          <w:p w14:paraId="5FB09871">
            <w:pPr>
              <w:pStyle w:val="18"/>
              <w:spacing w:before="50" w:line="222" w:lineRule="auto"/>
              <w:ind w:left="288"/>
              <w:rPr>
                <w:sz w:val="18"/>
                <w:szCs w:val="18"/>
              </w:rPr>
            </w:pPr>
            <w:r>
              <w:rPr>
                <w:sz w:val="18"/>
                <w:szCs w:val="18"/>
              </w:rPr>
              <w:t>人</w:t>
            </w:r>
          </w:p>
        </w:tc>
        <w:tc>
          <w:tcPr>
            <w:tcW w:w="1187" w:type="dxa"/>
            <w:vAlign w:val="top"/>
          </w:tcPr>
          <w:p w14:paraId="415AE07D">
            <w:pPr>
              <w:pStyle w:val="18"/>
              <w:spacing w:before="50" w:line="237" w:lineRule="auto"/>
              <w:ind w:left="280"/>
              <w:rPr>
                <w:sz w:val="18"/>
                <w:szCs w:val="18"/>
              </w:rPr>
            </w:pPr>
            <w:r>
              <w:rPr>
                <w:spacing w:val="-1"/>
                <w:sz w:val="18"/>
                <w:szCs w:val="18"/>
              </w:rPr>
              <w:t>X≥2000</w:t>
            </w:r>
          </w:p>
        </w:tc>
        <w:tc>
          <w:tcPr>
            <w:tcW w:w="1795" w:type="dxa"/>
            <w:vAlign w:val="top"/>
          </w:tcPr>
          <w:p w14:paraId="344137AC">
            <w:pPr>
              <w:pStyle w:val="18"/>
              <w:spacing w:before="49" w:line="236" w:lineRule="auto"/>
              <w:ind w:left="376"/>
              <w:rPr>
                <w:sz w:val="18"/>
                <w:szCs w:val="18"/>
              </w:rPr>
            </w:pPr>
            <w:r>
              <w:rPr>
                <w:spacing w:val="-2"/>
                <w:sz w:val="18"/>
                <w:szCs w:val="18"/>
              </w:rPr>
              <w:t>100≤X＜2000</w:t>
            </w:r>
          </w:p>
        </w:tc>
        <w:tc>
          <w:tcPr>
            <w:tcW w:w="1504" w:type="dxa"/>
            <w:vAlign w:val="top"/>
          </w:tcPr>
          <w:p w14:paraId="46DE9DC8">
            <w:pPr>
              <w:pStyle w:val="18"/>
              <w:spacing w:before="49" w:line="236" w:lineRule="auto"/>
              <w:ind w:left="321"/>
              <w:rPr>
                <w:sz w:val="18"/>
                <w:szCs w:val="18"/>
              </w:rPr>
            </w:pPr>
            <w:r>
              <w:rPr>
                <w:spacing w:val="-3"/>
                <w:sz w:val="18"/>
                <w:szCs w:val="18"/>
              </w:rPr>
              <w:t>10≤X＜100</w:t>
            </w:r>
          </w:p>
        </w:tc>
        <w:tc>
          <w:tcPr>
            <w:tcW w:w="1051" w:type="dxa"/>
            <w:vAlign w:val="top"/>
          </w:tcPr>
          <w:p w14:paraId="140DC938">
            <w:pPr>
              <w:pStyle w:val="18"/>
              <w:spacing w:before="49"/>
              <w:ind w:left="301"/>
              <w:rPr>
                <w:sz w:val="18"/>
                <w:szCs w:val="18"/>
              </w:rPr>
            </w:pPr>
            <w:r>
              <w:rPr>
                <w:spacing w:val="-1"/>
                <w:sz w:val="18"/>
                <w:szCs w:val="18"/>
              </w:rPr>
              <w:t>X＜10</w:t>
            </w:r>
          </w:p>
        </w:tc>
      </w:tr>
      <w:tr w14:paraId="425CB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235" w:type="dxa"/>
            <w:vMerge w:val="continue"/>
            <w:tcBorders>
              <w:top w:val="nil"/>
            </w:tcBorders>
            <w:vAlign w:val="top"/>
          </w:tcPr>
          <w:p w14:paraId="24462EC6">
            <w:pPr>
              <w:rPr>
                <w:rFonts w:ascii="Arial"/>
                <w:sz w:val="21"/>
              </w:rPr>
            </w:pPr>
          </w:p>
        </w:tc>
        <w:tc>
          <w:tcPr>
            <w:tcW w:w="1444" w:type="dxa"/>
            <w:vAlign w:val="top"/>
          </w:tcPr>
          <w:p w14:paraId="04EFFEEC">
            <w:pPr>
              <w:pStyle w:val="18"/>
              <w:spacing w:before="49" w:line="219" w:lineRule="auto"/>
              <w:ind w:left="190"/>
              <w:rPr>
                <w:sz w:val="18"/>
                <w:szCs w:val="18"/>
              </w:rPr>
            </w:pPr>
            <w:r>
              <w:rPr>
                <w:spacing w:val="-2"/>
                <w:sz w:val="18"/>
                <w:szCs w:val="18"/>
              </w:rPr>
              <w:t>营业收入（Y)</w:t>
            </w:r>
          </w:p>
        </w:tc>
        <w:tc>
          <w:tcPr>
            <w:tcW w:w="748" w:type="dxa"/>
            <w:vAlign w:val="top"/>
          </w:tcPr>
          <w:p w14:paraId="5AE1212A">
            <w:pPr>
              <w:pStyle w:val="18"/>
              <w:spacing w:before="49" w:line="220" w:lineRule="auto"/>
              <w:ind w:left="202"/>
              <w:rPr>
                <w:sz w:val="18"/>
                <w:szCs w:val="18"/>
              </w:rPr>
            </w:pPr>
            <w:r>
              <w:rPr>
                <w:spacing w:val="-6"/>
                <w:sz w:val="18"/>
                <w:szCs w:val="18"/>
              </w:rPr>
              <w:t>万元</w:t>
            </w:r>
          </w:p>
        </w:tc>
        <w:tc>
          <w:tcPr>
            <w:tcW w:w="1187" w:type="dxa"/>
            <w:vAlign w:val="top"/>
          </w:tcPr>
          <w:p w14:paraId="6115BDFB">
            <w:pPr>
              <w:pStyle w:val="18"/>
              <w:spacing w:before="49" w:line="237" w:lineRule="auto"/>
              <w:ind w:left="188"/>
              <w:rPr>
                <w:sz w:val="18"/>
                <w:szCs w:val="18"/>
              </w:rPr>
            </w:pPr>
            <w:r>
              <w:rPr>
                <w:spacing w:val="-1"/>
                <w:sz w:val="18"/>
                <w:szCs w:val="18"/>
              </w:rPr>
              <w:t>Y≥100000</w:t>
            </w:r>
          </w:p>
        </w:tc>
        <w:tc>
          <w:tcPr>
            <w:tcW w:w="1795" w:type="dxa"/>
            <w:vAlign w:val="top"/>
          </w:tcPr>
          <w:p w14:paraId="6916D3EB">
            <w:pPr>
              <w:pStyle w:val="18"/>
              <w:spacing w:before="48" w:line="236" w:lineRule="auto"/>
              <w:ind w:left="241"/>
              <w:rPr>
                <w:sz w:val="18"/>
                <w:szCs w:val="18"/>
              </w:rPr>
            </w:pPr>
            <w:r>
              <w:rPr>
                <w:spacing w:val="-2"/>
                <w:sz w:val="18"/>
                <w:szCs w:val="18"/>
              </w:rPr>
              <w:t>1000≤Y＜100000</w:t>
            </w:r>
          </w:p>
        </w:tc>
        <w:tc>
          <w:tcPr>
            <w:tcW w:w="1504" w:type="dxa"/>
            <w:vAlign w:val="top"/>
          </w:tcPr>
          <w:p w14:paraId="4B28BC83">
            <w:pPr>
              <w:pStyle w:val="18"/>
              <w:spacing w:before="48" w:line="236" w:lineRule="auto"/>
              <w:ind w:left="230"/>
              <w:rPr>
                <w:sz w:val="18"/>
                <w:szCs w:val="18"/>
              </w:rPr>
            </w:pPr>
            <w:r>
              <w:rPr>
                <w:spacing w:val="-2"/>
                <w:sz w:val="18"/>
                <w:szCs w:val="18"/>
              </w:rPr>
              <w:t>100≤Y＜1000</w:t>
            </w:r>
          </w:p>
        </w:tc>
        <w:tc>
          <w:tcPr>
            <w:tcW w:w="1051" w:type="dxa"/>
            <w:vAlign w:val="top"/>
          </w:tcPr>
          <w:p w14:paraId="7957F9E4">
            <w:pPr>
              <w:pStyle w:val="18"/>
              <w:spacing w:before="48"/>
              <w:ind w:left="257"/>
              <w:rPr>
                <w:sz w:val="18"/>
                <w:szCs w:val="18"/>
              </w:rPr>
            </w:pPr>
            <w:r>
              <w:rPr>
                <w:spacing w:val="-1"/>
                <w:sz w:val="18"/>
                <w:szCs w:val="18"/>
              </w:rPr>
              <w:t>Y＜100</w:t>
            </w:r>
          </w:p>
        </w:tc>
      </w:tr>
      <w:tr w14:paraId="5E5FB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235" w:type="dxa"/>
            <w:vAlign w:val="top"/>
          </w:tcPr>
          <w:p w14:paraId="711FF8E1">
            <w:pPr>
              <w:pStyle w:val="18"/>
              <w:spacing w:before="31" w:line="219" w:lineRule="auto"/>
              <w:ind w:left="115"/>
              <w:rPr>
                <w:sz w:val="18"/>
                <w:szCs w:val="18"/>
              </w:rPr>
            </w:pPr>
            <w:r>
              <w:rPr>
                <w:spacing w:val="-15"/>
                <w:w w:val="97"/>
                <w:sz w:val="18"/>
                <w:szCs w:val="18"/>
              </w:rPr>
              <w:t>软件和信息技术服务业</w:t>
            </w:r>
          </w:p>
        </w:tc>
        <w:tc>
          <w:tcPr>
            <w:tcW w:w="1444" w:type="dxa"/>
            <w:vAlign w:val="top"/>
          </w:tcPr>
          <w:p w14:paraId="3C56DA3B">
            <w:pPr>
              <w:pStyle w:val="18"/>
              <w:spacing w:before="31" w:line="220" w:lineRule="auto"/>
              <w:ind w:left="187"/>
              <w:rPr>
                <w:sz w:val="18"/>
                <w:szCs w:val="18"/>
              </w:rPr>
            </w:pPr>
            <w:r>
              <w:rPr>
                <w:spacing w:val="-2"/>
                <w:sz w:val="18"/>
                <w:szCs w:val="18"/>
              </w:rPr>
              <w:t>从业人员（X)</w:t>
            </w:r>
          </w:p>
        </w:tc>
        <w:tc>
          <w:tcPr>
            <w:tcW w:w="748" w:type="dxa"/>
            <w:vAlign w:val="top"/>
          </w:tcPr>
          <w:p w14:paraId="7BEDAC11">
            <w:pPr>
              <w:pStyle w:val="18"/>
              <w:spacing w:before="31" w:line="222" w:lineRule="auto"/>
              <w:ind w:left="288"/>
              <w:rPr>
                <w:sz w:val="18"/>
                <w:szCs w:val="18"/>
              </w:rPr>
            </w:pPr>
            <w:r>
              <w:rPr>
                <w:sz w:val="18"/>
                <w:szCs w:val="18"/>
              </w:rPr>
              <w:t>人</w:t>
            </w:r>
          </w:p>
        </w:tc>
        <w:tc>
          <w:tcPr>
            <w:tcW w:w="1187" w:type="dxa"/>
            <w:vAlign w:val="top"/>
          </w:tcPr>
          <w:p w14:paraId="4CCBDF26">
            <w:pPr>
              <w:pStyle w:val="18"/>
              <w:spacing w:before="31" w:line="237" w:lineRule="auto"/>
              <w:ind w:left="326"/>
              <w:rPr>
                <w:sz w:val="18"/>
                <w:szCs w:val="18"/>
              </w:rPr>
            </w:pPr>
            <w:r>
              <w:rPr>
                <w:spacing w:val="-1"/>
                <w:sz w:val="18"/>
                <w:szCs w:val="18"/>
              </w:rPr>
              <w:t>X≥300</w:t>
            </w:r>
          </w:p>
        </w:tc>
        <w:tc>
          <w:tcPr>
            <w:tcW w:w="1795" w:type="dxa"/>
            <w:vAlign w:val="top"/>
          </w:tcPr>
          <w:p w14:paraId="100B7B5B">
            <w:pPr>
              <w:pStyle w:val="18"/>
              <w:spacing w:before="31" w:line="236" w:lineRule="auto"/>
              <w:ind w:left="366"/>
              <w:rPr>
                <w:sz w:val="18"/>
                <w:szCs w:val="18"/>
              </w:rPr>
            </w:pPr>
            <w:r>
              <w:rPr>
                <w:spacing w:val="-3"/>
                <w:sz w:val="18"/>
                <w:szCs w:val="18"/>
              </w:rPr>
              <w:t>100≤X＜300</w:t>
            </w:r>
          </w:p>
        </w:tc>
        <w:tc>
          <w:tcPr>
            <w:tcW w:w="1504" w:type="dxa"/>
            <w:vAlign w:val="top"/>
          </w:tcPr>
          <w:p w14:paraId="0DC8AC77">
            <w:pPr>
              <w:pStyle w:val="18"/>
              <w:spacing w:before="31" w:line="236" w:lineRule="auto"/>
              <w:ind w:left="321"/>
              <w:rPr>
                <w:sz w:val="18"/>
                <w:szCs w:val="18"/>
              </w:rPr>
            </w:pPr>
            <w:r>
              <w:rPr>
                <w:spacing w:val="-3"/>
                <w:sz w:val="18"/>
                <w:szCs w:val="18"/>
              </w:rPr>
              <w:t>10≤X＜100</w:t>
            </w:r>
          </w:p>
        </w:tc>
        <w:tc>
          <w:tcPr>
            <w:tcW w:w="1051" w:type="dxa"/>
            <w:vAlign w:val="top"/>
          </w:tcPr>
          <w:p w14:paraId="7A08076C">
            <w:pPr>
              <w:pStyle w:val="18"/>
              <w:spacing w:before="30"/>
              <w:ind w:left="301"/>
              <w:rPr>
                <w:sz w:val="18"/>
                <w:szCs w:val="18"/>
              </w:rPr>
            </w:pPr>
            <w:r>
              <w:rPr>
                <w:spacing w:val="-1"/>
                <w:sz w:val="18"/>
                <w:szCs w:val="18"/>
              </w:rPr>
              <w:t>X＜10</w:t>
            </w:r>
          </w:p>
        </w:tc>
      </w:tr>
    </w:tbl>
    <w:p w14:paraId="3916EBA9">
      <w:pPr>
        <w:rPr>
          <w:rFonts w:ascii="Arial"/>
          <w:sz w:val="21"/>
        </w:rPr>
      </w:pPr>
    </w:p>
    <w:p w14:paraId="25152A39">
      <w:pPr>
        <w:rPr>
          <w:rFonts w:ascii="Arial" w:hAnsi="Arial" w:eastAsia="Arial" w:cs="Arial"/>
          <w:sz w:val="21"/>
          <w:szCs w:val="21"/>
        </w:rPr>
        <w:sectPr>
          <w:footerReference r:id="rId14" w:type="default"/>
          <w:pgSz w:w="11906" w:h="16839"/>
          <w:pgMar w:top="1431" w:right="968" w:bottom="1355" w:left="968" w:header="0" w:footer="1193" w:gutter="0"/>
          <w:pgNumType w:fmt="decimal"/>
          <w:cols w:space="720" w:num="1"/>
        </w:sectPr>
      </w:pPr>
    </w:p>
    <w:tbl>
      <w:tblPr>
        <w:tblStyle w:val="17"/>
        <w:tblW w:w="9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5"/>
        <w:gridCol w:w="1444"/>
        <w:gridCol w:w="748"/>
        <w:gridCol w:w="1187"/>
        <w:gridCol w:w="1795"/>
        <w:gridCol w:w="1504"/>
        <w:gridCol w:w="1051"/>
      </w:tblGrid>
      <w:tr w14:paraId="616B6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235" w:type="dxa"/>
            <w:shd w:val="clear" w:color="auto" w:fill="8DB3E2"/>
            <w:vAlign w:val="top"/>
          </w:tcPr>
          <w:p w14:paraId="2F18083B">
            <w:pPr>
              <w:pStyle w:val="18"/>
              <w:spacing w:before="163" w:line="220" w:lineRule="auto"/>
              <w:ind w:left="764"/>
              <w:rPr>
                <w:sz w:val="18"/>
                <w:szCs w:val="18"/>
              </w:rPr>
            </w:pPr>
            <w:r>
              <w:rPr>
                <w:b/>
                <w:bCs/>
                <w:spacing w:val="-4"/>
                <w:sz w:val="18"/>
                <w:szCs w:val="18"/>
              </w:rPr>
              <w:t>行业名称</w:t>
            </w:r>
          </w:p>
        </w:tc>
        <w:tc>
          <w:tcPr>
            <w:tcW w:w="1444" w:type="dxa"/>
            <w:shd w:val="clear" w:color="auto" w:fill="8DB3E2"/>
            <w:vAlign w:val="top"/>
          </w:tcPr>
          <w:p w14:paraId="246757DF">
            <w:pPr>
              <w:pStyle w:val="18"/>
              <w:spacing w:before="163" w:line="220" w:lineRule="auto"/>
              <w:ind w:left="364"/>
              <w:rPr>
                <w:sz w:val="18"/>
                <w:szCs w:val="18"/>
              </w:rPr>
            </w:pPr>
            <w:r>
              <w:rPr>
                <w:b/>
                <w:bCs/>
                <w:spacing w:val="-4"/>
                <w:sz w:val="18"/>
                <w:szCs w:val="18"/>
              </w:rPr>
              <w:t>指标名称</w:t>
            </w:r>
          </w:p>
        </w:tc>
        <w:tc>
          <w:tcPr>
            <w:tcW w:w="748" w:type="dxa"/>
            <w:shd w:val="clear" w:color="auto" w:fill="8DB3E2"/>
            <w:vAlign w:val="top"/>
          </w:tcPr>
          <w:p w14:paraId="6CC8D970">
            <w:pPr>
              <w:pStyle w:val="18"/>
              <w:spacing w:before="31" w:line="298" w:lineRule="auto"/>
              <w:ind w:left="196" w:right="194" w:hanging="1"/>
              <w:rPr>
                <w:sz w:val="18"/>
                <w:szCs w:val="18"/>
              </w:rPr>
            </w:pPr>
            <w:r>
              <w:rPr>
                <w:b/>
                <w:bCs/>
                <w:spacing w:val="-6"/>
                <w:sz w:val="18"/>
                <w:szCs w:val="18"/>
              </w:rPr>
              <w:t>计量</w:t>
            </w:r>
            <w:r>
              <w:rPr>
                <w:b/>
                <w:bCs/>
                <w:spacing w:val="-7"/>
                <w:sz w:val="18"/>
                <w:szCs w:val="18"/>
              </w:rPr>
              <w:t>单位</w:t>
            </w:r>
          </w:p>
        </w:tc>
        <w:tc>
          <w:tcPr>
            <w:tcW w:w="1187" w:type="dxa"/>
            <w:shd w:val="clear" w:color="auto" w:fill="8DB3E2"/>
            <w:vAlign w:val="top"/>
          </w:tcPr>
          <w:p w14:paraId="6EAC7A94">
            <w:pPr>
              <w:pStyle w:val="18"/>
              <w:spacing w:before="163" w:line="220" w:lineRule="auto"/>
              <w:ind w:left="419"/>
              <w:rPr>
                <w:sz w:val="18"/>
                <w:szCs w:val="18"/>
              </w:rPr>
            </w:pPr>
            <w:r>
              <w:rPr>
                <w:b/>
                <w:bCs/>
                <w:spacing w:val="-7"/>
                <w:sz w:val="18"/>
                <w:szCs w:val="18"/>
              </w:rPr>
              <w:t>大型</w:t>
            </w:r>
          </w:p>
        </w:tc>
        <w:tc>
          <w:tcPr>
            <w:tcW w:w="1795" w:type="dxa"/>
            <w:shd w:val="clear" w:color="auto" w:fill="8DB3E2"/>
            <w:vAlign w:val="top"/>
          </w:tcPr>
          <w:p w14:paraId="0B08C402">
            <w:pPr>
              <w:pStyle w:val="18"/>
              <w:spacing w:before="163" w:line="220" w:lineRule="auto"/>
              <w:ind w:left="737"/>
              <w:rPr>
                <w:sz w:val="18"/>
                <w:szCs w:val="18"/>
              </w:rPr>
            </w:pPr>
            <w:r>
              <w:rPr>
                <w:b/>
                <w:bCs/>
                <w:spacing w:val="-14"/>
                <w:sz w:val="18"/>
                <w:szCs w:val="18"/>
              </w:rPr>
              <w:t>中型</w:t>
            </w:r>
          </w:p>
        </w:tc>
        <w:tc>
          <w:tcPr>
            <w:tcW w:w="1504" w:type="dxa"/>
            <w:shd w:val="clear" w:color="auto" w:fill="8DB3E2"/>
            <w:vAlign w:val="top"/>
          </w:tcPr>
          <w:p w14:paraId="6C9E228A">
            <w:pPr>
              <w:pStyle w:val="18"/>
              <w:spacing w:before="163" w:line="221" w:lineRule="auto"/>
              <w:ind w:left="581"/>
              <w:rPr>
                <w:sz w:val="18"/>
                <w:szCs w:val="18"/>
              </w:rPr>
            </w:pPr>
            <w:r>
              <w:rPr>
                <w:b/>
                <w:bCs/>
                <w:spacing w:val="-8"/>
                <w:sz w:val="18"/>
                <w:szCs w:val="18"/>
              </w:rPr>
              <w:t>小型</w:t>
            </w:r>
          </w:p>
        </w:tc>
        <w:tc>
          <w:tcPr>
            <w:tcW w:w="1051" w:type="dxa"/>
            <w:shd w:val="clear" w:color="auto" w:fill="8DB3E2"/>
            <w:vAlign w:val="top"/>
          </w:tcPr>
          <w:p w14:paraId="1A158CA3">
            <w:pPr>
              <w:pStyle w:val="18"/>
              <w:spacing w:before="163" w:line="219" w:lineRule="auto"/>
              <w:ind w:left="349"/>
              <w:rPr>
                <w:sz w:val="18"/>
                <w:szCs w:val="18"/>
              </w:rPr>
            </w:pPr>
            <w:r>
              <w:rPr>
                <w:b/>
                <w:bCs/>
                <w:spacing w:val="-6"/>
                <w:sz w:val="18"/>
                <w:szCs w:val="18"/>
              </w:rPr>
              <w:t>微型</w:t>
            </w:r>
          </w:p>
        </w:tc>
      </w:tr>
      <w:tr w14:paraId="788EF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235" w:type="dxa"/>
            <w:vAlign w:val="top"/>
          </w:tcPr>
          <w:p w14:paraId="6F888649">
            <w:pPr>
              <w:rPr>
                <w:rFonts w:ascii="Arial"/>
                <w:sz w:val="21"/>
              </w:rPr>
            </w:pPr>
          </w:p>
        </w:tc>
        <w:tc>
          <w:tcPr>
            <w:tcW w:w="1444" w:type="dxa"/>
            <w:vAlign w:val="top"/>
          </w:tcPr>
          <w:p w14:paraId="45C3E0CB">
            <w:pPr>
              <w:pStyle w:val="18"/>
              <w:spacing w:before="27" w:line="219" w:lineRule="auto"/>
              <w:ind w:left="190"/>
              <w:rPr>
                <w:sz w:val="18"/>
                <w:szCs w:val="18"/>
              </w:rPr>
            </w:pPr>
            <w:r>
              <w:rPr>
                <w:spacing w:val="-2"/>
                <w:sz w:val="18"/>
                <w:szCs w:val="18"/>
              </w:rPr>
              <w:t>营业收入（Y)</w:t>
            </w:r>
          </w:p>
        </w:tc>
        <w:tc>
          <w:tcPr>
            <w:tcW w:w="748" w:type="dxa"/>
            <w:vAlign w:val="top"/>
          </w:tcPr>
          <w:p w14:paraId="6BD3A8DD">
            <w:pPr>
              <w:pStyle w:val="18"/>
              <w:spacing w:before="27" w:line="220" w:lineRule="auto"/>
              <w:ind w:left="202"/>
              <w:rPr>
                <w:sz w:val="18"/>
                <w:szCs w:val="18"/>
              </w:rPr>
            </w:pPr>
            <w:r>
              <w:rPr>
                <w:spacing w:val="-6"/>
                <w:sz w:val="18"/>
                <w:szCs w:val="18"/>
              </w:rPr>
              <w:t>万元</w:t>
            </w:r>
          </w:p>
        </w:tc>
        <w:tc>
          <w:tcPr>
            <w:tcW w:w="1187" w:type="dxa"/>
            <w:vAlign w:val="top"/>
          </w:tcPr>
          <w:p w14:paraId="65D9F469">
            <w:pPr>
              <w:pStyle w:val="18"/>
              <w:spacing w:before="27" w:line="237" w:lineRule="auto"/>
              <w:ind w:left="234"/>
              <w:rPr>
                <w:sz w:val="18"/>
                <w:szCs w:val="18"/>
              </w:rPr>
            </w:pPr>
            <w:r>
              <w:rPr>
                <w:spacing w:val="-1"/>
                <w:sz w:val="18"/>
                <w:szCs w:val="18"/>
              </w:rPr>
              <w:t>Y≥10000</w:t>
            </w:r>
          </w:p>
        </w:tc>
        <w:tc>
          <w:tcPr>
            <w:tcW w:w="1795" w:type="dxa"/>
            <w:vAlign w:val="top"/>
          </w:tcPr>
          <w:p w14:paraId="265CA932">
            <w:pPr>
              <w:pStyle w:val="18"/>
              <w:spacing w:before="27" w:line="236" w:lineRule="auto"/>
              <w:ind w:left="285"/>
              <w:rPr>
                <w:sz w:val="18"/>
                <w:szCs w:val="18"/>
              </w:rPr>
            </w:pPr>
            <w:r>
              <w:rPr>
                <w:spacing w:val="-2"/>
                <w:sz w:val="18"/>
                <w:szCs w:val="18"/>
              </w:rPr>
              <w:t>1000≤Y＜10000</w:t>
            </w:r>
          </w:p>
        </w:tc>
        <w:tc>
          <w:tcPr>
            <w:tcW w:w="1504" w:type="dxa"/>
            <w:vAlign w:val="top"/>
          </w:tcPr>
          <w:p w14:paraId="61CA89A9">
            <w:pPr>
              <w:pStyle w:val="18"/>
              <w:spacing w:before="27" w:line="236" w:lineRule="auto"/>
              <w:ind w:left="266"/>
              <w:rPr>
                <w:sz w:val="18"/>
                <w:szCs w:val="18"/>
              </w:rPr>
            </w:pPr>
            <w:r>
              <w:rPr>
                <w:spacing w:val="-1"/>
                <w:sz w:val="18"/>
                <w:szCs w:val="18"/>
              </w:rPr>
              <w:t>50≤Y＜1000</w:t>
            </w:r>
          </w:p>
        </w:tc>
        <w:tc>
          <w:tcPr>
            <w:tcW w:w="1051" w:type="dxa"/>
            <w:vAlign w:val="top"/>
          </w:tcPr>
          <w:p w14:paraId="0103AD83">
            <w:pPr>
              <w:pStyle w:val="18"/>
              <w:spacing w:before="26"/>
              <w:ind w:left="301"/>
              <w:rPr>
                <w:sz w:val="18"/>
                <w:szCs w:val="18"/>
              </w:rPr>
            </w:pPr>
            <w:r>
              <w:rPr>
                <w:spacing w:val="-1"/>
                <w:sz w:val="18"/>
                <w:szCs w:val="18"/>
              </w:rPr>
              <w:t>Y＜50</w:t>
            </w:r>
          </w:p>
        </w:tc>
      </w:tr>
      <w:tr w14:paraId="5224B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235" w:type="dxa"/>
            <w:vMerge w:val="restart"/>
            <w:tcBorders>
              <w:bottom w:val="nil"/>
            </w:tcBorders>
            <w:vAlign w:val="top"/>
          </w:tcPr>
          <w:p w14:paraId="1C2AAC13">
            <w:pPr>
              <w:pStyle w:val="18"/>
              <w:spacing w:before="187" w:line="219" w:lineRule="auto"/>
              <w:ind w:left="114"/>
              <w:rPr>
                <w:sz w:val="18"/>
                <w:szCs w:val="18"/>
              </w:rPr>
            </w:pPr>
            <w:r>
              <w:rPr>
                <w:spacing w:val="-2"/>
                <w:sz w:val="18"/>
                <w:szCs w:val="18"/>
              </w:rPr>
              <w:t>房地产开发经营</w:t>
            </w:r>
          </w:p>
        </w:tc>
        <w:tc>
          <w:tcPr>
            <w:tcW w:w="1444" w:type="dxa"/>
            <w:vAlign w:val="top"/>
          </w:tcPr>
          <w:p w14:paraId="0C2CA408">
            <w:pPr>
              <w:pStyle w:val="18"/>
              <w:spacing w:before="29" w:line="219" w:lineRule="auto"/>
              <w:ind w:left="190"/>
              <w:rPr>
                <w:sz w:val="18"/>
                <w:szCs w:val="18"/>
              </w:rPr>
            </w:pPr>
            <w:r>
              <w:rPr>
                <w:spacing w:val="-2"/>
                <w:sz w:val="18"/>
                <w:szCs w:val="18"/>
              </w:rPr>
              <w:t>营业收入（Y)</w:t>
            </w:r>
          </w:p>
        </w:tc>
        <w:tc>
          <w:tcPr>
            <w:tcW w:w="748" w:type="dxa"/>
            <w:vAlign w:val="top"/>
          </w:tcPr>
          <w:p w14:paraId="2D8D74E8">
            <w:pPr>
              <w:pStyle w:val="18"/>
              <w:spacing w:before="29" w:line="220" w:lineRule="auto"/>
              <w:ind w:left="202"/>
              <w:rPr>
                <w:sz w:val="18"/>
                <w:szCs w:val="18"/>
              </w:rPr>
            </w:pPr>
            <w:r>
              <w:rPr>
                <w:spacing w:val="-6"/>
                <w:sz w:val="18"/>
                <w:szCs w:val="18"/>
              </w:rPr>
              <w:t>万元</w:t>
            </w:r>
          </w:p>
        </w:tc>
        <w:tc>
          <w:tcPr>
            <w:tcW w:w="1187" w:type="dxa"/>
            <w:vAlign w:val="top"/>
          </w:tcPr>
          <w:p w14:paraId="5475F2D6">
            <w:pPr>
              <w:pStyle w:val="18"/>
              <w:spacing w:before="29" w:line="237" w:lineRule="auto"/>
              <w:ind w:left="188"/>
              <w:rPr>
                <w:sz w:val="18"/>
                <w:szCs w:val="18"/>
              </w:rPr>
            </w:pPr>
            <w:r>
              <w:rPr>
                <w:spacing w:val="-1"/>
                <w:sz w:val="18"/>
                <w:szCs w:val="18"/>
              </w:rPr>
              <w:t>Y≥200000</w:t>
            </w:r>
          </w:p>
        </w:tc>
        <w:tc>
          <w:tcPr>
            <w:tcW w:w="1795" w:type="dxa"/>
            <w:vAlign w:val="top"/>
          </w:tcPr>
          <w:p w14:paraId="658505A0">
            <w:pPr>
              <w:pStyle w:val="18"/>
              <w:spacing w:before="29" w:line="236" w:lineRule="auto"/>
              <w:ind w:left="241"/>
              <w:rPr>
                <w:sz w:val="18"/>
                <w:szCs w:val="18"/>
              </w:rPr>
            </w:pPr>
            <w:r>
              <w:rPr>
                <w:spacing w:val="-2"/>
                <w:sz w:val="18"/>
                <w:szCs w:val="18"/>
              </w:rPr>
              <w:t>1000≤Y＜200000</w:t>
            </w:r>
          </w:p>
        </w:tc>
        <w:tc>
          <w:tcPr>
            <w:tcW w:w="1504" w:type="dxa"/>
            <w:vAlign w:val="top"/>
          </w:tcPr>
          <w:p w14:paraId="4C0EFFCA">
            <w:pPr>
              <w:pStyle w:val="18"/>
              <w:spacing w:before="29" w:line="236" w:lineRule="auto"/>
              <w:ind w:left="230"/>
              <w:rPr>
                <w:sz w:val="18"/>
                <w:szCs w:val="18"/>
              </w:rPr>
            </w:pPr>
            <w:r>
              <w:rPr>
                <w:spacing w:val="-2"/>
                <w:sz w:val="18"/>
                <w:szCs w:val="18"/>
              </w:rPr>
              <w:t>100≤Y＜1000</w:t>
            </w:r>
          </w:p>
        </w:tc>
        <w:tc>
          <w:tcPr>
            <w:tcW w:w="1051" w:type="dxa"/>
            <w:vAlign w:val="top"/>
          </w:tcPr>
          <w:p w14:paraId="5386B377">
            <w:pPr>
              <w:pStyle w:val="18"/>
              <w:spacing w:before="28"/>
              <w:ind w:left="257"/>
              <w:rPr>
                <w:sz w:val="18"/>
                <w:szCs w:val="18"/>
              </w:rPr>
            </w:pPr>
            <w:r>
              <w:rPr>
                <w:spacing w:val="-1"/>
                <w:sz w:val="18"/>
                <w:szCs w:val="18"/>
              </w:rPr>
              <w:t>Y＜100</w:t>
            </w:r>
          </w:p>
        </w:tc>
      </w:tr>
      <w:tr w14:paraId="0C937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235" w:type="dxa"/>
            <w:vMerge w:val="continue"/>
            <w:tcBorders>
              <w:top w:val="nil"/>
            </w:tcBorders>
            <w:vAlign w:val="top"/>
          </w:tcPr>
          <w:p w14:paraId="191E0849">
            <w:pPr>
              <w:rPr>
                <w:rFonts w:ascii="Arial"/>
                <w:sz w:val="21"/>
              </w:rPr>
            </w:pPr>
          </w:p>
        </w:tc>
        <w:tc>
          <w:tcPr>
            <w:tcW w:w="1444" w:type="dxa"/>
            <w:vAlign w:val="top"/>
          </w:tcPr>
          <w:p w14:paraId="2852F65E">
            <w:pPr>
              <w:pStyle w:val="18"/>
              <w:spacing w:before="31" w:line="219" w:lineRule="auto"/>
              <w:ind w:left="192"/>
              <w:rPr>
                <w:sz w:val="18"/>
                <w:szCs w:val="18"/>
              </w:rPr>
            </w:pPr>
            <w:r>
              <w:rPr>
                <w:spacing w:val="-2"/>
                <w:sz w:val="18"/>
                <w:szCs w:val="18"/>
              </w:rPr>
              <w:t>资产总额（Z)</w:t>
            </w:r>
          </w:p>
        </w:tc>
        <w:tc>
          <w:tcPr>
            <w:tcW w:w="748" w:type="dxa"/>
            <w:vAlign w:val="top"/>
          </w:tcPr>
          <w:p w14:paraId="48EC0DAB">
            <w:pPr>
              <w:pStyle w:val="18"/>
              <w:spacing w:before="31" w:line="220" w:lineRule="auto"/>
              <w:ind w:left="202"/>
              <w:rPr>
                <w:sz w:val="18"/>
                <w:szCs w:val="18"/>
              </w:rPr>
            </w:pPr>
            <w:r>
              <w:rPr>
                <w:spacing w:val="-6"/>
                <w:sz w:val="18"/>
                <w:szCs w:val="18"/>
              </w:rPr>
              <w:t>万元</w:t>
            </w:r>
          </w:p>
        </w:tc>
        <w:tc>
          <w:tcPr>
            <w:tcW w:w="1187" w:type="dxa"/>
            <w:vAlign w:val="top"/>
          </w:tcPr>
          <w:p w14:paraId="626BDF23">
            <w:pPr>
              <w:pStyle w:val="18"/>
              <w:spacing w:before="31" w:line="237" w:lineRule="auto"/>
              <w:ind w:left="236"/>
              <w:rPr>
                <w:sz w:val="18"/>
                <w:szCs w:val="18"/>
              </w:rPr>
            </w:pPr>
            <w:r>
              <w:rPr>
                <w:spacing w:val="-1"/>
                <w:sz w:val="18"/>
                <w:szCs w:val="18"/>
              </w:rPr>
              <w:t>Z≥10000</w:t>
            </w:r>
          </w:p>
        </w:tc>
        <w:tc>
          <w:tcPr>
            <w:tcW w:w="1795" w:type="dxa"/>
            <w:vAlign w:val="top"/>
          </w:tcPr>
          <w:p w14:paraId="557A78EA">
            <w:pPr>
              <w:pStyle w:val="18"/>
              <w:spacing w:before="30" w:line="236" w:lineRule="auto"/>
              <w:ind w:left="275"/>
              <w:rPr>
                <w:sz w:val="18"/>
                <w:szCs w:val="18"/>
              </w:rPr>
            </w:pPr>
            <w:r>
              <w:rPr>
                <w:spacing w:val="-1"/>
                <w:sz w:val="18"/>
                <w:szCs w:val="18"/>
              </w:rPr>
              <w:t>5000≤Z＜10000</w:t>
            </w:r>
          </w:p>
        </w:tc>
        <w:tc>
          <w:tcPr>
            <w:tcW w:w="1504" w:type="dxa"/>
            <w:vAlign w:val="top"/>
          </w:tcPr>
          <w:p w14:paraId="11E54A3C">
            <w:pPr>
              <w:pStyle w:val="18"/>
              <w:spacing w:before="30" w:line="236" w:lineRule="auto"/>
              <w:ind w:left="175"/>
              <w:rPr>
                <w:sz w:val="18"/>
                <w:szCs w:val="18"/>
              </w:rPr>
            </w:pPr>
            <w:r>
              <w:rPr>
                <w:spacing w:val="-1"/>
                <w:sz w:val="18"/>
                <w:szCs w:val="18"/>
              </w:rPr>
              <w:t>2000≤Z＜5000</w:t>
            </w:r>
          </w:p>
        </w:tc>
        <w:tc>
          <w:tcPr>
            <w:tcW w:w="1051" w:type="dxa"/>
            <w:vAlign w:val="top"/>
          </w:tcPr>
          <w:p w14:paraId="6EE375FB">
            <w:pPr>
              <w:pStyle w:val="18"/>
              <w:spacing w:before="30"/>
              <w:ind w:left="214"/>
              <w:rPr>
                <w:sz w:val="18"/>
                <w:szCs w:val="18"/>
              </w:rPr>
            </w:pPr>
            <w:r>
              <w:rPr>
                <w:spacing w:val="-2"/>
                <w:sz w:val="18"/>
                <w:szCs w:val="18"/>
              </w:rPr>
              <w:t>Z＜2000</w:t>
            </w:r>
          </w:p>
        </w:tc>
      </w:tr>
      <w:tr w14:paraId="216AE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235" w:type="dxa"/>
            <w:vMerge w:val="restart"/>
            <w:tcBorders>
              <w:bottom w:val="nil"/>
            </w:tcBorders>
            <w:vAlign w:val="top"/>
          </w:tcPr>
          <w:p w14:paraId="427A8267">
            <w:pPr>
              <w:pStyle w:val="18"/>
              <w:spacing w:before="191" w:line="219" w:lineRule="auto"/>
              <w:ind w:left="113"/>
              <w:rPr>
                <w:sz w:val="18"/>
                <w:szCs w:val="18"/>
              </w:rPr>
            </w:pPr>
            <w:r>
              <w:rPr>
                <w:spacing w:val="-2"/>
                <w:sz w:val="18"/>
                <w:szCs w:val="18"/>
              </w:rPr>
              <w:t>物业管理</w:t>
            </w:r>
          </w:p>
        </w:tc>
        <w:tc>
          <w:tcPr>
            <w:tcW w:w="1444" w:type="dxa"/>
            <w:vAlign w:val="top"/>
          </w:tcPr>
          <w:p w14:paraId="65EEDA61">
            <w:pPr>
              <w:pStyle w:val="18"/>
              <w:spacing w:before="30" w:line="220" w:lineRule="auto"/>
              <w:ind w:left="187"/>
              <w:rPr>
                <w:sz w:val="18"/>
                <w:szCs w:val="18"/>
              </w:rPr>
            </w:pPr>
            <w:r>
              <w:rPr>
                <w:spacing w:val="-2"/>
                <w:sz w:val="18"/>
                <w:szCs w:val="18"/>
              </w:rPr>
              <w:t>从业人员（X)</w:t>
            </w:r>
          </w:p>
        </w:tc>
        <w:tc>
          <w:tcPr>
            <w:tcW w:w="748" w:type="dxa"/>
            <w:vAlign w:val="top"/>
          </w:tcPr>
          <w:p w14:paraId="38ABA0B8">
            <w:pPr>
              <w:pStyle w:val="18"/>
              <w:spacing w:before="30" w:line="222" w:lineRule="auto"/>
              <w:ind w:left="288"/>
              <w:rPr>
                <w:sz w:val="18"/>
                <w:szCs w:val="18"/>
              </w:rPr>
            </w:pPr>
            <w:r>
              <w:rPr>
                <w:sz w:val="18"/>
                <w:szCs w:val="18"/>
              </w:rPr>
              <w:t>人</w:t>
            </w:r>
          </w:p>
        </w:tc>
        <w:tc>
          <w:tcPr>
            <w:tcW w:w="1187" w:type="dxa"/>
            <w:vAlign w:val="top"/>
          </w:tcPr>
          <w:p w14:paraId="4169A400">
            <w:pPr>
              <w:pStyle w:val="18"/>
              <w:spacing w:before="30" w:line="237" w:lineRule="auto"/>
              <w:ind w:left="280"/>
              <w:rPr>
                <w:sz w:val="18"/>
                <w:szCs w:val="18"/>
              </w:rPr>
            </w:pPr>
            <w:r>
              <w:rPr>
                <w:spacing w:val="-1"/>
                <w:sz w:val="18"/>
                <w:szCs w:val="18"/>
              </w:rPr>
              <w:t>X≥1000</w:t>
            </w:r>
          </w:p>
        </w:tc>
        <w:tc>
          <w:tcPr>
            <w:tcW w:w="1795" w:type="dxa"/>
            <w:vAlign w:val="top"/>
          </w:tcPr>
          <w:p w14:paraId="6876FFDA">
            <w:pPr>
              <w:pStyle w:val="18"/>
              <w:spacing w:before="30" w:line="236" w:lineRule="auto"/>
              <w:ind w:left="366"/>
              <w:rPr>
                <w:sz w:val="18"/>
                <w:szCs w:val="18"/>
              </w:rPr>
            </w:pPr>
            <w:r>
              <w:rPr>
                <w:spacing w:val="-1"/>
                <w:sz w:val="18"/>
                <w:szCs w:val="18"/>
              </w:rPr>
              <w:t>300≤X＜1000</w:t>
            </w:r>
          </w:p>
        </w:tc>
        <w:tc>
          <w:tcPr>
            <w:tcW w:w="1504" w:type="dxa"/>
            <w:vAlign w:val="top"/>
          </w:tcPr>
          <w:p w14:paraId="230F19AF">
            <w:pPr>
              <w:pStyle w:val="18"/>
              <w:spacing w:before="30" w:line="236" w:lineRule="auto"/>
              <w:ind w:left="275"/>
              <w:rPr>
                <w:sz w:val="18"/>
                <w:szCs w:val="18"/>
              </w:rPr>
            </w:pPr>
            <w:r>
              <w:rPr>
                <w:spacing w:val="-3"/>
                <w:sz w:val="18"/>
                <w:szCs w:val="18"/>
              </w:rPr>
              <w:t>100≤X＜300</w:t>
            </w:r>
          </w:p>
        </w:tc>
        <w:tc>
          <w:tcPr>
            <w:tcW w:w="1051" w:type="dxa"/>
            <w:vAlign w:val="top"/>
          </w:tcPr>
          <w:p w14:paraId="7681E4EE">
            <w:pPr>
              <w:pStyle w:val="18"/>
              <w:spacing w:before="29"/>
              <w:ind w:left="258"/>
              <w:rPr>
                <w:sz w:val="18"/>
                <w:szCs w:val="18"/>
              </w:rPr>
            </w:pPr>
            <w:r>
              <w:rPr>
                <w:spacing w:val="-1"/>
                <w:sz w:val="18"/>
                <w:szCs w:val="18"/>
              </w:rPr>
              <w:t>X＜100</w:t>
            </w:r>
          </w:p>
        </w:tc>
      </w:tr>
      <w:tr w14:paraId="22674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235" w:type="dxa"/>
            <w:vMerge w:val="continue"/>
            <w:tcBorders>
              <w:top w:val="nil"/>
            </w:tcBorders>
            <w:vAlign w:val="top"/>
          </w:tcPr>
          <w:p w14:paraId="0069ECCA">
            <w:pPr>
              <w:rPr>
                <w:rFonts w:ascii="Arial"/>
                <w:sz w:val="21"/>
              </w:rPr>
            </w:pPr>
          </w:p>
        </w:tc>
        <w:tc>
          <w:tcPr>
            <w:tcW w:w="1444" w:type="dxa"/>
            <w:vAlign w:val="top"/>
          </w:tcPr>
          <w:p w14:paraId="726350BA">
            <w:pPr>
              <w:pStyle w:val="18"/>
              <w:spacing w:before="32" w:line="219" w:lineRule="auto"/>
              <w:ind w:left="190"/>
              <w:rPr>
                <w:sz w:val="18"/>
                <w:szCs w:val="18"/>
              </w:rPr>
            </w:pPr>
            <w:r>
              <w:rPr>
                <w:spacing w:val="-2"/>
                <w:sz w:val="18"/>
                <w:szCs w:val="18"/>
              </w:rPr>
              <w:t>营业收入（Y)</w:t>
            </w:r>
          </w:p>
        </w:tc>
        <w:tc>
          <w:tcPr>
            <w:tcW w:w="748" w:type="dxa"/>
            <w:vAlign w:val="top"/>
          </w:tcPr>
          <w:p w14:paraId="609521B0">
            <w:pPr>
              <w:pStyle w:val="18"/>
              <w:spacing w:before="32" w:line="220" w:lineRule="auto"/>
              <w:ind w:left="202"/>
              <w:rPr>
                <w:sz w:val="18"/>
                <w:szCs w:val="18"/>
              </w:rPr>
            </w:pPr>
            <w:r>
              <w:rPr>
                <w:spacing w:val="-6"/>
                <w:sz w:val="18"/>
                <w:szCs w:val="18"/>
              </w:rPr>
              <w:t>万元</w:t>
            </w:r>
          </w:p>
        </w:tc>
        <w:tc>
          <w:tcPr>
            <w:tcW w:w="1187" w:type="dxa"/>
            <w:vAlign w:val="top"/>
          </w:tcPr>
          <w:p w14:paraId="54239CF8">
            <w:pPr>
              <w:pStyle w:val="18"/>
              <w:spacing w:before="32" w:line="237" w:lineRule="auto"/>
              <w:ind w:left="279"/>
              <w:rPr>
                <w:sz w:val="18"/>
                <w:szCs w:val="18"/>
              </w:rPr>
            </w:pPr>
            <w:r>
              <w:rPr>
                <w:spacing w:val="-1"/>
                <w:sz w:val="18"/>
                <w:szCs w:val="18"/>
              </w:rPr>
              <w:t>Y≥5000</w:t>
            </w:r>
          </w:p>
        </w:tc>
        <w:tc>
          <w:tcPr>
            <w:tcW w:w="1795" w:type="dxa"/>
            <w:vAlign w:val="top"/>
          </w:tcPr>
          <w:p w14:paraId="7D56DC09">
            <w:pPr>
              <w:pStyle w:val="18"/>
              <w:spacing w:before="32" w:line="236" w:lineRule="auto"/>
              <w:ind w:left="277"/>
              <w:rPr>
                <w:sz w:val="18"/>
                <w:szCs w:val="18"/>
              </w:rPr>
            </w:pPr>
            <w:r>
              <w:rPr>
                <w:spacing w:val="-2"/>
                <w:sz w:val="18"/>
                <w:szCs w:val="18"/>
              </w:rPr>
              <w:t>1000≤Y＜5000</w:t>
            </w:r>
          </w:p>
        </w:tc>
        <w:tc>
          <w:tcPr>
            <w:tcW w:w="1504" w:type="dxa"/>
            <w:vAlign w:val="top"/>
          </w:tcPr>
          <w:p w14:paraId="0D2AC0A9">
            <w:pPr>
              <w:pStyle w:val="18"/>
              <w:spacing w:before="32" w:line="236" w:lineRule="auto"/>
              <w:ind w:left="220"/>
              <w:rPr>
                <w:sz w:val="18"/>
                <w:szCs w:val="18"/>
              </w:rPr>
            </w:pPr>
            <w:r>
              <w:rPr>
                <w:spacing w:val="-1"/>
                <w:sz w:val="18"/>
                <w:szCs w:val="18"/>
              </w:rPr>
              <w:t>500≤Y＜1000</w:t>
            </w:r>
          </w:p>
        </w:tc>
        <w:tc>
          <w:tcPr>
            <w:tcW w:w="1051" w:type="dxa"/>
            <w:vAlign w:val="top"/>
          </w:tcPr>
          <w:p w14:paraId="69850BD7">
            <w:pPr>
              <w:pStyle w:val="18"/>
              <w:spacing w:before="31"/>
              <w:ind w:left="257"/>
              <w:rPr>
                <w:sz w:val="18"/>
                <w:szCs w:val="18"/>
              </w:rPr>
            </w:pPr>
            <w:r>
              <w:rPr>
                <w:spacing w:val="-1"/>
                <w:sz w:val="18"/>
                <w:szCs w:val="18"/>
              </w:rPr>
              <w:t>Y＜500</w:t>
            </w:r>
          </w:p>
        </w:tc>
      </w:tr>
      <w:tr w14:paraId="34D52CC4">
        <w:tblPrEx>
          <w:tblCellMar>
            <w:top w:w="0" w:type="dxa"/>
            <w:left w:w="0" w:type="dxa"/>
            <w:bottom w:w="0" w:type="dxa"/>
            <w:right w:w="0" w:type="dxa"/>
          </w:tblCellMar>
        </w:tblPrEx>
        <w:trPr>
          <w:trHeight w:val="335" w:hRule="atLeast"/>
        </w:trPr>
        <w:tc>
          <w:tcPr>
            <w:tcW w:w="2235" w:type="dxa"/>
            <w:vMerge w:val="restart"/>
            <w:tcBorders>
              <w:bottom w:val="nil"/>
            </w:tcBorders>
            <w:vAlign w:val="top"/>
          </w:tcPr>
          <w:p w14:paraId="44ECAB2A">
            <w:pPr>
              <w:pStyle w:val="18"/>
              <w:spacing w:before="191" w:line="219" w:lineRule="auto"/>
              <w:ind w:left="115"/>
              <w:rPr>
                <w:sz w:val="18"/>
                <w:szCs w:val="18"/>
              </w:rPr>
            </w:pPr>
            <w:r>
              <w:rPr>
                <w:spacing w:val="-2"/>
                <w:sz w:val="18"/>
                <w:szCs w:val="18"/>
              </w:rPr>
              <w:t>租赁和商务服务业</w:t>
            </w:r>
          </w:p>
        </w:tc>
        <w:tc>
          <w:tcPr>
            <w:tcW w:w="1444" w:type="dxa"/>
            <w:vAlign w:val="top"/>
          </w:tcPr>
          <w:p w14:paraId="42FB338B">
            <w:pPr>
              <w:pStyle w:val="18"/>
              <w:spacing w:before="33" w:line="220" w:lineRule="auto"/>
              <w:ind w:left="187"/>
              <w:rPr>
                <w:sz w:val="18"/>
                <w:szCs w:val="18"/>
              </w:rPr>
            </w:pPr>
            <w:r>
              <w:rPr>
                <w:spacing w:val="-2"/>
                <w:sz w:val="18"/>
                <w:szCs w:val="18"/>
              </w:rPr>
              <w:t>从业人员（X)</w:t>
            </w:r>
          </w:p>
        </w:tc>
        <w:tc>
          <w:tcPr>
            <w:tcW w:w="748" w:type="dxa"/>
            <w:vAlign w:val="top"/>
          </w:tcPr>
          <w:p w14:paraId="1E519C81">
            <w:pPr>
              <w:pStyle w:val="18"/>
              <w:spacing w:before="33" w:line="222" w:lineRule="auto"/>
              <w:ind w:left="288"/>
              <w:rPr>
                <w:sz w:val="18"/>
                <w:szCs w:val="18"/>
              </w:rPr>
            </w:pPr>
            <w:r>
              <w:rPr>
                <w:sz w:val="18"/>
                <w:szCs w:val="18"/>
              </w:rPr>
              <w:t>人</w:t>
            </w:r>
          </w:p>
        </w:tc>
        <w:tc>
          <w:tcPr>
            <w:tcW w:w="1187" w:type="dxa"/>
            <w:vAlign w:val="top"/>
          </w:tcPr>
          <w:p w14:paraId="71ACF2FF">
            <w:pPr>
              <w:pStyle w:val="18"/>
              <w:spacing w:before="33" w:line="237" w:lineRule="auto"/>
              <w:ind w:left="326"/>
              <w:rPr>
                <w:sz w:val="18"/>
                <w:szCs w:val="18"/>
              </w:rPr>
            </w:pPr>
            <w:r>
              <w:rPr>
                <w:spacing w:val="-1"/>
                <w:sz w:val="18"/>
                <w:szCs w:val="18"/>
              </w:rPr>
              <w:t>X≥300</w:t>
            </w:r>
          </w:p>
        </w:tc>
        <w:tc>
          <w:tcPr>
            <w:tcW w:w="1795" w:type="dxa"/>
            <w:vAlign w:val="top"/>
          </w:tcPr>
          <w:p w14:paraId="03FCBE51">
            <w:pPr>
              <w:pStyle w:val="18"/>
              <w:spacing w:before="32" w:line="236" w:lineRule="auto"/>
              <w:ind w:left="366"/>
              <w:rPr>
                <w:sz w:val="18"/>
                <w:szCs w:val="18"/>
              </w:rPr>
            </w:pPr>
            <w:r>
              <w:rPr>
                <w:spacing w:val="-3"/>
                <w:sz w:val="18"/>
                <w:szCs w:val="18"/>
              </w:rPr>
              <w:t>100≤X＜300</w:t>
            </w:r>
          </w:p>
        </w:tc>
        <w:tc>
          <w:tcPr>
            <w:tcW w:w="1504" w:type="dxa"/>
            <w:vAlign w:val="top"/>
          </w:tcPr>
          <w:p w14:paraId="602F6D82">
            <w:pPr>
              <w:pStyle w:val="18"/>
              <w:spacing w:before="32" w:line="236" w:lineRule="auto"/>
              <w:ind w:left="321"/>
              <w:rPr>
                <w:sz w:val="18"/>
                <w:szCs w:val="18"/>
              </w:rPr>
            </w:pPr>
            <w:r>
              <w:rPr>
                <w:spacing w:val="-3"/>
                <w:sz w:val="18"/>
                <w:szCs w:val="18"/>
              </w:rPr>
              <w:t>10≤X＜100</w:t>
            </w:r>
          </w:p>
        </w:tc>
        <w:tc>
          <w:tcPr>
            <w:tcW w:w="1051" w:type="dxa"/>
            <w:vAlign w:val="top"/>
          </w:tcPr>
          <w:p w14:paraId="7D39E54E">
            <w:pPr>
              <w:pStyle w:val="18"/>
              <w:spacing w:before="32"/>
              <w:ind w:left="301"/>
              <w:rPr>
                <w:sz w:val="18"/>
                <w:szCs w:val="18"/>
              </w:rPr>
            </w:pPr>
            <w:r>
              <w:rPr>
                <w:spacing w:val="-1"/>
                <w:sz w:val="18"/>
                <w:szCs w:val="18"/>
              </w:rPr>
              <w:t>X＜10</w:t>
            </w:r>
          </w:p>
        </w:tc>
      </w:tr>
      <w:tr w14:paraId="562DB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235" w:type="dxa"/>
            <w:vMerge w:val="continue"/>
            <w:tcBorders>
              <w:top w:val="nil"/>
            </w:tcBorders>
            <w:vAlign w:val="top"/>
          </w:tcPr>
          <w:p w14:paraId="399F7234">
            <w:pPr>
              <w:rPr>
                <w:rFonts w:ascii="Arial"/>
                <w:sz w:val="21"/>
              </w:rPr>
            </w:pPr>
          </w:p>
        </w:tc>
        <w:tc>
          <w:tcPr>
            <w:tcW w:w="1444" w:type="dxa"/>
            <w:vAlign w:val="top"/>
          </w:tcPr>
          <w:p w14:paraId="5270B6BF">
            <w:pPr>
              <w:pStyle w:val="18"/>
              <w:spacing w:before="31" w:line="219" w:lineRule="auto"/>
              <w:ind w:left="192"/>
              <w:rPr>
                <w:sz w:val="18"/>
                <w:szCs w:val="18"/>
              </w:rPr>
            </w:pPr>
            <w:r>
              <w:rPr>
                <w:spacing w:val="-2"/>
                <w:sz w:val="18"/>
                <w:szCs w:val="18"/>
              </w:rPr>
              <w:t>资产总额（Z)</w:t>
            </w:r>
          </w:p>
        </w:tc>
        <w:tc>
          <w:tcPr>
            <w:tcW w:w="748" w:type="dxa"/>
            <w:vAlign w:val="top"/>
          </w:tcPr>
          <w:p w14:paraId="59A773BA">
            <w:pPr>
              <w:pStyle w:val="18"/>
              <w:spacing w:before="31" w:line="220" w:lineRule="auto"/>
              <w:ind w:left="202"/>
              <w:rPr>
                <w:sz w:val="18"/>
                <w:szCs w:val="18"/>
              </w:rPr>
            </w:pPr>
            <w:r>
              <w:rPr>
                <w:spacing w:val="-6"/>
                <w:sz w:val="18"/>
                <w:szCs w:val="18"/>
              </w:rPr>
              <w:t>万元</w:t>
            </w:r>
          </w:p>
        </w:tc>
        <w:tc>
          <w:tcPr>
            <w:tcW w:w="1187" w:type="dxa"/>
            <w:vAlign w:val="top"/>
          </w:tcPr>
          <w:p w14:paraId="35216D91">
            <w:pPr>
              <w:pStyle w:val="18"/>
              <w:spacing w:before="31" w:line="237" w:lineRule="auto"/>
              <w:ind w:left="190"/>
              <w:rPr>
                <w:sz w:val="18"/>
                <w:szCs w:val="18"/>
              </w:rPr>
            </w:pPr>
            <w:r>
              <w:rPr>
                <w:spacing w:val="-1"/>
                <w:sz w:val="18"/>
                <w:szCs w:val="18"/>
              </w:rPr>
              <w:t>Z≥120000</w:t>
            </w:r>
          </w:p>
        </w:tc>
        <w:tc>
          <w:tcPr>
            <w:tcW w:w="1795" w:type="dxa"/>
            <w:vAlign w:val="top"/>
          </w:tcPr>
          <w:p w14:paraId="0EBFC3AB">
            <w:pPr>
              <w:pStyle w:val="18"/>
              <w:spacing w:before="31" w:line="236" w:lineRule="auto"/>
              <w:ind w:left="229"/>
              <w:rPr>
                <w:sz w:val="18"/>
                <w:szCs w:val="18"/>
              </w:rPr>
            </w:pPr>
            <w:r>
              <w:rPr>
                <w:spacing w:val="-1"/>
                <w:sz w:val="18"/>
                <w:szCs w:val="18"/>
              </w:rPr>
              <w:t>8000≤Z＜120000</w:t>
            </w:r>
          </w:p>
        </w:tc>
        <w:tc>
          <w:tcPr>
            <w:tcW w:w="1504" w:type="dxa"/>
            <w:vAlign w:val="top"/>
          </w:tcPr>
          <w:p w14:paraId="56F1D79A">
            <w:pPr>
              <w:pStyle w:val="18"/>
              <w:spacing w:before="31" w:line="236" w:lineRule="auto"/>
              <w:ind w:left="230"/>
              <w:rPr>
                <w:sz w:val="18"/>
                <w:szCs w:val="18"/>
              </w:rPr>
            </w:pPr>
            <w:r>
              <w:rPr>
                <w:spacing w:val="-2"/>
                <w:sz w:val="18"/>
                <w:szCs w:val="18"/>
              </w:rPr>
              <w:t>100≤Z＜8000</w:t>
            </w:r>
          </w:p>
        </w:tc>
        <w:tc>
          <w:tcPr>
            <w:tcW w:w="1051" w:type="dxa"/>
            <w:vAlign w:val="top"/>
          </w:tcPr>
          <w:p w14:paraId="7F0CDE20">
            <w:pPr>
              <w:pStyle w:val="18"/>
              <w:spacing w:before="30"/>
              <w:ind w:left="260"/>
              <w:rPr>
                <w:sz w:val="18"/>
                <w:szCs w:val="18"/>
              </w:rPr>
            </w:pPr>
            <w:r>
              <w:rPr>
                <w:spacing w:val="-2"/>
                <w:sz w:val="18"/>
                <w:szCs w:val="18"/>
              </w:rPr>
              <w:t>Z＜100</w:t>
            </w:r>
          </w:p>
        </w:tc>
      </w:tr>
      <w:tr w14:paraId="7BA91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235" w:type="dxa"/>
            <w:vAlign w:val="top"/>
          </w:tcPr>
          <w:p w14:paraId="7CB274DE">
            <w:pPr>
              <w:pStyle w:val="18"/>
              <w:spacing w:before="51" w:line="219" w:lineRule="auto"/>
              <w:ind w:left="114"/>
              <w:rPr>
                <w:sz w:val="18"/>
                <w:szCs w:val="18"/>
              </w:rPr>
            </w:pPr>
            <w:r>
              <w:rPr>
                <w:spacing w:val="-1"/>
                <w:sz w:val="18"/>
                <w:szCs w:val="18"/>
              </w:rPr>
              <w:t>其他未列明行业*</w:t>
            </w:r>
          </w:p>
        </w:tc>
        <w:tc>
          <w:tcPr>
            <w:tcW w:w="1444" w:type="dxa"/>
            <w:vAlign w:val="top"/>
          </w:tcPr>
          <w:p w14:paraId="7156EF52">
            <w:pPr>
              <w:pStyle w:val="18"/>
              <w:spacing w:before="51" w:line="220" w:lineRule="auto"/>
              <w:ind w:left="187"/>
              <w:rPr>
                <w:sz w:val="18"/>
                <w:szCs w:val="18"/>
              </w:rPr>
            </w:pPr>
            <w:r>
              <w:rPr>
                <w:spacing w:val="-2"/>
                <w:sz w:val="18"/>
                <w:szCs w:val="18"/>
              </w:rPr>
              <w:t>从业人员（X)</w:t>
            </w:r>
          </w:p>
        </w:tc>
        <w:tc>
          <w:tcPr>
            <w:tcW w:w="748" w:type="dxa"/>
            <w:vAlign w:val="top"/>
          </w:tcPr>
          <w:p w14:paraId="6C3F5BA0">
            <w:pPr>
              <w:pStyle w:val="18"/>
              <w:spacing w:before="51" w:line="222" w:lineRule="auto"/>
              <w:ind w:left="288"/>
              <w:rPr>
                <w:sz w:val="18"/>
                <w:szCs w:val="18"/>
              </w:rPr>
            </w:pPr>
            <w:r>
              <w:rPr>
                <w:sz w:val="18"/>
                <w:szCs w:val="18"/>
              </w:rPr>
              <w:t>人</w:t>
            </w:r>
          </w:p>
        </w:tc>
        <w:tc>
          <w:tcPr>
            <w:tcW w:w="1187" w:type="dxa"/>
            <w:vAlign w:val="top"/>
          </w:tcPr>
          <w:p w14:paraId="095CA314">
            <w:pPr>
              <w:pStyle w:val="18"/>
              <w:spacing w:before="51" w:line="237" w:lineRule="auto"/>
              <w:ind w:left="326"/>
              <w:rPr>
                <w:sz w:val="18"/>
                <w:szCs w:val="18"/>
              </w:rPr>
            </w:pPr>
            <w:r>
              <w:rPr>
                <w:spacing w:val="-1"/>
                <w:sz w:val="18"/>
                <w:szCs w:val="18"/>
              </w:rPr>
              <w:t>X≥300</w:t>
            </w:r>
          </w:p>
        </w:tc>
        <w:tc>
          <w:tcPr>
            <w:tcW w:w="1795" w:type="dxa"/>
            <w:vAlign w:val="top"/>
          </w:tcPr>
          <w:p w14:paraId="4BA553A7">
            <w:pPr>
              <w:pStyle w:val="18"/>
              <w:spacing w:before="51" w:line="236" w:lineRule="auto"/>
              <w:ind w:left="366"/>
              <w:rPr>
                <w:sz w:val="18"/>
                <w:szCs w:val="18"/>
              </w:rPr>
            </w:pPr>
            <w:r>
              <w:rPr>
                <w:spacing w:val="-3"/>
                <w:sz w:val="18"/>
                <w:szCs w:val="18"/>
              </w:rPr>
              <w:t>100≤X＜300</w:t>
            </w:r>
          </w:p>
        </w:tc>
        <w:tc>
          <w:tcPr>
            <w:tcW w:w="1504" w:type="dxa"/>
            <w:vAlign w:val="top"/>
          </w:tcPr>
          <w:p w14:paraId="31BC1D83">
            <w:pPr>
              <w:pStyle w:val="18"/>
              <w:spacing w:before="51" w:line="236" w:lineRule="auto"/>
              <w:ind w:left="321"/>
              <w:rPr>
                <w:sz w:val="18"/>
                <w:szCs w:val="18"/>
              </w:rPr>
            </w:pPr>
            <w:r>
              <w:rPr>
                <w:spacing w:val="-3"/>
                <w:sz w:val="18"/>
                <w:szCs w:val="18"/>
              </w:rPr>
              <w:t>10≤X＜100</w:t>
            </w:r>
          </w:p>
        </w:tc>
        <w:tc>
          <w:tcPr>
            <w:tcW w:w="1051" w:type="dxa"/>
            <w:vAlign w:val="top"/>
          </w:tcPr>
          <w:p w14:paraId="55F844B3">
            <w:pPr>
              <w:pStyle w:val="18"/>
              <w:spacing w:before="50"/>
              <w:ind w:left="301"/>
              <w:rPr>
                <w:sz w:val="18"/>
                <w:szCs w:val="18"/>
              </w:rPr>
            </w:pPr>
            <w:r>
              <w:rPr>
                <w:spacing w:val="-1"/>
                <w:sz w:val="18"/>
                <w:szCs w:val="18"/>
              </w:rPr>
              <w:t>X＜10</w:t>
            </w:r>
          </w:p>
        </w:tc>
      </w:tr>
    </w:tbl>
    <w:p w14:paraId="3A02E979">
      <w:pPr>
        <w:spacing w:line="373" w:lineRule="auto"/>
        <w:rPr>
          <w:rFonts w:ascii="Arial"/>
          <w:sz w:val="21"/>
        </w:rPr>
      </w:pPr>
    </w:p>
    <w:p w14:paraId="52043530">
      <w:pPr>
        <w:pStyle w:val="6"/>
        <w:spacing w:before="65" w:line="228" w:lineRule="auto"/>
        <w:ind w:left="460"/>
        <w:rPr>
          <w:sz w:val="20"/>
          <w:szCs w:val="20"/>
        </w:rPr>
      </w:pPr>
      <w:r>
        <w:rPr>
          <w:spacing w:val="7"/>
          <w:sz w:val="20"/>
          <w:szCs w:val="20"/>
        </w:rPr>
        <w:t>说明：</w:t>
      </w:r>
    </w:p>
    <w:p w14:paraId="7EDCFBDE">
      <w:pPr>
        <w:pStyle w:val="6"/>
        <w:spacing w:before="162" w:line="362" w:lineRule="auto"/>
        <w:ind w:left="461" w:right="468" w:firstLine="463"/>
        <w:rPr>
          <w:sz w:val="20"/>
          <w:szCs w:val="20"/>
        </w:rPr>
      </w:pPr>
      <w:r>
        <w:rPr>
          <w:spacing w:val="20"/>
          <w:sz w:val="20"/>
          <w:szCs w:val="20"/>
        </w:rPr>
        <w:t>1.大型、中型和小型企业须同时满足所列指标的下限，否则下划一档；微型企业只需满</w:t>
      </w:r>
      <w:r>
        <w:rPr>
          <w:spacing w:val="21"/>
          <w:sz w:val="20"/>
          <w:szCs w:val="20"/>
        </w:rPr>
        <w:t>足所列指标中的一项即可。</w:t>
      </w:r>
    </w:p>
    <w:p w14:paraId="4569132D">
      <w:pPr>
        <w:pStyle w:val="6"/>
        <w:spacing w:before="27" w:line="374" w:lineRule="auto"/>
        <w:ind w:left="457" w:right="404" w:firstLine="454"/>
        <w:rPr>
          <w:sz w:val="20"/>
          <w:szCs w:val="20"/>
        </w:rPr>
      </w:pPr>
      <w:r>
        <w:rPr>
          <w:spacing w:val="17"/>
          <w:sz w:val="20"/>
          <w:szCs w:val="20"/>
        </w:rPr>
        <w:t>2.附表中各行业的范围以《国民经济行业分类》（</w:t>
      </w:r>
      <w:r>
        <w:rPr>
          <w:sz w:val="20"/>
          <w:szCs w:val="20"/>
        </w:rPr>
        <w:t>GB</w:t>
      </w:r>
      <w:r>
        <w:rPr>
          <w:spacing w:val="17"/>
          <w:sz w:val="20"/>
          <w:szCs w:val="20"/>
        </w:rPr>
        <w:t>/T4754-2017）为准。带×的项</w:t>
      </w:r>
      <w:r>
        <w:rPr>
          <w:spacing w:val="16"/>
          <w:sz w:val="20"/>
          <w:szCs w:val="20"/>
        </w:rPr>
        <w:t>为行</w:t>
      </w:r>
      <w:r>
        <w:rPr>
          <w:spacing w:val="18"/>
          <w:sz w:val="20"/>
          <w:szCs w:val="20"/>
        </w:rPr>
        <w:t>业组合类别，其中，工业包括采矿业，制造业，电力、热力、燃气及水生产和供</w:t>
      </w:r>
      <w:r>
        <w:rPr>
          <w:spacing w:val="17"/>
          <w:sz w:val="20"/>
          <w:szCs w:val="20"/>
        </w:rPr>
        <w:t>应业；交通</w:t>
      </w:r>
      <w:r>
        <w:rPr>
          <w:spacing w:val="21"/>
          <w:sz w:val="20"/>
          <w:szCs w:val="20"/>
        </w:rPr>
        <w:t>运输业包括道路运输业，水上运输业，航空运输业，管道运输业，多式联运和运输代理业、</w:t>
      </w:r>
      <w:r>
        <w:rPr>
          <w:spacing w:val="20"/>
          <w:sz w:val="20"/>
          <w:szCs w:val="20"/>
        </w:rPr>
        <w:t>装卸搬运，不包括铁路运输业；仓储业包括通用仓储，低温仓储，危险品仓储，谷物、棉花</w:t>
      </w:r>
      <w:r>
        <w:rPr>
          <w:spacing w:val="21"/>
          <w:sz w:val="20"/>
          <w:szCs w:val="20"/>
        </w:rPr>
        <w:t>等农产品仓储，中药材仓储和其他仓储业；信息传输业包括电信、广播电视和卫星传输服务，</w:t>
      </w:r>
      <w:r>
        <w:rPr>
          <w:spacing w:val="24"/>
          <w:sz w:val="20"/>
          <w:szCs w:val="20"/>
        </w:rPr>
        <w:t>互联网和相关服务；其他未列明行业包括科学研究和技术服</w:t>
      </w:r>
      <w:r>
        <w:rPr>
          <w:spacing w:val="23"/>
          <w:sz w:val="20"/>
          <w:szCs w:val="20"/>
        </w:rPr>
        <w:t>务业，水利、环境和公共设施管</w:t>
      </w:r>
      <w:r>
        <w:rPr>
          <w:spacing w:val="19"/>
          <w:sz w:val="20"/>
          <w:szCs w:val="20"/>
        </w:rPr>
        <w:t>理业，居民服务、修理和其他服务业，社会工作，文化、体育和娱乐业，以及房地产中介服</w:t>
      </w:r>
      <w:r>
        <w:rPr>
          <w:spacing w:val="21"/>
          <w:sz w:val="20"/>
          <w:szCs w:val="20"/>
        </w:rPr>
        <w:t>务，其他房地产业等，不包括自有房地产经营活</w:t>
      </w:r>
      <w:r>
        <w:rPr>
          <w:spacing w:val="20"/>
          <w:sz w:val="20"/>
          <w:szCs w:val="20"/>
        </w:rPr>
        <w:t>动。</w:t>
      </w:r>
    </w:p>
    <w:p w14:paraId="6DFC564C">
      <w:pPr>
        <w:pStyle w:val="6"/>
        <w:spacing w:before="31" w:line="372" w:lineRule="auto"/>
        <w:ind w:left="457" w:right="407" w:firstLine="456"/>
        <w:rPr>
          <w:sz w:val="20"/>
          <w:szCs w:val="20"/>
        </w:rPr>
      </w:pPr>
      <w:r>
        <w:rPr>
          <w:spacing w:val="18"/>
          <w:sz w:val="20"/>
          <w:szCs w:val="20"/>
        </w:rPr>
        <w:t>3.企业划分指标以现行统计制度为准。（1）从业人员，是指期末</w:t>
      </w:r>
      <w:r>
        <w:rPr>
          <w:spacing w:val="17"/>
          <w:sz w:val="20"/>
          <w:szCs w:val="20"/>
        </w:rPr>
        <w:t>从业人员数，没有期末</w:t>
      </w:r>
      <w:r>
        <w:rPr>
          <w:spacing w:val="19"/>
          <w:sz w:val="20"/>
          <w:szCs w:val="20"/>
        </w:rPr>
        <w:t>从业人员数的，采用全年平均人员数代替。（2）营业收入，工业、建筑业</w:t>
      </w:r>
      <w:r>
        <w:rPr>
          <w:spacing w:val="18"/>
          <w:sz w:val="20"/>
          <w:szCs w:val="20"/>
        </w:rPr>
        <w:t>、限额以上批发和</w:t>
      </w:r>
      <w:r>
        <w:rPr>
          <w:spacing w:val="22"/>
          <w:sz w:val="20"/>
          <w:szCs w:val="20"/>
        </w:rPr>
        <w:t>零售业、限额以上住宿和餐饮业以及其他设置主营业务收入指标的行业，采用主营业务收入；</w:t>
      </w:r>
      <w:r>
        <w:rPr>
          <w:spacing w:val="24"/>
          <w:sz w:val="20"/>
          <w:szCs w:val="20"/>
        </w:rPr>
        <w:t>限额以下批发与零售业企业采用商品销售额代替；限额以下住宿与餐饮业企业采用营业额代</w:t>
      </w:r>
      <w:r>
        <w:rPr>
          <w:spacing w:val="23"/>
          <w:sz w:val="20"/>
          <w:szCs w:val="20"/>
        </w:rPr>
        <w:t>替；农、林、牧、渔业企业采用营业总收入代替；其</w:t>
      </w:r>
      <w:r>
        <w:rPr>
          <w:spacing w:val="22"/>
          <w:sz w:val="20"/>
          <w:szCs w:val="20"/>
        </w:rPr>
        <w:t>他未设置主营业务收入的行业，采用营</w:t>
      </w:r>
      <w:r>
        <w:rPr>
          <w:spacing w:val="16"/>
          <w:sz w:val="20"/>
          <w:szCs w:val="20"/>
        </w:rPr>
        <w:t>业收入指标。（3）资产总额，采用资产总计代</w:t>
      </w:r>
      <w:r>
        <w:rPr>
          <w:spacing w:val="15"/>
          <w:sz w:val="20"/>
          <w:szCs w:val="20"/>
        </w:rPr>
        <w:t>替。</w:t>
      </w:r>
    </w:p>
    <w:p w14:paraId="099E4C66">
      <w:pPr>
        <w:spacing w:line="372" w:lineRule="auto"/>
        <w:rPr>
          <w:sz w:val="20"/>
          <w:szCs w:val="20"/>
        </w:rPr>
        <w:sectPr>
          <w:footerReference r:id="rId15" w:type="default"/>
          <w:pgSz w:w="11906" w:h="16839"/>
          <w:pgMar w:top="1418" w:right="968" w:bottom="1355" w:left="968" w:header="0" w:footer="1193" w:gutter="0"/>
          <w:pgNumType w:fmt="decimal"/>
          <w:cols w:space="720" w:num="1"/>
        </w:sectPr>
      </w:pPr>
    </w:p>
    <w:p w14:paraId="2141D90C">
      <w:pPr>
        <w:pStyle w:val="6"/>
        <w:numPr>
          <w:ilvl w:val="0"/>
          <w:numId w:val="3"/>
        </w:numPr>
        <w:spacing w:before="63" w:line="224" w:lineRule="auto"/>
        <w:ind w:left="2884"/>
        <w:jc w:val="both"/>
        <w:outlineLvl w:val="0"/>
        <w:rPr>
          <w:b/>
          <w:bCs/>
          <w:spacing w:val="6"/>
          <w:sz w:val="32"/>
          <w:szCs w:val="32"/>
        </w:rPr>
      </w:pPr>
      <w:bookmarkStart w:id="37" w:name="_Toc25907"/>
      <w:r>
        <w:rPr>
          <w:b/>
          <w:bCs/>
          <w:spacing w:val="6"/>
          <w:sz w:val="32"/>
          <w:szCs w:val="32"/>
        </w:rPr>
        <w:t>合同主要条款及格式</w:t>
      </w:r>
      <w:bookmarkEnd w:id="37"/>
    </w:p>
    <w:p w14:paraId="77C69E3B">
      <w:pPr>
        <w:tabs>
          <w:tab w:val="left" w:pos="425"/>
        </w:tabs>
        <w:ind w:firstLine="0" w:firstLineChars="0"/>
        <w:outlineLvl w:val="9"/>
        <w:rPr>
          <w:rFonts w:hint="eastAsia" w:ascii="宋体" w:hAnsi="宋体" w:cs="宋体"/>
          <w:sz w:val="84"/>
          <w:szCs w:val="84"/>
        </w:rPr>
      </w:pPr>
    </w:p>
    <w:p w14:paraId="668B4A56">
      <w:pPr>
        <w:tabs>
          <w:tab w:val="left" w:pos="425"/>
        </w:tabs>
        <w:ind w:firstLine="0" w:firstLineChars="0"/>
        <w:jc w:val="center"/>
        <w:outlineLvl w:val="9"/>
        <w:rPr>
          <w:rFonts w:ascii="宋体" w:hAnsi="宋体" w:cs="宋体"/>
          <w:sz w:val="84"/>
          <w:szCs w:val="84"/>
        </w:rPr>
      </w:pPr>
      <w:r>
        <w:rPr>
          <w:rFonts w:hint="eastAsia" w:ascii="宋体" w:hAnsi="宋体" w:cs="宋体"/>
          <w:sz w:val="84"/>
          <w:szCs w:val="84"/>
        </w:rPr>
        <w:t>政 府 采 购 合 同</w:t>
      </w:r>
    </w:p>
    <w:p w14:paraId="7FAAAEFD">
      <w:pPr>
        <w:spacing w:line="400" w:lineRule="exact"/>
        <w:jc w:val="center"/>
        <w:outlineLvl w:val="9"/>
        <w:rPr>
          <w:rFonts w:ascii="宋体" w:hAnsi="宋体" w:cs="宋体"/>
          <w:color w:val="000000"/>
        </w:rPr>
      </w:pPr>
    </w:p>
    <w:p w14:paraId="56399A01">
      <w:pPr>
        <w:spacing w:line="400" w:lineRule="exact"/>
        <w:jc w:val="center"/>
        <w:outlineLvl w:val="9"/>
        <w:rPr>
          <w:rFonts w:ascii="宋体" w:hAnsi="宋体" w:cs="宋体"/>
          <w:color w:val="000000"/>
        </w:rPr>
      </w:pPr>
    </w:p>
    <w:p w14:paraId="4CD33B35">
      <w:pPr>
        <w:pStyle w:val="22"/>
        <w:outlineLvl w:val="9"/>
        <w:rPr>
          <w:rFonts w:cs="宋体"/>
          <w:color w:val="000000"/>
        </w:rPr>
      </w:pPr>
    </w:p>
    <w:p w14:paraId="18F10658">
      <w:pPr>
        <w:outlineLvl w:val="9"/>
        <w:rPr>
          <w:rFonts w:ascii="宋体" w:hAnsi="宋体" w:cs="宋体"/>
        </w:rPr>
      </w:pPr>
    </w:p>
    <w:p w14:paraId="742713FF">
      <w:pPr>
        <w:spacing w:line="400" w:lineRule="exact"/>
        <w:jc w:val="center"/>
        <w:outlineLvl w:val="9"/>
        <w:rPr>
          <w:rFonts w:ascii="宋体" w:hAnsi="宋体" w:cs="宋体"/>
          <w:color w:val="000000"/>
          <w:sz w:val="72"/>
          <w:szCs w:val="72"/>
        </w:rPr>
      </w:pPr>
    </w:p>
    <w:p w14:paraId="60D1C46A">
      <w:pPr>
        <w:pStyle w:val="22"/>
        <w:outlineLvl w:val="9"/>
      </w:pPr>
    </w:p>
    <w:p w14:paraId="4F992623">
      <w:pPr>
        <w:spacing w:line="500" w:lineRule="exact"/>
        <w:outlineLvl w:val="9"/>
        <w:rPr>
          <w:rFonts w:ascii="宋体" w:hAnsi="宋体" w:cs="宋体"/>
          <w:b/>
          <w:bCs/>
          <w:sz w:val="40"/>
          <w:szCs w:val="40"/>
        </w:rPr>
      </w:pPr>
    </w:p>
    <w:p w14:paraId="7A33329E">
      <w:pPr>
        <w:spacing w:line="500" w:lineRule="exact"/>
        <w:outlineLvl w:val="9"/>
        <w:rPr>
          <w:rFonts w:ascii="宋体" w:hAnsi="宋体" w:cs="宋体"/>
          <w:b/>
          <w:bCs/>
          <w:sz w:val="36"/>
          <w:szCs w:val="36"/>
        </w:rPr>
      </w:pPr>
    </w:p>
    <w:p w14:paraId="4F87AE98">
      <w:pPr>
        <w:spacing w:line="500" w:lineRule="exact"/>
        <w:ind w:left="1807" w:hanging="1801" w:hangingChars="500"/>
        <w:outlineLvl w:val="9"/>
        <w:rPr>
          <w:rFonts w:ascii="宋体" w:hAnsi="宋体" w:cs="宋体"/>
          <w:b/>
          <w:bCs/>
          <w:sz w:val="36"/>
          <w:szCs w:val="36"/>
        </w:rPr>
      </w:pPr>
      <w:r>
        <w:rPr>
          <w:rFonts w:hint="eastAsia" w:ascii="宋体" w:hAnsi="宋体" w:cs="宋体"/>
          <w:b/>
          <w:bCs/>
          <w:sz w:val="36"/>
          <w:szCs w:val="36"/>
        </w:rPr>
        <w:t>项目名称：兴安县城北及乡镇污水处理厂运营管理服务</w:t>
      </w:r>
    </w:p>
    <w:p w14:paraId="699DCEC9">
      <w:pPr>
        <w:spacing w:line="500" w:lineRule="exact"/>
        <w:outlineLvl w:val="9"/>
        <w:rPr>
          <w:rFonts w:ascii="宋体" w:hAnsi="宋体" w:cs="宋体"/>
          <w:b/>
          <w:bCs/>
          <w:sz w:val="36"/>
          <w:szCs w:val="36"/>
        </w:rPr>
      </w:pPr>
    </w:p>
    <w:p w14:paraId="233E96DA">
      <w:pPr>
        <w:spacing w:line="500" w:lineRule="exact"/>
        <w:jc w:val="left"/>
        <w:outlineLvl w:val="9"/>
        <w:rPr>
          <w:rFonts w:hint="eastAsia" w:ascii="宋体" w:hAnsi="宋体" w:eastAsia="宋体" w:cs="宋体"/>
          <w:b/>
          <w:bCs/>
          <w:kern w:val="44"/>
          <w:sz w:val="32"/>
          <w:szCs w:val="32"/>
          <w:lang w:eastAsia="zh-CN"/>
        </w:rPr>
      </w:pPr>
      <w:r>
        <w:rPr>
          <w:rFonts w:hint="eastAsia" w:ascii="宋体" w:hAnsi="宋体" w:cs="宋体"/>
          <w:b/>
          <w:bCs/>
          <w:sz w:val="36"/>
          <w:szCs w:val="36"/>
        </w:rPr>
        <w:t>项目编号：GLZC2026-G3-250017-GXHS</w:t>
      </w:r>
    </w:p>
    <w:p w14:paraId="6548B1C4">
      <w:pPr>
        <w:pStyle w:val="22"/>
        <w:jc w:val="left"/>
        <w:outlineLvl w:val="9"/>
        <w:rPr>
          <w:rFonts w:cs="宋体"/>
          <w:b/>
          <w:bCs/>
          <w:kern w:val="44"/>
          <w:sz w:val="32"/>
          <w:szCs w:val="32"/>
        </w:rPr>
      </w:pPr>
    </w:p>
    <w:p w14:paraId="6F993622">
      <w:pPr>
        <w:jc w:val="left"/>
        <w:outlineLvl w:val="9"/>
        <w:rPr>
          <w:rFonts w:ascii="宋体" w:hAnsi="宋体" w:cs="宋体"/>
          <w:b/>
          <w:bCs/>
          <w:kern w:val="44"/>
          <w:sz w:val="32"/>
          <w:szCs w:val="32"/>
        </w:rPr>
      </w:pPr>
    </w:p>
    <w:p w14:paraId="5665EBA0">
      <w:pPr>
        <w:pStyle w:val="22"/>
        <w:outlineLvl w:val="9"/>
        <w:rPr>
          <w:rFonts w:cs="宋体"/>
          <w:b/>
          <w:bCs/>
          <w:kern w:val="44"/>
          <w:sz w:val="32"/>
          <w:szCs w:val="32"/>
        </w:rPr>
      </w:pPr>
    </w:p>
    <w:p w14:paraId="2BEAC03F">
      <w:pPr>
        <w:pStyle w:val="22"/>
        <w:ind w:firstLine="0"/>
        <w:outlineLvl w:val="9"/>
      </w:pPr>
    </w:p>
    <w:p w14:paraId="3DD56A23">
      <w:pPr>
        <w:jc w:val="left"/>
        <w:outlineLvl w:val="9"/>
        <w:rPr>
          <w:rFonts w:ascii="宋体" w:hAnsi="宋体" w:cs="宋体"/>
          <w:b/>
          <w:bCs/>
          <w:kern w:val="44"/>
          <w:sz w:val="32"/>
          <w:szCs w:val="32"/>
        </w:rPr>
      </w:pPr>
    </w:p>
    <w:p w14:paraId="2679C720">
      <w:pPr>
        <w:pStyle w:val="22"/>
        <w:ind w:firstLine="0"/>
        <w:jc w:val="left"/>
        <w:outlineLvl w:val="9"/>
        <w:rPr>
          <w:rFonts w:cs="宋体"/>
          <w:b/>
          <w:bCs/>
          <w:kern w:val="2"/>
          <w:sz w:val="32"/>
          <w:szCs w:val="32"/>
        </w:rPr>
      </w:pPr>
    </w:p>
    <w:p w14:paraId="680ED7A9">
      <w:pPr>
        <w:pStyle w:val="2"/>
        <w:outlineLvl w:val="9"/>
      </w:pPr>
    </w:p>
    <w:p w14:paraId="33A926B7">
      <w:pPr>
        <w:pStyle w:val="22"/>
        <w:ind w:firstLine="0"/>
        <w:outlineLvl w:val="9"/>
        <w:rPr>
          <w:rFonts w:cs="宋体"/>
          <w:b/>
          <w:bCs/>
          <w:kern w:val="2"/>
          <w:sz w:val="36"/>
          <w:szCs w:val="36"/>
        </w:rPr>
      </w:pPr>
      <w:r>
        <w:rPr>
          <w:rFonts w:hint="eastAsia" w:cs="宋体"/>
          <w:b/>
          <w:bCs/>
          <w:kern w:val="2"/>
          <w:sz w:val="36"/>
          <w:szCs w:val="36"/>
        </w:rPr>
        <w:t>采购单位：兴安县城市管理监督局</w:t>
      </w:r>
    </w:p>
    <w:p w14:paraId="7386D7FD">
      <w:pPr>
        <w:pStyle w:val="22"/>
        <w:ind w:left="2168" w:hanging="2168" w:hangingChars="600"/>
        <w:outlineLvl w:val="9"/>
        <w:rPr>
          <w:rFonts w:cs="宋体"/>
          <w:b/>
          <w:bCs/>
          <w:color w:val="000000"/>
          <w:kern w:val="2"/>
          <w:sz w:val="40"/>
          <w:szCs w:val="40"/>
        </w:rPr>
        <w:sectPr>
          <w:pgSz w:w="11906" w:h="16838"/>
          <w:pgMar w:top="1440" w:right="1066" w:bottom="1440" w:left="1800" w:header="851" w:footer="992" w:gutter="0"/>
          <w:cols w:space="720" w:num="1"/>
          <w:docGrid w:type="lines" w:linePitch="312" w:charSpace="0"/>
        </w:sectPr>
      </w:pPr>
      <w:r>
        <w:rPr>
          <w:rFonts w:hint="eastAsia" w:cs="宋体"/>
          <w:b/>
          <w:bCs/>
          <w:color w:val="000000"/>
          <w:kern w:val="2"/>
          <w:sz w:val="36"/>
          <w:szCs w:val="36"/>
        </w:rPr>
        <w:t>成交供应商：</w:t>
      </w:r>
    </w:p>
    <w:p w14:paraId="20A78275">
      <w:pPr>
        <w:pStyle w:val="6"/>
        <w:numPr>
          <w:ilvl w:val="0"/>
          <w:numId w:val="0"/>
        </w:numPr>
        <w:spacing w:before="63" w:line="224" w:lineRule="auto"/>
        <w:jc w:val="center"/>
        <w:outlineLvl w:val="9"/>
        <w:rPr>
          <w:b/>
          <w:bCs/>
          <w:spacing w:val="6"/>
          <w:sz w:val="32"/>
          <w:szCs w:val="32"/>
        </w:rPr>
      </w:pPr>
      <w:r>
        <w:rPr>
          <w:rFonts w:hint="eastAsia"/>
          <w:b/>
          <w:bCs/>
          <w:spacing w:val="6"/>
          <w:sz w:val="32"/>
          <w:szCs w:val="32"/>
        </w:rPr>
        <w:t>政府采购合同</w:t>
      </w:r>
    </w:p>
    <w:p w14:paraId="04E84A63">
      <w:pPr>
        <w:spacing w:line="447" w:lineRule="auto"/>
        <w:outlineLvl w:val="9"/>
        <w:rPr>
          <w:rFonts w:ascii="Arial"/>
          <w:sz w:val="21"/>
        </w:rPr>
      </w:pPr>
    </w:p>
    <w:p w14:paraId="5B61FD98">
      <w:pPr>
        <w:pStyle w:val="6"/>
        <w:keepNext w:val="0"/>
        <w:keepLines w:val="0"/>
        <w:pageBreakBefore w:val="0"/>
        <w:widowControl/>
        <w:kinsoku w:val="0"/>
        <w:wordWrap/>
        <w:overflowPunct/>
        <w:topLinePunct w:val="0"/>
        <w:autoSpaceDE w:val="0"/>
        <w:autoSpaceDN w:val="0"/>
        <w:bidi w:val="0"/>
        <w:adjustRightInd w:val="0"/>
        <w:snapToGrid w:val="0"/>
        <w:spacing w:before="34" w:line="300" w:lineRule="auto"/>
        <w:ind w:left="28"/>
        <w:textAlignment w:val="baseline"/>
        <w:outlineLvl w:val="9"/>
        <w:rPr>
          <w:rFonts w:hint="eastAsia"/>
          <w:spacing w:val="6"/>
          <w:sz w:val="21"/>
          <w:szCs w:val="21"/>
          <w:lang w:val="en-US" w:eastAsia="zh-CN"/>
        </w:rPr>
      </w:pPr>
      <w:r>
        <w:rPr>
          <w:spacing w:val="6"/>
          <w:sz w:val="21"/>
          <w:szCs w:val="21"/>
        </w:rPr>
        <w:t>项目名称：兴安县城北及乡镇污水处理厂运营管理</w:t>
      </w:r>
      <w:r>
        <w:rPr>
          <w:rFonts w:hint="eastAsia"/>
          <w:spacing w:val="6"/>
          <w:sz w:val="21"/>
          <w:szCs w:val="21"/>
          <w:lang w:val="en-US" w:eastAsia="zh-CN"/>
        </w:rPr>
        <w:t>服务</w:t>
      </w:r>
    </w:p>
    <w:p w14:paraId="1F2FC201">
      <w:pPr>
        <w:pStyle w:val="6"/>
        <w:keepNext w:val="0"/>
        <w:keepLines w:val="0"/>
        <w:pageBreakBefore w:val="0"/>
        <w:widowControl/>
        <w:kinsoku w:val="0"/>
        <w:wordWrap/>
        <w:overflowPunct/>
        <w:topLinePunct w:val="0"/>
        <w:autoSpaceDE w:val="0"/>
        <w:autoSpaceDN w:val="0"/>
        <w:bidi w:val="0"/>
        <w:adjustRightInd w:val="0"/>
        <w:snapToGrid w:val="0"/>
        <w:spacing w:before="34" w:line="300" w:lineRule="auto"/>
        <w:ind w:left="28"/>
        <w:textAlignment w:val="baseline"/>
        <w:outlineLvl w:val="9"/>
        <w:rPr>
          <w:spacing w:val="6"/>
          <w:sz w:val="21"/>
          <w:szCs w:val="21"/>
        </w:rPr>
      </w:pPr>
      <w:r>
        <w:rPr>
          <w:spacing w:val="6"/>
          <w:sz w:val="21"/>
          <w:szCs w:val="21"/>
        </w:rPr>
        <w:t>项目编号：GLZC2026-G3-250017-GXHS</w:t>
      </w:r>
    </w:p>
    <w:p w14:paraId="64D989EA">
      <w:pPr>
        <w:pStyle w:val="6"/>
        <w:spacing w:before="65" w:line="353" w:lineRule="auto"/>
        <w:ind w:left="3" w:right="4683"/>
        <w:outlineLvl w:val="9"/>
        <w:rPr>
          <w:sz w:val="21"/>
          <w:szCs w:val="21"/>
        </w:rPr>
      </w:pPr>
    </w:p>
    <w:p w14:paraId="18B3F5ED">
      <w:pPr>
        <w:pStyle w:val="6"/>
        <w:spacing w:before="34" w:line="227" w:lineRule="auto"/>
        <w:ind w:left="26"/>
        <w:outlineLvl w:val="9"/>
        <w:rPr>
          <w:sz w:val="21"/>
          <w:szCs w:val="21"/>
        </w:rPr>
      </w:pPr>
      <w:r>
        <w:rPr>
          <w:spacing w:val="6"/>
          <w:sz w:val="21"/>
          <w:szCs w:val="21"/>
        </w:rPr>
        <w:t>甲方</w:t>
      </w:r>
      <w:r>
        <w:rPr>
          <w:spacing w:val="-2"/>
          <w:sz w:val="21"/>
          <w:szCs w:val="21"/>
        </w:rPr>
        <w:t>：</w:t>
      </w:r>
      <w:r>
        <w:rPr>
          <w:rFonts w:hint="eastAsia"/>
          <w:spacing w:val="-2"/>
          <w:sz w:val="21"/>
          <w:szCs w:val="21"/>
          <w:u w:val="single"/>
          <w:lang w:val="en-US" w:eastAsia="zh-CN"/>
        </w:rPr>
        <w:t xml:space="preserve">                       </w:t>
      </w:r>
      <w:r>
        <w:rPr>
          <w:spacing w:val="-2"/>
          <w:sz w:val="21"/>
          <w:szCs w:val="21"/>
        </w:rPr>
        <w:t>（</w:t>
      </w:r>
      <w:r>
        <w:rPr>
          <w:spacing w:val="6"/>
          <w:sz w:val="21"/>
          <w:szCs w:val="21"/>
        </w:rPr>
        <w:t>采购人）</w:t>
      </w:r>
    </w:p>
    <w:p w14:paraId="6ACBFE94">
      <w:pPr>
        <w:pStyle w:val="6"/>
        <w:spacing w:before="154" w:line="227" w:lineRule="auto"/>
        <w:ind w:left="20"/>
        <w:outlineLvl w:val="9"/>
        <w:rPr>
          <w:sz w:val="21"/>
          <w:szCs w:val="21"/>
        </w:rPr>
      </w:pPr>
      <w:r>
        <w:rPr>
          <w:spacing w:val="8"/>
          <w:sz w:val="21"/>
          <w:szCs w:val="21"/>
        </w:rPr>
        <w:t>乙方</w:t>
      </w:r>
      <w:r>
        <w:rPr>
          <w:spacing w:val="-3"/>
          <w:sz w:val="21"/>
          <w:szCs w:val="21"/>
        </w:rPr>
        <w:t>：</w:t>
      </w:r>
      <w:r>
        <w:rPr>
          <w:rFonts w:hint="eastAsia"/>
          <w:spacing w:val="-3"/>
          <w:sz w:val="21"/>
          <w:szCs w:val="21"/>
          <w:u w:val="single"/>
          <w:lang w:val="en-US" w:eastAsia="zh-CN"/>
        </w:rPr>
        <w:t xml:space="preserve">                       </w:t>
      </w:r>
      <w:r>
        <w:rPr>
          <w:spacing w:val="-3"/>
          <w:sz w:val="21"/>
          <w:szCs w:val="21"/>
        </w:rPr>
        <w:t>（</w:t>
      </w:r>
      <w:r>
        <w:rPr>
          <w:spacing w:val="8"/>
          <w:sz w:val="21"/>
          <w:szCs w:val="21"/>
        </w:rPr>
        <w:t>中标供应商）</w:t>
      </w:r>
    </w:p>
    <w:p w14:paraId="0F00E4FF">
      <w:pPr>
        <w:pStyle w:val="6"/>
        <w:spacing w:before="138" w:line="335" w:lineRule="auto"/>
        <w:ind w:left="20" w:right="84" w:firstLine="399"/>
        <w:outlineLvl w:val="9"/>
        <w:rPr>
          <w:sz w:val="21"/>
          <w:szCs w:val="21"/>
        </w:rPr>
      </w:pPr>
      <w:r>
        <w:rPr>
          <w:spacing w:val="9"/>
          <w:sz w:val="21"/>
          <w:szCs w:val="21"/>
        </w:rPr>
        <w:t>根据《中华人民共和国政府采购法》、《中华人民共和国政府采购法实施条例》、《中华人民共和国</w:t>
      </w:r>
      <w:r>
        <w:rPr>
          <w:spacing w:val="8"/>
          <w:sz w:val="21"/>
          <w:szCs w:val="21"/>
        </w:rPr>
        <w:t>民法典》等法律、法规规定，按照招、投标文件规定条款和中标供应</w:t>
      </w:r>
      <w:r>
        <w:rPr>
          <w:spacing w:val="7"/>
          <w:sz w:val="21"/>
          <w:szCs w:val="21"/>
        </w:rPr>
        <w:t>商承诺、甲乙双方签订本采购合同。</w:t>
      </w:r>
    </w:p>
    <w:p w14:paraId="12F52C0C">
      <w:pPr>
        <w:pStyle w:val="6"/>
        <w:numPr>
          <w:ilvl w:val="0"/>
          <w:numId w:val="4"/>
        </w:numPr>
        <w:kinsoku w:val="0"/>
        <w:overflowPunct w:val="0"/>
        <w:spacing w:line="400" w:lineRule="exact"/>
        <w:ind w:firstLine="422"/>
        <w:outlineLvl w:val="9"/>
        <w:rPr>
          <w:rFonts w:ascii="宋体" w:hAnsi="宋体" w:cs="宋体"/>
          <w:b/>
          <w:bCs/>
          <w:color w:val="000000"/>
          <w:sz w:val="21"/>
          <w:szCs w:val="21"/>
        </w:rPr>
      </w:pPr>
      <w:r>
        <w:rPr>
          <w:rFonts w:hint="eastAsia" w:ascii="宋体" w:hAnsi="宋体" w:cs="宋体"/>
          <w:b/>
          <w:bCs/>
          <w:color w:val="000000"/>
          <w:sz w:val="21"/>
          <w:szCs w:val="21"/>
        </w:rPr>
        <w:t>合同标的及合同金额</w:t>
      </w:r>
    </w:p>
    <w:p w14:paraId="305EE95C">
      <w:pPr>
        <w:widowControl/>
        <w:spacing w:line="400" w:lineRule="exact"/>
        <w:ind w:firstLine="420" w:firstLineChars="200"/>
        <w:jc w:val="left"/>
        <w:outlineLvl w:val="9"/>
        <w:rPr>
          <w:rFonts w:ascii="宋体" w:hAnsi="宋体" w:cs="宋体"/>
          <w:color w:val="000000"/>
        </w:rPr>
      </w:pPr>
      <w:r>
        <w:rPr>
          <w:rFonts w:hint="eastAsia" w:ascii="宋体" w:hAnsi="宋体" w:cs="宋体"/>
          <w:color w:val="000000"/>
        </w:rPr>
        <w:t>根据《中标通知书》的中标内容，合同的总金额为：人民币（大写）</w:t>
      </w:r>
      <w:r>
        <w:rPr>
          <w:rFonts w:hint="eastAsia" w:ascii="宋体" w:hAnsi="宋体" w:cs="宋体"/>
          <w:color w:val="000000"/>
          <w:u w:val="single"/>
          <w:lang w:val="en-US" w:eastAsia="zh-CN"/>
        </w:rPr>
        <w:t xml:space="preserve">     </w:t>
      </w:r>
      <w:r>
        <w:rPr>
          <w:rFonts w:hint="eastAsia" w:ascii="宋体" w:hAnsi="宋体" w:cs="宋体"/>
          <w:color w:val="000000"/>
        </w:rPr>
        <w:t xml:space="preserve"> （¥</w:t>
      </w:r>
      <w:r>
        <w:rPr>
          <w:rFonts w:hint="eastAsia" w:ascii="宋体" w:hAnsi="宋体" w:cs="宋体"/>
          <w:color w:val="000000"/>
          <w:u w:val="single"/>
          <w:lang w:val="en-US" w:eastAsia="zh-CN"/>
        </w:rPr>
        <w:t xml:space="preserve">        </w:t>
      </w:r>
      <w:r>
        <w:rPr>
          <w:rFonts w:hint="eastAsia" w:ascii="宋体" w:hAnsi="宋体" w:cs="宋体"/>
          <w:color w:val="000000"/>
        </w:rPr>
        <w:t>），合同金额包括：本次采购范围内服务价款、服务所用耗材、人工费、管理费用、专用工具、维护、税费等相关一切费用。</w:t>
      </w:r>
      <w:r>
        <w:rPr>
          <w:rFonts w:hint="eastAsia" w:ascii="宋体" w:hAnsi="宋体"/>
          <w:color w:val="000000"/>
          <w:szCs w:val="21"/>
        </w:rPr>
        <w:t>不包括厂</w:t>
      </w:r>
      <w:r>
        <w:rPr>
          <w:rFonts w:hint="eastAsia" w:ascii="宋体" w:hAnsi="宋体" w:cs="宋体"/>
          <w:color w:val="000000"/>
          <w:szCs w:val="21"/>
        </w:rPr>
        <w:t>区电费、第三方具备相关资质的机构针对排污许可证发放要求进行的例行监测费用、城北污水处理厂在线监测设备的第三方运营费。</w:t>
      </w:r>
    </w:p>
    <w:p w14:paraId="5D88EBBB">
      <w:pPr>
        <w:spacing w:line="400" w:lineRule="exact"/>
        <w:ind w:firstLine="420" w:firstLineChars="200"/>
        <w:outlineLvl w:val="9"/>
        <w:rPr>
          <w:rFonts w:ascii="宋体" w:hAnsi="宋体" w:cs="宋体"/>
          <w:b/>
          <w:color w:val="000000"/>
          <w:szCs w:val="21"/>
        </w:rPr>
      </w:pPr>
      <w:r>
        <w:rPr>
          <w:rFonts w:hint="eastAsia" w:ascii="宋体" w:hAnsi="宋体" w:cs="宋体"/>
          <w:b/>
          <w:color w:val="000000"/>
          <w:szCs w:val="21"/>
        </w:rPr>
        <w:t>第二条 质量保证</w:t>
      </w:r>
    </w:p>
    <w:p w14:paraId="1626AC4B">
      <w:pPr>
        <w:snapToGrid w:val="0"/>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乙方应按招标文件、投标文件和承诺规定的服务内容向甲方提供相应服务。</w:t>
      </w:r>
    </w:p>
    <w:p w14:paraId="63723F6F">
      <w:pPr>
        <w:spacing w:line="400" w:lineRule="exact"/>
        <w:ind w:firstLine="412" w:firstLineChars="196"/>
        <w:outlineLvl w:val="9"/>
        <w:rPr>
          <w:rFonts w:ascii="宋体" w:hAnsi="宋体" w:cs="宋体"/>
          <w:b/>
          <w:color w:val="000000"/>
          <w:szCs w:val="21"/>
        </w:rPr>
      </w:pPr>
      <w:r>
        <w:rPr>
          <w:rFonts w:hint="eastAsia" w:ascii="宋体" w:hAnsi="宋体" w:cs="宋体"/>
          <w:b/>
          <w:color w:val="000000"/>
          <w:szCs w:val="21"/>
        </w:rPr>
        <w:t>第三条  交付</w:t>
      </w:r>
    </w:p>
    <w:p w14:paraId="4D82E685">
      <w:pPr>
        <w:spacing w:line="400" w:lineRule="exact"/>
        <w:ind w:firstLine="405"/>
        <w:outlineLvl w:val="9"/>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服务时间：</w:t>
      </w:r>
      <w:r>
        <w:rPr>
          <w:rFonts w:hint="eastAsia" w:ascii="宋体" w:hAnsi="宋体" w:cs="宋体"/>
          <w:szCs w:val="21"/>
          <w:u w:val="single"/>
        </w:rPr>
        <w:t xml:space="preserve"> 自</w:t>
      </w:r>
      <w:r>
        <w:rPr>
          <w:rFonts w:hint="eastAsia" w:ascii="宋体" w:hAnsi="宋体" w:cs="宋体"/>
          <w:szCs w:val="21"/>
          <w:u w:val="single"/>
          <w:lang w:val="en-US" w:eastAsia="zh-CN"/>
        </w:rPr>
        <w:t xml:space="preserve">      </w:t>
      </w:r>
      <w:r>
        <w:rPr>
          <w:rFonts w:hint="eastAsia" w:ascii="宋体" w:hAnsi="宋体" w:cs="宋体"/>
          <w:szCs w:val="21"/>
          <w:u w:val="single"/>
        </w:rPr>
        <w:t>年</w:t>
      </w:r>
      <w:r>
        <w:rPr>
          <w:rFonts w:hint="eastAsia" w:ascii="宋体" w:hAnsi="宋体" w:cs="宋体"/>
          <w:szCs w:val="21"/>
          <w:u w:val="single"/>
          <w:lang w:val="en-US" w:eastAsia="zh-CN"/>
        </w:rPr>
        <w:t xml:space="preserve">   </w:t>
      </w:r>
      <w:r>
        <w:rPr>
          <w:rFonts w:hint="eastAsia" w:ascii="宋体" w:hAnsi="宋体" w:cs="宋体"/>
          <w:szCs w:val="21"/>
          <w:u w:val="single"/>
        </w:rPr>
        <w:t>月</w:t>
      </w:r>
      <w:r>
        <w:rPr>
          <w:rFonts w:hint="eastAsia" w:ascii="宋体" w:hAnsi="宋体" w:cs="宋体"/>
          <w:szCs w:val="21"/>
          <w:u w:val="single"/>
          <w:lang w:val="en-US" w:eastAsia="zh-CN"/>
        </w:rPr>
        <w:t xml:space="preserve">     </w:t>
      </w:r>
      <w:r>
        <w:rPr>
          <w:rFonts w:hint="eastAsia" w:ascii="宋体" w:hAnsi="宋体" w:cs="宋体"/>
          <w:szCs w:val="21"/>
          <w:u w:val="single"/>
        </w:rPr>
        <w:t>日至</w:t>
      </w:r>
      <w:r>
        <w:rPr>
          <w:rFonts w:hint="eastAsia" w:ascii="宋体" w:hAnsi="宋体" w:cs="宋体"/>
          <w:szCs w:val="21"/>
          <w:u w:val="single"/>
          <w:lang w:val="en-US" w:eastAsia="zh-CN"/>
        </w:rPr>
        <w:t xml:space="preserve">      </w:t>
      </w:r>
      <w:r>
        <w:rPr>
          <w:rFonts w:hint="eastAsia" w:ascii="宋体" w:hAnsi="宋体" w:cs="宋体"/>
          <w:szCs w:val="21"/>
          <w:u w:val="single"/>
        </w:rPr>
        <w:t>年</w:t>
      </w:r>
      <w:r>
        <w:rPr>
          <w:rFonts w:hint="eastAsia" w:ascii="宋体" w:hAnsi="宋体" w:cs="宋体"/>
          <w:szCs w:val="21"/>
          <w:u w:val="single"/>
          <w:lang w:val="en-US" w:eastAsia="zh-CN"/>
        </w:rPr>
        <w:t xml:space="preserve">      </w:t>
      </w:r>
      <w:r>
        <w:rPr>
          <w:rFonts w:hint="eastAsia" w:ascii="宋体" w:hAnsi="宋体" w:cs="宋体"/>
          <w:szCs w:val="21"/>
          <w:u w:val="single"/>
        </w:rPr>
        <w:t>月</w:t>
      </w:r>
      <w:r>
        <w:rPr>
          <w:rFonts w:hint="eastAsia" w:ascii="宋体" w:hAnsi="宋体" w:cs="宋体"/>
          <w:szCs w:val="21"/>
          <w:u w:val="single"/>
          <w:lang w:val="en-US" w:eastAsia="zh-CN"/>
        </w:rPr>
        <w:t xml:space="preserve">    </w:t>
      </w:r>
      <w:r>
        <w:rPr>
          <w:rFonts w:hint="eastAsia" w:ascii="宋体" w:hAnsi="宋体" w:cs="宋体"/>
          <w:szCs w:val="21"/>
          <w:u w:val="single"/>
        </w:rPr>
        <w:t xml:space="preserve">日（共12个月） </w:t>
      </w:r>
      <w:r>
        <w:rPr>
          <w:rFonts w:hint="eastAsia" w:ascii="宋体" w:hAnsi="宋体" w:cs="宋体"/>
          <w:szCs w:val="21"/>
        </w:rPr>
        <w:t>。</w:t>
      </w:r>
    </w:p>
    <w:p w14:paraId="3B09A350">
      <w:pPr>
        <w:spacing w:line="400" w:lineRule="exact"/>
        <w:ind w:firstLine="405"/>
        <w:outlineLvl w:val="9"/>
        <w:rPr>
          <w:rFonts w:ascii="宋体" w:hAnsi="宋体" w:cs="宋体"/>
          <w:szCs w:val="21"/>
        </w:rPr>
      </w:pPr>
      <w:r>
        <w:rPr>
          <w:rFonts w:hint="eastAsia" w:ascii="宋体" w:hAnsi="宋体" w:eastAsia="宋体" w:cs="宋体"/>
          <w:szCs w:val="21"/>
          <w:lang w:val="en-US" w:eastAsia="zh-CN"/>
        </w:rPr>
        <w:t>2.</w:t>
      </w:r>
      <w:r>
        <w:rPr>
          <w:rFonts w:hint="eastAsia" w:ascii="宋体" w:hAnsi="宋体" w:cs="宋体"/>
          <w:szCs w:val="21"/>
        </w:rPr>
        <w:t>地点：</w:t>
      </w:r>
      <w:r>
        <w:rPr>
          <w:rFonts w:hint="eastAsia" w:ascii="宋体" w:hAnsi="宋体" w:cs="宋体"/>
          <w:szCs w:val="21"/>
          <w:u w:val="single"/>
          <w:lang w:val="zh-TW"/>
        </w:rPr>
        <w:t>城北污水处理厂、</w:t>
      </w:r>
      <w:r>
        <w:rPr>
          <w:rFonts w:hint="eastAsia" w:ascii="宋体" w:hAnsi="宋体" w:cs="宋体"/>
          <w:szCs w:val="21"/>
          <w:u w:val="single"/>
        </w:rPr>
        <w:t>309污水提升泵站、</w:t>
      </w:r>
      <w:r>
        <w:rPr>
          <w:rFonts w:hint="eastAsia" w:ascii="宋体" w:hAnsi="宋体" w:cs="宋体"/>
          <w:szCs w:val="21"/>
          <w:u w:val="single"/>
          <w:lang w:val="zh-TW"/>
        </w:rPr>
        <w:t>溶江</w:t>
      </w:r>
      <w:r>
        <w:rPr>
          <w:rFonts w:hint="eastAsia" w:ascii="宋体" w:hAnsi="宋体" w:cs="宋体"/>
          <w:szCs w:val="21"/>
          <w:u w:val="single"/>
          <w:lang w:val="zh-TW" w:eastAsia="zh-TW"/>
        </w:rPr>
        <w:t>镇污水处理厂</w:t>
      </w:r>
      <w:r>
        <w:rPr>
          <w:rFonts w:hint="eastAsia" w:ascii="宋体" w:hAnsi="宋体" w:cs="宋体"/>
          <w:szCs w:val="21"/>
          <w:u w:val="single"/>
          <w:lang w:val="zh-TW"/>
        </w:rPr>
        <w:t>、严关</w:t>
      </w:r>
      <w:r>
        <w:rPr>
          <w:rFonts w:hint="eastAsia" w:ascii="宋体" w:hAnsi="宋体" w:cs="宋体"/>
          <w:szCs w:val="21"/>
          <w:u w:val="single"/>
          <w:lang w:val="zh-TW" w:eastAsia="zh-TW"/>
        </w:rPr>
        <w:t>镇污水处理厂</w:t>
      </w:r>
      <w:r>
        <w:rPr>
          <w:rFonts w:hint="eastAsia" w:ascii="宋体" w:hAnsi="宋体" w:cs="宋体"/>
          <w:szCs w:val="21"/>
          <w:u w:val="single"/>
          <w:lang w:val="zh-TW"/>
        </w:rPr>
        <w:t>、界首</w:t>
      </w:r>
      <w:r>
        <w:rPr>
          <w:rFonts w:hint="eastAsia" w:ascii="宋体" w:hAnsi="宋体" w:cs="宋体"/>
          <w:szCs w:val="21"/>
          <w:u w:val="single"/>
          <w:lang w:val="zh-TW" w:eastAsia="zh-TW"/>
        </w:rPr>
        <w:t>镇污水处理厂</w:t>
      </w:r>
      <w:r>
        <w:rPr>
          <w:rFonts w:hint="eastAsia" w:ascii="宋体" w:hAnsi="宋体" w:cs="宋体"/>
          <w:szCs w:val="21"/>
          <w:u w:val="single"/>
          <w:lang w:val="zh-TW"/>
        </w:rPr>
        <w:t>、高尚</w:t>
      </w:r>
      <w:r>
        <w:rPr>
          <w:rFonts w:hint="eastAsia" w:ascii="宋体" w:hAnsi="宋体" w:cs="宋体"/>
          <w:szCs w:val="21"/>
          <w:u w:val="single"/>
          <w:lang w:val="zh-TW" w:eastAsia="zh-TW"/>
        </w:rPr>
        <w:t>镇污水处理厂</w:t>
      </w:r>
      <w:r>
        <w:rPr>
          <w:rFonts w:hint="eastAsia" w:ascii="宋体" w:hAnsi="宋体" w:cs="宋体"/>
          <w:szCs w:val="21"/>
          <w:u w:val="single"/>
          <w:lang w:val="zh-TW"/>
        </w:rPr>
        <w:t>、华江瑶族乡污水处理厂</w:t>
      </w:r>
      <w:r>
        <w:rPr>
          <w:rFonts w:hint="eastAsia" w:ascii="宋体" w:hAnsi="宋体" w:eastAsia="宋体" w:cs="宋体"/>
          <w:szCs w:val="21"/>
          <w:u w:val="single"/>
          <w:lang w:val="zh-TW" w:eastAsia="zh-CN"/>
        </w:rPr>
        <w:t>、</w:t>
      </w:r>
      <w:r>
        <w:rPr>
          <w:rFonts w:hint="eastAsia"/>
          <w:color w:val="auto"/>
          <w:spacing w:val="9"/>
          <w:sz w:val="21"/>
          <w:szCs w:val="21"/>
          <w:u w:val="single"/>
        </w:rPr>
        <w:t>霞云桥新建两座泵站</w:t>
      </w:r>
      <w:r>
        <w:rPr>
          <w:rFonts w:hint="eastAsia" w:ascii="宋体" w:hAnsi="宋体" w:cs="宋体"/>
          <w:szCs w:val="21"/>
        </w:rPr>
        <w:t>。</w:t>
      </w:r>
    </w:p>
    <w:p w14:paraId="2CE43A04">
      <w:pPr>
        <w:spacing w:line="400" w:lineRule="exact"/>
        <w:ind w:firstLine="405"/>
        <w:outlineLvl w:val="9"/>
        <w:rPr>
          <w:rFonts w:ascii="宋体" w:hAnsi="宋体" w:cs="宋体"/>
          <w:color w:val="000000"/>
          <w:szCs w:val="21"/>
        </w:rPr>
      </w:pPr>
      <w:r>
        <w:rPr>
          <w:rFonts w:hint="eastAsia" w:ascii="宋体" w:hAnsi="宋体" w:eastAsia="宋体" w:cs="宋体"/>
          <w:color w:val="000000"/>
          <w:szCs w:val="21"/>
          <w:lang w:val="en-US" w:eastAsia="zh-CN"/>
        </w:rPr>
        <w:t>3</w:t>
      </w:r>
      <w:r>
        <w:rPr>
          <w:rFonts w:hint="eastAsia" w:ascii="宋体" w:hAnsi="宋体" w:cs="宋体"/>
          <w:color w:val="000000"/>
          <w:szCs w:val="21"/>
        </w:rPr>
        <w:t>.乙方提供不符合招投标文件和本合同规定的服务，甲方有权拒绝接受。</w:t>
      </w:r>
    </w:p>
    <w:p w14:paraId="3290E7C2">
      <w:pPr>
        <w:spacing w:line="400" w:lineRule="exact"/>
        <w:ind w:firstLine="405"/>
        <w:outlineLvl w:val="9"/>
        <w:rPr>
          <w:rFonts w:ascii="宋体" w:hAnsi="宋体" w:cs="宋体"/>
          <w:b/>
          <w:color w:val="000000"/>
          <w:szCs w:val="21"/>
        </w:rPr>
      </w:pPr>
      <w:r>
        <w:rPr>
          <w:rFonts w:hint="eastAsia" w:ascii="宋体" w:hAnsi="宋体" w:cs="宋体"/>
          <w:b/>
          <w:color w:val="000000"/>
          <w:szCs w:val="21"/>
        </w:rPr>
        <w:t>第四条  服务期限</w:t>
      </w:r>
    </w:p>
    <w:p w14:paraId="614B0D10">
      <w:pPr>
        <w:spacing w:line="400" w:lineRule="exact"/>
        <w:ind w:firstLine="420" w:firstLineChars="200"/>
        <w:outlineLvl w:val="9"/>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自签订合同之日起一年(如在合同期限内，该项目因运营模式改变，通过公开招标方式引入了社会投资人，则合同终止,项目移交中标方运营管理,服务费用以实际运营时长支付)。</w:t>
      </w:r>
    </w:p>
    <w:p w14:paraId="0BD8BBA4">
      <w:pPr>
        <w:spacing w:line="400" w:lineRule="exact"/>
        <w:ind w:firstLine="405"/>
        <w:outlineLvl w:val="9"/>
        <w:rPr>
          <w:rFonts w:ascii="宋体" w:hAnsi="宋体" w:cs="宋体"/>
          <w:b/>
          <w:color w:val="000000"/>
          <w:szCs w:val="21"/>
        </w:rPr>
      </w:pPr>
      <w:r>
        <w:rPr>
          <w:rFonts w:hint="eastAsia" w:ascii="宋体" w:hAnsi="宋体" w:cs="宋体"/>
          <w:b/>
          <w:color w:val="000000"/>
          <w:szCs w:val="21"/>
        </w:rPr>
        <w:t>第五条  污水处理运营管理要求</w:t>
      </w:r>
    </w:p>
    <w:p w14:paraId="286673CB">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1.甲方于供应商进场服务前，向乙方提供厂区内现有的设备、物品等一切国有设备的移交清单明细，并移交供应商，乙方须当场核对清单并检查相关设备、物品等完好情况，并由乙方相关负责人书面确认；服务期满后，采购人核对原移交的设备、物品等一切国有设备，若因供应商的操作失误等自身原因导致设备、物品等一切国有资产的损坏或遗失，一切经济损失由乙方负责。</w:t>
      </w:r>
    </w:p>
    <w:p w14:paraId="116BBA4D">
      <w:pPr>
        <w:pStyle w:val="6"/>
        <w:spacing w:line="400" w:lineRule="exact"/>
        <w:ind w:firstLine="420"/>
        <w:outlineLvl w:val="9"/>
        <w:rPr>
          <w:rFonts w:ascii="宋体" w:hAnsi="宋体" w:cs="宋体"/>
          <w:color w:val="000000"/>
          <w:sz w:val="21"/>
          <w:szCs w:val="21"/>
        </w:rPr>
      </w:pPr>
      <w:r>
        <w:rPr>
          <w:rFonts w:hint="eastAsia" w:ascii="宋体" w:hAnsi="宋体" w:cs="宋体"/>
          <w:color w:val="000000"/>
          <w:sz w:val="21"/>
          <w:szCs w:val="21"/>
        </w:rPr>
        <w:t>2.甲方仅负责设备运营的电费、第三方具备相关资质的机构针对排污许可证发放要求进行的例行监测费用、城北污水处理厂在线监测设备的第三方运营费。</w:t>
      </w:r>
    </w:p>
    <w:p w14:paraId="24243489">
      <w:pPr>
        <w:spacing w:line="400" w:lineRule="exact"/>
        <w:ind w:firstLine="420" w:firstLineChars="200"/>
        <w:outlineLvl w:val="9"/>
        <w:rPr>
          <w:lang w:val="en-US" w:eastAsia="en-US"/>
        </w:rPr>
      </w:pPr>
      <w:r>
        <w:rPr>
          <w:rFonts w:hint="eastAsia" w:ascii="宋体" w:hAnsi="宋体" w:cs="宋体"/>
          <w:color w:val="000000"/>
          <w:szCs w:val="21"/>
        </w:rPr>
        <w:t>3.确保污水处理设施的正常运行，污染物排放指标达到各污水处理厂排污许可证排放标准。</w:t>
      </w:r>
    </w:p>
    <w:p w14:paraId="2FE23A45">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4.污水处理设施的日常维护管理，包括设备调试、检查，完成正常运行的所有工作程序，并对厂区内所有设备、道路绿化、排水排污管道、给水消防管道设施及厂区内所有公用附属设施进行检测管理维护，做好检查记录；制定运行管理制度，制度上墙，明确管理责任。</w:t>
      </w:r>
    </w:p>
    <w:p w14:paraId="23BA8860">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 xml:space="preserve">5.做好运行管理台帐记录，按要求完成污水处理、环境监测等相关在线监管平台信息填报工作，每月向甲方报送运行月报表，包括设施运行情况、每月用电量、设备维修情况及群众投诉情况等，以备相关单位核查和考核。 </w:t>
      </w:r>
    </w:p>
    <w:p w14:paraId="1A518F2A">
      <w:pPr>
        <w:spacing w:line="400" w:lineRule="exact"/>
        <w:ind w:firstLine="420" w:firstLineChars="200"/>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完善报告制度，不得擅自停止污水处理设施的运行，在遇到管网破坏、设备故障、民事纠纷、自然灾害等问题，应及时报告甲方及县生态环境局，限期整改，尽快恢复污水处理设施的正常运行，若运行设备损坏需要进行维修的，维修费在3000元内则由乙方负责维修。</w:t>
      </w:r>
    </w:p>
    <w:p w14:paraId="29C47E66">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7.供应商在服务期内必须加强对所有生产设备的检修、维护，确保安全生产，若出现设备、仪器等故障或发生安全事故，一切法律及经济责任由供应商承担。</w:t>
      </w:r>
    </w:p>
    <w:p w14:paraId="3675453A">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8.有稳定的专门运行维护人员，并定期开展相关培训工作。自行负责污水处理设施运行中相关的对内、对外联系，对污水设施的安全消防负全责，并承担赔偿损失。</w:t>
      </w:r>
    </w:p>
    <w:p w14:paraId="580104AC">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9.乙方必须根据本项目的实际情况制定合理管理制度（包括运营维护管理制度、人力资源管理制度等）及合理的工作计划，并向采购人报备。拟投入本项目的现场服务人员不得从事违纪违法行为（如偷盗、传销、打架斗殴等等）等有损采购人利益和形象的其他行为。</w:t>
      </w:r>
    </w:p>
    <w:p w14:paraId="11614147">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10.乙方必须按时发放拟投入本项目人员的薪酬（含基本工资、绩效工资、员工社保等），不得引起劳务纠纷，所引起的劳务纠纷由乙方负责承担处理，并保证不得影响项目的正常运行维护。</w:t>
      </w:r>
    </w:p>
    <w:p w14:paraId="2620EA5E">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11.因国家相关环保部门的验收不合格或其他原因导致责令停产2次及以上的，则按违约处理，乙方必须支付合同总金额的1%作为违约金。</w:t>
      </w:r>
    </w:p>
    <w:p w14:paraId="120C2466">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12.服务期内，甲方认为供应商实际投入的人员不足以满足项目需要或认为人员不称职时，可向乙方发出要求增加或更换人员的通知，乙方在收到通知后的5个工作日内应增加或更换相应的人员，由此产生的费用由乙方自行承担。</w:t>
      </w:r>
    </w:p>
    <w:p w14:paraId="3CD0E33A">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13.乙方应接受甲方的</w:t>
      </w:r>
      <w:r>
        <w:rPr>
          <w:rFonts w:ascii="宋体" w:hAnsi="宋体" w:cs="宋体"/>
          <w:color w:val="000000"/>
          <w:szCs w:val="21"/>
        </w:rPr>
        <w:t>运营期绩效考核</w:t>
      </w:r>
      <w:r>
        <w:rPr>
          <w:rFonts w:hint="eastAsia" w:ascii="宋体" w:hAnsi="宋体" w:cs="宋体"/>
          <w:color w:val="000000"/>
          <w:szCs w:val="21"/>
        </w:rPr>
        <w:t xml:space="preserve">，按双方确认后的考核评分进行服务费结算。 </w:t>
      </w:r>
    </w:p>
    <w:p w14:paraId="2880FCB1">
      <w:pPr>
        <w:spacing w:line="400" w:lineRule="exact"/>
        <w:ind w:firstLine="315" w:firstLineChars="150"/>
        <w:outlineLvl w:val="9"/>
        <w:rPr>
          <w:rFonts w:ascii="宋体" w:hAnsi="宋体" w:cs="宋体"/>
          <w:b/>
          <w:color w:val="000000"/>
          <w:szCs w:val="21"/>
        </w:rPr>
      </w:pPr>
      <w:r>
        <w:rPr>
          <w:rFonts w:hint="eastAsia" w:ascii="宋体" w:hAnsi="宋体" w:cs="宋体"/>
          <w:b/>
          <w:color w:val="000000"/>
          <w:szCs w:val="21"/>
        </w:rPr>
        <w:t>第六条</w:t>
      </w:r>
      <w:r>
        <w:rPr>
          <w:rFonts w:hint="eastAsia" w:ascii="宋体" w:hAnsi="宋体" w:cs="宋体"/>
          <w:b/>
          <w:color w:val="000000"/>
          <w:szCs w:val="21"/>
          <w:lang w:val="en-US" w:eastAsia="zh-CN"/>
        </w:rPr>
        <w:t xml:space="preserve">  </w:t>
      </w:r>
      <w:r>
        <w:rPr>
          <w:rFonts w:hint="eastAsia" w:ascii="宋体" w:hAnsi="宋体" w:cs="宋体"/>
          <w:b/>
          <w:color w:val="000000"/>
          <w:szCs w:val="21"/>
        </w:rPr>
        <w:t>安全生产和环境保护</w:t>
      </w:r>
    </w:p>
    <w:p w14:paraId="080E5517">
      <w:pPr>
        <w:spacing w:line="400" w:lineRule="exact"/>
        <w:ind w:firstLine="405"/>
        <w:outlineLvl w:val="9"/>
        <w:rPr>
          <w:rFonts w:ascii="宋体" w:hAnsi="宋体" w:cs="宋体"/>
          <w:color w:val="000000"/>
          <w:szCs w:val="21"/>
        </w:rPr>
      </w:pPr>
      <w:r>
        <w:rPr>
          <w:rFonts w:hint="eastAsia" w:ascii="宋体" w:hAnsi="宋体" w:cs="宋体"/>
          <w:color w:val="000000"/>
          <w:szCs w:val="21"/>
        </w:rPr>
        <w:t>1.乙方应始终遵守有关公共卫生和安全的适用法律法规基本协议的规定。</w:t>
      </w:r>
    </w:p>
    <w:p w14:paraId="52BC6C12">
      <w:pPr>
        <w:spacing w:line="400" w:lineRule="exact"/>
        <w:ind w:firstLine="405"/>
        <w:outlineLvl w:val="9"/>
        <w:rPr>
          <w:rFonts w:ascii="宋体" w:hAnsi="宋体" w:cs="宋体"/>
          <w:color w:val="000000"/>
          <w:szCs w:val="21"/>
        </w:rPr>
      </w:pPr>
      <w:r>
        <w:rPr>
          <w:rFonts w:hint="eastAsia" w:ascii="宋体" w:hAnsi="宋体" w:cs="宋体"/>
          <w:color w:val="000000"/>
          <w:szCs w:val="21"/>
        </w:rPr>
        <w:t>2.乙方不应因项目的设施的运营和维护不到位而造成污水处理场地和排水干管（如果有）土地（包括土壤，地下水或表水及空气）或周围的污染。</w:t>
      </w:r>
    </w:p>
    <w:p w14:paraId="31806C60">
      <w:pPr>
        <w:spacing w:line="400" w:lineRule="exact"/>
        <w:ind w:firstLine="405"/>
        <w:outlineLvl w:val="9"/>
        <w:rPr>
          <w:rFonts w:ascii="宋体" w:hAnsi="宋体" w:cs="宋体"/>
          <w:color w:val="000000"/>
          <w:szCs w:val="21"/>
        </w:rPr>
      </w:pPr>
      <w:r>
        <w:rPr>
          <w:rFonts w:hint="eastAsia" w:ascii="宋体" w:hAnsi="宋体" w:cs="宋体"/>
          <w:color w:val="000000"/>
          <w:szCs w:val="21"/>
        </w:rPr>
        <w:t>3.乙方在项目设施的运营和维护期间应采取一切合理措施来避免或尽量减少对项目设施周围建筑物和居民的干扰。</w:t>
      </w:r>
    </w:p>
    <w:p w14:paraId="28A64CDF">
      <w:pPr>
        <w:spacing w:line="400" w:lineRule="exact"/>
        <w:ind w:firstLine="405"/>
        <w:outlineLvl w:val="9"/>
        <w:rPr>
          <w:rFonts w:ascii="宋体" w:hAnsi="宋体" w:cs="宋体"/>
          <w:color w:val="000000"/>
          <w:szCs w:val="21"/>
        </w:rPr>
      </w:pPr>
      <w:r>
        <w:rPr>
          <w:rFonts w:hint="eastAsia" w:ascii="宋体" w:hAnsi="宋体" w:cs="宋体"/>
          <w:color w:val="000000"/>
          <w:szCs w:val="21"/>
        </w:rPr>
        <w:t>4.但乙方对于以下任何一种情形不承担责任：</w:t>
      </w:r>
    </w:p>
    <w:p w14:paraId="6CF99E83">
      <w:pPr>
        <w:spacing w:line="400" w:lineRule="exact"/>
        <w:ind w:firstLine="405"/>
        <w:outlineLvl w:val="9"/>
        <w:rPr>
          <w:rFonts w:ascii="宋体" w:hAnsi="宋体" w:cs="宋体"/>
          <w:color w:val="000000"/>
          <w:szCs w:val="21"/>
        </w:rPr>
      </w:pPr>
      <w:r>
        <w:rPr>
          <w:rFonts w:hint="eastAsia" w:ascii="宋体" w:hAnsi="宋体" w:cs="宋体"/>
          <w:color w:val="000000"/>
          <w:szCs w:val="21"/>
        </w:rPr>
        <w:t>（1）因第三方的作为或者不作为引起的；</w:t>
      </w:r>
    </w:p>
    <w:p w14:paraId="1422D76D">
      <w:pPr>
        <w:spacing w:line="400" w:lineRule="exact"/>
        <w:ind w:firstLine="405"/>
        <w:outlineLvl w:val="9"/>
        <w:rPr>
          <w:rFonts w:ascii="宋体" w:hAnsi="宋体" w:cs="宋体"/>
          <w:color w:val="000000"/>
          <w:szCs w:val="21"/>
        </w:rPr>
      </w:pPr>
      <w:r>
        <w:rPr>
          <w:rFonts w:hint="eastAsia" w:ascii="宋体" w:hAnsi="宋体" w:cs="宋体"/>
          <w:color w:val="000000"/>
          <w:szCs w:val="21"/>
        </w:rPr>
        <w:t>（2）甲方导致的环境污染及安全隐患。</w:t>
      </w:r>
    </w:p>
    <w:p w14:paraId="3BB20688">
      <w:pPr>
        <w:pStyle w:val="6"/>
        <w:spacing w:line="400" w:lineRule="exact"/>
        <w:ind w:firstLine="422"/>
        <w:outlineLvl w:val="9"/>
        <w:rPr>
          <w:rFonts w:hint="eastAsia"/>
          <w:lang w:val="en-US" w:eastAsia="en-US"/>
        </w:rPr>
      </w:pPr>
      <w:r>
        <w:rPr>
          <w:rFonts w:hint="eastAsia" w:ascii="宋体" w:hAnsi="宋体" w:cs="宋体"/>
          <w:b/>
          <w:color w:val="000000"/>
          <w:sz w:val="21"/>
          <w:szCs w:val="21"/>
        </w:rPr>
        <w:t>第七条 双方权利与义务</w:t>
      </w:r>
    </w:p>
    <w:p w14:paraId="55F224AD">
      <w:pPr>
        <w:pStyle w:val="6"/>
        <w:spacing w:line="400" w:lineRule="exact"/>
        <w:ind w:firstLine="422"/>
        <w:outlineLvl w:val="9"/>
        <w:rPr>
          <w:rFonts w:hint="eastAsia" w:ascii="宋体" w:hAnsi="宋体" w:eastAsia="Arial" w:cs="宋体"/>
          <w:snapToGrid w:val="0"/>
          <w:color w:val="000000"/>
          <w:kern w:val="0"/>
          <w:sz w:val="21"/>
          <w:szCs w:val="21"/>
          <w:lang w:val="en-US" w:eastAsia="en-US" w:bidi="ar-SA"/>
        </w:rPr>
      </w:pPr>
      <w:r>
        <w:rPr>
          <w:rFonts w:hint="eastAsia" w:ascii="宋体" w:hAnsi="宋体" w:eastAsia="Arial" w:cs="宋体"/>
          <w:snapToGrid w:val="0"/>
          <w:color w:val="000000"/>
          <w:kern w:val="0"/>
          <w:sz w:val="21"/>
          <w:szCs w:val="21"/>
          <w:lang w:val="en-US" w:eastAsia="en-US" w:bidi="ar-SA"/>
        </w:rPr>
        <w:t>1.乙方在托管运营期满时须将完好的项目设施设备移交给甲方，并保证整个污水处理厂能正常运营；如乙方不能在托管运营期满时将完好的项目设施设备移交给甲方，甲方有权将其维修交由第三方进行，所产生的费用由乙方承担。</w:t>
      </w:r>
    </w:p>
    <w:p w14:paraId="2DBA8EE8">
      <w:pPr>
        <w:spacing w:line="400" w:lineRule="exact"/>
        <w:ind w:firstLine="405"/>
        <w:outlineLvl w:val="9"/>
        <w:rPr>
          <w:rFonts w:ascii="宋体" w:hAnsi="宋体" w:cs="宋体"/>
          <w:color w:val="000000"/>
          <w:szCs w:val="21"/>
        </w:rPr>
      </w:pPr>
      <w:r>
        <w:rPr>
          <w:rFonts w:hint="eastAsia" w:ascii="宋体" w:hAnsi="宋体" w:cs="宋体"/>
          <w:color w:val="000000"/>
          <w:szCs w:val="21"/>
        </w:rPr>
        <w:t>2.乙方运营期间，应确保对委托管理的设备设施完好无损，正常运行，严格按照处理工艺执行，保证污水处理达标。如由乙方原因造成损坏，必须在甲方规定的时间内彻底整改，相关费用由乙方承担。</w:t>
      </w:r>
    </w:p>
    <w:p w14:paraId="7114E250">
      <w:pPr>
        <w:spacing w:line="400" w:lineRule="exact"/>
        <w:ind w:firstLine="405"/>
        <w:outlineLvl w:val="9"/>
        <w:rPr>
          <w:rFonts w:ascii="宋体" w:hAnsi="宋体" w:cs="宋体"/>
          <w:color w:val="000000"/>
          <w:szCs w:val="21"/>
        </w:rPr>
      </w:pPr>
      <w:r>
        <w:rPr>
          <w:rFonts w:hint="eastAsia" w:ascii="宋体" w:hAnsi="宋体" w:cs="宋体"/>
          <w:color w:val="000000"/>
          <w:szCs w:val="21"/>
        </w:rPr>
        <w:t>3.乙方在运营期间，必须严格按污水处理站各项操作规程进行操作，保证人身安全。如果在合同期内发生安全责任事故，事故责任完全由乙方负责。</w:t>
      </w:r>
    </w:p>
    <w:p w14:paraId="29B0EDE0">
      <w:pPr>
        <w:spacing w:line="400" w:lineRule="exact"/>
        <w:ind w:firstLine="405"/>
        <w:outlineLvl w:val="9"/>
        <w:rPr>
          <w:rFonts w:ascii="宋体" w:hAnsi="宋体" w:cs="宋体"/>
          <w:color w:val="000000"/>
          <w:szCs w:val="21"/>
        </w:rPr>
      </w:pPr>
      <w:r>
        <w:rPr>
          <w:rFonts w:hint="eastAsia" w:ascii="宋体" w:hAnsi="宋体" w:cs="宋体"/>
          <w:color w:val="000000"/>
          <w:szCs w:val="21"/>
        </w:rPr>
        <w:t>4.污水处理厂的运行电费缴费凭证、运行记录、维修记录、监测报告、固体废弃物处理台账等由乙方妥善保存。在运营期内，乙方有义务配合甲方做好上级部门的监督检查工作，并提供相关材料。</w:t>
      </w:r>
    </w:p>
    <w:p w14:paraId="578EF147">
      <w:pPr>
        <w:spacing w:line="400" w:lineRule="exact"/>
        <w:ind w:firstLine="405"/>
        <w:outlineLvl w:val="9"/>
        <w:rPr>
          <w:rFonts w:ascii="宋体" w:hAnsi="宋体" w:cs="宋体"/>
          <w:color w:val="000000"/>
          <w:szCs w:val="21"/>
        </w:rPr>
      </w:pPr>
      <w:r>
        <w:rPr>
          <w:rFonts w:hint="eastAsia" w:ascii="宋体" w:hAnsi="宋体" w:cs="宋体"/>
          <w:color w:val="000000"/>
          <w:szCs w:val="21"/>
        </w:rPr>
        <w:t>5.乙方运营期间，为保证污水的达标排放，需按照双方约定的次数做好自行检测，以掌握污水处理设施的进出水口的水质，由乙方承担检测费用。</w:t>
      </w:r>
    </w:p>
    <w:p w14:paraId="73B8A24D">
      <w:pPr>
        <w:spacing w:line="400" w:lineRule="exact"/>
        <w:ind w:firstLine="405"/>
        <w:outlineLvl w:val="9"/>
        <w:rPr>
          <w:rFonts w:ascii="宋体" w:hAnsi="宋体" w:cs="宋体"/>
          <w:color w:val="000000"/>
          <w:szCs w:val="21"/>
        </w:rPr>
      </w:pPr>
      <w:r>
        <w:rPr>
          <w:rFonts w:hint="eastAsia" w:ascii="宋体" w:hAnsi="宋体" w:cs="宋体"/>
          <w:color w:val="000000"/>
          <w:szCs w:val="21"/>
        </w:rPr>
        <w:t>6.污水处理站水质监测，甲方按照相关要求不定期随机抽取污水处理设施的进出水口的水质进行采样监测，每次采样均需有甲乙方人员在场，确保采集水样的真实性（监测费用由甲方责任）。</w:t>
      </w:r>
    </w:p>
    <w:p w14:paraId="32B8B7B8">
      <w:pPr>
        <w:spacing w:line="400" w:lineRule="exact"/>
        <w:ind w:firstLine="405"/>
        <w:outlineLvl w:val="9"/>
        <w:rPr>
          <w:rFonts w:ascii="宋体" w:hAnsi="宋体" w:cs="宋体"/>
          <w:color w:val="000000"/>
          <w:szCs w:val="21"/>
        </w:rPr>
      </w:pPr>
      <w:r>
        <w:rPr>
          <w:rFonts w:hint="eastAsia" w:ascii="宋体" w:hAnsi="宋体" w:cs="宋体"/>
          <w:color w:val="000000"/>
          <w:szCs w:val="21"/>
        </w:rPr>
        <w:t>7.污水管网及设施设备需要大修并启用大修基金的，由乙方以书面形式向甲方提出维修方案，待甲方审核批复后按维修方案执行并拨付维修费用。</w:t>
      </w:r>
    </w:p>
    <w:p w14:paraId="4E67E9AA">
      <w:pPr>
        <w:spacing w:line="400" w:lineRule="exact"/>
        <w:ind w:firstLine="405"/>
        <w:outlineLvl w:val="9"/>
        <w:rPr>
          <w:rFonts w:ascii="宋体" w:hAnsi="宋体" w:cs="宋体"/>
          <w:color w:val="000000"/>
          <w:szCs w:val="21"/>
        </w:rPr>
      </w:pPr>
      <w:r>
        <w:rPr>
          <w:rFonts w:hint="eastAsia" w:ascii="宋体" w:hAnsi="宋体" w:cs="宋体"/>
          <w:color w:val="000000"/>
          <w:szCs w:val="21"/>
        </w:rPr>
        <w:t>8.在合同有效期内，甲方发现乙方若有污水未经处理偷排及固体废物未按规范处理后运往政府指定消纳地点，造成重大事故的，乙方将承担相应的法律责任。</w:t>
      </w:r>
    </w:p>
    <w:p w14:paraId="23B0E071">
      <w:pPr>
        <w:spacing w:line="400" w:lineRule="exact"/>
        <w:ind w:firstLine="403"/>
        <w:outlineLvl w:val="9"/>
        <w:rPr>
          <w:rFonts w:ascii="宋体" w:hAnsi="宋体" w:cs="宋体"/>
          <w:b/>
          <w:color w:val="000000"/>
          <w:szCs w:val="21"/>
        </w:rPr>
      </w:pPr>
      <w:r>
        <w:rPr>
          <w:rFonts w:hint="eastAsia" w:ascii="宋体" w:hAnsi="宋体" w:cs="宋体"/>
          <w:b/>
          <w:color w:val="000000"/>
          <w:szCs w:val="21"/>
        </w:rPr>
        <w:t>第八条  运营方职责</w:t>
      </w:r>
    </w:p>
    <w:p w14:paraId="18800C7F">
      <w:pPr>
        <w:spacing w:line="400" w:lineRule="exact"/>
        <w:ind w:firstLine="405"/>
        <w:outlineLvl w:val="9"/>
        <w:rPr>
          <w:rFonts w:ascii="宋体" w:hAnsi="宋体" w:cs="宋体"/>
          <w:color w:val="000000"/>
          <w:szCs w:val="21"/>
        </w:rPr>
      </w:pPr>
      <w:r>
        <w:rPr>
          <w:rFonts w:hint="eastAsia" w:ascii="宋体" w:hAnsi="宋体" w:cs="宋体"/>
          <w:color w:val="000000"/>
          <w:szCs w:val="21"/>
        </w:rPr>
        <w:t>1.污水处理设施的管理维护及正常运行，包括格网井、调节池、生物接触氧化池、二沉池、监测井等构筑物，工艺污水管线及机房、围栏、绿化草坪、宣传牌、标志标识等附属设施。</w:t>
      </w:r>
    </w:p>
    <w:p w14:paraId="6E3283C0">
      <w:pPr>
        <w:spacing w:line="400" w:lineRule="exact"/>
        <w:ind w:firstLine="405"/>
        <w:outlineLvl w:val="9"/>
        <w:rPr>
          <w:rFonts w:ascii="宋体" w:hAnsi="宋体" w:cs="宋体"/>
          <w:color w:val="000000"/>
          <w:szCs w:val="21"/>
        </w:rPr>
      </w:pPr>
      <w:r>
        <w:rPr>
          <w:rFonts w:hint="eastAsia" w:ascii="宋体" w:hAnsi="宋体" w:cs="宋体"/>
          <w:color w:val="000000"/>
          <w:szCs w:val="21"/>
        </w:rPr>
        <w:t>2.污水处理设施的收集管网的保管及正常运行，包括所有管道、沟渠、检查井及盖板、入户收集口等。</w:t>
      </w:r>
    </w:p>
    <w:p w14:paraId="16FF8E40">
      <w:pPr>
        <w:spacing w:line="400" w:lineRule="exact"/>
        <w:ind w:firstLine="405"/>
        <w:outlineLvl w:val="9"/>
        <w:rPr>
          <w:rFonts w:ascii="宋体" w:hAnsi="宋体" w:cs="宋体"/>
          <w:color w:val="000000"/>
          <w:szCs w:val="21"/>
        </w:rPr>
      </w:pPr>
      <w:r>
        <w:rPr>
          <w:rFonts w:hint="eastAsia" w:ascii="宋体" w:hAnsi="宋体" w:cs="宋体"/>
          <w:color w:val="000000"/>
          <w:szCs w:val="21"/>
        </w:rPr>
        <w:t>3.污水处理工作的所有供电、电气设备、机械设备的管理维护及正常运行，包括电杆、电缆线、电控柜、风机、水泵、曝气器、填料、斜管等。</w:t>
      </w:r>
    </w:p>
    <w:p w14:paraId="2F03C0BE">
      <w:pPr>
        <w:spacing w:line="400" w:lineRule="exact"/>
        <w:ind w:firstLine="405"/>
        <w:outlineLvl w:val="9"/>
        <w:rPr>
          <w:rFonts w:ascii="宋体" w:hAnsi="宋体" w:cs="宋体"/>
          <w:b/>
          <w:color w:val="000000"/>
          <w:szCs w:val="21"/>
        </w:rPr>
      </w:pPr>
      <w:r>
        <w:rPr>
          <w:rFonts w:hint="eastAsia" w:ascii="宋体" w:hAnsi="宋体" w:cs="宋体"/>
          <w:b/>
          <w:color w:val="000000"/>
          <w:szCs w:val="21"/>
        </w:rPr>
        <w:t>第九条  税费</w:t>
      </w:r>
    </w:p>
    <w:p w14:paraId="465E9B31">
      <w:pPr>
        <w:spacing w:line="400" w:lineRule="exact"/>
        <w:ind w:firstLine="411" w:firstLineChars="196"/>
        <w:outlineLvl w:val="9"/>
        <w:rPr>
          <w:rFonts w:ascii="宋体" w:hAnsi="宋体" w:cs="宋体"/>
          <w:color w:val="000000"/>
          <w:szCs w:val="21"/>
        </w:rPr>
      </w:pPr>
      <w:r>
        <w:rPr>
          <w:rFonts w:hint="eastAsia" w:ascii="宋体" w:hAnsi="宋体" w:cs="宋体"/>
          <w:color w:val="000000"/>
          <w:szCs w:val="21"/>
        </w:rPr>
        <w:t>本合同执行中相关的一切税费均由乙方负担。</w:t>
      </w:r>
    </w:p>
    <w:p w14:paraId="3D73B6BF">
      <w:pPr>
        <w:spacing w:line="400" w:lineRule="exact"/>
        <w:ind w:firstLine="412" w:firstLineChars="196"/>
        <w:outlineLvl w:val="9"/>
        <w:rPr>
          <w:rFonts w:ascii="宋体" w:hAnsi="宋体" w:cs="宋体"/>
          <w:b/>
          <w:color w:val="000000"/>
          <w:szCs w:val="21"/>
        </w:rPr>
      </w:pPr>
      <w:r>
        <w:rPr>
          <w:rFonts w:hint="eastAsia" w:ascii="宋体" w:hAnsi="宋体" w:cs="宋体"/>
          <w:b/>
          <w:color w:val="000000"/>
          <w:szCs w:val="21"/>
        </w:rPr>
        <w:t>第十条  付款方式</w:t>
      </w:r>
    </w:p>
    <w:p w14:paraId="2B542C87">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按季等比支付，即每次付款前需经采购人按考核管理办法考核达标后方可支付。</w:t>
      </w:r>
    </w:p>
    <w:p w14:paraId="752E75CB">
      <w:pPr>
        <w:spacing w:line="400" w:lineRule="exact"/>
        <w:ind w:firstLine="420" w:firstLineChars="200"/>
        <w:outlineLvl w:val="9"/>
        <w:rPr>
          <w:rFonts w:ascii="宋体" w:hAnsi="宋体" w:cs="宋体"/>
          <w:b/>
          <w:color w:val="000000"/>
          <w:szCs w:val="21"/>
        </w:rPr>
      </w:pPr>
      <w:r>
        <w:rPr>
          <w:rFonts w:hint="eastAsia" w:ascii="宋体" w:hAnsi="宋体" w:cs="宋体"/>
          <w:b/>
          <w:color w:val="000000"/>
          <w:szCs w:val="21"/>
        </w:rPr>
        <w:t>第十一条  违约责任</w:t>
      </w:r>
    </w:p>
    <w:p w14:paraId="098BABDB">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1.乙方所提供的服务质量不合格的，应及时调整，调整不及时的按逾期处罚，乙方应向甲方支付合同金额</w:t>
      </w:r>
      <w:r>
        <w:rPr>
          <w:rFonts w:hint="eastAsia" w:ascii="宋体" w:hAnsi="宋体" w:cs="宋体"/>
          <w:color w:val="000000"/>
          <w:szCs w:val="21"/>
          <w:u w:val="single"/>
        </w:rPr>
        <w:t>1</w:t>
      </w:r>
      <w:r>
        <w:rPr>
          <w:rFonts w:hint="eastAsia" w:ascii="宋体" w:hAnsi="宋体" w:cs="宋体"/>
          <w:color w:val="000000"/>
          <w:szCs w:val="21"/>
        </w:rPr>
        <w:t>%违约金并赔偿甲方经济损失。</w:t>
      </w:r>
    </w:p>
    <w:p w14:paraId="06A6D49F">
      <w:pPr>
        <w:spacing w:line="400" w:lineRule="exact"/>
        <w:ind w:firstLine="359" w:firstLineChars="171"/>
        <w:outlineLvl w:val="9"/>
        <w:rPr>
          <w:rFonts w:ascii="宋体" w:hAnsi="宋体" w:cs="宋体"/>
          <w:color w:val="000000"/>
          <w:szCs w:val="21"/>
        </w:rPr>
      </w:pPr>
      <w:r>
        <w:rPr>
          <w:rFonts w:hint="eastAsia" w:ascii="宋体" w:hAnsi="宋体" w:cs="宋体"/>
          <w:color w:val="000000"/>
          <w:szCs w:val="21"/>
        </w:rPr>
        <w:t>2.乙方提供的服务如果侵犯了第三方合法权益而引发的任何纠纷或诉讼，均由乙方负责交涉并承担全部责任。</w:t>
      </w:r>
    </w:p>
    <w:p w14:paraId="7EB7C895">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3.乙方未按本合同和投标文件中规定的服务承诺提供服务的，乙方应按本合同合同金额</w:t>
      </w:r>
      <w:r>
        <w:rPr>
          <w:rFonts w:hint="eastAsia" w:ascii="宋体" w:hAnsi="宋体" w:cs="宋体"/>
          <w:color w:val="000000"/>
          <w:szCs w:val="21"/>
          <w:u w:val="single"/>
        </w:rPr>
        <w:t xml:space="preserve"> 1</w:t>
      </w:r>
      <w:r>
        <w:rPr>
          <w:rFonts w:hint="eastAsia" w:ascii="宋体" w:hAnsi="宋体" w:cs="宋体"/>
          <w:color w:val="000000"/>
          <w:szCs w:val="21"/>
        </w:rPr>
        <w:t>%向甲方支付违约金。</w:t>
      </w:r>
    </w:p>
    <w:p w14:paraId="29DFFB9B">
      <w:pPr>
        <w:spacing w:line="400" w:lineRule="exact"/>
        <w:ind w:firstLine="411" w:firstLineChars="196"/>
        <w:outlineLvl w:val="9"/>
        <w:rPr>
          <w:rFonts w:ascii="宋体" w:hAnsi="宋体" w:cs="宋体"/>
          <w:b/>
          <w:color w:val="000000"/>
          <w:szCs w:val="21"/>
        </w:rPr>
      </w:pPr>
      <w:r>
        <w:rPr>
          <w:rFonts w:hint="eastAsia" w:ascii="宋体" w:hAnsi="宋体" w:cs="宋体"/>
          <w:color w:val="000000"/>
          <w:szCs w:val="21"/>
        </w:rPr>
        <w:t>4.其他违约行为按违约款额</w:t>
      </w:r>
      <w:r>
        <w:rPr>
          <w:rFonts w:hint="eastAsia" w:ascii="宋体" w:hAnsi="宋体" w:cs="宋体"/>
          <w:color w:val="000000"/>
          <w:szCs w:val="21"/>
          <w:u w:val="single"/>
        </w:rPr>
        <w:t xml:space="preserve"> 1%</w:t>
      </w:r>
      <w:r>
        <w:rPr>
          <w:rFonts w:hint="eastAsia" w:ascii="宋体" w:hAnsi="宋体" w:cs="宋体"/>
          <w:color w:val="000000"/>
          <w:szCs w:val="21"/>
        </w:rPr>
        <w:t>收取违约金并赔偿经济损失。</w:t>
      </w:r>
    </w:p>
    <w:p w14:paraId="270107EA">
      <w:pPr>
        <w:spacing w:line="400" w:lineRule="exact"/>
        <w:ind w:firstLine="412" w:firstLineChars="196"/>
        <w:outlineLvl w:val="9"/>
        <w:rPr>
          <w:rFonts w:ascii="宋体" w:hAnsi="宋体" w:cs="宋体"/>
          <w:b/>
          <w:color w:val="000000"/>
          <w:szCs w:val="21"/>
        </w:rPr>
      </w:pPr>
      <w:r>
        <w:rPr>
          <w:rFonts w:hint="eastAsia" w:ascii="宋体" w:hAnsi="宋体" w:cs="宋体"/>
          <w:b/>
          <w:color w:val="000000"/>
          <w:szCs w:val="21"/>
        </w:rPr>
        <w:t>第十二条  不可抗力事件处理</w:t>
      </w:r>
    </w:p>
    <w:p w14:paraId="3D97409F">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1.在合同有效期内，乙方因不可抗力事件导致不能履行合同，则合同履行期可延长，其延长期与不可抗力影响期相同。</w:t>
      </w:r>
    </w:p>
    <w:p w14:paraId="384B0AE6">
      <w:pPr>
        <w:spacing w:line="400" w:lineRule="exact"/>
        <w:ind w:left="420"/>
        <w:outlineLvl w:val="9"/>
        <w:rPr>
          <w:rFonts w:ascii="宋体" w:hAnsi="宋体" w:cs="宋体"/>
          <w:color w:val="000000"/>
          <w:szCs w:val="21"/>
        </w:rPr>
      </w:pPr>
      <w:r>
        <w:rPr>
          <w:rFonts w:hint="eastAsia" w:ascii="宋体" w:hAnsi="宋体" w:cs="宋体"/>
          <w:color w:val="000000"/>
          <w:szCs w:val="21"/>
        </w:rPr>
        <w:t>2.不可抗力事件发生后，应立即通知对方，并寄送有关权威机构出具的证明。</w:t>
      </w:r>
    </w:p>
    <w:p w14:paraId="4CF82B1E">
      <w:pPr>
        <w:spacing w:line="400" w:lineRule="exact"/>
        <w:ind w:left="420"/>
        <w:outlineLvl w:val="9"/>
        <w:rPr>
          <w:rFonts w:ascii="宋体" w:hAnsi="宋体" w:cs="宋体"/>
          <w:color w:val="000000"/>
          <w:szCs w:val="21"/>
        </w:rPr>
      </w:pPr>
      <w:r>
        <w:rPr>
          <w:rFonts w:hint="eastAsia" w:ascii="宋体" w:hAnsi="宋体" w:cs="宋体"/>
          <w:color w:val="000000"/>
          <w:szCs w:val="21"/>
        </w:rPr>
        <w:t>3.不可抗力事件延续一百二十天以上，双方应通过友好协商，确定是否继续履行合同。</w:t>
      </w:r>
    </w:p>
    <w:p w14:paraId="2637506A">
      <w:pPr>
        <w:spacing w:line="400" w:lineRule="exact"/>
        <w:ind w:firstLine="412" w:firstLineChars="196"/>
        <w:outlineLvl w:val="9"/>
        <w:rPr>
          <w:rFonts w:ascii="宋体" w:hAnsi="宋体" w:cs="宋体"/>
          <w:b/>
          <w:color w:val="000000"/>
          <w:szCs w:val="21"/>
        </w:rPr>
      </w:pPr>
      <w:r>
        <w:rPr>
          <w:rFonts w:hint="eastAsia" w:ascii="宋体" w:hAnsi="宋体" w:cs="宋体"/>
          <w:b/>
          <w:color w:val="000000"/>
          <w:szCs w:val="21"/>
        </w:rPr>
        <w:t>第十三条  合同争议解决</w:t>
      </w:r>
    </w:p>
    <w:p w14:paraId="15E33B68">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1.因服务问题发生争议的，应邀请国家认可的相关机构进行鉴定。服务符合要求的，鉴定费由甲方承担；服务不符合要求的，鉴定费由乙方承担。</w:t>
      </w:r>
    </w:p>
    <w:p w14:paraId="765D58F2">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2.因履行本合同引起的或与本合同有关的争议，甲乙双方应首先通过友好协商解决，如果协商不能解决，可向兴安县人民法院提起诉讼。</w:t>
      </w:r>
    </w:p>
    <w:p w14:paraId="67248C08">
      <w:pPr>
        <w:spacing w:line="400" w:lineRule="exact"/>
        <w:ind w:left="435"/>
        <w:outlineLvl w:val="9"/>
        <w:rPr>
          <w:rFonts w:ascii="宋体" w:hAnsi="宋体" w:cs="宋体"/>
          <w:color w:val="000000"/>
          <w:szCs w:val="21"/>
        </w:rPr>
      </w:pPr>
      <w:r>
        <w:rPr>
          <w:rFonts w:hint="eastAsia" w:ascii="宋体" w:hAnsi="宋体" w:cs="宋体"/>
          <w:color w:val="000000"/>
          <w:szCs w:val="21"/>
        </w:rPr>
        <w:t>3.诉讼期间，本合同继续履行。</w:t>
      </w:r>
    </w:p>
    <w:p w14:paraId="2D917802">
      <w:pPr>
        <w:spacing w:line="400" w:lineRule="exact"/>
        <w:ind w:firstLine="412" w:firstLineChars="196"/>
        <w:outlineLvl w:val="9"/>
        <w:rPr>
          <w:rFonts w:ascii="宋体" w:hAnsi="宋体" w:cs="宋体"/>
          <w:b/>
          <w:color w:val="000000"/>
          <w:szCs w:val="21"/>
        </w:rPr>
      </w:pPr>
      <w:r>
        <w:rPr>
          <w:rFonts w:hint="eastAsia" w:ascii="宋体" w:hAnsi="宋体" w:cs="宋体"/>
          <w:b/>
          <w:color w:val="000000"/>
          <w:szCs w:val="21"/>
        </w:rPr>
        <w:t>第十四条  合同生效及其它</w:t>
      </w:r>
    </w:p>
    <w:p w14:paraId="29D725FC">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1.合同经甲乙双方法定代表人或授权代表签字并加盖单位公章后生效。</w:t>
      </w:r>
    </w:p>
    <w:p w14:paraId="449937EA">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2.合同执行中涉及采购资金和采购内容修改或补充的，需兴安县财政部门审批，并签订书面补充协议报兴安县</w:t>
      </w:r>
      <w:r>
        <w:rPr>
          <w:rFonts w:hint="eastAsia" w:ascii="宋体" w:hAnsi="宋体" w:cs="宋体"/>
          <w:color w:val="000000"/>
        </w:rPr>
        <w:t>人民政府采购管理办公室</w:t>
      </w:r>
      <w:r>
        <w:rPr>
          <w:rFonts w:hint="eastAsia" w:ascii="宋体" w:hAnsi="宋体" w:cs="宋体"/>
          <w:color w:val="000000"/>
          <w:szCs w:val="21"/>
        </w:rPr>
        <w:t>备案，方可作为主合同不可分割的一部分。</w:t>
      </w:r>
    </w:p>
    <w:p w14:paraId="4D7237E9">
      <w:pPr>
        <w:spacing w:line="400" w:lineRule="exact"/>
        <w:ind w:left="435"/>
        <w:outlineLvl w:val="9"/>
        <w:rPr>
          <w:rFonts w:ascii="宋体" w:hAnsi="宋体" w:cs="宋体"/>
          <w:color w:val="000000"/>
          <w:szCs w:val="21"/>
        </w:rPr>
      </w:pPr>
      <w:r>
        <w:rPr>
          <w:rFonts w:hint="eastAsia" w:ascii="宋体" w:hAnsi="宋体" w:cs="宋体"/>
          <w:color w:val="000000"/>
          <w:szCs w:val="21"/>
        </w:rPr>
        <w:t>3.本合同未尽事宜，遵照《中华人民共和国民法典》有关条文执行。</w:t>
      </w:r>
    </w:p>
    <w:p w14:paraId="4E4AB979">
      <w:pPr>
        <w:spacing w:line="400" w:lineRule="exact"/>
        <w:ind w:firstLine="412" w:firstLineChars="196"/>
        <w:outlineLvl w:val="9"/>
        <w:rPr>
          <w:rFonts w:ascii="宋体" w:hAnsi="宋体" w:cs="宋体"/>
          <w:b/>
          <w:color w:val="000000"/>
          <w:szCs w:val="21"/>
        </w:rPr>
      </w:pPr>
      <w:r>
        <w:rPr>
          <w:rFonts w:hint="eastAsia" w:ascii="宋体" w:hAnsi="宋体" w:cs="宋体"/>
          <w:b/>
          <w:color w:val="000000"/>
          <w:szCs w:val="21"/>
        </w:rPr>
        <w:t>第十五条  合同的变更、终止与转让</w:t>
      </w:r>
    </w:p>
    <w:p w14:paraId="20D16BAD">
      <w:pPr>
        <w:spacing w:line="400" w:lineRule="exact"/>
        <w:ind w:firstLine="420" w:firstLineChars="200"/>
        <w:outlineLvl w:val="9"/>
        <w:rPr>
          <w:rFonts w:ascii="宋体" w:hAnsi="宋体" w:cs="宋体"/>
          <w:color w:val="000000"/>
          <w:szCs w:val="21"/>
        </w:rPr>
      </w:pPr>
      <w:r>
        <w:rPr>
          <w:rFonts w:hint="eastAsia" w:ascii="宋体" w:hAnsi="宋体" w:cs="宋体"/>
          <w:color w:val="000000"/>
          <w:szCs w:val="21"/>
        </w:rPr>
        <w:t>1.除《中华人民共和国政府采购法》第五十条规定的情形外，本合同一经签订，甲乙双方不得擅自变更，中止或终止。</w:t>
      </w:r>
    </w:p>
    <w:p w14:paraId="6B00C150">
      <w:pPr>
        <w:spacing w:line="400" w:lineRule="exact"/>
        <w:ind w:left="420"/>
        <w:outlineLvl w:val="9"/>
        <w:rPr>
          <w:rFonts w:ascii="宋体" w:hAnsi="宋体" w:cs="宋体"/>
          <w:color w:val="000000"/>
          <w:szCs w:val="21"/>
        </w:rPr>
      </w:pPr>
      <w:r>
        <w:rPr>
          <w:rFonts w:hint="eastAsia" w:ascii="宋体" w:hAnsi="宋体" w:cs="宋体"/>
          <w:color w:val="000000"/>
          <w:szCs w:val="21"/>
        </w:rPr>
        <w:t>2.乙方不得擅自转让其应履行的合同义务。</w:t>
      </w:r>
    </w:p>
    <w:p w14:paraId="2CE03BCC">
      <w:pPr>
        <w:pStyle w:val="6"/>
        <w:kinsoku w:val="0"/>
        <w:overflowPunct w:val="0"/>
        <w:spacing w:line="400" w:lineRule="exact"/>
        <w:ind w:firstLine="422"/>
        <w:outlineLvl w:val="9"/>
        <w:rPr>
          <w:rFonts w:ascii="宋体" w:hAnsi="宋体" w:cs="宋体"/>
          <w:b/>
          <w:bCs/>
          <w:color w:val="000000"/>
          <w:sz w:val="21"/>
          <w:szCs w:val="21"/>
        </w:rPr>
      </w:pPr>
      <w:r>
        <w:rPr>
          <w:rFonts w:hint="eastAsia" w:ascii="宋体" w:hAnsi="宋体" w:cs="宋体"/>
          <w:b/>
          <w:bCs/>
          <w:color w:val="000000"/>
          <w:sz w:val="21"/>
          <w:szCs w:val="21"/>
        </w:rPr>
        <w:t>第十六条</w:t>
      </w:r>
      <w:r>
        <w:rPr>
          <w:rFonts w:ascii="宋体" w:hAnsi="宋体" w:cs="宋体"/>
          <w:b/>
          <w:bCs/>
          <w:color w:val="000000"/>
          <w:sz w:val="21"/>
          <w:szCs w:val="21"/>
        </w:rPr>
        <w:t xml:space="preserve">  </w:t>
      </w:r>
      <w:r>
        <w:rPr>
          <w:rFonts w:hint="eastAsia" w:ascii="宋体" w:hAnsi="宋体" w:cs="宋体"/>
          <w:b/>
          <w:bCs/>
          <w:color w:val="000000"/>
          <w:sz w:val="21"/>
          <w:szCs w:val="21"/>
        </w:rPr>
        <w:t>签订本合同依据</w:t>
      </w:r>
    </w:p>
    <w:p w14:paraId="69F94D2A">
      <w:pPr>
        <w:pStyle w:val="6"/>
        <w:kinsoku w:val="0"/>
        <w:overflowPunct w:val="0"/>
        <w:spacing w:line="400" w:lineRule="exact"/>
        <w:ind w:firstLine="420"/>
        <w:outlineLvl w:val="9"/>
        <w:rPr>
          <w:rFonts w:ascii="宋体" w:hAnsi="宋体" w:cs="宋体"/>
          <w:color w:val="000000"/>
          <w:sz w:val="21"/>
          <w:szCs w:val="21"/>
        </w:rPr>
      </w:pPr>
      <w:r>
        <w:rPr>
          <w:rFonts w:hint="eastAsia" w:ascii="宋体" w:hAnsi="宋体" w:cs="宋体"/>
          <w:color w:val="000000"/>
          <w:sz w:val="21"/>
          <w:szCs w:val="21"/>
        </w:rPr>
        <w:t>1.招标文件；</w:t>
      </w:r>
    </w:p>
    <w:p w14:paraId="10F3195B">
      <w:pPr>
        <w:pStyle w:val="6"/>
        <w:kinsoku w:val="0"/>
        <w:overflowPunct w:val="0"/>
        <w:spacing w:line="400" w:lineRule="exact"/>
        <w:ind w:firstLine="420"/>
        <w:outlineLvl w:val="9"/>
        <w:rPr>
          <w:rFonts w:ascii="宋体" w:hAnsi="宋体" w:cs="宋体"/>
          <w:color w:val="000000"/>
          <w:sz w:val="21"/>
          <w:szCs w:val="21"/>
        </w:rPr>
      </w:pPr>
      <w:r>
        <w:rPr>
          <w:rFonts w:hint="eastAsia" w:ascii="宋体" w:hAnsi="宋体" w:cs="宋体"/>
          <w:color w:val="000000"/>
          <w:sz w:val="21"/>
          <w:szCs w:val="21"/>
        </w:rPr>
        <w:t>2.乙方提供的投标（或应答）文件；</w:t>
      </w:r>
    </w:p>
    <w:p w14:paraId="0A5364F2">
      <w:pPr>
        <w:pStyle w:val="6"/>
        <w:kinsoku w:val="0"/>
        <w:overflowPunct w:val="0"/>
        <w:spacing w:line="400" w:lineRule="exact"/>
        <w:ind w:firstLine="420"/>
        <w:outlineLvl w:val="9"/>
        <w:rPr>
          <w:rFonts w:ascii="宋体" w:hAnsi="宋体" w:cs="宋体"/>
          <w:color w:val="000000"/>
          <w:sz w:val="21"/>
          <w:szCs w:val="21"/>
        </w:rPr>
      </w:pPr>
      <w:r>
        <w:rPr>
          <w:rFonts w:hint="eastAsia" w:ascii="宋体" w:hAnsi="宋体" w:cs="宋体"/>
          <w:color w:val="000000"/>
          <w:sz w:val="21"/>
          <w:szCs w:val="21"/>
        </w:rPr>
        <w:t>3.服务承诺书；</w:t>
      </w:r>
    </w:p>
    <w:p w14:paraId="13E46DD6">
      <w:pPr>
        <w:pStyle w:val="6"/>
        <w:kinsoku w:val="0"/>
        <w:overflowPunct w:val="0"/>
        <w:spacing w:line="400" w:lineRule="exact"/>
        <w:ind w:firstLine="420"/>
        <w:outlineLvl w:val="9"/>
        <w:rPr>
          <w:rFonts w:ascii="宋体" w:hAnsi="宋体"/>
          <w:color w:val="000000"/>
          <w:sz w:val="21"/>
          <w:szCs w:val="21"/>
        </w:rPr>
      </w:pPr>
      <w:r>
        <w:rPr>
          <w:rFonts w:hint="eastAsia" w:ascii="宋体" w:hAnsi="宋体" w:cs="宋体"/>
          <w:color w:val="000000"/>
          <w:sz w:val="21"/>
          <w:szCs w:val="21"/>
        </w:rPr>
        <w:t>4.中标通知书。</w:t>
      </w:r>
    </w:p>
    <w:p w14:paraId="58D1B366">
      <w:pPr>
        <w:pStyle w:val="6"/>
        <w:kinsoku w:val="0"/>
        <w:overflowPunct w:val="0"/>
        <w:spacing w:line="400" w:lineRule="exact"/>
        <w:ind w:firstLine="420"/>
        <w:outlineLvl w:val="9"/>
        <w:rPr>
          <w:rFonts w:ascii="宋体" w:hAnsi="宋体"/>
          <w:color w:val="000000"/>
          <w:sz w:val="21"/>
          <w:szCs w:val="21"/>
        </w:rPr>
      </w:pPr>
      <w:r>
        <w:rPr>
          <w:rFonts w:hint="eastAsia" w:ascii="宋体" w:hAnsi="宋体"/>
          <w:color w:val="000000"/>
          <w:sz w:val="21"/>
          <w:szCs w:val="21"/>
        </w:rPr>
        <w:t>本合同甲乙双方签字盖章后生效，一式陆份，具有同等法律效力，甲方贰份、乙方贰份、采购代理机构贰份。政府采购合同双方自签订之日起1个工作日内将合同原件两份交采购代理机构。采购代理机构将政府采购合同在省级以上人民政府财政部门指定媒体上公告，一份由采购代理机构存档。</w:t>
      </w:r>
    </w:p>
    <w:p w14:paraId="0E2F4D5B">
      <w:pPr>
        <w:widowControl/>
        <w:spacing w:line="360" w:lineRule="auto"/>
        <w:jc w:val="left"/>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甲方（公章）：</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乙方（公章，自然人除外）：</w:t>
      </w:r>
    </w:p>
    <w:p w14:paraId="18B70097">
      <w:pPr>
        <w:widowControl/>
        <w:spacing w:line="360" w:lineRule="auto"/>
        <w:ind w:left="5000" w:hanging="5250" w:hangingChars="2500"/>
        <w:jc w:val="left"/>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法定代表人签字：</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法定代表人（负责人、自然人）签字（属自然人的应在签名处加盖大拇指指印）：</w:t>
      </w:r>
    </w:p>
    <w:p w14:paraId="56C0556B">
      <w:pPr>
        <w:widowControl/>
        <w:spacing w:line="360" w:lineRule="auto"/>
        <w:jc w:val="left"/>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委托代理人：</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委托代理人：</w:t>
      </w:r>
    </w:p>
    <w:p w14:paraId="11BB246A">
      <w:pPr>
        <w:widowControl/>
        <w:spacing w:line="360" w:lineRule="auto"/>
        <w:jc w:val="left"/>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电话：</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电话：</w:t>
      </w:r>
    </w:p>
    <w:p w14:paraId="0FCCEBE2">
      <w:pPr>
        <w:widowControl/>
        <w:spacing w:line="360" w:lineRule="auto"/>
        <w:jc w:val="left"/>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开户名称：</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开户名称：</w:t>
      </w:r>
    </w:p>
    <w:p w14:paraId="28052599">
      <w:pPr>
        <w:widowControl/>
        <w:spacing w:line="360" w:lineRule="auto"/>
        <w:jc w:val="left"/>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开户银行：</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开户银行：</w:t>
      </w:r>
    </w:p>
    <w:p w14:paraId="0ECB2213">
      <w:pPr>
        <w:widowControl/>
        <w:spacing w:line="360" w:lineRule="auto"/>
        <w:jc w:val="left"/>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银行账号：</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银行账号：</w:t>
      </w:r>
    </w:p>
    <w:p w14:paraId="6C711466">
      <w:pPr>
        <w:spacing w:line="360" w:lineRule="exact"/>
        <w:jc w:val="both"/>
        <w:outlineLvl w:val="9"/>
        <w:rPr>
          <w:sz w:val="21"/>
          <w:szCs w:val="21"/>
        </w:rPr>
        <w:sectPr>
          <w:footerReference r:id="rId16" w:type="default"/>
          <w:pgSz w:w="11906" w:h="16839"/>
          <w:pgMar w:top="1217" w:right="1134" w:bottom="875" w:left="1139" w:header="0" w:footer="713" w:gutter="0"/>
          <w:pgNumType w:fmt="decimal"/>
          <w:cols w:space="720" w:num="1"/>
        </w:sectPr>
      </w:pPr>
      <w:r>
        <w:rPr>
          <w:rFonts w:hint="eastAsia" w:ascii="宋体" w:hAnsi="宋体" w:eastAsia="宋体" w:cs="宋体"/>
          <w:color w:val="000000"/>
          <w:sz w:val="21"/>
          <w:szCs w:val="21"/>
          <w:highlight w:val="none"/>
        </w:rPr>
        <w:t>日期：</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日期：</w:t>
      </w:r>
    </w:p>
    <w:p w14:paraId="20D3A19A">
      <w:pPr>
        <w:spacing w:line="345" w:lineRule="auto"/>
        <w:rPr>
          <w:rFonts w:ascii="Arial"/>
          <w:sz w:val="21"/>
        </w:rPr>
      </w:pPr>
    </w:p>
    <w:p w14:paraId="3700A3B0">
      <w:pPr>
        <w:spacing w:line="346" w:lineRule="auto"/>
        <w:rPr>
          <w:rFonts w:ascii="Arial"/>
          <w:sz w:val="21"/>
        </w:rPr>
      </w:pPr>
    </w:p>
    <w:p w14:paraId="2561CB47">
      <w:pPr>
        <w:spacing w:line="260" w:lineRule="auto"/>
        <w:rPr>
          <w:rFonts w:ascii="Arial"/>
          <w:sz w:val="21"/>
        </w:rPr>
      </w:pPr>
      <w:bookmarkStart w:id="38" w:name="bookmark11"/>
      <w:bookmarkEnd w:id="38"/>
    </w:p>
    <w:p w14:paraId="2760AB16">
      <w:pPr>
        <w:pStyle w:val="3"/>
        <w:keepNext/>
        <w:keepLines/>
        <w:pageBreakBefore w:val="0"/>
        <w:widowControl w:val="0"/>
        <w:kinsoku/>
        <w:wordWrap/>
        <w:overflowPunct/>
        <w:topLinePunct w:val="0"/>
        <w:autoSpaceDE/>
        <w:autoSpaceDN/>
        <w:bidi w:val="0"/>
        <w:adjustRightInd/>
        <w:snapToGrid/>
        <w:spacing w:beforeLines="0"/>
        <w:ind w:left="425" w:hanging="425"/>
        <w:jc w:val="center"/>
        <w:textAlignment w:val="auto"/>
        <w:rPr>
          <w:rFonts w:hint="eastAsia" w:asciiTheme="majorEastAsia" w:hAnsiTheme="majorEastAsia" w:eastAsiaTheme="majorEastAsia" w:cstheme="majorEastAsia"/>
          <w:b/>
          <w:bCs w:val="0"/>
          <w:sz w:val="32"/>
          <w:szCs w:val="32"/>
          <w:highlight w:val="none"/>
        </w:rPr>
      </w:pPr>
      <w:bookmarkStart w:id="39" w:name="_Toc15598"/>
      <w:r>
        <w:rPr>
          <w:rFonts w:hint="eastAsia" w:asciiTheme="majorEastAsia" w:hAnsiTheme="majorEastAsia" w:eastAsiaTheme="majorEastAsia" w:cstheme="majorEastAsia"/>
          <w:b/>
          <w:bCs w:val="0"/>
          <w:sz w:val="32"/>
          <w:szCs w:val="32"/>
          <w:highlight w:val="none"/>
          <w:lang w:eastAsia="zh-CN"/>
        </w:rPr>
        <w:t>第六章</w:t>
      </w:r>
      <w:r>
        <w:rPr>
          <w:rFonts w:hint="eastAsia" w:asciiTheme="majorEastAsia" w:hAnsiTheme="majorEastAsia" w:eastAsiaTheme="majorEastAsia" w:cstheme="majorEastAsia"/>
          <w:b/>
          <w:bCs w:val="0"/>
          <w:sz w:val="32"/>
          <w:szCs w:val="32"/>
          <w:highlight w:val="none"/>
          <w:lang w:val="en-US" w:eastAsia="zh-CN"/>
        </w:rPr>
        <w:t xml:space="preserve"> </w:t>
      </w:r>
      <w:r>
        <w:rPr>
          <w:rFonts w:hint="eastAsia" w:asciiTheme="majorEastAsia" w:hAnsiTheme="majorEastAsia" w:eastAsiaTheme="majorEastAsia" w:cstheme="majorEastAsia"/>
          <w:b/>
          <w:bCs w:val="0"/>
          <w:sz w:val="32"/>
          <w:szCs w:val="32"/>
          <w:highlight w:val="none"/>
        </w:rPr>
        <w:t>投标文件格式</w:t>
      </w:r>
      <w:bookmarkEnd w:id="39"/>
    </w:p>
    <w:p w14:paraId="49705B15">
      <w:pPr>
        <w:rPr>
          <w:b/>
          <w:bCs/>
          <w:color w:val="000000"/>
          <w:sz w:val="30"/>
          <w:szCs w:val="30"/>
          <w:highlight w:val="none"/>
        </w:rPr>
      </w:pPr>
      <w:bookmarkStart w:id="40" w:name="_Toc486867150"/>
      <w:bookmarkStart w:id="41" w:name="_Toc478137727"/>
      <w:bookmarkStart w:id="42" w:name="_Toc498698226"/>
      <w:bookmarkStart w:id="43" w:name="_Toc498627082"/>
      <w:bookmarkStart w:id="44" w:name="_Toc486695806"/>
      <w:bookmarkStart w:id="45" w:name="_Toc1762"/>
      <w:bookmarkStart w:id="46" w:name="_Toc31410"/>
      <w:r>
        <w:rPr>
          <w:rFonts w:hint="eastAsia"/>
          <w:b/>
          <w:bCs/>
          <w:color w:val="000000"/>
          <w:sz w:val="30"/>
          <w:szCs w:val="30"/>
          <w:highlight w:val="none"/>
        </w:rPr>
        <w:t>投标文件封面格式</w:t>
      </w:r>
      <w:bookmarkEnd w:id="40"/>
      <w:bookmarkEnd w:id="41"/>
      <w:bookmarkEnd w:id="42"/>
      <w:bookmarkEnd w:id="43"/>
      <w:bookmarkEnd w:id="44"/>
      <w:r>
        <w:rPr>
          <w:rFonts w:hint="eastAsia"/>
          <w:b/>
          <w:bCs/>
          <w:color w:val="000000"/>
          <w:sz w:val="30"/>
          <w:szCs w:val="30"/>
          <w:highlight w:val="none"/>
        </w:rPr>
        <w:t>：</w:t>
      </w:r>
      <w:bookmarkEnd w:id="45"/>
      <w:bookmarkEnd w:id="46"/>
    </w:p>
    <w:p w14:paraId="6892C698">
      <w:pPr>
        <w:adjustRightInd w:val="0"/>
        <w:snapToGrid w:val="0"/>
        <w:rPr>
          <w:rFonts w:ascii="宋体" w:hAnsi="宋体" w:cs="宋体"/>
          <w:b/>
          <w:color w:val="000000"/>
          <w:sz w:val="44"/>
          <w:szCs w:val="44"/>
          <w:highlight w:val="none"/>
        </w:rPr>
      </w:pPr>
    </w:p>
    <w:p w14:paraId="3C08AE78">
      <w:pPr>
        <w:tabs>
          <w:tab w:val="left" w:pos="567"/>
        </w:tabs>
        <w:outlineLvl w:val="9"/>
        <w:rPr>
          <w:color w:val="000000"/>
          <w:highlight w:val="none"/>
        </w:rPr>
      </w:pPr>
    </w:p>
    <w:p w14:paraId="16CCA476">
      <w:pPr>
        <w:rPr>
          <w:highlight w:val="none"/>
        </w:rPr>
      </w:pPr>
    </w:p>
    <w:p w14:paraId="11C7CA61">
      <w:pPr>
        <w:adjustRightInd w:val="0"/>
        <w:snapToGrid w:val="0"/>
        <w:jc w:val="center"/>
        <w:rPr>
          <w:rFonts w:ascii="宋体" w:hAnsi="宋体" w:cs="宋体"/>
          <w:b/>
          <w:color w:val="000000"/>
          <w:sz w:val="44"/>
          <w:szCs w:val="44"/>
          <w:highlight w:val="none"/>
        </w:rPr>
      </w:pPr>
      <w:bookmarkStart w:id="47" w:name="_Toc3441_WPSOffice_Level1"/>
      <w:bookmarkStart w:id="48" w:name="_Toc13659_WPSOffice_Level1"/>
      <w:r>
        <w:rPr>
          <w:rFonts w:hint="eastAsia" w:ascii="宋体" w:hAnsi="宋体" w:cs="宋体"/>
          <w:bCs/>
          <w:color w:val="000000"/>
          <w:sz w:val="72"/>
          <w:szCs w:val="72"/>
          <w:highlight w:val="none"/>
        </w:rPr>
        <w:t>投标文件</w:t>
      </w:r>
      <w:bookmarkEnd w:id="47"/>
      <w:bookmarkEnd w:id="48"/>
    </w:p>
    <w:p w14:paraId="423872DD">
      <w:pPr>
        <w:adjustRightInd w:val="0"/>
        <w:snapToGrid w:val="0"/>
        <w:rPr>
          <w:rFonts w:ascii="宋体" w:hAnsi="宋体" w:cs="宋体"/>
          <w:b/>
          <w:color w:val="000000"/>
          <w:sz w:val="44"/>
          <w:szCs w:val="44"/>
          <w:highlight w:val="none"/>
        </w:rPr>
      </w:pPr>
    </w:p>
    <w:p w14:paraId="774175BD">
      <w:pPr>
        <w:adjustRightInd w:val="0"/>
        <w:snapToGrid w:val="0"/>
        <w:rPr>
          <w:rFonts w:ascii="宋体" w:hAnsi="宋体" w:cs="宋体"/>
          <w:b/>
          <w:color w:val="000000"/>
          <w:sz w:val="44"/>
          <w:szCs w:val="44"/>
          <w:highlight w:val="none"/>
        </w:rPr>
      </w:pPr>
    </w:p>
    <w:p w14:paraId="4BFDFBEE">
      <w:pPr>
        <w:pStyle w:val="19"/>
        <w:ind w:firstLine="883"/>
        <w:rPr>
          <w:rFonts w:ascii="宋体" w:hAnsi="宋体" w:cs="宋体"/>
          <w:b/>
          <w:color w:val="000000"/>
          <w:sz w:val="44"/>
          <w:szCs w:val="44"/>
          <w:highlight w:val="none"/>
        </w:rPr>
      </w:pPr>
    </w:p>
    <w:p w14:paraId="17AA56DD">
      <w:pPr>
        <w:spacing w:line="360" w:lineRule="auto"/>
        <w:ind w:firstLine="2400" w:firstLineChars="800"/>
        <w:rPr>
          <w:rFonts w:hint="eastAsia" w:ascii="宋体" w:hAnsi="宋体" w:eastAsia="宋体" w:cs="宋体"/>
          <w:color w:val="000000"/>
          <w:sz w:val="30"/>
          <w:szCs w:val="30"/>
          <w:highlight w:val="none"/>
          <w:lang w:eastAsia="zh-CN"/>
        </w:rPr>
      </w:pPr>
      <w:r>
        <w:rPr>
          <w:rFonts w:hint="eastAsia" w:ascii="宋体" w:hAnsi="宋体" w:eastAsia="宋体" w:cs="宋体"/>
          <w:bCs/>
          <w:color w:val="000000"/>
          <w:sz w:val="30"/>
          <w:szCs w:val="30"/>
          <w:highlight w:val="none"/>
        </w:rPr>
        <w:t>项目名称：</w:t>
      </w:r>
    </w:p>
    <w:p w14:paraId="1A584FEA">
      <w:pPr>
        <w:spacing w:line="360" w:lineRule="auto"/>
        <w:ind w:firstLine="2400" w:firstLineChars="800"/>
        <w:rPr>
          <w:rFonts w:hint="eastAsia" w:ascii="宋体" w:hAnsi="宋体" w:eastAsia="宋体" w:cs="宋体"/>
          <w:bCs/>
          <w:color w:val="000000"/>
          <w:sz w:val="30"/>
          <w:szCs w:val="30"/>
          <w:highlight w:val="none"/>
        </w:rPr>
      </w:pPr>
      <w:r>
        <w:rPr>
          <w:rFonts w:hint="eastAsia" w:ascii="宋体" w:hAnsi="宋体" w:eastAsia="宋体" w:cs="宋体"/>
          <w:bCs/>
          <w:color w:val="000000"/>
          <w:sz w:val="30"/>
          <w:szCs w:val="30"/>
          <w:highlight w:val="none"/>
        </w:rPr>
        <w:t>项目编号：</w:t>
      </w:r>
    </w:p>
    <w:p w14:paraId="4376756B">
      <w:pPr>
        <w:snapToGrid w:val="0"/>
        <w:spacing w:before="156" w:beforeLines="50" w:after="50"/>
        <w:ind w:firstLine="1260" w:firstLineChars="450"/>
        <w:rPr>
          <w:rFonts w:hint="eastAsia" w:ascii="宋体" w:hAnsi="宋体" w:eastAsia="宋体" w:cs="宋体"/>
          <w:bCs/>
          <w:color w:val="000000"/>
          <w:sz w:val="28"/>
          <w:szCs w:val="28"/>
          <w:highlight w:val="none"/>
        </w:rPr>
      </w:pPr>
    </w:p>
    <w:p w14:paraId="0DC35A29">
      <w:pPr>
        <w:pStyle w:val="19"/>
        <w:ind w:firstLine="420"/>
        <w:rPr>
          <w:rFonts w:hint="eastAsia" w:ascii="宋体" w:hAnsi="宋体" w:eastAsia="宋体" w:cs="宋体"/>
          <w:color w:val="000000"/>
          <w:highlight w:val="none"/>
        </w:rPr>
      </w:pPr>
    </w:p>
    <w:p w14:paraId="1B3F0B81">
      <w:pPr>
        <w:pStyle w:val="20"/>
        <w:rPr>
          <w:rFonts w:hint="eastAsia" w:ascii="宋体" w:hAnsi="宋体" w:eastAsia="宋体" w:cs="宋体"/>
          <w:highlight w:val="none"/>
        </w:rPr>
      </w:pPr>
    </w:p>
    <w:p w14:paraId="21CBBCE2">
      <w:pPr>
        <w:snapToGrid w:val="0"/>
        <w:spacing w:before="156" w:beforeLines="50" w:after="50"/>
        <w:ind w:firstLine="1260" w:firstLineChars="450"/>
        <w:rPr>
          <w:rFonts w:hint="eastAsia" w:ascii="宋体" w:hAnsi="宋体" w:eastAsia="宋体" w:cs="宋体"/>
          <w:bCs/>
          <w:color w:val="000000"/>
          <w:sz w:val="28"/>
          <w:szCs w:val="28"/>
          <w:highlight w:val="none"/>
        </w:rPr>
      </w:pPr>
    </w:p>
    <w:p w14:paraId="3781776B">
      <w:pPr>
        <w:ind w:firstLine="964" w:firstLineChars="300"/>
        <w:jc w:val="left"/>
        <w:rPr>
          <w:rFonts w:hint="eastAsia" w:ascii="宋体" w:hAnsi="宋体" w:eastAsia="宋体" w:cs="宋体"/>
          <w:b/>
          <w:color w:val="000000"/>
          <w:sz w:val="32"/>
          <w:szCs w:val="32"/>
          <w:highlight w:val="none"/>
        </w:rPr>
      </w:pPr>
    </w:p>
    <w:p w14:paraId="101E0EFA">
      <w:pPr>
        <w:pStyle w:val="7"/>
        <w:ind w:left="980" w:hanging="560" w:hangingChars="200"/>
        <w:rPr>
          <w:rFonts w:hint="eastAsia" w:ascii="宋体" w:hAnsi="宋体" w:eastAsia="宋体" w:cs="宋体"/>
          <w:bCs/>
          <w:color w:val="000000"/>
          <w:sz w:val="28"/>
          <w:szCs w:val="28"/>
          <w:highlight w:val="none"/>
          <w:u w:val="single"/>
          <w:lang w:eastAsia="zh-CN"/>
        </w:rPr>
      </w:pPr>
      <w:r>
        <w:rPr>
          <w:rFonts w:hint="eastAsia" w:ascii="宋体" w:hAnsi="宋体" w:eastAsia="宋体" w:cs="宋体"/>
          <w:bCs/>
          <w:color w:val="000000"/>
          <w:sz w:val="28"/>
          <w:szCs w:val="28"/>
          <w:highlight w:val="none"/>
        </w:rPr>
        <w:t>采购代理机构：</w:t>
      </w:r>
      <w:r>
        <w:rPr>
          <w:rFonts w:hint="eastAsia" w:ascii="宋体" w:hAnsi="宋体" w:eastAsia="宋体" w:cs="宋体"/>
          <w:bCs/>
          <w:color w:val="000000"/>
          <w:sz w:val="28"/>
          <w:szCs w:val="28"/>
          <w:highlight w:val="none"/>
          <w:u w:val="single"/>
          <w:lang w:eastAsia="zh-CN"/>
        </w:rPr>
        <w:t>广西合士嘉项目咨询有限公司</w:t>
      </w:r>
    </w:p>
    <w:p w14:paraId="094FD946">
      <w:pPr>
        <w:pStyle w:val="7"/>
        <w:ind w:left="980" w:hanging="560" w:hangingChars="200"/>
        <w:rPr>
          <w:rFonts w:hint="eastAsia" w:ascii="宋体" w:hAnsi="宋体" w:eastAsia="宋体" w:cs="宋体"/>
          <w:bCs/>
          <w:color w:val="000000"/>
          <w:sz w:val="28"/>
          <w:szCs w:val="28"/>
          <w:highlight w:val="none"/>
          <w:lang w:eastAsia="zh-CN"/>
        </w:rPr>
      </w:pPr>
      <w:bookmarkStart w:id="49" w:name="_Toc20319_WPSOffice_Level2"/>
      <w:bookmarkStart w:id="50" w:name="_Toc4932_WPSOffice_Level2"/>
      <w:r>
        <w:rPr>
          <w:rFonts w:hint="eastAsia" w:ascii="宋体" w:hAnsi="宋体" w:eastAsia="宋体" w:cs="宋体"/>
          <w:bCs/>
          <w:color w:val="000000"/>
          <w:sz w:val="28"/>
          <w:szCs w:val="28"/>
          <w:highlight w:val="none"/>
        </w:rPr>
        <w:t>投标人[公章(CA签章)、自然人除外]：</w:t>
      </w:r>
      <w:bookmarkEnd w:id="49"/>
      <w:bookmarkEnd w:id="50"/>
    </w:p>
    <w:p w14:paraId="6491F9DD">
      <w:pPr>
        <w:pStyle w:val="9"/>
        <w:spacing w:line="320" w:lineRule="exact"/>
        <w:ind w:firstLine="420"/>
        <w:rPr>
          <w:rFonts w:hint="eastAsia" w:ascii="宋体" w:hAnsi="宋体" w:eastAsia="宋体" w:cs="宋体"/>
          <w:color w:val="000000"/>
          <w:sz w:val="28"/>
          <w:szCs w:val="28"/>
          <w:highlight w:val="none"/>
        </w:rPr>
      </w:pPr>
      <w:bookmarkStart w:id="51" w:name="_Toc32056_WPSOffice_Level2"/>
      <w:bookmarkStart w:id="52" w:name="_Toc9622_WPSOffice_Level2"/>
      <w:r>
        <w:rPr>
          <w:rFonts w:hint="eastAsia" w:ascii="宋体" w:hAnsi="宋体" w:eastAsia="宋体" w:cs="宋体"/>
          <w:color w:val="000000"/>
          <w:sz w:val="28"/>
          <w:szCs w:val="28"/>
          <w:highlight w:val="none"/>
        </w:rPr>
        <w:t>法定代表人、负责人、自然人或相应的委托代理人签字[或盖章(CA签章)]</w:t>
      </w:r>
    </w:p>
    <w:p w14:paraId="588FA538">
      <w:pPr>
        <w:pStyle w:val="7"/>
        <w:ind w:left="980" w:hanging="560" w:hangingChars="200"/>
        <w:rPr>
          <w:rFonts w:hint="eastAsia" w:ascii="宋体" w:hAnsi="宋体" w:eastAsia="宋体" w:cs="宋体"/>
          <w:color w:val="000000"/>
          <w:sz w:val="28"/>
          <w:szCs w:val="28"/>
          <w:highlight w:val="none"/>
          <w:u w:val="single"/>
          <w:lang w:eastAsia="zh-CN"/>
        </w:rPr>
      </w:pPr>
      <w:r>
        <w:rPr>
          <w:rFonts w:hint="eastAsia" w:ascii="宋体" w:hAnsi="宋体" w:eastAsia="宋体" w:cs="宋体"/>
          <w:color w:val="000000"/>
          <w:sz w:val="28"/>
          <w:szCs w:val="28"/>
          <w:highlight w:val="none"/>
        </w:rPr>
        <w:t>（属自然人的应在签名处加盖大拇指指印或个人CA签章）：</w:t>
      </w:r>
    </w:p>
    <w:p w14:paraId="6C30358C">
      <w:pPr>
        <w:pStyle w:val="7"/>
        <w:ind w:left="980" w:hanging="560" w:hangingChars="200"/>
        <w:rPr>
          <w:rFonts w:hint="eastAsia" w:ascii="宋体" w:hAnsi="宋体" w:eastAsia="宋体" w:cs="宋体"/>
          <w:bCs/>
          <w:color w:val="000000"/>
          <w:sz w:val="28"/>
          <w:szCs w:val="28"/>
          <w:highlight w:val="none"/>
          <w:u w:val="single"/>
          <w:lang w:eastAsia="zh-CN"/>
        </w:rPr>
      </w:pPr>
      <w:r>
        <w:rPr>
          <w:rFonts w:hint="eastAsia" w:ascii="宋体" w:hAnsi="宋体" w:eastAsia="宋体" w:cs="宋体"/>
          <w:bCs/>
          <w:color w:val="000000"/>
          <w:sz w:val="28"/>
          <w:szCs w:val="28"/>
          <w:highlight w:val="none"/>
        </w:rPr>
        <w:t>联系电话：</w:t>
      </w:r>
      <w:bookmarkEnd w:id="51"/>
      <w:bookmarkEnd w:id="52"/>
    </w:p>
    <w:p w14:paraId="0561893D">
      <w:pPr>
        <w:pStyle w:val="7"/>
        <w:ind w:left="980" w:hanging="560" w:hangingChars="200"/>
        <w:rPr>
          <w:rFonts w:hint="eastAsia" w:ascii="宋体" w:hAnsi="宋体" w:eastAsia="宋体" w:cs="宋体"/>
          <w:b/>
          <w:color w:val="000000"/>
          <w:sz w:val="32"/>
          <w:szCs w:val="32"/>
          <w:highlight w:val="none"/>
        </w:rPr>
      </w:pPr>
      <w:bookmarkStart w:id="53" w:name="_Toc26465_WPSOffice_Level2"/>
      <w:bookmarkStart w:id="54" w:name="_Toc15933_WPSOffice_Level2"/>
      <w:r>
        <w:rPr>
          <w:rFonts w:hint="eastAsia" w:ascii="宋体" w:hAnsi="宋体" w:eastAsia="宋体" w:cs="宋体"/>
          <w:bCs/>
          <w:color w:val="000000"/>
          <w:sz w:val="28"/>
          <w:szCs w:val="28"/>
          <w:highlight w:val="none"/>
        </w:rPr>
        <w:t>日期：</w:t>
      </w:r>
      <w:r>
        <w:rPr>
          <w:rFonts w:hint="eastAsia" w:ascii="宋体" w:hAnsi="宋体" w:eastAsia="宋体" w:cs="宋体"/>
          <w:bCs/>
          <w:color w:val="000000"/>
          <w:sz w:val="28"/>
          <w:szCs w:val="28"/>
          <w:highlight w:val="none"/>
          <w:lang w:val="en-US" w:eastAsia="zh-CN"/>
        </w:rPr>
        <w:t xml:space="preserve">  </w:t>
      </w:r>
      <w:r>
        <w:rPr>
          <w:rFonts w:hint="eastAsia" w:ascii="宋体" w:hAnsi="宋体" w:eastAsia="宋体" w:cs="宋体"/>
          <w:bCs/>
          <w:color w:val="000000"/>
          <w:sz w:val="28"/>
          <w:szCs w:val="28"/>
          <w:highlight w:val="none"/>
        </w:rPr>
        <w:t>年</w:t>
      </w:r>
      <w:r>
        <w:rPr>
          <w:rFonts w:hint="eastAsia" w:ascii="宋体" w:hAnsi="宋体" w:eastAsia="宋体" w:cs="宋体"/>
          <w:bCs/>
          <w:color w:val="000000"/>
          <w:sz w:val="28"/>
          <w:szCs w:val="28"/>
          <w:highlight w:val="none"/>
          <w:lang w:val="en-US" w:eastAsia="zh-CN"/>
        </w:rPr>
        <w:t xml:space="preserve">  </w:t>
      </w:r>
      <w:r>
        <w:rPr>
          <w:rFonts w:hint="eastAsia" w:ascii="宋体" w:hAnsi="宋体" w:eastAsia="宋体" w:cs="宋体"/>
          <w:bCs/>
          <w:color w:val="000000"/>
          <w:sz w:val="28"/>
          <w:szCs w:val="28"/>
          <w:highlight w:val="none"/>
        </w:rPr>
        <w:t>月</w:t>
      </w:r>
      <w:r>
        <w:rPr>
          <w:rFonts w:hint="eastAsia" w:ascii="宋体" w:hAnsi="宋体" w:eastAsia="宋体" w:cs="宋体"/>
          <w:bCs/>
          <w:color w:val="000000"/>
          <w:sz w:val="28"/>
          <w:szCs w:val="28"/>
          <w:highlight w:val="none"/>
          <w:lang w:val="en-US" w:eastAsia="zh-CN"/>
        </w:rPr>
        <w:t xml:space="preserve">  </w:t>
      </w:r>
      <w:r>
        <w:rPr>
          <w:rFonts w:hint="eastAsia" w:ascii="宋体" w:hAnsi="宋体" w:eastAsia="宋体" w:cs="宋体"/>
          <w:bCs/>
          <w:color w:val="000000"/>
          <w:sz w:val="28"/>
          <w:szCs w:val="28"/>
          <w:highlight w:val="none"/>
        </w:rPr>
        <w:t>日</w:t>
      </w:r>
      <w:bookmarkEnd w:id="53"/>
      <w:bookmarkEnd w:id="54"/>
    </w:p>
    <w:p w14:paraId="1F86C4A7">
      <w:pPr>
        <w:spacing w:line="261" w:lineRule="auto"/>
        <w:rPr>
          <w:rFonts w:ascii="Arial"/>
          <w:sz w:val="21"/>
        </w:rPr>
      </w:pPr>
    </w:p>
    <w:p w14:paraId="671ED0F5">
      <w:pPr>
        <w:spacing w:line="261" w:lineRule="auto"/>
        <w:rPr>
          <w:rFonts w:ascii="Arial"/>
          <w:sz w:val="21"/>
        </w:rPr>
      </w:pPr>
    </w:p>
    <w:p w14:paraId="4DA982EA">
      <w:pPr>
        <w:spacing w:line="261" w:lineRule="auto"/>
        <w:rPr>
          <w:rFonts w:ascii="Arial"/>
          <w:sz w:val="21"/>
        </w:rPr>
      </w:pPr>
    </w:p>
    <w:p w14:paraId="336F0E63">
      <w:pPr>
        <w:spacing w:line="261" w:lineRule="auto"/>
        <w:rPr>
          <w:rFonts w:ascii="Arial"/>
          <w:sz w:val="21"/>
        </w:rPr>
      </w:pPr>
    </w:p>
    <w:p w14:paraId="3B084B82">
      <w:pPr>
        <w:pStyle w:val="6"/>
        <w:spacing w:before="101" w:line="225" w:lineRule="auto"/>
        <w:ind w:left="3865"/>
        <w:rPr>
          <w:b/>
          <w:bCs/>
          <w:spacing w:val="4"/>
        </w:rPr>
      </w:pPr>
    </w:p>
    <w:p w14:paraId="25E287F5">
      <w:pPr>
        <w:pStyle w:val="6"/>
        <w:spacing w:before="101" w:line="225" w:lineRule="auto"/>
        <w:ind w:left="3865"/>
        <w:rPr>
          <w:b/>
          <w:bCs/>
          <w:spacing w:val="4"/>
        </w:rPr>
      </w:pPr>
    </w:p>
    <w:p w14:paraId="49B2F9E4">
      <w:pPr>
        <w:pStyle w:val="6"/>
        <w:spacing w:before="101" w:line="225" w:lineRule="auto"/>
        <w:ind w:left="3865"/>
        <w:rPr>
          <w:b/>
          <w:bCs/>
          <w:spacing w:val="4"/>
        </w:rPr>
      </w:pPr>
    </w:p>
    <w:p w14:paraId="58A77835">
      <w:pPr>
        <w:pStyle w:val="6"/>
        <w:spacing w:before="101" w:line="225" w:lineRule="auto"/>
        <w:ind w:left="3865"/>
      </w:pPr>
      <w:r>
        <w:rPr>
          <w:b/>
          <w:bCs/>
          <w:spacing w:val="4"/>
        </w:rPr>
        <w:t>投标文件目录</w:t>
      </w:r>
    </w:p>
    <w:p w14:paraId="61EAD1C8">
      <w:pPr>
        <w:pStyle w:val="6"/>
        <w:spacing w:before="42" w:line="219" w:lineRule="auto"/>
        <w:rPr>
          <w:sz w:val="24"/>
          <w:szCs w:val="24"/>
        </w:rPr>
      </w:pPr>
      <w:r>
        <w:rPr>
          <w:b/>
          <w:bCs/>
          <w:spacing w:val="-3"/>
          <w:sz w:val="24"/>
          <w:szCs w:val="24"/>
        </w:rPr>
        <w:t>一、资格性响应证明材料</w:t>
      </w:r>
    </w:p>
    <w:p w14:paraId="1C2AAB05">
      <w:pPr>
        <w:pStyle w:val="6"/>
        <w:spacing w:before="95" w:line="227" w:lineRule="auto"/>
        <w:ind w:left="436"/>
        <w:rPr>
          <w:rFonts w:hint="eastAsia" w:eastAsia="宋体"/>
          <w:b w:val="0"/>
          <w:bCs w:val="0"/>
          <w:sz w:val="21"/>
          <w:szCs w:val="21"/>
          <w:lang w:eastAsia="zh-CN"/>
        </w:rPr>
      </w:pPr>
      <w:r>
        <w:rPr>
          <w:spacing w:val="8"/>
          <w:sz w:val="21"/>
          <w:szCs w:val="21"/>
        </w:rPr>
        <w:t>1.投标人相应的法定代表人(负责人)身份证正反面复印件</w:t>
      </w:r>
      <w:r>
        <w:rPr>
          <w:b/>
          <w:bCs/>
          <w:spacing w:val="8"/>
          <w:sz w:val="21"/>
          <w:szCs w:val="21"/>
        </w:rPr>
        <w:t>（必须提供）</w:t>
      </w:r>
      <w:r>
        <w:rPr>
          <w:rFonts w:hint="eastAsia"/>
          <w:b/>
          <w:bCs/>
          <w:spacing w:val="8"/>
          <w:sz w:val="21"/>
          <w:szCs w:val="21"/>
          <w:lang w:eastAsia="zh-CN"/>
        </w:rPr>
        <w:t>；</w:t>
      </w:r>
    </w:p>
    <w:p w14:paraId="71228774">
      <w:pPr>
        <w:pStyle w:val="6"/>
        <w:spacing w:before="148" w:line="364" w:lineRule="auto"/>
        <w:ind w:right="87" w:firstLine="423"/>
        <w:rPr>
          <w:sz w:val="21"/>
          <w:szCs w:val="21"/>
        </w:rPr>
      </w:pPr>
      <w:r>
        <w:rPr>
          <w:spacing w:val="9"/>
          <w:sz w:val="21"/>
          <w:szCs w:val="21"/>
        </w:rPr>
        <w:t>2.投标人的授权委托书原件、委托代理人身份证正反面复印件以及由县级以上（含县级）社会养老保</w:t>
      </w:r>
      <w:r>
        <w:rPr>
          <w:spacing w:val="6"/>
          <w:sz w:val="21"/>
          <w:szCs w:val="21"/>
        </w:rPr>
        <w:t>险经办机构出具的投标人为委托代理人交纳</w:t>
      </w:r>
      <w:r>
        <w:rPr>
          <w:rFonts w:hint="eastAsia"/>
          <w:b/>
          <w:bCs/>
          <w:spacing w:val="6"/>
          <w:sz w:val="21"/>
          <w:szCs w:val="21"/>
          <w:lang w:eastAsia="zh-CN"/>
        </w:rPr>
        <w:t>2026</w:t>
      </w:r>
      <w:r>
        <w:rPr>
          <w:b/>
          <w:bCs/>
          <w:spacing w:val="6"/>
          <w:sz w:val="21"/>
          <w:szCs w:val="21"/>
        </w:rPr>
        <w:t>年</w:t>
      </w:r>
      <w:r>
        <w:rPr>
          <w:rFonts w:hint="eastAsia"/>
          <w:b/>
          <w:bCs/>
          <w:spacing w:val="6"/>
          <w:sz w:val="21"/>
          <w:szCs w:val="21"/>
          <w:lang w:val="en-US" w:eastAsia="zh-CN"/>
        </w:rPr>
        <w:t>1</w:t>
      </w:r>
      <w:r>
        <w:rPr>
          <w:b/>
          <w:bCs/>
          <w:spacing w:val="5"/>
          <w:sz w:val="21"/>
          <w:szCs w:val="21"/>
        </w:rPr>
        <w:t>月至投标截止时间内</w:t>
      </w:r>
      <w:r>
        <w:rPr>
          <w:rFonts w:hint="eastAsia"/>
          <w:b/>
          <w:bCs/>
          <w:spacing w:val="5"/>
          <w:sz w:val="21"/>
          <w:szCs w:val="21"/>
          <w:lang w:val="en-US" w:eastAsia="zh-CN"/>
        </w:rPr>
        <w:t>任意一</w:t>
      </w:r>
      <w:r>
        <w:rPr>
          <w:b/>
          <w:bCs/>
          <w:spacing w:val="5"/>
          <w:sz w:val="21"/>
          <w:szCs w:val="21"/>
        </w:rPr>
        <w:t>个月社保证明</w:t>
      </w:r>
      <w:r>
        <w:rPr>
          <w:spacing w:val="5"/>
          <w:sz w:val="21"/>
          <w:szCs w:val="21"/>
        </w:rPr>
        <w:t>复印件【自</w:t>
      </w:r>
      <w:r>
        <w:rPr>
          <w:spacing w:val="9"/>
          <w:sz w:val="21"/>
          <w:szCs w:val="21"/>
        </w:rPr>
        <w:t>然人投标的应提供由县级以上（含县级）社会养老保险经办机构出具的</w:t>
      </w:r>
      <w:r>
        <w:rPr>
          <w:rFonts w:hint="eastAsia"/>
          <w:b/>
          <w:bCs/>
          <w:spacing w:val="9"/>
          <w:sz w:val="21"/>
          <w:szCs w:val="21"/>
          <w:lang w:eastAsia="zh-CN"/>
        </w:rPr>
        <w:t>2026</w:t>
      </w:r>
      <w:r>
        <w:rPr>
          <w:b/>
          <w:bCs/>
          <w:spacing w:val="9"/>
          <w:sz w:val="21"/>
          <w:szCs w:val="21"/>
        </w:rPr>
        <w:t>年</w:t>
      </w:r>
      <w:r>
        <w:rPr>
          <w:rFonts w:hint="eastAsia"/>
          <w:b/>
          <w:bCs/>
          <w:spacing w:val="9"/>
          <w:sz w:val="21"/>
          <w:szCs w:val="21"/>
          <w:lang w:val="en-US" w:eastAsia="zh-CN"/>
        </w:rPr>
        <w:t>1</w:t>
      </w:r>
      <w:r>
        <w:rPr>
          <w:b/>
          <w:bCs/>
          <w:spacing w:val="9"/>
          <w:sz w:val="21"/>
          <w:szCs w:val="21"/>
        </w:rPr>
        <w:t>月至投标截止时间内</w:t>
      </w:r>
      <w:r>
        <w:rPr>
          <w:rFonts w:hint="eastAsia"/>
          <w:b/>
          <w:bCs/>
          <w:spacing w:val="9"/>
          <w:sz w:val="21"/>
          <w:szCs w:val="21"/>
          <w:lang w:val="en-US" w:eastAsia="zh-CN"/>
        </w:rPr>
        <w:t>任意一</w:t>
      </w:r>
      <w:r>
        <w:rPr>
          <w:b/>
          <w:bCs/>
          <w:spacing w:val="7"/>
          <w:sz w:val="21"/>
          <w:szCs w:val="21"/>
        </w:rPr>
        <w:t>个月社保证明</w:t>
      </w:r>
      <w:r>
        <w:rPr>
          <w:spacing w:val="7"/>
          <w:sz w:val="21"/>
          <w:szCs w:val="21"/>
        </w:rPr>
        <w:t>复印件；</w:t>
      </w:r>
      <w:r>
        <w:rPr>
          <w:b/>
          <w:bCs/>
          <w:spacing w:val="7"/>
          <w:sz w:val="21"/>
          <w:szCs w:val="21"/>
        </w:rPr>
        <w:t>如投标人为事业单位，只需提供事业单位法人证书和单位人事部门盖章的包含委托代理人在内的在职人员名册复印件</w:t>
      </w:r>
      <w:r>
        <w:rPr>
          <w:spacing w:val="7"/>
          <w:sz w:val="21"/>
          <w:szCs w:val="21"/>
        </w:rPr>
        <w:t>】</w:t>
      </w:r>
      <w:r>
        <w:rPr>
          <w:b/>
          <w:bCs/>
          <w:spacing w:val="7"/>
          <w:sz w:val="21"/>
          <w:szCs w:val="21"/>
        </w:rPr>
        <w:t>（委托代理时必须提供；若为新成立的企业，请根据实际情况提</w:t>
      </w:r>
      <w:r>
        <w:rPr>
          <w:b/>
          <w:bCs/>
          <w:spacing w:val="-1"/>
          <w:sz w:val="21"/>
          <w:szCs w:val="21"/>
        </w:rPr>
        <w:t>供</w:t>
      </w:r>
      <w:r>
        <w:rPr>
          <w:b/>
          <w:bCs/>
          <w:spacing w:val="-3"/>
          <w:sz w:val="21"/>
          <w:szCs w:val="21"/>
        </w:rPr>
        <w:t>）；</w:t>
      </w:r>
    </w:p>
    <w:p w14:paraId="73C03384">
      <w:pPr>
        <w:pStyle w:val="6"/>
        <w:spacing w:before="1" w:line="226" w:lineRule="auto"/>
        <w:ind w:left="425"/>
        <w:rPr>
          <w:rFonts w:hint="eastAsia" w:eastAsia="宋体"/>
          <w:sz w:val="21"/>
          <w:szCs w:val="21"/>
          <w:lang w:eastAsia="zh-CN"/>
        </w:rPr>
      </w:pPr>
      <w:r>
        <w:rPr>
          <w:spacing w:val="9"/>
          <w:sz w:val="21"/>
          <w:szCs w:val="21"/>
        </w:rPr>
        <w:t>3.投标人的法人或者其他组织营业执照等证</w:t>
      </w:r>
      <w:r>
        <w:rPr>
          <w:spacing w:val="8"/>
          <w:sz w:val="21"/>
          <w:szCs w:val="21"/>
        </w:rPr>
        <w:t>明文件复印件</w:t>
      </w:r>
      <w:r>
        <w:rPr>
          <w:b/>
          <w:bCs/>
          <w:spacing w:val="8"/>
          <w:sz w:val="21"/>
          <w:szCs w:val="21"/>
        </w:rPr>
        <w:t>（必须提供）</w:t>
      </w:r>
      <w:r>
        <w:rPr>
          <w:rFonts w:hint="eastAsia"/>
          <w:b/>
          <w:bCs/>
          <w:spacing w:val="8"/>
          <w:sz w:val="21"/>
          <w:szCs w:val="21"/>
          <w:lang w:eastAsia="zh-CN"/>
        </w:rPr>
        <w:t>；</w:t>
      </w:r>
    </w:p>
    <w:p w14:paraId="09A9D8D7">
      <w:pPr>
        <w:pStyle w:val="6"/>
        <w:spacing w:before="114" w:line="328" w:lineRule="auto"/>
        <w:ind w:right="87" w:firstLine="419"/>
        <w:rPr>
          <w:sz w:val="21"/>
          <w:szCs w:val="21"/>
        </w:rPr>
      </w:pPr>
      <w:r>
        <w:rPr>
          <w:spacing w:val="9"/>
          <w:sz w:val="21"/>
          <w:szCs w:val="21"/>
        </w:rPr>
        <w:t>注：①法人包括企业法人、机关法人、事业单位法人和社会团体法人；其他组织主要包括合伙企业、非企业专业服务机构、个体工商户、农村承包经营户。②如投标人为企业（包括合伙企业</w:t>
      </w:r>
      <w:r>
        <w:rPr>
          <w:spacing w:val="16"/>
          <w:sz w:val="21"/>
          <w:szCs w:val="21"/>
        </w:rPr>
        <w:t>），</w:t>
      </w:r>
      <w:r>
        <w:rPr>
          <w:spacing w:val="9"/>
          <w:sz w:val="21"/>
          <w:szCs w:val="21"/>
        </w:rPr>
        <w:t>应提供市场监督管理部门（或行政审批部门）注册的有效“企业法人营业执照”或</w:t>
      </w:r>
      <w:r>
        <w:rPr>
          <w:spacing w:val="8"/>
          <w:sz w:val="21"/>
          <w:szCs w:val="21"/>
        </w:rPr>
        <w:t>“营业执照；投标人为事业单位，</w:t>
      </w:r>
      <w:r>
        <w:rPr>
          <w:spacing w:val="9"/>
          <w:sz w:val="21"/>
          <w:szCs w:val="21"/>
        </w:rPr>
        <w:t>应提供有效的“事业单位法人证书”；投标人为非企业专业服务机构的</w:t>
      </w:r>
      <w:r>
        <w:rPr>
          <w:spacing w:val="8"/>
          <w:sz w:val="21"/>
          <w:szCs w:val="21"/>
        </w:rPr>
        <w:t>，应提供执业许可证等证明文件；</w:t>
      </w:r>
      <w:r>
        <w:rPr>
          <w:spacing w:val="9"/>
          <w:sz w:val="21"/>
          <w:szCs w:val="21"/>
        </w:rPr>
        <w:t>投标人为个体工商户，应提供有效的“个体工商户营业执照”。③如投</w:t>
      </w:r>
      <w:r>
        <w:rPr>
          <w:spacing w:val="8"/>
          <w:sz w:val="21"/>
          <w:szCs w:val="21"/>
        </w:rPr>
        <w:t>标人为企业法人的分支机构的，除</w:t>
      </w:r>
      <w:r>
        <w:rPr>
          <w:spacing w:val="9"/>
          <w:sz w:val="21"/>
          <w:szCs w:val="21"/>
        </w:rPr>
        <w:t>应提供营业执照复印件外，还应提供其所属的总公司授权其参加政府采购的授权文件或总公司颁布的授权其独立开展经营业务活动的证明材料复印件。</w:t>
      </w:r>
    </w:p>
    <w:p w14:paraId="7B958F63">
      <w:pPr>
        <w:pStyle w:val="6"/>
        <w:spacing w:before="33" w:line="317" w:lineRule="auto"/>
        <w:ind w:left="4" w:right="89" w:firstLine="305"/>
        <w:rPr>
          <w:rFonts w:hint="eastAsia" w:eastAsia="宋体"/>
          <w:sz w:val="21"/>
          <w:szCs w:val="21"/>
          <w:lang w:eastAsia="zh-CN"/>
        </w:rPr>
      </w:pPr>
      <w:r>
        <w:rPr>
          <w:spacing w:val="12"/>
          <w:sz w:val="21"/>
          <w:szCs w:val="21"/>
        </w:rPr>
        <w:t>4.投标人参加政府采购活动前三年内在经</w:t>
      </w:r>
      <w:r>
        <w:rPr>
          <w:spacing w:val="11"/>
          <w:sz w:val="21"/>
          <w:szCs w:val="21"/>
        </w:rPr>
        <w:t>营活动中没有重大违法记录及有关信用信息的书面声明</w:t>
      </w:r>
      <w:r>
        <w:rPr>
          <w:b/>
          <w:bCs/>
          <w:spacing w:val="11"/>
          <w:sz w:val="21"/>
          <w:szCs w:val="21"/>
        </w:rPr>
        <w:t>（必</w:t>
      </w:r>
      <w:r>
        <w:rPr>
          <w:b/>
          <w:bCs/>
          <w:spacing w:val="2"/>
          <w:sz w:val="21"/>
          <w:szCs w:val="21"/>
        </w:rPr>
        <w:t>须提供）</w:t>
      </w:r>
      <w:r>
        <w:rPr>
          <w:rFonts w:hint="eastAsia"/>
          <w:b/>
          <w:bCs/>
          <w:spacing w:val="2"/>
          <w:sz w:val="21"/>
          <w:szCs w:val="21"/>
          <w:lang w:eastAsia="zh-CN"/>
        </w:rPr>
        <w:t>；</w:t>
      </w:r>
    </w:p>
    <w:p w14:paraId="4D09B080">
      <w:pPr>
        <w:pStyle w:val="6"/>
        <w:spacing w:before="33" w:line="227" w:lineRule="auto"/>
        <w:ind w:left="314"/>
        <w:rPr>
          <w:rFonts w:hint="eastAsia" w:eastAsia="宋体"/>
          <w:b/>
          <w:bCs/>
          <w:spacing w:val="8"/>
          <w:sz w:val="21"/>
          <w:szCs w:val="21"/>
          <w:lang w:eastAsia="zh-CN"/>
        </w:rPr>
      </w:pPr>
      <w:r>
        <w:rPr>
          <w:spacing w:val="8"/>
          <w:sz w:val="21"/>
          <w:szCs w:val="21"/>
        </w:rPr>
        <w:t>5.投标人参加本项目无围标串标行为的承诺函</w:t>
      </w:r>
      <w:r>
        <w:rPr>
          <w:b/>
          <w:bCs/>
          <w:spacing w:val="8"/>
          <w:sz w:val="21"/>
          <w:szCs w:val="21"/>
        </w:rPr>
        <w:t>（必须提供）</w:t>
      </w:r>
      <w:r>
        <w:rPr>
          <w:rFonts w:hint="eastAsia"/>
          <w:b/>
          <w:bCs/>
          <w:spacing w:val="8"/>
          <w:sz w:val="21"/>
          <w:szCs w:val="21"/>
          <w:lang w:eastAsia="zh-CN"/>
        </w:rPr>
        <w:t>。</w:t>
      </w:r>
    </w:p>
    <w:p w14:paraId="6A20A279">
      <w:pPr>
        <w:pStyle w:val="6"/>
        <w:spacing w:before="33" w:line="227" w:lineRule="auto"/>
        <w:ind w:left="314"/>
        <w:rPr>
          <w:b/>
          <w:bCs/>
          <w:spacing w:val="8"/>
          <w:sz w:val="21"/>
          <w:szCs w:val="21"/>
        </w:rPr>
      </w:pPr>
    </w:p>
    <w:p w14:paraId="1C53EBDA">
      <w:pPr>
        <w:pStyle w:val="6"/>
        <w:spacing w:before="72" w:line="219" w:lineRule="auto"/>
        <w:rPr>
          <w:sz w:val="21"/>
          <w:szCs w:val="21"/>
        </w:rPr>
      </w:pPr>
      <w:r>
        <w:rPr>
          <w:b/>
          <w:bCs/>
          <w:spacing w:val="-3"/>
          <w:sz w:val="21"/>
          <w:szCs w:val="21"/>
        </w:rPr>
        <w:t>二、商务、技术性响应及其他证明材料：</w:t>
      </w:r>
    </w:p>
    <w:p w14:paraId="6DC9B21E">
      <w:pPr>
        <w:pStyle w:val="6"/>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48" w:firstLineChars="200"/>
        <w:textAlignment w:val="baseline"/>
        <w:rPr>
          <w:sz w:val="21"/>
          <w:szCs w:val="21"/>
        </w:rPr>
      </w:pPr>
      <w:r>
        <w:rPr>
          <w:spacing w:val="7"/>
          <w:sz w:val="21"/>
          <w:szCs w:val="21"/>
        </w:rPr>
        <w:t>1.投标报价表</w:t>
      </w:r>
      <w:r>
        <w:rPr>
          <w:b/>
          <w:bCs/>
          <w:spacing w:val="7"/>
          <w:sz w:val="21"/>
          <w:szCs w:val="21"/>
        </w:rPr>
        <w:t>（必须提供</w:t>
      </w:r>
      <w:r>
        <w:rPr>
          <w:b/>
          <w:bCs/>
          <w:sz w:val="21"/>
          <w:szCs w:val="21"/>
        </w:rPr>
        <w:t>）</w:t>
      </w:r>
      <w:r>
        <w:rPr>
          <w:sz w:val="21"/>
          <w:szCs w:val="21"/>
        </w:rPr>
        <w:t>；</w:t>
      </w:r>
    </w:p>
    <w:p w14:paraId="0D3B8B52">
      <w:pPr>
        <w:pStyle w:val="6"/>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52" w:firstLineChars="200"/>
        <w:textAlignment w:val="baseline"/>
        <w:rPr>
          <w:sz w:val="21"/>
          <w:szCs w:val="21"/>
        </w:rPr>
      </w:pPr>
      <w:r>
        <w:rPr>
          <w:spacing w:val="8"/>
          <w:sz w:val="21"/>
          <w:szCs w:val="21"/>
        </w:rPr>
        <w:t>2.技术规格偏离表</w:t>
      </w:r>
      <w:r>
        <w:rPr>
          <w:b/>
          <w:bCs/>
          <w:spacing w:val="8"/>
          <w:sz w:val="21"/>
          <w:szCs w:val="21"/>
        </w:rPr>
        <w:t>（必须提供</w:t>
      </w:r>
      <w:r>
        <w:rPr>
          <w:b/>
          <w:bCs/>
          <w:spacing w:val="2"/>
          <w:sz w:val="21"/>
          <w:szCs w:val="21"/>
        </w:rPr>
        <w:t>）</w:t>
      </w:r>
      <w:r>
        <w:rPr>
          <w:spacing w:val="2"/>
          <w:sz w:val="21"/>
          <w:szCs w:val="21"/>
        </w:rPr>
        <w:t>；</w:t>
      </w:r>
    </w:p>
    <w:p w14:paraId="77AB5599">
      <w:pPr>
        <w:pStyle w:val="6"/>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52" w:firstLineChars="200"/>
        <w:textAlignment w:val="baseline"/>
        <w:rPr>
          <w:sz w:val="21"/>
          <w:szCs w:val="21"/>
        </w:rPr>
      </w:pPr>
      <w:r>
        <w:rPr>
          <w:spacing w:val="8"/>
          <w:sz w:val="21"/>
          <w:szCs w:val="21"/>
        </w:rPr>
        <w:t>3.投标人的服务承诺书</w:t>
      </w:r>
      <w:r>
        <w:rPr>
          <w:b/>
          <w:bCs/>
          <w:spacing w:val="8"/>
          <w:sz w:val="21"/>
          <w:szCs w:val="21"/>
        </w:rPr>
        <w:t>（</w:t>
      </w:r>
      <w:r>
        <w:rPr>
          <w:rFonts w:hint="eastAsia"/>
          <w:b/>
          <w:bCs/>
          <w:spacing w:val="8"/>
          <w:sz w:val="21"/>
          <w:szCs w:val="21"/>
          <w:lang w:val="en-US" w:eastAsia="zh-CN"/>
        </w:rPr>
        <w:t>必须</w:t>
      </w:r>
      <w:r>
        <w:rPr>
          <w:b/>
          <w:bCs/>
          <w:spacing w:val="8"/>
          <w:sz w:val="21"/>
          <w:szCs w:val="21"/>
        </w:rPr>
        <w:t>提供</w:t>
      </w:r>
      <w:r>
        <w:rPr>
          <w:spacing w:val="5"/>
          <w:sz w:val="21"/>
          <w:szCs w:val="21"/>
        </w:rPr>
        <w:t>）；</w:t>
      </w:r>
    </w:p>
    <w:p w14:paraId="57CA0C2D">
      <w:pPr>
        <w:pStyle w:val="6"/>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60" w:firstLineChars="200"/>
        <w:textAlignment w:val="baseline"/>
        <w:rPr>
          <w:rFonts w:hint="eastAsia" w:eastAsia="宋体"/>
          <w:spacing w:val="3"/>
          <w:sz w:val="21"/>
          <w:szCs w:val="21"/>
          <w:lang w:eastAsia="zh-CN"/>
        </w:rPr>
      </w:pPr>
      <w:r>
        <w:rPr>
          <w:spacing w:val="10"/>
          <w:sz w:val="21"/>
          <w:szCs w:val="21"/>
        </w:rPr>
        <w:t>4.服务实施方案（根据服务</w:t>
      </w:r>
      <w:r>
        <w:rPr>
          <w:rFonts w:hint="eastAsia"/>
          <w:spacing w:val="10"/>
          <w:sz w:val="21"/>
          <w:szCs w:val="21"/>
          <w:lang w:val="en-US" w:eastAsia="zh-CN"/>
        </w:rPr>
        <w:t>采购</w:t>
      </w:r>
      <w:r>
        <w:rPr>
          <w:spacing w:val="10"/>
          <w:sz w:val="21"/>
          <w:szCs w:val="21"/>
        </w:rPr>
        <w:t>需求和评标办法自行编制</w:t>
      </w:r>
      <w:r>
        <w:rPr>
          <w:spacing w:val="-9"/>
          <w:sz w:val="21"/>
          <w:szCs w:val="21"/>
        </w:rPr>
        <w:t>）</w:t>
      </w:r>
      <w:r>
        <w:rPr>
          <w:b/>
          <w:bCs/>
          <w:spacing w:val="-9"/>
          <w:sz w:val="21"/>
          <w:szCs w:val="21"/>
        </w:rPr>
        <w:t>（</w:t>
      </w:r>
      <w:r>
        <w:rPr>
          <w:b/>
          <w:bCs/>
          <w:spacing w:val="10"/>
          <w:sz w:val="21"/>
          <w:szCs w:val="21"/>
        </w:rPr>
        <w:t>如有，请提供</w:t>
      </w:r>
      <w:r>
        <w:rPr>
          <w:b/>
          <w:bCs/>
          <w:spacing w:val="-9"/>
          <w:sz w:val="21"/>
          <w:szCs w:val="21"/>
        </w:rPr>
        <w:t>）</w:t>
      </w:r>
      <w:r>
        <w:rPr>
          <w:rFonts w:hint="eastAsia"/>
          <w:b/>
          <w:bCs/>
          <w:spacing w:val="-9"/>
          <w:sz w:val="21"/>
          <w:szCs w:val="21"/>
          <w:lang w:eastAsia="zh-CN"/>
        </w:rPr>
        <w:t>；</w:t>
      </w:r>
    </w:p>
    <w:p w14:paraId="263798A3">
      <w:pPr>
        <w:pStyle w:val="6"/>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52" w:firstLineChars="200"/>
        <w:textAlignment w:val="baseline"/>
        <w:rPr>
          <w:rFonts w:hint="eastAsia" w:eastAsia="宋体"/>
          <w:sz w:val="21"/>
          <w:szCs w:val="21"/>
          <w:lang w:eastAsia="zh-CN"/>
        </w:rPr>
      </w:pPr>
      <w:r>
        <w:rPr>
          <w:spacing w:val="8"/>
          <w:sz w:val="21"/>
          <w:szCs w:val="21"/>
        </w:rPr>
        <w:t>5.“服务采购需求”中要求必须提供的有效证明文件</w:t>
      </w:r>
      <w:r>
        <w:rPr>
          <w:b/>
          <w:bCs/>
          <w:spacing w:val="8"/>
          <w:sz w:val="21"/>
          <w:szCs w:val="21"/>
        </w:rPr>
        <w:t>（如有，请提供）</w:t>
      </w:r>
      <w:r>
        <w:rPr>
          <w:rFonts w:hint="eastAsia"/>
          <w:b/>
          <w:bCs/>
          <w:spacing w:val="8"/>
          <w:sz w:val="21"/>
          <w:szCs w:val="21"/>
          <w:lang w:eastAsia="zh-CN"/>
        </w:rPr>
        <w:t>；</w:t>
      </w:r>
    </w:p>
    <w:p w14:paraId="2FD9D945">
      <w:pPr>
        <w:pStyle w:val="6"/>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52" w:firstLineChars="200"/>
        <w:textAlignment w:val="baseline"/>
        <w:rPr>
          <w:sz w:val="21"/>
          <w:szCs w:val="21"/>
        </w:rPr>
      </w:pPr>
      <w:r>
        <w:rPr>
          <w:spacing w:val="8"/>
          <w:sz w:val="21"/>
          <w:szCs w:val="21"/>
        </w:rPr>
        <w:t>6.项目实施人员一览表</w:t>
      </w:r>
      <w:r>
        <w:rPr>
          <w:b/>
          <w:bCs/>
          <w:spacing w:val="8"/>
          <w:sz w:val="21"/>
          <w:szCs w:val="21"/>
        </w:rPr>
        <w:t>（格式自拟，如有，请提供</w:t>
      </w:r>
      <w:r>
        <w:rPr>
          <w:b/>
          <w:bCs/>
          <w:spacing w:val="2"/>
          <w:sz w:val="21"/>
          <w:szCs w:val="21"/>
        </w:rPr>
        <w:t>）</w:t>
      </w:r>
      <w:r>
        <w:rPr>
          <w:spacing w:val="2"/>
          <w:sz w:val="21"/>
          <w:szCs w:val="21"/>
        </w:rPr>
        <w:t>；</w:t>
      </w:r>
    </w:p>
    <w:p w14:paraId="7429971C">
      <w:pPr>
        <w:pStyle w:val="6"/>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36" w:firstLineChars="200"/>
        <w:textAlignment w:val="baseline"/>
        <w:rPr>
          <w:sz w:val="21"/>
          <w:szCs w:val="21"/>
        </w:rPr>
      </w:pPr>
      <w:r>
        <w:rPr>
          <w:spacing w:val="4"/>
          <w:sz w:val="21"/>
          <w:szCs w:val="21"/>
        </w:rPr>
        <w:t>7.投标人</w:t>
      </w:r>
      <w:r>
        <w:rPr>
          <w:rFonts w:hint="eastAsia"/>
          <w:spacing w:val="4"/>
          <w:sz w:val="21"/>
          <w:szCs w:val="21"/>
          <w:lang w:val="en-US" w:eastAsia="zh-CN"/>
        </w:rPr>
        <w:t>2022</w:t>
      </w:r>
      <w:r>
        <w:rPr>
          <w:spacing w:val="4"/>
          <w:sz w:val="21"/>
          <w:szCs w:val="21"/>
        </w:rPr>
        <w:t>年以来具有同类服务项目的业绩</w:t>
      </w:r>
      <w:r>
        <w:rPr>
          <w:spacing w:val="3"/>
          <w:sz w:val="21"/>
          <w:szCs w:val="21"/>
        </w:rPr>
        <w:t>证明材料【无不良记录，提供合同复印件或中标（成交）</w:t>
      </w:r>
      <w:r>
        <w:rPr>
          <w:spacing w:val="8"/>
          <w:sz w:val="21"/>
          <w:szCs w:val="21"/>
        </w:rPr>
        <w:t>通知书，并能清晰反映</w:t>
      </w:r>
      <w:r>
        <w:rPr>
          <w:rFonts w:hint="eastAsia"/>
          <w:spacing w:val="8"/>
          <w:sz w:val="21"/>
          <w:szCs w:val="21"/>
          <w:lang w:val="en-US" w:eastAsia="zh-CN"/>
        </w:rPr>
        <w:t>该</w:t>
      </w:r>
      <w:r>
        <w:rPr>
          <w:spacing w:val="8"/>
          <w:sz w:val="21"/>
          <w:szCs w:val="21"/>
        </w:rPr>
        <w:t>项目名称、类型、日期等内容</w:t>
      </w:r>
      <w:r>
        <w:rPr>
          <w:spacing w:val="7"/>
          <w:sz w:val="21"/>
          <w:szCs w:val="21"/>
        </w:rPr>
        <w:t>】</w:t>
      </w:r>
      <w:r>
        <w:rPr>
          <w:b/>
          <w:bCs/>
          <w:spacing w:val="7"/>
          <w:sz w:val="21"/>
          <w:szCs w:val="21"/>
        </w:rPr>
        <w:t>（如有，请提供</w:t>
      </w:r>
      <w:r>
        <w:rPr>
          <w:b/>
          <w:bCs/>
          <w:spacing w:val="-2"/>
          <w:sz w:val="21"/>
          <w:szCs w:val="21"/>
        </w:rPr>
        <w:t>）；</w:t>
      </w:r>
    </w:p>
    <w:p w14:paraId="235F8CDF">
      <w:pPr>
        <w:pStyle w:val="6"/>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56" w:firstLineChars="200"/>
        <w:textAlignment w:val="baseline"/>
        <w:rPr>
          <w:rFonts w:hint="eastAsia"/>
          <w:b/>
          <w:bCs/>
          <w:spacing w:val="1"/>
          <w:sz w:val="21"/>
          <w:szCs w:val="21"/>
          <w:lang w:eastAsia="zh-CN"/>
        </w:rPr>
      </w:pPr>
      <w:r>
        <w:rPr>
          <w:spacing w:val="9"/>
          <w:sz w:val="21"/>
          <w:szCs w:val="21"/>
        </w:rPr>
        <w:t>8.投标人的履约能力相关证明材料</w:t>
      </w:r>
      <w:r>
        <w:rPr>
          <w:b/>
          <w:bCs/>
          <w:spacing w:val="9"/>
          <w:sz w:val="21"/>
          <w:szCs w:val="21"/>
        </w:rPr>
        <w:t>（如有，请提供</w:t>
      </w:r>
      <w:r>
        <w:rPr>
          <w:b/>
          <w:bCs/>
          <w:spacing w:val="1"/>
          <w:sz w:val="21"/>
          <w:szCs w:val="21"/>
        </w:rPr>
        <w:t>）</w:t>
      </w:r>
      <w:r>
        <w:rPr>
          <w:rFonts w:hint="eastAsia"/>
          <w:b/>
          <w:bCs/>
          <w:spacing w:val="1"/>
          <w:sz w:val="21"/>
          <w:szCs w:val="21"/>
          <w:lang w:eastAsia="zh-CN"/>
        </w:rPr>
        <w:t>；</w:t>
      </w:r>
    </w:p>
    <w:p w14:paraId="0EEDEFDC">
      <w:pPr>
        <w:pStyle w:val="6"/>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60" w:firstLineChars="200"/>
        <w:textAlignment w:val="baseline"/>
        <w:rPr>
          <w:sz w:val="21"/>
          <w:szCs w:val="21"/>
        </w:rPr>
      </w:pPr>
      <w:r>
        <w:rPr>
          <w:spacing w:val="10"/>
          <w:sz w:val="21"/>
          <w:szCs w:val="21"/>
        </w:rPr>
        <w:t>9.中小企业声明函（见附件</w:t>
      </w:r>
      <w:r>
        <w:rPr>
          <w:spacing w:val="-9"/>
          <w:sz w:val="21"/>
          <w:szCs w:val="21"/>
        </w:rPr>
        <w:t>）（</w:t>
      </w:r>
      <w:r>
        <w:rPr>
          <w:spacing w:val="10"/>
          <w:sz w:val="21"/>
          <w:szCs w:val="21"/>
        </w:rPr>
        <w:t>如投标人为中小微型企业的，格式见附件，投标人对出具的</w:t>
      </w:r>
      <w:r>
        <w:rPr>
          <w:spacing w:val="9"/>
          <w:sz w:val="21"/>
          <w:szCs w:val="21"/>
        </w:rPr>
        <w:t>声明函真</w:t>
      </w:r>
      <w:r>
        <w:rPr>
          <w:spacing w:val="10"/>
          <w:sz w:val="21"/>
          <w:szCs w:val="21"/>
        </w:rPr>
        <w:t>实性负责，中标结果将同时公告企业《中小企业声明函》，接受社会监督</w:t>
      </w:r>
      <w:r>
        <w:rPr>
          <w:sz w:val="21"/>
          <w:szCs w:val="21"/>
        </w:rPr>
        <w:t>）</w:t>
      </w:r>
      <w:r>
        <w:rPr>
          <w:b/>
          <w:bCs/>
          <w:sz w:val="21"/>
          <w:szCs w:val="21"/>
        </w:rPr>
        <w:t>（</w:t>
      </w:r>
      <w:r>
        <w:rPr>
          <w:b/>
          <w:bCs/>
          <w:spacing w:val="10"/>
          <w:sz w:val="21"/>
          <w:szCs w:val="21"/>
        </w:rPr>
        <w:t>如有，请提供</w:t>
      </w:r>
      <w:r>
        <w:rPr>
          <w:b/>
          <w:bCs/>
          <w:sz w:val="21"/>
          <w:szCs w:val="21"/>
        </w:rPr>
        <w:t>）</w:t>
      </w:r>
      <w:r>
        <w:rPr>
          <w:sz w:val="21"/>
          <w:szCs w:val="21"/>
        </w:rPr>
        <w:t>；</w:t>
      </w:r>
    </w:p>
    <w:p w14:paraId="1535A28F">
      <w:pPr>
        <w:pStyle w:val="6"/>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60" w:firstLineChars="200"/>
        <w:textAlignment w:val="baseline"/>
        <w:rPr>
          <w:sz w:val="21"/>
          <w:szCs w:val="21"/>
        </w:rPr>
      </w:pPr>
      <w:r>
        <w:rPr>
          <w:spacing w:val="10"/>
          <w:sz w:val="21"/>
          <w:szCs w:val="21"/>
        </w:rPr>
        <w:t>10.符合条件的残疾人福利性单位参加政府采购活动时，提供《残疾人福利性单位声明函》，并对</w:t>
      </w:r>
      <w:r>
        <w:rPr>
          <w:spacing w:val="9"/>
          <w:sz w:val="21"/>
          <w:szCs w:val="21"/>
        </w:rPr>
        <w:t>声明的真实性负责</w:t>
      </w:r>
      <w:r>
        <w:rPr>
          <w:b/>
          <w:bCs/>
          <w:spacing w:val="9"/>
          <w:sz w:val="21"/>
          <w:szCs w:val="21"/>
        </w:rPr>
        <w:t>（如有，请提供</w:t>
      </w:r>
      <w:r>
        <w:rPr>
          <w:b/>
          <w:bCs/>
          <w:sz w:val="21"/>
          <w:szCs w:val="21"/>
        </w:rPr>
        <w:t>）</w:t>
      </w:r>
      <w:r>
        <w:rPr>
          <w:sz w:val="21"/>
          <w:szCs w:val="21"/>
        </w:rPr>
        <w:t>；</w:t>
      </w:r>
    </w:p>
    <w:p w14:paraId="1EB676B8">
      <w:pPr>
        <w:pStyle w:val="6"/>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56" w:firstLineChars="200"/>
        <w:textAlignment w:val="baseline"/>
        <w:rPr>
          <w:sz w:val="20"/>
          <w:szCs w:val="20"/>
        </w:rPr>
      </w:pPr>
      <w:r>
        <w:rPr>
          <w:spacing w:val="9"/>
          <w:sz w:val="21"/>
          <w:szCs w:val="21"/>
        </w:rPr>
        <w:t>11.投标人可结合本项目的评标办法视自身情</w:t>
      </w:r>
      <w:r>
        <w:rPr>
          <w:spacing w:val="8"/>
          <w:sz w:val="21"/>
          <w:szCs w:val="21"/>
        </w:rPr>
        <w:t>况自行提交相关证明材料</w:t>
      </w:r>
      <w:r>
        <w:rPr>
          <w:b/>
          <w:bCs/>
          <w:spacing w:val="8"/>
          <w:sz w:val="21"/>
          <w:szCs w:val="21"/>
        </w:rPr>
        <w:t>（如有，请提供）</w:t>
      </w:r>
      <w:r>
        <w:rPr>
          <w:spacing w:val="8"/>
          <w:sz w:val="21"/>
          <w:szCs w:val="21"/>
        </w:rPr>
        <w:t>。</w:t>
      </w:r>
    </w:p>
    <w:p w14:paraId="2C0BA75E">
      <w:pPr>
        <w:pStyle w:val="6"/>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06" w:firstLineChars="200"/>
        <w:textAlignment w:val="baseline"/>
        <w:rPr>
          <w:rFonts w:hint="eastAsia"/>
          <w:b/>
          <w:bCs/>
          <w:spacing w:val="1"/>
          <w:sz w:val="20"/>
          <w:szCs w:val="20"/>
          <w:lang w:eastAsia="zh-CN"/>
        </w:rPr>
        <w:sectPr>
          <w:footerReference r:id="rId17" w:type="default"/>
          <w:pgSz w:w="11906" w:h="16839"/>
          <w:pgMar w:top="1431" w:right="1047" w:bottom="875" w:left="1140" w:header="0" w:footer="713" w:gutter="0"/>
          <w:pgNumType w:fmt="decimal"/>
          <w:cols w:space="720" w:num="1"/>
        </w:sectPr>
      </w:pPr>
    </w:p>
    <w:p w14:paraId="22F0079D">
      <w:pPr>
        <w:pStyle w:val="6"/>
        <w:spacing w:before="63" w:line="224" w:lineRule="auto"/>
        <w:outlineLvl w:val="9"/>
      </w:pPr>
      <w:r>
        <w:rPr>
          <w:b/>
          <w:bCs/>
          <w:spacing w:val="6"/>
        </w:rPr>
        <w:t>一、资格性响应证明材料</w:t>
      </w:r>
      <w:bookmarkStart w:id="55" w:name="_GoBack"/>
      <w:bookmarkEnd w:id="55"/>
    </w:p>
    <w:p w14:paraId="78129C9C">
      <w:pPr>
        <w:spacing w:line="344" w:lineRule="auto"/>
        <w:outlineLvl w:val="9"/>
        <w:rPr>
          <w:rFonts w:ascii="Arial"/>
          <w:sz w:val="21"/>
        </w:rPr>
      </w:pPr>
    </w:p>
    <w:p w14:paraId="63252C89">
      <w:pPr>
        <w:pStyle w:val="6"/>
        <w:spacing w:before="100" w:line="224" w:lineRule="auto"/>
        <w:jc w:val="right"/>
        <w:outlineLvl w:val="9"/>
      </w:pPr>
      <w:r>
        <w:rPr>
          <w:b/>
          <w:bCs/>
          <w:spacing w:val="5"/>
        </w:rPr>
        <w:t>1.投标人相应的法定代表人(负责人)身份证正反面复印件（必须提供）</w:t>
      </w:r>
    </w:p>
    <w:p w14:paraId="7FA8995B">
      <w:pPr>
        <w:spacing w:line="224" w:lineRule="auto"/>
        <w:outlineLvl w:val="9"/>
        <w:sectPr>
          <w:footerReference r:id="rId18" w:type="default"/>
          <w:pgSz w:w="11906" w:h="16839"/>
          <w:pgMar w:top="1213" w:right="841" w:bottom="400" w:left="1150" w:header="0" w:footer="0" w:gutter="0"/>
          <w:pgNumType w:fmt="decimal"/>
          <w:cols w:space="720" w:num="1"/>
        </w:sectPr>
      </w:pPr>
    </w:p>
    <w:p w14:paraId="665C4868">
      <w:pPr>
        <w:pStyle w:val="6"/>
        <w:spacing w:before="165" w:line="224" w:lineRule="auto"/>
        <w:ind w:left="8"/>
        <w:outlineLvl w:val="9"/>
      </w:pPr>
      <w:r>
        <w:rPr>
          <w:b/>
          <w:bCs/>
          <w:spacing w:val="3"/>
        </w:rPr>
        <w:t>2.投标人的授权委托书原件、委托代理人身份证正反面复印件以及由</w:t>
      </w:r>
    </w:p>
    <w:p w14:paraId="58B4F3E6">
      <w:pPr>
        <w:pStyle w:val="6"/>
        <w:spacing w:before="22" w:line="236" w:lineRule="auto"/>
        <w:ind w:left="4" w:firstLine="1"/>
        <w:jc w:val="both"/>
        <w:outlineLvl w:val="9"/>
      </w:pPr>
      <w:r>
        <w:rPr>
          <w:b/>
          <w:bCs/>
          <w:spacing w:val="7"/>
        </w:rPr>
        <w:t>县级以上（含县级）社会养老保险经办机构出具的投标人为委托代理</w:t>
      </w:r>
      <w:r>
        <w:rPr>
          <w:b/>
          <w:bCs/>
          <w:spacing w:val="-1"/>
        </w:rPr>
        <w:t>人交纳</w:t>
      </w:r>
      <w:r>
        <w:rPr>
          <w:rFonts w:hint="eastAsia"/>
          <w:b/>
          <w:bCs/>
          <w:spacing w:val="-1"/>
          <w:lang w:eastAsia="zh-CN"/>
        </w:rPr>
        <w:t>2026</w:t>
      </w:r>
      <w:r>
        <w:rPr>
          <w:b/>
          <w:bCs/>
          <w:spacing w:val="-1"/>
        </w:rPr>
        <w:t>年</w:t>
      </w:r>
      <w:r>
        <w:rPr>
          <w:rFonts w:hint="eastAsia"/>
          <w:b/>
          <w:bCs/>
          <w:spacing w:val="-1"/>
          <w:lang w:val="en-US" w:eastAsia="zh-CN"/>
        </w:rPr>
        <w:t>1</w:t>
      </w:r>
      <w:r>
        <w:rPr>
          <w:b/>
          <w:bCs/>
          <w:spacing w:val="-1"/>
        </w:rPr>
        <w:t>月至投标截止时间内</w:t>
      </w:r>
      <w:r>
        <w:rPr>
          <w:rFonts w:hint="eastAsia"/>
          <w:b/>
          <w:bCs/>
          <w:spacing w:val="-1"/>
          <w:lang w:val="en-US" w:eastAsia="zh-CN"/>
        </w:rPr>
        <w:t>任意一</w:t>
      </w:r>
      <w:r>
        <w:rPr>
          <w:b/>
          <w:bCs/>
          <w:spacing w:val="-1"/>
        </w:rPr>
        <w:t>个月社保证明复印件【自</w:t>
      </w:r>
      <w:r>
        <w:rPr>
          <w:b/>
          <w:bCs/>
          <w:spacing w:val="7"/>
        </w:rPr>
        <w:t>然人投标的应提供由县级以上（含县级）社会养老保险经办机构出具</w:t>
      </w:r>
      <w:r>
        <w:rPr>
          <w:b/>
          <w:bCs/>
          <w:spacing w:val="9"/>
        </w:rPr>
        <w:t>的</w:t>
      </w:r>
      <w:r>
        <w:rPr>
          <w:rFonts w:hint="eastAsia"/>
          <w:b/>
          <w:bCs/>
          <w:spacing w:val="9"/>
          <w:lang w:eastAsia="zh-CN"/>
        </w:rPr>
        <w:t>2026</w:t>
      </w:r>
      <w:r>
        <w:rPr>
          <w:b/>
          <w:bCs/>
          <w:spacing w:val="9"/>
        </w:rPr>
        <w:t>年</w:t>
      </w:r>
      <w:r>
        <w:rPr>
          <w:rFonts w:hint="eastAsia"/>
          <w:b/>
          <w:bCs/>
          <w:spacing w:val="9"/>
          <w:lang w:val="en-US" w:eastAsia="zh-CN"/>
        </w:rPr>
        <w:t>1</w:t>
      </w:r>
      <w:r>
        <w:rPr>
          <w:b/>
          <w:bCs/>
          <w:spacing w:val="9"/>
        </w:rPr>
        <w:t>月至投标截止时间内</w:t>
      </w:r>
      <w:r>
        <w:rPr>
          <w:rFonts w:hint="eastAsia"/>
          <w:b/>
          <w:bCs/>
          <w:spacing w:val="9"/>
          <w:lang w:val="en-US" w:eastAsia="zh-CN"/>
        </w:rPr>
        <w:t>任意一</w:t>
      </w:r>
      <w:r>
        <w:rPr>
          <w:b/>
          <w:bCs/>
          <w:spacing w:val="8"/>
        </w:rPr>
        <w:t>个月社保证明复印件；如投</w:t>
      </w:r>
      <w:r>
        <w:rPr>
          <w:b/>
          <w:bCs/>
          <w:spacing w:val="7"/>
        </w:rPr>
        <w:t>标人为事业单位，只需提供事业单位法人证书和单位人事部门盖章的</w:t>
      </w:r>
      <w:r>
        <w:rPr>
          <w:b/>
          <w:bCs/>
        </w:rPr>
        <w:t>包含委托代理人在内的在职人员名册复印件】（委托代</w:t>
      </w:r>
      <w:r>
        <w:rPr>
          <w:b/>
          <w:bCs/>
          <w:spacing w:val="-1"/>
        </w:rPr>
        <w:t>理时必须提供；</w:t>
      </w:r>
    </w:p>
    <w:p w14:paraId="461785D5">
      <w:pPr>
        <w:pStyle w:val="6"/>
        <w:spacing w:before="21" w:line="234" w:lineRule="auto"/>
        <w:ind w:left="26" w:right="3642" w:hanging="21"/>
        <w:outlineLvl w:val="9"/>
        <w:rPr>
          <w:sz w:val="30"/>
          <w:szCs w:val="30"/>
        </w:rPr>
      </w:pPr>
      <w:r>
        <w:rPr>
          <w:b/>
          <w:bCs/>
          <w:spacing w:val="5"/>
        </w:rPr>
        <w:t>若为新成立的企业，请根据实际情况提供）</w:t>
      </w:r>
      <w:r>
        <w:rPr>
          <w:b/>
          <w:bCs/>
          <w:spacing w:val="-15"/>
          <w:sz w:val="30"/>
          <w:szCs w:val="30"/>
        </w:rPr>
        <w:t>附件：</w:t>
      </w:r>
    </w:p>
    <w:p w14:paraId="651753D6">
      <w:pPr>
        <w:snapToGrid w:val="0"/>
        <w:spacing w:line="400" w:lineRule="exact"/>
        <w:jc w:val="center"/>
        <w:outlineLvl w:val="9"/>
        <w:rPr>
          <w:rFonts w:hint="eastAsia" w:hAnsi="宋体"/>
          <w:b/>
          <w:bCs/>
          <w:color w:val="000000"/>
          <w:szCs w:val="21"/>
          <w:highlight w:val="none"/>
        </w:rPr>
      </w:pPr>
      <w:r>
        <w:rPr>
          <w:rFonts w:hint="eastAsia" w:hAnsi="宋体"/>
          <w:b/>
          <w:color w:val="000000"/>
          <w:sz w:val="32"/>
          <w:highlight w:val="none"/>
        </w:rPr>
        <w:t>授权委托书（格式</w:t>
      </w:r>
      <w:r>
        <w:rPr>
          <w:rFonts w:hint="eastAsia" w:hAnsi="宋体" w:eastAsia="宋体"/>
          <w:b/>
          <w:color w:val="000000"/>
          <w:sz w:val="32"/>
          <w:highlight w:val="none"/>
          <w:lang w:val="en-US" w:eastAsia="zh-CN"/>
        </w:rPr>
        <w:t>一</w:t>
      </w:r>
      <w:r>
        <w:rPr>
          <w:rFonts w:hint="eastAsia" w:hAnsi="宋体"/>
          <w:b/>
          <w:color w:val="000000"/>
          <w:sz w:val="32"/>
          <w:highlight w:val="none"/>
        </w:rPr>
        <w:t>）</w:t>
      </w:r>
    </w:p>
    <w:p w14:paraId="12451292">
      <w:pPr>
        <w:pStyle w:val="6"/>
        <w:spacing w:before="253" w:line="228" w:lineRule="auto"/>
        <w:outlineLvl w:val="9"/>
        <w:rPr>
          <w:rFonts w:hint="eastAsia" w:eastAsia="宋体"/>
          <w:sz w:val="20"/>
          <w:szCs w:val="20"/>
          <w:lang w:eastAsia="zh-CN"/>
        </w:rPr>
      </w:pPr>
      <w:r>
        <w:rPr>
          <w:b/>
          <w:bCs/>
          <w:spacing w:val="9"/>
          <w:sz w:val="20"/>
          <w:szCs w:val="20"/>
        </w:rPr>
        <w:t>致</w:t>
      </w:r>
      <w:r>
        <w:rPr>
          <w:spacing w:val="9"/>
          <w:sz w:val="20"/>
          <w:szCs w:val="20"/>
        </w:rPr>
        <w:t>：</w:t>
      </w:r>
      <w:r>
        <w:rPr>
          <w:rFonts w:hint="eastAsia"/>
          <w:spacing w:val="9"/>
          <w:sz w:val="20"/>
          <w:szCs w:val="20"/>
          <w:u w:val="single" w:color="auto"/>
          <w:lang w:eastAsia="zh-CN"/>
        </w:rPr>
        <w:t>广西合士嘉项目咨询有限公司</w:t>
      </w:r>
    </w:p>
    <w:p w14:paraId="6223D85E">
      <w:pPr>
        <w:spacing w:line="242" w:lineRule="auto"/>
        <w:outlineLvl w:val="9"/>
        <w:rPr>
          <w:rFonts w:ascii="Arial"/>
          <w:sz w:val="21"/>
        </w:rPr>
      </w:pPr>
    </w:p>
    <w:p w14:paraId="747B88F0">
      <w:pPr>
        <w:spacing w:line="242" w:lineRule="auto"/>
        <w:outlineLvl w:val="9"/>
        <w:rPr>
          <w:rFonts w:ascii="Arial"/>
          <w:sz w:val="21"/>
        </w:rPr>
      </w:pPr>
    </w:p>
    <w:p w14:paraId="1A8B71AB">
      <w:pPr>
        <w:pStyle w:val="6"/>
        <w:spacing w:before="65" w:line="362" w:lineRule="auto"/>
        <w:ind w:left="1" w:right="78" w:firstLine="526"/>
        <w:jc w:val="both"/>
        <w:outlineLvl w:val="9"/>
        <w:rPr>
          <w:sz w:val="20"/>
          <w:szCs w:val="20"/>
        </w:rPr>
      </w:pPr>
      <w:r>
        <w:rPr>
          <w:spacing w:val="8"/>
          <w:sz w:val="20"/>
          <w:szCs w:val="20"/>
        </w:rPr>
        <w:t>我</w:t>
      </w:r>
      <w:r>
        <w:rPr>
          <w:rFonts w:hint="eastAsia"/>
          <w:spacing w:val="8"/>
          <w:sz w:val="20"/>
          <w:szCs w:val="20"/>
          <w:lang w:val="en-US" w:eastAsia="zh-CN"/>
        </w:rPr>
        <w:t xml:space="preserve"> </w:t>
      </w:r>
      <w:r>
        <w:rPr>
          <w:rFonts w:hint="eastAsia"/>
          <w:spacing w:val="8"/>
          <w:sz w:val="20"/>
          <w:szCs w:val="20"/>
          <w:u w:val="single"/>
          <w:lang w:val="en-US" w:eastAsia="zh-CN"/>
        </w:rPr>
        <w:t xml:space="preserve">    </w:t>
      </w:r>
      <w:r>
        <w:rPr>
          <w:spacing w:val="8"/>
          <w:sz w:val="20"/>
          <w:szCs w:val="20"/>
          <w:u w:val="single"/>
        </w:rPr>
        <w:t>（姓名）</w:t>
      </w:r>
      <w:r>
        <w:rPr>
          <w:spacing w:val="8"/>
          <w:sz w:val="20"/>
          <w:szCs w:val="20"/>
        </w:rPr>
        <w:t>系</w:t>
      </w:r>
      <w:r>
        <w:rPr>
          <w:spacing w:val="7"/>
          <w:sz w:val="20"/>
          <w:szCs w:val="20"/>
          <w:u w:val="single"/>
        </w:rPr>
        <w:t>（投标人名称）</w:t>
      </w:r>
      <w:r>
        <w:rPr>
          <w:spacing w:val="7"/>
          <w:sz w:val="20"/>
          <w:szCs w:val="20"/>
        </w:rPr>
        <w:t>的法定代表人（负责人</w:t>
      </w:r>
      <w:r>
        <w:rPr>
          <w:spacing w:val="12"/>
          <w:sz w:val="20"/>
          <w:szCs w:val="20"/>
        </w:rPr>
        <w:t>），</w:t>
      </w:r>
      <w:r>
        <w:rPr>
          <w:spacing w:val="7"/>
          <w:sz w:val="20"/>
          <w:szCs w:val="20"/>
        </w:rPr>
        <w:t>现授权委托本单位在职职工</w:t>
      </w:r>
      <w:r>
        <w:rPr>
          <w:spacing w:val="7"/>
          <w:sz w:val="20"/>
          <w:szCs w:val="20"/>
          <w:u w:val="single"/>
        </w:rPr>
        <w:t>（姓名）</w:t>
      </w:r>
      <w:r>
        <w:rPr>
          <w:spacing w:val="7"/>
          <w:sz w:val="20"/>
          <w:szCs w:val="20"/>
        </w:rPr>
        <w:t>以我公司名义参加</w:t>
      </w:r>
      <w:r>
        <w:rPr>
          <w:spacing w:val="6"/>
          <w:sz w:val="20"/>
          <w:szCs w:val="20"/>
          <w:u w:val="single" w:color="auto"/>
        </w:rPr>
        <w:t>（项目名称及项目编</w:t>
      </w:r>
      <w:r>
        <w:rPr>
          <w:spacing w:val="8"/>
          <w:sz w:val="20"/>
          <w:szCs w:val="20"/>
          <w:u w:val="single" w:color="auto"/>
        </w:rPr>
        <w:t>号）</w:t>
      </w:r>
      <w:r>
        <w:rPr>
          <w:spacing w:val="8"/>
          <w:sz w:val="20"/>
          <w:szCs w:val="20"/>
        </w:rPr>
        <w:t>项目的投标活动，并代表我方全权办理针对上述项目的投标、开标、评标、签约等具体事务</w:t>
      </w:r>
      <w:r>
        <w:rPr>
          <w:spacing w:val="7"/>
          <w:sz w:val="20"/>
          <w:szCs w:val="20"/>
        </w:rPr>
        <w:t>和签署相关文件。</w:t>
      </w:r>
    </w:p>
    <w:p w14:paraId="4826615E">
      <w:pPr>
        <w:pStyle w:val="6"/>
        <w:spacing w:before="32" w:line="228" w:lineRule="auto"/>
        <w:ind w:left="422"/>
        <w:outlineLvl w:val="9"/>
        <w:rPr>
          <w:sz w:val="20"/>
          <w:szCs w:val="20"/>
        </w:rPr>
      </w:pPr>
      <w:r>
        <w:rPr>
          <w:spacing w:val="8"/>
          <w:sz w:val="20"/>
          <w:szCs w:val="20"/>
        </w:rPr>
        <w:t>我方对被授权人的签字事项负全部责任。</w:t>
      </w:r>
    </w:p>
    <w:p w14:paraId="698846A1">
      <w:pPr>
        <w:pStyle w:val="6"/>
        <w:spacing w:before="154" w:line="227" w:lineRule="auto"/>
        <w:ind w:left="419"/>
        <w:outlineLvl w:val="9"/>
        <w:rPr>
          <w:sz w:val="20"/>
          <w:szCs w:val="20"/>
        </w:rPr>
      </w:pPr>
      <w:r>
        <w:rPr>
          <w:spacing w:val="7"/>
          <w:sz w:val="20"/>
          <w:szCs w:val="20"/>
        </w:rPr>
        <w:t>授权委托代理期限：自即日起至该项目政府采购活动结束。</w:t>
      </w:r>
    </w:p>
    <w:p w14:paraId="09211D60">
      <w:pPr>
        <w:spacing w:line="242" w:lineRule="auto"/>
        <w:outlineLvl w:val="9"/>
        <w:rPr>
          <w:rFonts w:ascii="Arial"/>
          <w:sz w:val="21"/>
        </w:rPr>
      </w:pPr>
    </w:p>
    <w:p w14:paraId="630F6757">
      <w:pPr>
        <w:spacing w:line="243" w:lineRule="auto"/>
        <w:outlineLvl w:val="9"/>
        <w:rPr>
          <w:rFonts w:ascii="Arial"/>
          <w:sz w:val="21"/>
        </w:rPr>
      </w:pPr>
    </w:p>
    <w:p w14:paraId="76B94035">
      <w:pPr>
        <w:pStyle w:val="6"/>
        <w:spacing w:before="65" w:line="228" w:lineRule="auto"/>
        <w:ind w:left="419"/>
        <w:outlineLvl w:val="9"/>
        <w:rPr>
          <w:sz w:val="20"/>
          <w:szCs w:val="20"/>
        </w:rPr>
      </w:pPr>
      <w:r>
        <w:rPr>
          <w:spacing w:val="8"/>
          <w:sz w:val="20"/>
          <w:szCs w:val="20"/>
        </w:rPr>
        <w:t>代理人无转委托权，特此委托。</w:t>
      </w:r>
    </w:p>
    <w:p w14:paraId="17E86F36">
      <w:pPr>
        <w:spacing w:line="242" w:lineRule="auto"/>
        <w:outlineLvl w:val="9"/>
        <w:rPr>
          <w:rFonts w:ascii="Arial"/>
          <w:sz w:val="21"/>
        </w:rPr>
      </w:pPr>
    </w:p>
    <w:p w14:paraId="498D3ED8">
      <w:pPr>
        <w:spacing w:line="242" w:lineRule="auto"/>
        <w:outlineLvl w:val="9"/>
        <w:rPr>
          <w:rFonts w:ascii="Arial"/>
          <w:sz w:val="21"/>
        </w:rPr>
      </w:pPr>
    </w:p>
    <w:p w14:paraId="4F4B5223">
      <w:pPr>
        <w:pStyle w:val="6"/>
        <w:spacing w:before="65" w:line="228" w:lineRule="auto"/>
        <w:ind w:left="422"/>
        <w:outlineLvl w:val="9"/>
        <w:rPr>
          <w:sz w:val="20"/>
          <w:szCs w:val="20"/>
        </w:rPr>
      </w:pPr>
      <w:r>
        <w:rPr>
          <w:spacing w:val="5"/>
          <w:sz w:val="20"/>
          <w:szCs w:val="20"/>
        </w:rPr>
        <w:t>我已在下面签字，以资证明。</w:t>
      </w:r>
    </w:p>
    <w:p w14:paraId="4F60B6BF">
      <w:pPr>
        <w:spacing w:line="243" w:lineRule="auto"/>
        <w:outlineLvl w:val="9"/>
        <w:rPr>
          <w:rFonts w:ascii="Arial"/>
          <w:sz w:val="21"/>
        </w:rPr>
      </w:pPr>
    </w:p>
    <w:p w14:paraId="5D815D7F">
      <w:pPr>
        <w:spacing w:line="243" w:lineRule="auto"/>
        <w:outlineLvl w:val="9"/>
        <w:rPr>
          <w:rFonts w:ascii="Arial"/>
          <w:sz w:val="21"/>
        </w:rPr>
      </w:pPr>
    </w:p>
    <w:p w14:paraId="3D612345">
      <w:pPr>
        <w:pStyle w:val="6"/>
        <w:spacing w:before="66" w:line="227" w:lineRule="auto"/>
        <w:ind w:left="422"/>
        <w:outlineLvl w:val="9"/>
        <w:rPr>
          <w:sz w:val="20"/>
          <w:szCs w:val="20"/>
        </w:rPr>
      </w:pPr>
      <w:r>
        <w:rPr>
          <w:spacing w:val="8"/>
          <w:sz w:val="20"/>
          <w:szCs w:val="20"/>
        </w:rPr>
        <w:t>投标人</w:t>
      </w:r>
      <w:r>
        <w:rPr>
          <w:b/>
          <w:bCs/>
          <w:spacing w:val="8"/>
          <w:sz w:val="20"/>
          <w:szCs w:val="20"/>
        </w:rPr>
        <w:t>（</w:t>
      </w:r>
      <w:r>
        <w:rPr>
          <w:rFonts w:hint="eastAsia"/>
          <w:b/>
          <w:bCs/>
          <w:spacing w:val="8"/>
          <w:sz w:val="20"/>
          <w:szCs w:val="20"/>
          <w:lang w:val="en-US" w:eastAsia="zh-CN"/>
        </w:rPr>
        <w:t>公章或</w:t>
      </w:r>
      <w:r>
        <w:rPr>
          <w:b/>
          <w:bCs/>
          <w:sz w:val="20"/>
          <w:szCs w:val="20"/>
        </w:rPr>
        <w:t>CA</w:t>
      </w:r>
      <w:r>
        <w:rPr>
          <w:b/>
          <w:bCs/>
          <w:spacing w:val="8"/>
          <w:sz w:val="20"/>
          <w:szCs w:val="20"/>
        </w:rPr>
        <w:t>认证证书签章</w:t>
      </w:r>
      <w:r>
        <w:rPr>
          <w:b/>
          <w:bCs/>
          <w:spacing w:val="-1"/>
          <w:sz w:val="20"/>
          <w:szCs w:val="20"/>
        </w:rPr>
        <w:t>）</w:t>
      </w:r>
      <w:r>
        <w:rPr>
          <w:spacing w:val="-1"/>
          <w:sz w:val="20"/>
          <w:szCs w:val="20"/>
        </w:rPr>
        <w:t>：</w:t>
      </w:r>
    </w:p>
    <w:p w14:paraId="77CE01D4">
      <w:pPr>
        <w:spacing w:line="243" w:lineRule="auto"/>
        <w:outlineLvl w:val="9"/>
        <w:rPr>
          <w:rFonts w:ascii="Arial"/>
          <w:sz w:val="21"/>
        </w:rPr>
      </w:pPr>
    </w:p>
    <w:p w14:paraId="7A1C36A1">
      <w:pPr>
        <w:pStyle w:val="6"/>
        <w:keepNext w:val="0"/>
        <w:keepLines w:val="0"/>
        <w:pageBreakBefore w:val="0"/>
        <w:widowControl/>
        <w:kinsoku w:val="0"/>
        <w:wordWrap/>
        <w:overflowPunct/>
        <w:topLinePunct w:val="0"/>
        <w:autoSpaceDE w:val="0"/>
        <w:autoSpaceDN w:val="0"/>
        <w:bidi w:val="0"/>
        <w:adjustRightInd w:val="0"/>
        <w:snapToGrid w:val="0"/>
        <w:spacing w:before="66" w:line="320" w:lineRule="exact"/>
        <w:ind w:left="421"/>
        <w:textAlignment w:val="baseline"/>
        <w:outlineLvl w:val="9"/>
        <w:rPr>
          <w:spacing w:val="7"/>
          <w:sz w:val="20"/>
          <w:szCs w:val="20"/>
        </w:rPr>
      </w:pPr>
      <w:r>
        <w:rPr>
          <w:spacing w:val="6"/>
          <w:sz w:val="20"/>
          <w:szCs w:val="20"/>
        </w:rPr>
        <w:t>法定代表人（负责人）</w:t>
      </w:r>
      <w:r>
        <w:rPr>
          <w:b/>
          <w:bCs/>
          <w:spacing w:val="6"/>
          <w:sz w:val="20"/>
          <w:szCs w:val="20"/>
        </w:rPr>
        <w:t>（</w:t>
      </w:r>
      <w:r>
        <w:rPr>
          <w:rFonts w:hint="eastAsia"/>
          <w:b/>
          <w:bCs/>
          <w:spacing w:val="6"/>
          <w:sz w:val="20"/>
          <w:szCs w:val="20"/>
          <w:lang w:val="en-US" w:eastAsia="zh-CN"/>
        </w:rPr>
        <w:t>签字</w:t>
      </w:r>
      <w:r>
        <w:rPr>
          <w:b/>
          <w:bCs/>
          <w:spacing w:val="6"/>
          <w:sz w:val="20"/>
          <w:szCs w:val="20"/>
        </w:rPr>
        <w:t>或个人</w:t>
      </w:r>
      <w:r>
        <w:rPr>
          <w:b/>
          <w:bCs/>
          <w:sz w:val="20"/>
          <w:szCs w:val="20"/>
        </w:rPr>
        <w:t>CA</w:t>
      </w:r>
      <w:r>
        <w:rPr>
          <w:b/>
          <w:bCs/>
          <w:spacing w:val="6"/>
          <w:sz w:val="20"/>
          <w:szCs w:val="20"/>
        </w:rPr>
        <w:t>认证证书签章</w:t>
      </w:r>
      <w:r>
        <w:rPr>
          <w:b/>
          <w:bCs/>
          <w:spacing w:val="7"/>
          <w:sz w:val="20"/>
          <w:szCs w:val="20"/>
        </w:rPr>
        <w:t>）</w:t>
      </w:r>
      <w:r>
        <w:rPr>
          <w:spacing w:val="7"/>
          <w:sz w:val="20"/>
          <w:szCs w:val="20"/>
        </w:rPr>
        <w:t>：</w:t>
      </w:r>
    </w:p>
    <w:p w14:paraId="4FDAE25A">
      <w:pPr>
        <w:pStyle w:val="6"/>
        <w:rPr>
          <w:rFonts w:hint="eastAsia"/>
          <w:spacing w:val="6"/>
          <w:sz w:val="20"/>
          <w:szCs w:val="20"/>
          <w:lang w:val="en-US" w:eastAsia="zh-CN"/>
        </w:rPr>
      </w:pPr>
    </w:p>
    <w:p w14:paraId="0AEDFDB8">
      <w:pPr>
        <w:pStyle w:val="6"/>
        <w:ind w:firstLine="424" w:firstLineChars="200"/>
        <w:rPr>
          <w:rFonts w:hint="default" w:eastAsia="宋体"/>
          <w:spacing w:val="6"/>
          <w:sz w:val="20"/>
          <w:szCs w:val="20"/>
          <w:lang w:val="en-US" w:eastAsia="zh-CN"/>
        </w:rPr>
      </w:pPr>
      <w:r>
        <w:rPr>
          <w:rFonts w:hint="eastAsia"/>
          <w:spacing w:val="6"/>
          <w:sz w:val="20"/>
          <w:szCs w:val="20"/>
          <w:lang w:val="en-US" w:eastAsia="zh-CN"/>
        </w:rPr>
        <w:t>日期:</w:t>
      </w:r>
    </w:p>
    <w:p w14:paraId="413DB999">
      <w:pPr>
        <w:pStyle w:val="6"/>
        <w:rPr>
          <w:rFonts w:hint="eastAsia" w:eastAsia="宋体"/>
          <w:spacing w:val="6"/>
          <w:sz w:val="20"/>
          <w:szCs w:val="20"/>
          <w:lang w:val="en-US" w:eastAsia="zh-CN"/>
        </w:rPr>
      </w:pPr>
    </w:p>
    <w:p w14:paraId="00F87C3B">
      <w:pPr>
        <w:pStyle w:val="6"/>
        <w:rPr>
          <w:rFonts w:hint="eastAsia" w:eastAsia="宋体"/>
          <w:spacing w:val="6"/>
          <w:sz w:val="20"/>
          <w:szCs w:val="20"/>
          <w:lang w:val="en-US" w:eastAsia="zh-CN"/>
        </w:rPr>
      </w:pPr>
    </w:p>
    <w:p w14:paraId="7CDE824F">
      <w:pPr>
        <w:pStyle w:val="6"/>
        <w:rPr>
          <w:rFonts w:hint="eastAsia" w:eastAsia="宋体"/>
          <w:spacing w:val="6"/>
          <w:sz w:val="20"/>
          <w:szCs w:val="20"/>
          <w:lang w:val="en-US" w:eastAsia="zh-CN"/>
        </w:rPr>
      </w:pPr>
    </w:p>
    <w:p w14:paraId="70A1ED37">
      <w:pPr>
        <w:pStyle w:val="6"/>
        <w:spacing w:before="59" w:line="323" w:lineRule="auto"/>
        <w:ind w:right="77" w:firstLine="13"/>
        <w:jc w:val="both"/>
        <w:outlineLvl w:val="9"/>
        <w:rPr>
          <w:rFonts w:hint="eastAsia"/>
          <w:b/>
          <w:bCs/>
          <w:spacing w:val="-4"/>
          <w:sz w:val="21"/>
          <w:szCs w:val="21"/>
          <w:lang w:eastAsia="zh-CN"/>
        </w:rPr>
      </w:pPr>
      <w:r>
        <w:rPr>
          <w:b/>
          <w:bCs/>
          <w:spacing w:val="-3"/>
          <w:sz w:val="21"/>
          <w:szCs w:val="21"/>
        </w:rPr>
        <w:t>附：</w:t>
      </w:r>
      <w:r>
        <w:rPr>
          <w:spacing w:val="-3"/>
          <w:sz w:val="21"/>
          <w:szCs w:val="21"/>
        </w:rPr>
        <w:t>委托代理人身份证正反面复印件以及由县级以上（含县级）社会养老保险经办机构出具的投标人为委托代理人交纳</w:t>
      </w:r>
      <w:r>
        <w:rPr>
          <w:rFonts w:hint="eastAsia"/>
          <w:spacing w:val="-3"/>
          <w:sz w:val="21"/>
          <w:szCs w:val="21"/>
          <w:lang w:eastAsia="zh-CN"/>
        </w:rPr>
        <w:t>2026</w:t>
      </w:r>
      <w:r>
        <w:rPr>
          <w:spacing w:val="-2"/>
          <w:sz w:val="21"/>
          <w:szCs w:val="21"/>
        </w:rPr>
        <w:t>年</w:t>
      </w:r>
      <w:r>
        <w:rPr>
          <w:rFonts w:hint="eastAsia"/>
          <w:spacing w:val="-2"/>
          <w:sz w:val="21"/>
          <w:szCs w:val="21"/>
          <w:lang w:val="en-US" w:eastAsia="zh-CN"/>
        </w:rPr>
        <w:t>1</w:t>
      </w:r>
      <w:r>
        <w:rPr>
          <w:spacing w:val="-2"/>
          <w:sz w:val="21"/>
          <w:szCs w:val="21"/>
        </w:rPr>
        <w:t>月至投标截止时间内</w:t>
      </w:r>
      <w:r>
        <w:rPr>
          <w:rFonts w:hint="eastAsia"/>
          <w:spacing w:val="-2"/>
          <w:sz w:val="21"/>
          <w:szCs w:val="21"/>
          <w:lang w:val="en-US" w:eastAsia="zh-CN"/>
        </w:rPr>
        <w:t>任意一</w:t>
      </w:r>
      <w:r>
        <w:rPr>
          <w:spacing w:val="-2"/>
          <w:sz w:val="21"/>
          <w:szCs w:val="21"/>
        </w:rPr>
        <w:t>个月社保证明复印件【自然人投标的应提供由县级以上（含县级）社会养老保险经办</w:t>
      </w:r>
      <w:r>
        <w:rPr>
          <w:spacing w:val="-3"/>
          <w:sz w:val="21"/>
          <w:szCs w:val="21"/>
        </w:rPr>
        <w:t>机构出</w:t>
      </w:r>
      <w:r>
        <w:rPr>
          <w:spacing w:val="-1"/>
          <w:sz w:val="21"/>
          <w:szCs w:val="21"/>
        </w:rPr>
        <w:t>具的</w:t>
      </w:r>
      <w:r>
        <w:rPr>
          <w:rFonts w:hint="eastAsia"/>
          <w:spacing w:val="-1"/>
          <w:sz w:val="21"/>
          <w:szCs w:val="21"/>
          <w:lang w:eastAsia="zh-CN"/>
        </w:rPr>
        <w:t>2026</w:t>
      </w:r>
      <w:r>
        <w:rPr>
          <w:spacing w:val="-1"/>
          <w:sz w:val="21"/>
          <w:szCs w:val="21"/>
        </w:rPr>
        <w:t>年</w:t>
      </w:r>
      <w:r>
        <w:rPr>
          <w:rFonts w:hint="eastAsia"/>
          <w:spacing w:val="-1"/>
          <w:sz w:val="21"/>
          <w:szCs w:val="21"/>
          <w:lang w:val="en-US" w:eastAsia="zh-CN"/>
        </w:rPr>
        <w:t>1</w:t>
      </w:r>
      <w:r>
        <w:rPr>
          <w:spacing w:val="-1"/>
          <w:sz w:val="21"/>
          <w:szCs w:val="21"/>
        </w:rPr>
        <w:t>月至投标截止时间内</w:t>
      </w:r>
      <w:r>
        <w:rPr>
          <w:rFonts w:hint="eastAsia"/>
          <w:spacing w:val="-1"/>
          <w:sz w:val="21"/>
          <w:szCs w:val="21"/>
          <w:lang w:val="en-US" w:eastAsia="zh-CN"/>
        </w:rPr>
        <w:t>任意一</w:t>
      </w:r>
      <w:r>
        <w:rPr>
          <w:spacing w:val="-1"/>
          <w:sz w:val="21"/>
          <w:szCs w:val="21"/>
        </w:rPr>
        <w:t>个月社保证</w:t>
      </w:r>
      <w:r>
        <w:rPr>
          <w:spacing w:val="-2"/>
          <w:sz w:val="21"/>
          <w:szCs w:val="21"/>
        </w:rPr>
        <w:t>明复印件；</w:t>
      </w:r>
      <w:r>
        <w:rPr>
          <w:b w:val="0"/>
          <w:bCs w:val="0"/>
          <w:spacing w:val="-2"/>
          <w:sz w:val="21"/>
          <w:szCs w:val="21"/>
        </w:rPr>
        <w:t>如投标人为事业单位，只需提供事业单位法人证书和单位</w:t>
      </w:r>
      <w:r>
        <w:rPr>
          <w:b w:val="0"/>
          <w:bCs w:val="0"/>
          <w:sz w:val="21"/>
          <w:szCs w:val="21"/>
        </w:rPr>
        <w:t>人事部门盖章的包含委托代理人在内的在职人员名册复印件】</w:t>
      </w:r>
      <w:r>
        <w:rPr>
          <w:b/>
          <w:bCs/>
          <w:sz w:val="21"/>
          <w:szCs w:val="21"/>
        </w:rPr>
        <w:t>（委托代理时必须提供；若为新成立的</w:t>
      </w:r>
      <w:r>
        <w:rPr>
          <w:b/>
          <w:bCs/>
          <w:spacing w:val="-1"/>
          <w:sz w:val="21"/>
          <w:szCs w:val="21"/>
        </w:rPr>
        <w:t>企业，请根据实际情</w:t>
      </w:r>
      <w:r>
        <w:rPr>
          <w:b/>
          <w:bCs/>
          <w:spacing w:val="-4"/>
          <w:sz w:val="21"/>
          <w:szCs w:val="21"/>
        </w:rPr>
        <w:t>况提供）</w:t>
      </w:r>
      <w:r>
        <w:rPr>
          <w:rFonts w:hint="eastAsia"/>
          <w:b/>
          <w:bCs/>
          <w:spacing w:val="-4"/>
          <w:sz w:val="21"/>
          <w:szCs w:val="21"/>
          <w:lang w:eastAsia="zh-CN"/>
        </w:rPr>
        <w:t>。</w:t>
      </w:r>
    </w:p>
    <w:p w14:paraId="3907375A">
      <w:pPr>
        <w:pStyle w:val="6"/>
        <w:spacing w:before="59" w:line="323" w:lineRule="auto"/>
        <w:ind w:right="77" w:firstLine="13"/>
        <w:jc w:val="both"/>
        <w:outlineLvl w:val="9"/>
        <w:rPr>
          <w:rFonts w:hint="eastAsia"/>
          <w:b/>
          <w:bCs/>
          <w:spacing w:val="-4"/>
          <w:sz w:val="21"/>
          <w:szCs w:val="21"/>
          <w:lang w:eastAsia="zh-CN"/>
        </w:rPr>
      </w:pPr>
    </w:p>
    <w:p w14:paraId="279983CA">
      <w:pPr>
        <w:pStyle w:val="6"/>
        <w:spacing w:before="59" w:line="323" w:lineRule="auto"/>
        <w:ind w:right="77" w:firstLine="13"/>
        <w:jc w:val="both"/>
        <w:outlineLvl w:val="9"/>
        <w:rPr>
          <w:rFonts w:hint="eastAsia"/>
          <w:b/>
          <w:bCs/>
          <w:spacing w:val="-4"/>
          <w:sz w:val="21"/>
          <w:szCs w:val="21"/>
          <w:lang w:eastAsia="zh-CN"/>
        </w:rPr>
      </w:pPr>
    </w:p>
    <w:p w14:paraId="2065691D">
      <w:pPr>
        <w:bidi w:val="0"/>
        <w:rPr>
          <w:rFonts w:hint="eastAsia"/>
          <w:lang w:eastAsia="zh-CN"/>
        </w:rPr>
      </w:pPr>
    </w:p>
    <w:p w14:paraId="2028AE43">
      <w:pPr>
        <w:bidi w:val="0"/>
        <w:rPr>
          <w:rFonts w:hint="eastAsia"/>
          <w:lang w:eastAsia="zh-CN"/>
        </w:rPr>
      </w:pPr>
    </w:p>
    <w:p w14:paraId="2EBB81C9">
      <w:pPr>
        <w:bidi w:val="0"/>
        <w:rPr>
          <w:rFonts w:hint="eastAsia"/>
          <w:lang w:eastAsia="zh-CN"/>
        </w:rPr>
      </w:pPr>
    </w:p>
    <w:p w14:paraId="07489155">
      <w:pPr>
        <w:snapToGrid w:val="0"/>
        <w:spacing w:line="400" w:lineRule="exact"/>
        <w:jc w:val="center"/>
        <w:outlineLvl w:val="9"/>
        <w:rPr>
          <w:rFonts w:hint="eastAsia" w:hAnsi="宋体"/>
          <w:b/>
          <w:bCs/>
          <w:color w:val="000000"/>
          <w:szCs w:val="21"/>
          <w:highlight w:val="none"/>
        </w:rPr>
      </w:pPr>
      <w:r>
        <w:rPr>
          <w:rFonts w:hint="eastAsia" w:hAnsi="宋体"/>
          <w:b/>
          <w:color w:val="000000"/>
          <w:sz w:val="32"/>
          <w:highlight w:val="none"/>
        </w:rPr>
        <w:t>授权委托书（格式</w:t>
      </w:r>
      <w:r>
        <w:rPr>
          <w:rFonts w:hint="eastAsia" w:hAnsi="宋体" w:eastAsia="宋体"/>
          <w:b/>
          <w:color w:val="000000"/>
          <w:sz w:val="32"/>
          <w:highlight w:val="none"/>
          <w:lang w:val="en-US" w:eastAsia="zh-CN"/>
        </w:rPr>
        <w:t>二</w:t>
      </w:r>
      <w:r>
        <w:rPr>
          <w:rFonts w:hint="eastAsia" w:hAnsi="宋体"/>
          <w:b/>
          <w:color w:val="000000"/>
          <w:sz w:val="32"/>
          <w:highlight w:val="none"/>
        </w:rPr>
        <w:t>）</w:t>
      </w:r>
    </w:p>
    <w:p w14:paraId="4B4B01B9">
      <w:pPr>
        <w:pStyle w:val="6"/>
        <w:spacing w:before="253" w:line="228" w:lineRule="auto"/>
        <w:outlineLvl w:val="9"/>
        <w:rPr>
          <w:rFonts w:hint="eastAsia" w:eastAsia="宋体"/>
          <w:sz w:val="20"/>
          <w:szCs w:val="20"/>
          <w:lang w:eastAsia="zh-CN"/>
        </w:rPr>
      </w:pPr>
      <w:r>
        <w:rPr>
          <w:b/>
          <w:bCs/>
          <w:spacing w:val="9"/>
          <w:sz w:val="20"/>
          <w:szCs w:val="20"/>
        </w:rPr>
        <w:t>致</w:t>
      </w:r>
      <w:r>
        <w:rPr>
          <w:spacing w:val="9"/>
          <w:sz w:val="20"/>
          <w:szCs w:val="20"/>
        </w:rPr>
        <w:t>：</w:t>
      </w:r>
      <w:r>
        <w:rPr>
          <w:rFonts w:hint="eastAsia"/>
          <w:spacing w:val="9"/>
          <w:sz w:val="20"/>
          <w:szCs w:val="20"/>
          <w:u w:val="single" w:color="auto"/>
          <w:lang w:eastAsia="zh-CN"/>
        </w:rPr>
        <w:t>广西合士嘉项目咨询有限公司</w:t>
      </w:r>
    </w:p>
    <w:p w14:paraId="0DA0082D">
      <w:pPr>
        <w:spacing w:line="242" w:lineRule="auto"/>
        <w:outlineLvl w:val="9"/>
        <w:rPr>
          <w:rFonts w:ascii="Arial"/>
          <w:sz w:val="21"/>
        </w:rPr>
      </w:pPr>
    </w:p>
    <w:p w14:paraId="68D6B275">
      <w:pPr>
        <w:spacing w:line="242" w:lineRule="auto"/>
        <w:outlineLvl w:val="9"/>
        <w:rPr>
          <w:rFonts w:ascii="Arial"/>
          <w:sz w:val="21"/>
        </w:rPr>
      </w:pPr>
    </w:p>
    <w:p w14:paraId="6B6B2C99">
      <w:pPr>
        <w:pStyle w:val="6"/>
        <w:spacing w:before="65" w:line="362" w:lineRule="auto"/>
        <w:ind w:left="1" w:right="78" w:firstLine="526"/>
        <w:jc w:val="both"/>
        <w:outlineLvl w:val="9"/>
        <w:rPr>
          <w:sz w:val="20"/>
          <w:szCs w:val="20"/>
        </w:rPr>
      </w:pPr>
      <w:r>
        <w:rPr>
          <w:spacing w:val="8"/>
          <w:sz w:val="20"/>
          <w:szCs w:val="20"/>
        </w:rPr>
        <w:t>我</w:t>
      </w:r>
      <w:r>
        <w:rPr>
          <w:rFonts w:hint="eastAsia"/>
          <w:spacing w:val="8"/>
          <w:sz w:val="20"/>
          <w:szCs w:val="20"/>
          <w:lang w:val="en-US" w:eastAsia="zh-CN"/>
        </w:rPr>
        <w:t xml:space="preserve"> </w:t>
      </w:r>
      <w:r>
        <w:rPr>
          <w:rFonts w:hint="eastAsia"/>
          <w:spacing w:val="8"/>
          <w:sz w:val="20"/>
          <w:szCs w:val="20"/>
          <w:u w:val="single"/>
          <w:lang w:val="en-US" w:eastAsia="zh-CN"/>
        </w:rPr>
        <w:t xml:space="preserve">    </w:t>
      </w:r>
      <w:r>
        <w:rPr>
          <w:spacing w:val="8"/>
          <w:sz w:val="20"/>
          <w:szCs w:val="20"/>
          <w:u w:val="single"/>
        </w:rPr>
        <w:t>（姓名）</w:t>
      </w:r>
      <w:r>
        <w:rPr>
          <w:spacing w:val="8"/>
          <w:sz w:val="20"/>
          <w:szCs w:val="20"/>
        </w:rPr>
        <w:t>系</w:t>
      </w:r>
      <w:r>
        <w:rPr>
          <w:rFonts w:hint="eastAsia"/>
          <w:spacing w:val="7"/>
          <w:sz w:val="20"/>
          <w:szCs w:val="20"/>
          <w:u w:val="none"/>
          <w:lang w:val="en-US" w:eastAsia="zh-CN"/>
        </w:rPr>
        <w:t>自然人</w:t>
      </w:r>
      <w:r>
        <w:rPr>
          <w:spacing w:val="12"/>
          <w:sz w:val="20"/>
          <w:szCs w:val="20"/>
        </w:rPr>
        <w:t>，</w:t>
      </w:r>
      <w:r>
        <w:rPr>
          <w:spacing w:val="7"/>
          <w:sz w:val="20"/>
          <w:szCs w:val="20"/>
        </w:rPr>
        <w:t>现授权委托</w:t>
      </w:r>
      <w:r>
        <w:rPr>
          <w:spacing w:val="7"/>
          <w:sz w:val="20"/>
          <w:szCs w:val="20"/>
          <w:u w:val="single"/>
        </w:rPr>
        <w:t>（姓名）</w:t>
      </w:r>
      <w:r>
        <w:rPr>
          <w:spacing w:val="7"/>
          <w:sz w:val="20"/>
          <w:szCs w:val="20"/>
        </w:rPr>
        <w:t>以我名义参加</w:t>
      </w:r>
      <w:r>
        <w:rPr>
          <w:spacing w:val="6"/>
          <w:sz w:val="20"/>
          <w:szCs w:val="20"/>
          <w:u w:val="single" w:color="auto"/>
        </w:rPr>
        <w:t>（项目名称及项目编</w:t>
      </w:r>
      <w:r>
        <w:rPr>
          <w:spacing w:val="8"/>
          <w:sz w:val="20"/>
          <w:szCs w:val="20"/>
          <w:u w:val="single" w:color="auto"/>
        </w:rPr>
        <w:t>号）</w:t>
      </w:r>
      <w:r>
        <w:rPr>
          <w:spacing w:val="8"/>
          <w:sz w:val="20"/>
          <w:szCs w:val="20"/>
        </w:rPr>
        <w:t>项目的投标活动，并代表我方全权办理针对上述项目的投标、开标、评标、签约等具体事务</w:t>
      </w:r>
      <w:r>
        <w:rPr>
          <w:spacing w:val="7"/>
          <w:sz w:val="20"/>
          <w:szCs w:val="20"/>
        </w:rPr>
        <w:t>和签署相关文件。</w:t>
      </w:r>
    </w:p>
    <w:p w14:paraId="696332D0">
      <w:pPr>
        <w:pStyle w:val="6"/>
        <w:spacing w:before="32" w:line="228" w:lineRule="auto"/>
        <w:ind w:left="422"/>
        <w:outlineLvl w:val="9"/>
        <w:rPr>
          <w:sz w:val="20"/>
          <w:szCs w:val="20"/>
        </w:rPr>
      </w:pPr>
      <w:r>
        <w:rPr>
          <w:spacing w:val="8"/>
          <w:sz w:val="20"/>
          <w:szCs w:val="20"/>
        </w:rPr>
        <w:t>我方对被授权人的签字事项负全部责任。</w:t>
      </w:r>
    </w:p>
    <w:p w14:paraId="1BBC049C">
      <w:pPr>
        <w:pStyle w:val="6"/>
        <w:spacing w:before="154" w:line="227" w:lineRule="auto"/>
        <w:ind w:left="419"/>
        <w:outlineLvl w:val="9"/>
        <w:rPr>
          <w:sz w:val="20"/>
          <w:szCs w:val="20"/>
        </w:rPr>
      </w:pPr>
      <w:r>
        <w:rPr>
          <w:spacing w:val="7"/>
          <w:sz w:val="20"/>
          <w:szCs w:val="20"/>
        </w:rPr>
        <w:t>授权委托代理期限：自即日起至该项目政府采购活动结束。</w:t>
      </w:r>
    </w:p>
    <w:p w14:paraId="40CC6979">
      <w:pPr>
        <w:spacing w:line="242" w:lineRule="auto"/>
        <w:outlineLvl w:val="9"/>
        <w:rPr>
          <w:rFonts w:ascii="Arial"/>
          <w:sz w:val="21"/>
        </w:rPr>
      </w:pPr>
    </w:p>
    <w:p w14:paraId="27FF68A4">
      <w:pPr>
        <w:spacing w:line="243" w:lineRule="auto"/>
        <w:outlineLvl w:val="9"/>
        <w:rPr>
          <w:rFonts w:ascii="Arial"/>
          <w:sz w:val="21"/>
        </w:rPr>
      </w:pPr>
    </w:p>
    <w:p w14:paraId="2651F21B">
      <w:pPr>
        <w:pStyle w:val="6"/>
        <w:spacing w:before="65" w:line="228" w:lineRule="auto"/>
        <w:ind w:left="419"/>
        <w:outlineLvl w:val="9"/>
        <w:rPr>
          <w:sz w:val="20"/>
          <w:szCs w:val="20"/>
        </w:rPr>
      </w:pPr>
      <w:r>
        <w:rPr>
          <w:spacing w:val="8"/>
          <w:sz w:val="20"/>
          <w:szCs w:val="20"/>
        </w:rPr>
        <w:t>代理人无转委托权，特此委托。</w:t>
      </w:r>
    </w:p>
    <w:p w14:paraId="2A07B242">
      <w:pPr>
        <w:spacing w:line="242" w:lineRule="auto"/>
        <w:outlineLvl w:val="9"/>
        <w:rPr>
          <w:rFonts w:ascii="Arial"/>
          <w:sz w:val="21"/>
        </w:rPr>
      </w:pPr>
    </w:p>
    <w:p w14:paraId="5C7060FF">
      <w:pPr>
        <w:spacing w:line="242" w:lineRule="auto"/>
        <w:outlineLvl w:val="9"/>
        <w:rPr>
          <w:rFonts w:ascii="Arial"/>
          <w:sz w:val="21"/>
        </w:rPr>
      </w:pPr>
    </w:p>
    <w:p w14:paraId="24E3C1E9">
      <w:pPr>
        <w:pStyle w:val="6"/>
        <w:spacing w:before="65" w:line="228" w:lineRule="auto"/>
        <w:ind w:left="422"/>
        <w:outlineLvl w:val="9"/>
        <w:rPr>
          <w:sz w:val="20"/>
          <w:szCs w:val="20"/>
        </w:rPr>
      </w:pPr>
      <w:r>
        <w:rPr>
          <w:spacing w:val="5"/>
          <w:sz w:val="20"/>
          <w:szCs w:val="20"/>
        </w:rPr>
        <w:t>我已在下面签字，以资证明。</w:t>
      </w:r>
    </w:p>
    <w:p w14:paraId="64DEBB5A">
      <w:pPr>
        <w:spacing w:line="243" w:lineRule="auto"/>
        <w:outlineLvl w:val="9"/>
        <w:rPr>
          <w:rFonts w:ascii="Arial"/>
          <w:sz w:val="21"/>
        </w:rPr>
      </w:pPr>
    </w:p>
    <w:p w14:paraId="5A28A2F7">
      <w:pPr>
        <w:spacing w:line="243" w:lineRule="auto"/>
        <w:outlineLvl w:val="9"/>
        <w:rPr>
          <w:rFonts w:ascii="Arial"/>
          <w:sz w:val="21"/>
        </w:rPr>
      </w:pPr>
    </w:p>
    <w:p w14:paraId="3CF321C1">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自然人签字并在签名处加盖食指指印：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3E34582">
      <w:pPr>
        <w:pStyle w:val="6"/>
        <w:rPr>
          <w:rFonts w:hint="eastAsia"/>
          <w:spacing w:val="6"/>
          <w:sz w:val="20"/>
          <w:szCs w:val="20"/>
          <w:lang w:val="en-US" w:eastAsia="zh-CN"/>
        </w:rPr>
      </w:pPr>
    </w:p>
    <w:p w14:paraId="7C1CC43D">
      <w:pPr>
        <w:pStyle w:val="6"/>
        <w:ind w:firstLine="424" w:firstLineChars="200"/>
        <w:rPr>
          <w:rFonts w:hint="default" w:eastAsia="宋体"/>
          <w:spacing w:val="6"/>
          <w:sz w:val="20"/>
          <w:szCs w:val="20"/>
          <w:lang w:val="en-US" w:eastAsia="zh-CN"/>
        </w:rPr>
      </w:pPr>
      <w:r>
        <w:rPr>
          <w:rFonts w:hint="eastAsia"/>
          <w:spacing w:val="6"/>
          <w:sz w:val="20"/>
          <w:szCs w:val="20"/>
          <w:lang w:val="en-US" w:eastAsia="zh-CN"/>
        </w:rPr>
        <w:t>日期:</w:t>
      </w:r>
    </w:p>
    <w:p w14:paraId="657A86B9">
      <w:pPr>
        <w:pStyle w:val="6"/>
        <w:rPr>
          <w:rFonts w:hint="eastAsia" w:eastAsia="宋体"/>
          <w:spacing w:val="6"/>
          <w:sz w:val="20"/>
          <w:szCs w:val="20"/>
          <w:lang w:val="en-US" w:eastAsia="zh-CN"/>
        </w:rPr>
      </w:pPr>
    </w:p>
    <w:p w14:paraId="130DFD7F">
      <w:pPr>
        <w:pStyle w:val="6"/>
        <w:rPr>
          <w:rFonts w:hint="eastAsia" w:eastAsia="宋体"/>
          <w:spacing w:val="6"/>
          <w:sz w:val="20"/>
          <w:szCs w:val="20"/>
          <w:lang w:val="en-US" w:eastAsia="zh-CN"/>
        </w:rPr>
      </w:pPr>
    </w:p>
    <w:p w14:paraId="37A8AC4B">
      <w:pPr>
        <w:pStyle w:val="6"/>
        <w:rPr>
          <w:rFonts w:hint="eastAsia" w:eastAsia="宋体"/>
          <w:spacing w:val="6"/>
          <w:sz w:val="20"/>
          <w:szCs w:val="20"/>
          <w:lang w:val="en-US" w:eastAsia="zh-CN"/>
        </w:rPr>
      </w:pPr>
    </w:p>
    <w:p w14:paraId="1F67AB88">
      <w:pPr>
        <w:pStyle w:val="6"/>
        <w:spacing w:before="59" w:line="323" w:lineRule="auto"/>
        <w:ind w:right="77" w:firstLine="13"/>
        <w:jc w:val="both"/>
        <w:outlineLvl w:val="9"/>
        <w:rPr>
          <w:rFonts w:hint="eastAsia"/>
          <w:lang w:eastAsia="zh-CN"/>
        </w:rPr>
        <w:sectPr>
          <w:footerReference r:id="rId19" w:type="default"/>
          <w:pgSz w:w="11906" w:h="16839"/>
          <w:pgMar w:top="1431" w:right="1055" w:bottom="875" w:left="1140" w:header="0" w:footer="713" w:gutter="0"/>
          <w:pgNumType w:fmt="decimal"/>
          <w:cols w:space="720" w:num="1"/>
        </w:sectPr>
      </w:pPr>
      <w:r>
        <w:rPr>
          <w:b/>
          <w:bCs/>
          <w:spacing w:val="-3"/>
          <w:sz w:val="21"/>
          <w:szCs w:val="21"/>
        </w:rPr>
        <w:t>附：</w:t>
      </w:r>
      <w:r>
        <w:rPr>
          <w:spacing w:val="-3"/>
          <w:sz w:val="21"/>
          <w:szCs w:val="21"/>
        </w:rPr>
        <w:t>委托代理人身份证正反面复印件以及由县级以上（含县级）社会养老保险经办机构出具的投标人为委托代理人交纳</w:t>
      </w:r>
      <w:r>
        <w:rPr>
          <w:rFonts w:hint="eastAsia"/>
          <w:spacing w:val="-3"/>
          <w:sz w:val="21"/>
          <w:szCs w:val="21"/>
          <w:lang w:eastAsia="zh-CN"/>
        </w:rPr>
        <w:t>2026</w:t>
      </w:r>
      <w:r>
        <w:rPr>
          <w:spacing w:val="-2"/>
          <w:sz w:val="21"/>
          <w:szCs w:val="21"/>
        </w:rPr>
        <w:t>年</w:t>
      </w:r>
      <w:r>
        <w:rPr>
          <w:rFonts w:hint="eastAsia"/>
          <w:spacing w:val="-2"/>
          <w:sz w:val="21"/>
          <w:szCs w:val="21"/>
          <w:lang w:val="en-US" w:eastAsia="zh-CN"/>
        </w:rPr>
        <w:t>1</w:t>
      </w:r>
      <w:r>
        <w:rPr>
          <w:spacing w:val="-2"/>
          <w:sz w:val="21"/>
          <w:szCs w:val="21"/>
        </w:rPr>
        <w:t>月至投标截止时间内</w:t>
      </w:r>
      <w:r>
        <w:rPr>
          <w:rFonts w:hint="eastAsia"/>
          <w:spacing w:val="-2"/>
          <w:sz w:val="21"/>
          <w:szCs w:val="21"/>
          <w:lang w:val="en-US" w:eastAsia="zh-CN"/>
        </w:rPr>
        <w:t>任意一</w:t>
      </w:r>
      <w:r>
        <w:rPr>
          <w:spacing w:val="-2"/>
          <w:sz w:val="21"/>
          <w:szCs w:val="21"/>
        </w:rPr>
        <w:t>个月社保证明复印件【自然人投标的应提供由县级以上（含县级）社会养老保险经办</w:t>
      </w:r>
      <w:r>
        <w:rPr>
          <w:spacing w:val="-3"/>
          <w:sz w:val="21"/>
          <w:szCs w:val="21"/>
        </w:rPr>
        <w:t>机构出</w:t>
      </w:r>
      <w:r>
        <w:rPr>
          <w:spacing w:val="-1"/>
          <w:sz w:val="21"/>
          <w:szCs w:val="21"/>
        </w:rPr>
        <w:t>具的</w:t>
      </w:r>
      <w:r>
        <w:rPr>
          <w:rFonts w:hint="eastAsia"/>
          <w:spacing w:val="-1"/>
          <w:sz w:val="21"/>
          <w:szCs w:val="21"/>
          <w:lang w:eastAsia="zh-CN"/>
        </w:rPr>
        <w:t>2026</w:t>
      </w:r>
      <w:r>
        <w:rPr>
          <w:spacing w:val="-1"/>
          <w:sz w:val="21"/>
          <w:szCs w:val="21"/>
        </w:rPr>
        <w:t>年</w:t>
      </w:r>
      <w:r>
        <w:rPr>
          <w:rFonts w:hint="eastAsia"/>
          <w:spacing w:val="-1"/>
          <w:sz w:val="21"/>
          <w:szCs w:val="21"/>
          <w:lang w:val="en-US" w:eastAsia="zh-CN"/>
        </w:rPr>
        <w:t>1</w:t>
      </w:r>
      <w:r>
        <w:rPr>
          <w:spacing w:val="-1"/>
          <w:sz w:val="21"/>
          <w:szCs w:val="21"/>
        </w:rPr>
        <w:t>月至投标截止时间内</w:t>
      </w:r>
      <w:r>
        <w:rPr>
          <w:rFonts w:hint="eastAsia"/>
          <w:spacing w:val="-1"/>
          <w:sz w:val="21"/>
          <w:szCs w:val="21"/>
          <w:lang w:val="en-US" w:eastAsia="zh-CN"/>
        </w:rPr>
        <w:t>任意一</w:t>
      </w:r>
      <w:r>
        <w:rPr>
          <w:spacing w:val="-1"/>
          <w:sz w:val="21"/>
          <w:szCs w:val="21"/>
        </w:rPr>
        <w:t>个月社保证</w:t>
      </w:r>
      <w:r>
        <w:rPr>
          <w:spacing w:val="-2"/>
          <w:sz w:val="21"/>
          <w:szCs w:val="21"/>
        </w:rPr>
        <w:t>明复印件；</w:t>
      </w:r>
      <w:r>
        <w:rPr>
          <w:b w:val="0"/>
          <w:bCs w:val="0"/>
          <w:spacing w:val="-2"/>
          <w:sz w:val="21"/>
          <w:szCs w:val="21"/>
        </w:rPr>
        <w:t>如投标人为事业单位，只需提供事业单位法人证书和单位</w:t>
      </w:r>
      <w:r>
        <w:rPr>
          <w:b w:val="0"/>
          <w:bCs w:val="0"/>
          <w:sz w:val="21"/>
          <w:szCs w:val="21"/>
        </w:rPr>
        <w:t>人事部门盖章的包含委托代理人在内的在职人员名册复印件】</w:t>
      </w:r>
      <w:r>
        <w:rPr>
          <w:b/>
          <w:bCs/>
          <w:sz w:val="21"/>
          <w:szCs w:val="21"/>
        </w:rPr>
        <w:t>（委托代理时必须提供</w:t>
      </w:r>
      <w:r>
        <w:rPr>
          <w:b/>
          <w:bCs/>
          <w:spacing w:val="-4"/>
          <w:sz w:val="21"/>
          <w:szCs w:val="21"/>
        </w:rPr>
        <w:t>）</w:t>
      </w:r>
      <w:r>
        <w:rPr>
          <w:rFonts w:hint="eastAsia"/>
          <w:b/>
          <w:bCs/>
          <w:spacing w:val="-4"/>
          <w:sz w:val="21"/>
          <w:szCs w:val="21"/>
          <w:lang w:eastAsia="zh-CN"/>
        </w:rPr>
        <w:t>。</w:t>
      </w:r>
    </w:p>
    <w:p w14:paraId="39B3513E">
      <w:pPr>
        <w:pStyle w:val="6"/>
        <w:spacing w:before="216" w:line="231" w:lineRule="auto"/>
        <w:ind w:left="5" w:right="2" w:firstLine="6"/>
        <w:outlineLvl w:val="9"/>
      </w:pPr>
      <w:r>
        <w:rPr>
          <w:b/>
          <w:bCs/>
          <w:spacing w:val="17"/>
        </w:rPr>
        <w:t>3.投标人的法人或者其他组织营业执照等证明文件复印件（必须提</w:t>
      </w:r>
      <w:r>
        <w:rPr>
          <w:b/>
          <w:bCs/>
          <w:spacing w:val="-7"/>
        </w:rPr>
        <w:t>供</w:t>
      </w:r>
      <w:r>
        <w:rPr>
          <w:b/>
          <w:bCs/>
          <w:spacing w:val="-4"/>
        </w:rPr>
        <w:t>）；</w:t>
      </w:r>
    </w:p>
    <w:p w14:paraId="35AAA4C9">
      <w:pPr>
        <w:pStyle w:val="6"/>
        <w:spacing w:before="116" w:line="365" w:lineRule="auto"/>
        <w:jc w:val="both"/>
        <w:outlineLvl w:val="9"/>
        <w:rPr>
          <w:rFonts w:hint="eastAsia" w:eastAsia="宋体"/>
          <w:sz w:val="20"/>
          <w:szCs w:val="20"/>
          <w:lang w:eastAsia="zh-CN"/>
        </w:rPr>
        <w:sectPr>
          <w:footerReference r:id="rId20" w:type="default"/>
          <w:pgSz w:w="11906" w:h="16839"/>
          <w:pgMar w:top="1431" w:right="1134" w:bottom="875" w:left="1140" w:header="0" w:footer="713" w:gutter="0"/>
          <w:pgNumType w:fmt="decimal"/>
          <w:cols w:space="720" w:num="1"/>
        </w:sectPr>
      </w:pPr>
      <w:r>
        <w:rPr>
          <w:b/>
          <w:bCs/>
          <w:spacing w:val="7"/>
          <w:sz w:val="20"/>
          <w:szCs w:val="20"/>
        </w:rPr>
        <w:t>注：①法人包括企业法人、机关法人、事业单位法人和社会团体法人；其他组织主要包括合伙企业、非企业专业服务机构、个体工商户、农村承包经营户。②如投标人为企业（包括合伙企业</w:t>
      </w:r>
      <w:r>
        <w:rPr>
          <w:b/>
          <w:bCs/>
          <w:spacing w:val="11"/>
          <w:sz w:val="20"/>
          <w:szCs w:val="20"/>
        </w:rPr>
        <w:t>），</w:t>
      </w:r>
      <w:r>
        <w:rPr>
          <w:b/>
          <w:bCs/>
          <w:spacing w:val="7"/>
          <w:sz w:val="20"/>
          <w:szCs w:val="20"/>
        </w:rPr>
        <w:t>应提供市场监督管理部门（或行政审批部门）注册的有效“企业法人营业</w:t>
      </w:r>
      <w:r>
        <w:rPr>
          <w:b/>
          <w:bCs/>
          <w:spacing w:val="6"/>
          <w:sz w:val="20"/>
          <w:szCs w:val="20"/>
        </w:rPr>
        <w:t>执照”或“营业执照</w:t>
      </w:r>
      <w:r>
        <w:rPr>
          <w:rFonts w:hint="eastAsia"/>
          <w:b/>
          <w:bCs/>
          <w:spacing w:val="6"/>
          <w:sz w:val="20"/>
          <w:szCs w:val="20"/>
          <w:lang w:eastAsia="zh-CN"/>
        </w:rPr>
        <w:t>”</w:t>
      </w:r>
      <w:r>
        <w:rPr>
          <w:b/>
          <w:bCs/>
          <w:spacing w:val="6"/>
          <w:sz w:val="20"/>
          <w:szCs w:val="20"/>
        </w:rPr>
        <w:t>；投标人为事业单位，应提</w:t>
      </w:r>
      <w:r>
        <w:rPr>
          <w:b/>
          <w:bCs/>
          <w:spacing w:val="7"/>
          <w:sz w:val="20"/>
          <w:szCs w:val="20"/>
        </w:rPr>
        <w:t>供有效的“事业单位法人证书”；投标人为非企业专业服务机</w:t>
      </w:r>
      <w:r>
        <w:rPr>
          <w:b/>
          <w:bCs/>
          <w:spacing w:val="6"/>
          <w:sz w:val="20"/>
          <w:szCs w:val="20"/>
        </w:rPr>
        <w:t>构的，应提供执业许可证等证明文件；投标</w:t>
      </w:r>
      <w:r>
        <w:rPr>
          <w:b/>
          <w:bCs/>
          <w:spacing w:val="7"/>
          <w:sz w:val="20"/>
          <w:szCs w:val="20"/>
        </w:rPr>
        <w:t>人为个体工商户，应提供有效的“个体工商户营业执照”。③如投</w:t>
      </w:r>
      <w:r>
        <w:rPr>
          <w:b/>
          <w:bCs/>
          <w:spacing w:val="6"/>
          <w:sz w:val="20"/>
          <w:szCs w:val="20"/>
        </w:rPr>
        <w:t>标人为企业法人的分支机构的，除应提</w:t>
      </w:r>
      <w:r>
        <w:rPr>
          <w:b/>
          <w:bCs/>
          <w:spacing w:val="7"/>
          <w:sz w:val="20"/>
          <w:szCs w:val="20"/>
        </w:rPr>
        <w:t>供营业执照复印件外，还应提供其所属的总公司授权其参加政府采购的授权文件或总公司颁布的授权其独</w:t>
      </w:r>
      <w:r>
        <w:rPr>
          <w:b/>
          <w:bCs/>
          <w:spacing w:val="8"/>
          <w:sz w:val="20"/>
          <w:szCs w:val="20"/>
        </w:rPr>
        <w:t>立开展经营业务活动的证明材料复印件</w:t>
      </w:r>
      <w:r>
        <w:rPr>
          <w:rFonts w:hint="eastAsia"/>
          <w:b/>
          <w:bCs/>
          <w:spacing w:val="8"/>
          <w:sz w:val="20"/>
          <w:szCs w:val="20"/>
          <w:lang w:eastAsia="zh-CN"/>
        </w:rPr>
        <w:t>。</w:t>
      </w:r>
    </w:p>
    <w:p w14:paraId="2973C699">
      <w:pPr>
        <w:spacing w:line="268" w:lineRule="auto"/>
        <w:outlineLvl w:val="9"/>
        <w:rPr>
          <w:rFonts w:ascii="Arial"/>
          <w:sz w:val="21"/>
        </w:rPr>
      </w:pPr>
    </w:p>
    <w:p w14:paraId="0753A46E">
      <w:pPr>
        <w:pStyle w:val="6"/>
        <w:spacing w:before="100" w:line="224" w:lineRule="auto"/>
        <w:outlineLvl w:val="9"/>
      </w:pPr>
      <w:r>
        <w:rPr>
          <w:b/>
          <w:bCs/>
          <w:spacing w:val="18"/>
        </w:rPr>
        <w:t>4.投标人参加政府采购活动前三年内在经营活动中没有</w:t>
      </w:r>
      <w:r>
        <w:rPr>
          <w:b/>
          <w:bCs/>
          <w:spacing w:val="17"/>
        </w:rPr>
        <w:t>重大违法记</w:t>
      </w:r>
    </w:p>
    <w:p w14:paraId="0DC1DF5E">
      <w:pPr>
        <w:pStyle w:val="6"/>
        <w:spacing w:before="23" w:line="234" w:lineRule="auto"/>
        <w:ind w:left="27" w:right="3618" w:hanging="21"/>
        <w:outlineLvl w:val="9"/>
        <w:rPr>
          <w:sz w:val="30"/>
          <w:szCs w:val="30"/>
        </w:rPr>
      </w:pPr>
      <w:r>
        <w:rPr>
          <w:b/>
          <w:bCs/>
          <w:spacing w:val="5"/>
        </w:rPr>
        <w:t>录及有关信用信息的书面声明（必须提供）</w:t>
      </w:r>
      <w:r>
        <w:rPr>
          <w:b/>
          <w:bCs/>
          <w:spacing w:val="-15"/>
          <w:sz w:val="30"/>
          <w:szCs w:val="30"/>
        </w:rPr>
        <w:t>附件：</w:t>
      </w:r>
    </w:p>
    <w:p w14:paraId="45B8EC4E">
      <w:pPr>
        <w:spacing w:line="324" w:lineRule="auto"/>
        <w:outlineLvl w:val="9"/>
        <w:rPr>
          <w:rFonts w:ascii="Arial"/>
          <w:sz w:val="21"/>
        </w:rPr>
      </w:pPr>
    </w:p>
    <w:p w14:paraId="39871CC0">
      <w:pPr>
        <w:pStyle w:val="6"/>
        <w:spacing w:before="101" w:line="225" w:lineRule="auto"/>
        <w:ind w:left="3625"/>
        <w:outlineLvl w:val="9"/>
        <w:rPr>
          <w:b/>
          <w:bCs/>
          <w:spacing w:val="-5"/>
        </w:rPr>
      </w:pPr>
      <w:r>
        <w:rPr>
          <w:rFonts w:hint="eastAsia"/>
          <w:b/>
          <w:bCs/>
          <w:spacing w:val="-5"/>
          <w:lang w:val="en-US" w:eastAsia="zh-CN"/>
        </w:rPr>
        <w:t>投标</w:t>
      </w:r>
      <w:r>
        <w:rPr>
          <w:b/>
          <w:bCs/>
          <w:spacing w:val="-5"/>
        </w:rPr>
        <w:t>声明（格式）</w:t>
      </w:r>
    </w:p>
    <w:p w14:paraId="1DF505FB"/>
    <w:p w14:paraId="7B7B41FC">
      <w:pPr>
        <w:pStyle w:val="6"/>
        <w:keepNext w:val="0"/>
        <w:keepLines w:val="0"/>
        <w:pageBreakBefore w:val="0"/>
        <w:widowControl/>
        <w:kinsoku w:val="0"/>
        <w:wordWrap/>
        <w:overflowPunct/>
        <w:topLinePunct w:val="0"/>
        <w:autoSpaceDE w:val="0"/>
        <w:autoSpaceDN w:val="0"/>
        <w:bidi w:val="0"/>
        <w:adjustRightInd w:val="0"/>
        <w:snapToGrid w:val="0"/>
        <w:spacing w:before="115" w:line="360" w:lineRule="auto"/>
        <w:textAlignment w:val="baseline"/>
        <w:outlineLvl w:val="9"/>
        <w:rPr>
          <w:rFonts w:hint="eastAsia" w:ascii="宋体" w:hAnsi="宋体" w:eastAsia="宋体" w:cs="宋体"/>
          <w:spacing w:val="9"/>
          <w:sz w:val="20"/>
          <w:szCs w:val="20"/>
          <w:u w:val="single" w:color="auto"/>
          <w:lang w:eastAsia="zh-CN"/>
        </w:rPr>
      </w:pPr>
      <w:r>
        <w:rPr>
          <w:rFonts w:hint="eastAsia" w:ascii="宋体" w:hAnsi="宋体" w:eastAsia="宋体" w:cs="宋体"/>
          <w:b/>
          <w:bCs/>
          <w:spacing w:val="9"/>
          <w:sz w:val="20"/>
          <w:szCs w:val="20"/>
        </w:rPr>
        <w:t>致</w:t>
      </w:r>
      <w:r>
        <w:rPr>
          <w:rFonts w:hint="eastAsia" w:ascii="宋体" w:hAnsi="宋体" w:eastAsia="宋体" w:cs="宋体"/>
          <w:spacing w:val="9"/>
          <w:sz w:val="20"/>
          <w:szCs w:val="20"/>
        </w:rPr>
        <w:t>：</w:t>
      </w:r>
      <w:r>
        <w:rPr>
          <w:rFonts w:hint="eastAsia" w:ascii="宋体" w:hAnsi="宋体" w:eastAsia="宋体" w:cs="宋体"/>
          <w:spacing w:val="9"/>
          <w:sz w:val="20"/>
          <w:szCs w:val="20"/>
          <w:u w:val="single" w:color="auto"/>
          <w:lang w:eastAsia="zh-CN"/>
        </w:rPr>
        <w:t>广西合士嘉项目咨询有限公司</w:t>
      </w:r>
    </w:p>
    <w:p w14:paraId="60FC0FAA">
      <w:pPr>
        <w:rPr>
          <w:rFonts w:hint="eastAsia" w:ascii="宋体" w:hAnsi="宋体" w:eastAsia="宋体" w:cs="宋体"/>
          <w:lang w:val="en-US" w:eastAsia="zh-CN"/>
        </w:rPr>
      </w:pPr>
    </w:p>
    <w:p w14:paraId="750F8A8C">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outlineLvl w:val="9"/>
        <w:rPr>
          <w:rFonts w:hint="eastAsia" w:ascii="宋体" w:hAnsi="宋体" w:eastAsia="宋体" w:cs="宋体"/>
          <w:spacing w:val="9"/>
          <w:sz w:val="20"/>
          <w:szCs w:val="20"/>
          <w:lang w:eastAsia="zh-CN"/>
        </w:rPr>
      </w:pPr>
      <w:r>
        <w:rPr>
          <w:rFonts w:hint="eastAsia" w:ascii="宋体" w:hAnsi="宋体" w:eastAsia="宋体" w:cs="宋体"/>
          <w:color w:val="auto"/>
          <w:spacing w:val="7"/>
          <w:sz w:val="20"/>
          <w:szCs w:val="20"/>
          <w:highlight w:val="none"/>
        </w:rPr>
        <w:t>我公司参加贵单位组织</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4"/>
          <w:sz w:val="20"/>
          <w:szCs w:val="20"/>
          <w:highlight w:val="none"/>
          <w:u w:val="single"/>
        </w:rPr>
        <w:t xml:space="preserve">             </w:t>
      </w:r>
      <w:r>
        <w:rPr>
          <w:rFonts w:hint="eastAsia" w:ascii="宋体" w:hAnsi="宋体" w:eastAsia="宋体" w:cs="宋体"/>
          <w:color w:val="auto"/>
          <w:spacing w:val="-77"/>
          <w:sz w:val="20"/>
          <w:szCs w:val="20"/>
          <w:highlight w:val="none"/>
        </w:rPr>
        <w:t xml:space="preserve"> </w:t>
      </w:r>
      <w:r>
        <w:rPr>
          <w:rFonts w:hint="eastAsia" w:ascii="宋体" w:hAnsi="宋体" w:eastAsia="宋体" w:cs="宋体"/>
          <w:color w:val="auto"/>
          <w:spacing w:val="7"/>
          <w:sz w:val="20"/>
          <w:szCs w:val="20"/>
          <w:highlight w:val="none"/>
        </w:rPr>
        <w:t>项目（项目编号</w:t>
      </w:r>
      <w:r>
        <w:rPr>
          <w:rFonts w:hint="eastAsia" w:ascii="宋体" w:hAnsi="宋体" w:eastAsia="宋体" w:cs="宋体"/>
          <w:color w:val="auto"/>
          <w:spacing w:val="-12"/>
          <w:sz w:val="20"/>
          <w:szCs w:val="20"/>
          <w:highlight w:val="none"/>
        </w:rPr>
        <w:t>：</w:t>
      </w:r>
      <w:r>
        <w:rPr>
          <w:rFonts w:hint="eastAsia" w:ascii="宋体" w:hAnsi="宋体" w:eastAsia="宋体" w:cs="宋体"/>
          <w:color w:val="auto"/>
          <w:spacing w:val="5"/>
          <w:sz w:val="20"/>
          <w:szCs w:val="20"/>
          <w:highlight w:val="none"/>
          <w:u w:val="single"/>
        </w:rPr>
        <w:t xml:space="preserve">        </w:t>
      </w:r>
      <w:r>
        <w:rPr>
          <w:rFonts w:hint="eastAsia" w:ascii="宋体" w:hAnsi="宋体" w:eastAsia="宋体" w:cs="宋体"/>
          <w:color w:val="auto"/>
          <w:spacing w:val="5"/>
          <w:sz w:val="20"/>
          <w:szCs w:val="20"/>
          <w:highlight w:val="none"/>
          <w:u w:val="single"/>
          <w:lang w:val="en-US" w:eastAsia="zh-CN"/>
        </w:rPr>
        <w:t xml:space="preserve">  </w:t>
      </w:r>
      <w:r>
        <w:rPr>
          <w:rFonts w:hint="eastAsia" w:ascii="宋体" w:hAnsi="宋体" w:eastAsia="宋体" w:cs="宋体"/>
          <w:color w:val="auto"/>
          <w:spacing w:val="5"/>
          <w:sz w:val="20"/>
          <w:szCs w:val="20"/>
          <w:highlight w:val="none"/>
          <w:u w:val="single"/>
        </w:rPr>
        <w:t xml:space="preserve"> </w:t>
      </w:r>
      <w:r>
        <w:rPr>
          <w:rFonts w:hint="eastAsia" w:ascii="宋体" w:hAnsi="宋体" w:eastAsia="宋体" w:cs="宋体"/>
          <w:color w:val="auto"/>
          <w:spacing w:val="-69"/>
          <w:sz w:val="20"/>
          <w:szCs w:val="20"/>
          <w:highlight w:val="none"/>
        </w:rPr>
        <w:t xml:space="preserve"> </w:t>
      </w:r>
      <w:r>
        <w:rPr>
          <w:rFonts w:hint="eastAsia" w:ascii="宋体" w:hAnsi="宋体" w:eastAsia="宋体" w:cs="宋体"/>
          <w:color w:val="auto"/>
          <w:spacing w:val="-12"/>
          <w:sz w:val="20"/>
          <w:szCs w:val="20"/>
          <w:highlight w:val="none"/>
        </w:rPr>
        <w:t>）</w:t>
      </w:r>
      <w:r>
        <w:rPr>
          <w:rFonts w:hint="eastAsia" w:ascii="宋体" w:hAnsi="宋体" w:eastAsia="宋体" w:cs="宋体"/>
          <w:color w:val="auto"/>
          <w:spacing w:val="7"/>
          <w:sz w:val="20"/>
          <w:szCs w:val="20"/>
          <w:highlight w:val="none"/>
        </w:rPr>
        <w:t>的政府采购活动</w:t>
      </w:r>
      <w:r>
        <w:rPr>
          <w:rFonts w:hint="eastAsia" w:ascii="宋体" w:hAnsi="宋体" w:eastAsia="宋体" w:cs="宋体"/>
          <w:color w:val="auto"/>
          <w:spacing w:val="7"/>
          <w:sz w:val="20"/>
          <w:szCs w:val="20"/>
          <w:highlight w:val="none"/>
          <w:lang w:eastAsia="zh-CN"/>
        </w:rPr>
        <w:t>，</w:t>
      </w:r>
      <w:r>
        <w:rPr>
          <w:rFonts w:hint="eastAsia" w:ascii="宋体" w:hAnsi="宋体" w:eastAsia="宋体" w:cs="宋体"/>
          <w:spacing w:val="9"/>
          <w:sz w:val="20"/>
          <w:szCs w:val="20"/>
        </w:rPr>
        <w:t>我公司</w:t>
      </w:r>
      <w:r>
        <w:rPr>
          <w:rFonts w:hint="eastAsia" w:ascii="宋体" w:hAnsi="宋体" w:eastAsia="宋体" w:cs="宋体"/>
          <w:spacing w:val="9"/>
          <w:sz w:val="20"/>
          <w:szCs w:val="20"/>
          <w:lang w:val="en-US" w:eastAsia="zh-CN"/>
        </w:rPr>
        <w:t>在此</w:t>
      </w:r>
      <w:r>
        <w:rPr>
          <w:rFonts w:hint="eastAsia" w:ascii="宋体" w:hAnsi="宋体" w:eastAsia="宋体" w:cs="宋体"/>
          <w:spacing w:val="9"/>
          <w:sz w:val="20"/>
          <w:szCs w:val="20"/>
        </w:rPr>
        <w:t>郑重声</w:t>
      </w:r>
      <w:r>
        <w:rPr>
          <w:rFonts w:hint="eastAsia" w:ascii="宋体" w:hAnsi="宋体" w:eastAsia="宋体" w:cs="宋体"/>
          <w:spacing w:val="9"/>
          <w:sz w:val="20"/>
          <w:szCs w:val="20"/>
          <w:lang w:val="en-US" w:eastAsia="zh-CN"/>
        </w:rPr>
        <w:t>明</w:t>
      </w:r>
      <w:r>
        <w:rPr>
          <w:rFonts w:hint="eastAsia" w:ascii="宋体" w:hAnsi="宋体" w:eastAsia="宋体" w:cs="宋体"/>
          <w:spacing w:val="9"/>
          <w:sz w:val="20"/>
          <w:szCs w:val="20"/>
          <w:lang w:eastAsia="zh-CN"/>
        </w:rPr>
        <w:t>：</w:t>
      </w:r>
    </w:p>
    <w:p w14:paraId="55A02456">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textAlignment w:val="baseline"/>
        <w:outlineLvl w:val="9"/>
        <w:rPr>
          <w:rFonts w:hint="eastAsia" w:ascii="宋体" w:hAnsi="宋体" w:eastAsia="宋体" w:cs="宋体"/>
          <w:sz w:val="20"/>
          <w:szCs w:val="20"/>
        </w:rPr>
      </w:pPr>
      <w:r>
        <w:rPr>
          <w:rFonts w:hint="eastAsia" w:ascii="宋体" w:hAnsi="宋体" w:eastAsia="宋体" w:cs="宋体"/>
          <w:spacing w:val="9"/>
          <w:sz w:val="20"/>
          <w:szCs w:val="20"/>
        </w:rPr>
        <w:t>在参加本项目政府采购活动前三年内在经营活动中没有重大违法记录（重大违法记录是指供应商因违法经营受到刑事处罚或者责令停产停业、吊销许可证或者执照、较大数额罚款等行</w:t>
      </w:r>
      <w:r>
        <w:rPr>
          <w:rFonts w:hint="eastAsia" w:ascii="宋体" w:hAnsi="宋体" w:eastAsia="宋体" w:cs="宋体"/>
          <w:spacing w:val="7"/>
          <w:sz w:val="20"/>
          <w:szCs w:val="20"/>
        </w:rPr>
        <w:t>政处罚</w:t>
      </w:r>
      <w:r>
        <w:rPr>
          <w:rFonts w:hint="eastAsia" w:ascii="宋体" w:hAnsi="宋体" w:eastAsia="宋体" w:cs="宋体"/>
          <w:spacing w:val="-16"/>
          <w:sz w:val="20"/>
          <w:szCs w:val="20"/>
        </w:rPr>
        <w:t>），</w:t>
      </w:r>
      <w:r>
        <w:rPr>
          <w:rFonts w:hint="eastAsia" w:ascii="宋体" w:hAnsi="宋体" w:eastAsia="宋体" w:cs="宋体"/>
          <w:spacing w:val="7"/>
          <w:sz w:val="20"/>
          <w:szCs w:val="20"/>
        </w:rPr>
        <w:t>未被列入失信被执行人、重大税收违法案件当事人名单、政府采购严重违法失信行为记录名单，</w:t>
      </w:r>
      <w:r>
        <w:rPr>
          <w:rFonts w:hint="eastAsia" w:ascii="宋体" w:hAnsi="宋体" w:eastAsia="宋体" w:cs="宋体"/>
          <w:spacing w:val="9"/>
          <w:sz w:val="20"/>
          <w:szCs w:val="20"/>
        </w:rPr>
        <w:t>完全符合《中华人民共和国政府采购法》第二十二条规定的供应商资格条件，我方对此声明负全部法律责</w:t>
      </w:r>
      <w:r>
        <w:rPr>
          <w:rFonts w:hint="eastAsia" w:ascii="宋体" w:hAnsi="宋体" w:eastAsia="宋体" w:cs="宋体"/>
          <w:sz w:val="20"/>
          <w:szCs w:val="20"/>
        </w:rPr>
        <w:t>任。</w:t>
      </w:r>
    </w:p>
    <w:p w14:paraId="704EB038">
      <w:pPr>
        <w:spacing w:line="381" w:lineRule="auto"/>
        <w:outlineLvl w:val="9"/>
        <w:rPr>
          <w:rFonts w:ascii="Arial"/>
          <w:sz w:val="21"/>
        </w:rPr>
      </w:pPr>
    </w:p>
    <w:p w14:paraId="09223678">
      <w:pPr>
        <w:pStyle w:val="2"/>
      </w:pPr>
    </w:p>
    <w:p w14:paraId="1714430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outlineLvl w:val="9"/>
        <w:rPr>
          <w:sz w:val="20"/>
          <w:szCs w:val="20"/>
        </w:rPr>
      </w:pPr>
      <w:r>
        <w:rPr>
          <w:spacing w:val="7"/>
          <w:sz w:val="20"/>
          <w:szCs w:val="20"/>
        </w:rPr>
        <w:t>投标人</w:t>
      </w:r>
      <w:r>
        <w:rPr>
          <w:b/>
          <w:bCs/>
          <w:spacing w:val="7"/>
          <w:sz w:val="20"/>
          <w:szCs w:val="20"/>
        </w:rPr>
        <w:t>（</w:t>
      </w:r>
      <w:r>
        <w:rPr>
          <w:rFonts w:hint="eastAsia"/>
          <w:b/>
          <w:bCs/>
          <w:spacing w:val="7"/>
          <w:sz w:val="20"/>
          <w:szCs w:val="20"/>
          <w:lang w:val="en-US" w:eastAsia="zh-CN"/>
        </w:rPr>
        <w:t>公章或</w:t>
      </w:r>
      <w:r>
        <w:rPr>
          <w:b/>
          <w:bCs/>
          <w:sz w:val="20"/>
          <w:szCs w:val="20"/>
        </w:rPr>
        <w:t>CA</w:t>
      </w:r>
      <w:r>
        <w:rPr>
          <w:b/>
          <w:bCs/>
          <w:spacing w:val="7"/>
          <w:sz w:val="20"/>
          <w:szCs w:val="20"/>
        </w:rPr>
        <w:t>认证证书签章</w:t>
      </w:r>
      <w:r>
        <w:rPr>
          <w:b/>
          <w:bCs/>
          <w:spacing w:val="2"/>
          <w:sz w:val="20"/>
          <w:szCs w:val="20"/>
        </w:rPr>
        <w:t>）</w:t>
      </w:r>
      <w:r>
        <w:rPr>
          <w:spacing w:val="2"/>
          <w:sz w:val="20"/>
          <w:szCs w:val="20"/>
        </w:rPr>
        <w:t>：</w:t>
      </w:r>
    </w:p>
    <w:p w14:paraId="06C4AA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outlineLvl w:val="9"/>
        <w:rPr>
          <w:sz w:val="20"/>
          <w:szCs w:val="20"/>
        </w:rPr>
      </w:pPr>
      <w:r>
        <w:rPr>
          <w:spacing w:val="9"/>
          <w:sz w:val="20"/>
          <w:szCs w:val="20"/>
        </w:rPr>
        <w:t>法定代表人(负责人</w:t>
      </w:r>
      <w:r>
        <w:rPr>
          <w:rFonts w:hint="eastAsia"/>
          <w:spacing w:val="9"/>
          <w:sz w:val="20"/>
          <w:szCs w:val="20"/>
          <w:lang w:eastAsia="zh-CN"/>
        </w:rPr>
        <w:t>、</w:t>
      </w:r>
      <w:r>
        <w:rPr>
          <w:rFonts w:hint="eastAsia"/>
          <w:spacing w:val="9"/>
          <w:sz w:val="20"/>
          <w:szCs w:val="20"/>
          <w:lang w:val="en-US" w:eastAsia="zh-CN"/>
        </w:rPr>
        <w:t>自然人</w:t>
      </w:r>
      <w:r>
        <w:rPr>
          <w:spacing w:val="9"/>
          <w:sz w:val="20"/>
          <w:szCs w:val="20"/>
        </w:rPr>
        <w:t>)或相应的委托代理人</w:t>
      </w:r>
      <w:r>
        <w:rPr>
          <w:rFonts w:hint="eastAsia"/>
          <w:b/>
          <w:bCs/>
          <w:spacing w:val="9"/>
          <w:sz w:val="20"/>
          <w:szCs w:val="20"/>
          <w:lang w:eastAsia="zh-CN"/>
        </w:rPr>
        <w:t>（</w:t>
      </w:r>
      <w:r>
        <w:rPr>
          <w:b/>
          <w:bCs/>
          <w:spacing w:val="8"/>
          <w:sz w:val="20"/>
          <w:szCs w:val="20"/>
        </w:rPr>
        <w:t>签字或个人</w:t>
      </w:r>
      <w:r>
        <w:rPr>
          <w:b/>
          <w:bCs/>
          <w:sz w:val="20"/>
          <w:szCs w:val="20"/>
        </w:rPr>
        <w:t>CA</w:t>
      </w:r>
      <w:r>
        <w:rPr>
          <w:b/>
          <w:bCs/>
          <w:spacing w:val="8"/>
          <w:sz w:val="20"/>
          <w:szCs w:val="20"/>
        </w:rPr>
        <w:t>认证证书签章</w:t>
      </w:r>
      <w:r>
        <w:rPr>
          <w:b/>
          <w:bCs/>
          <w:spacing w:val="-1"/>
          <w:sz w:val="20"/>
          <w:szCs w:val="20"/>
        </w:rPr>
        <w:t>）</w:t>
      </w:r>
      <w:r>
        <w:rPr>
          <w:spacing w:val="-1"/>
          <w:sz w:val="20"/>
          <w:szCs w:val="20"/>
        </w:rPr>
        <w:t>：</w:t>
      </w:r>
    </w:p>
    <w:p w14:paraId="39DA361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outlineLvl w:val="9"/>
        <w:rPr>
          <w:rFonts w:hint="default" w:eastAsia="宋体"/>
          <w:sz w:val="20"/>
          <w:szCs w:val="20"/>
          <w:lang w:val="en-US" w:eastAsia="zh-CN"/>
        </w:rPr>
        <w:sectPr>
          <w:footerReference r:id="rId21" w:type="default"/>
          <w:pgSz w:w="11906" w:h="16839"/>
          <w:pgMar w:top="1431" w:right="1080" w:bottom="875" w:left="1140" w:header="0" w:footer="713" w:gutter="0"/>
          <w:pgNumType w:fmt="decimal"/>
          <w:cols w:space="720" w:num="1"/>
        </w:sectPr>
      </w:pPr>
      <w:r>
        <w:rPr>
          <w:rFonts w:hint="eastAsia" w:eastAsia="宋体"/>
          <w:sz w:val="20"/>
          <w:szCs w:val="20"/>
          <w:lang w:val="en-US" w:eastAsia="zh-CN"/>
        </w:rPr>
        <w:t>日期：</w:t>
      </w:r>
    </w:p>
    <w:p w14:paraId="72BADF4B">
      <w:pPr>
        <w:pStyle w:val="6"/>
        <w:spacing w:before="81" w:line="224" w:lineRule="auto"/>
        <w:ind w:left="8"/>
        <w:outlineLvl w:val="9"/>
      </w:pPr>
      <w:r>
        <w:rPr>
          <w:b/>
          <w:bCs/>
          <w:spacing w:val="6"/>
        </w:rPr>
        <w:t>5.投标人参加本项目无围标串标行为的承诺函（必须提供）</w:t>
      </w:r>
    </w:p>
    <w:p w14:paraId="01AC624D">
      <w:pPr>
        <w:pStyle w:val="6"/>
        <w:spacing w:before="38" w:line="219" w:lineRule="auto"/>
        <w:ind w:left="24"/>
        <w:outlineLvl w:val="9"/>
        <w:rPr>
          <w:sz w:val="30"/>
          <w:szCs w:val="30"/>
        </w:rPr>
      </w:pPr>
      <w:r>
        <w:rPr>
          <w:b/>
          <w:bCs/>
          <w:spacing w:val="-15"/>
          <w:sz w:val="30"/>
          <w:szCs w:val="30"/>
        </w:rPr>
        <w:t>附件：</w:t>
      </w:r>
    </w:p>
    <w:p w14:paraId="5411FEF7">
      <w:pPr>
        <w:spacing w:line="327" w:lineRule="auto"/>
        <w:outlineLvl w:val="9"/>
        <w:rPr>
          <w:rFonts w:ascii="Arial"/>
          <w:sz w:val="21"/>
        </w:rPr>
      </w:pPr>
    </w:p>
    <w:p w14:paraId="31FDB2D8">
      <w:pPr>
        <w:pStyle w:val="6"/>
        <w:spacing w:before="100" w:line="224" w:lineRule="auto"/>
        <w:ind w:left="1131"/>
        <w:outlineLvl w:val="9"/>
      </w:pPr>
      <w:r>
        <w:rPr>
          <w:b/>
          <w:bCs/>
          <w:spacing w:val="6"/>
        </w:rPr>
        <w:t>投标人参加本项目无围标串标行为的承诺函（格式）</w:t>
      </w:r>
    </w:p>
    <w:p w14:paraId="79E0A9CD">
      <w:pPr>
        <w:spacing w:line="256" w:lineRule="auto"/>
        <w:outlineLvl w:val="9"/>
        <w:rPr>
          <w:rFonts w:ascii="Arial"/>
          <w:sz w:val="21"/>
        </w:rPr>
      </w:pPr>
    </w:p>
    <w:p w14:paraId="065F6FEE">
      <w:pPr>
        <w:spacing w:line="257" w:lineRule="auto"/>
        <w:outlineLvl w:val="9"/>
        <w:rPr>
          <w:rFonts w:ascii="Arial"/>
          <w:b/>
          <w:bCs/>
          <w:sz w:val="21"/>
        </w:rPr>
      </w:pPr>
    </w:p>
    <w:p w14:paraId="165E71F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b/>
          <w:bCs/>
          <w:spacing w:val="-3"/>
          <w:sz w:val="21"/>
          <w:szCs w:val="21"/>
        </w:rPr>
      </w:pPr>
      <w:r>
        <w:rPr>
          <w:b/>
          <w:bCs/>
          <w:spacing w:val="-3"/>
          <w:sz w:val="21"/>
          <w:szCs w:val="21"/>
        </w:rPr>
        <w:t>一、我公司承诺无下列相互串通投标的情形：</w:t>
      </w:r>
    </w:p>
    <w:p w14:paraId="0D1396C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rFonts w:hint="eastAsia"/>
          <w:spacing w:val="-3"/>
          <w:sz w:val="21"/>
          <w:szCs w:val="21"/>
          <w:lang w:eastAsia="zh-CN"/>
        </w:rPr>
      </w:pPr>
      <w:r>
        <w:rPr>
          <w:spacing w:val="-3"/>
          <w:sz w:val="21"/>
          <w:szCs w:val="21"/>
        </w:rPr>
        <w:t>1.不同投标人的投标文件由同一单位或者个人编制；</w:t>
      </w:r>
    </w:p>
    <w:p w14:paraId="6B0F9D4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spacing w:val="-3"/>
          <w:sz w:val="21"/>
          <w:szCs w:val="21"/>
        </w:rPr>
      </w:pPr>
      <w:r>
        <w:rPr>
          <w:spacing w:val="-3"/>
          <w:sz w:val="21"/>
          <w:szCs w:val="21"/>
        </w:rPr>
        <w:t>2.不同投标人委托同一单位或者个人办理投标事宜；</w:t>
      </w:r>
    </w:p>
    <w:p w14:paraId="68209B1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sz w:val="21"/>
          <w:szCs w:val="21"/>
        </w:rPr>
      </w:pPr>
      <w:r>
        <w:rPr>
          <w:spacing w:val="-1"/>
          <w:sz w:val="21"/>
          <w:szCs w:val="21"/>
        </w:rPr>
        <w:t>3.不同的投标人的投标文件载明的项目管理员为同一个人；</w:t>
      </w:r>
    </w:p>
    <w:p w14:paraId="7F40A4F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spacing w:val="-3"/>
          <w:sz w:val="21"/>
          <w:szCs w:val="21"/>
        </w:rPr>
      </w:pPr>
      <w:r>
        <w:rPr>
          <w:spacing w:val="-3"/>
          <w:sz w:val="21"/>
          <w:szCs w:val="21"/>
        </w:rPr>
        <w:t>4.不同投标人的投标文件异常一致或投标报价呈规律性差异；</w:t>
      </w:r>
    </w:p>
    <w:p w14:paraId="595AD65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9"/>
        <w:rPr>
          <w:sz w:val="21"/>
          <w:szCs w:val="21"/>
        </w:rPr>
      </w:pPr>
      <w:r>
        <w:rPr>
          <w:spacing w:val="-1"/>
          <w:sz w:val="21"/>
          <w:szCs w:val="21"/>
        </w:rPr>
        <w:t>5.不同投标人的投标文件相互混装。</w:t>
      </w:r>
    </w:p>
    <w:p w14:paraId="3C0751C3">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outlineLvl w:val="9"/>
        <w:rPr>
          <w:b/>
          <w:bCs/>
          <w:spacing w:val="-3"/>
          <w:sz w:val="21"/>
          <w:szCs w:val="21"/>
        </w:rPr>
      </w:pPr>
      <w:r>
        <w:rPr>
          <w:b/>
          <w:bCs/>
          <w:spacing w:val="-3"/>
          <w:sz w:val="21"/>
          <w:szCs w:val="21"/>
        </w:rPr>
        <w:t>二、我公司承诺无下列恶意串通的情形：</w:t>
      </w:r>
    </w:p>
    <w:p w14:paraId="170BD1EE">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outlineLvl w:val="9"/>
        <w:rPr>
          <w:sz w:val="21"/>
          <w:szCs w:val="21"/>
        </w:rPr>
      </w:pPr>
      <w:r>
        <w:rPr>
          <w:spacing w:val="-1"/>
          <w:sz w:val="21"/>
          <w:szCs w:val="21"/>
        </w:rPr>
        <w:t>1.供应商直接或者间接从采购人或者采购代理机构处获得其他供应商的相关信息并修改其投标文件或者投标文件；</w:t>
      </w:r>
    </w:p>
    <w:p w14:paraId="6F0B65D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9"/>
        <w:rPr>
          <w:spacing w:val="-2"/>
          <w:sz w:val="21"/>
          <w:szCs w:val="21"/>
        </w:rPr>
      </w:pPr>
      <w:r>
        <w:rPr>
          <w:spacing w:val="-2"/>
          <w:sz w:val="21"/>
          <w:szCs w:val="21"/>
        </w:rPr>
        <w:t>2.供应商按照采购人或者采购代理机构的授意撤换、修改投标文件或者投标文件；</w:t>
      </w:r>
    </w:p>
    <w:p w14:paraId="3EAE9C1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9"/>
        <w:rPr>
          <w:sz w:val="21"/>
          <w:szCs w:val="21"/>
        </w:rPr>
      </w:pPr>
      <w:r>
        <w:rPr>
          <w:spacing w:val="-1"/>
          <w:sz w:val="21"/>
          <w:szCs w:val="21"/>
        </w:rPr>
        <w:t>3.供应商之间协商报价、技术方案等投标文件或者投标文件的实质性内容；</w:t>
      </w:r>
    </w:p>
    <w:p w14:paraId="308CD35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9"/>
        <w:rPr>
          <w:sz w:val="21"/>
          <w:szCs w:val="21"/>
        </w:rPr>
      </w:pPr>
      <w:r>
        <w:rPr>
          <w:sz w:val="21"/>
          <w:szCs w:val="21"/>
        </w:rPr>
        <w:t>4.属于同一集团、协会、商会等组织成员的供应商按照该组织要</w:t>
      </w:r>
      <w:r>
        <w:rPr>
          <w:spacing w:val="-1"/>
          <w:sz w:val="21"/>
          <w:szCs w:val="21"/>
        </w:rPr>
        <w:t>求协同参加政府采购活</w:t>
      </w:r>
      <w:r>
        <w:rPr>
          <w:spacing w:val="-6"/>
          <w:sz w:val="21"/>
          <w:szCs w:val="21"/>
        </w:rPr>
        <w:t>动；</w:t>
      </w:r>
    </w:p>
    <w:p w14:paraId="3A88E69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9"/>
        <w:rPr>
          <w:sz w:val="21"/>
          <w:szCs w:val="21"/>
        </w:rPr>
      </w:pPr>
      <w:r>
        <w:rPr>
          <w:sz w:val="21"/>
          <w:szCs w:val="21"/>
        </w:rPr>
        <w:t>5.供应商之间事先约定一致抬高或者压低投标报价</w:t>
      </w:r>
      <w:r>
        <w:rPr>
          <w:spacing w:val="-1"/>
          <w:sz w:val="21"/>
          <w:szCs w:val="21"/>
        </w:rPr>
        <w:t>，或者在招标项目中事先约定轮流以</w:t>
      </w:r>
      <w:r>
        <w:rPr>
          <w:sz w:val="21"/>
          <w:szCs w:val="21"/>
        </w:rPr>
        <w:t>高价位或者低价位中标，或者事先约定由某</w:t>
      </w:r>
      <w:r>
        <w:rPr>
          <w:spacing w:val="-1"/>
          <w:sz w:val="21"/>
          <w:szCs w:val="21"/>
        </w:rPr>
        <w:t>一特定供应商中标，然后再参加投标；</w:t>
      </w:r>
    </w:p>
    <w:p w14:paraId="305A9F1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9"/>
        <w:rPr>
          <w:sz w:val="21"/>
          <w:szCs w:val="21"/>
        </w:rPr>
      </w:pPr>
      <w:r>
        <w:rPr>
          <w:spacing w:val="-1"/>
          <w:sz w:val="21"/>
          <w:szCs w:val="21"/>
        </w:rPr>
        <w:t>6.供应商之间商定部分供应商放弃参加政府采购活动或者放弃中标；</w:t>
      </w:r>
    </w:p>
    <w:p w14:paraId="1B38CDF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9"/>
        <w:rPr>
          <w:sz w:val="21"/>
          <w:szCs w:val="21"/>
        </w:rPr>
      </w:pPr>
      <w:r>
        <w:rPr>
          <w:sz w:val="21"/>
          <w:szCs w:val="21"/>
        </w:rPr>
        <w:t>7.供应商与采购人或者采购代理机构之间、供应</w:t>
      </w:r>
      <w:r>
        <w:rPr>
          <w:spacing w:val="-1"/>
          <w:sz w:val="21"/>
          <w:szCs w:val="21"/>
        </w:rPr>
        <w:t>商相互之间，为谋求特定供应商中标或者排斥其他供应商的其他串通行为。</w:t>
      </w:r>
    </w:p>
    <w:p w14:paraId="41963CF4">
      <w:pPr>
        <w:spacing w:line="295" w:lineRule="auto"/>
        <w:outlineLvl w:val="9"/>
        <w:rPr>
          <w:rFonts w:ascii="Arial"/>
          <w:sz w:val="21"/>
          <w:szCs w:val="21"/>
        </w:rPr>
      </w:pPr>
    </w:p>
    <w:p w14:paraId="2B2F9761">
      <w:pPr>
        <w:spacing w:line="295" w:lineRule="auto"/>
        <w:outlineLvl w:val="9"/>
        <w:rPr>
          <w:rFonts w:ascii="Arial"/>
          <w:sz w:val="21"/>
          <w:szCs w:val="21"/>
        </w:rPr>
      </w:pPr>
    </w:p>
    <w:p w14:paraId="26F7C88D">
      <w:pPr>
        <w:pStyle w:val="6"/>
        <w:spacing w:before="79" w:line="230" w:lineRule="auto"/>
        <w:ind w:left="7" w:firstLine="489"/>
        <w:outlineLvl w:val="9"/>
        <w:rPr>
          <w:sz w:val="21"/>
          <w:szCs w:val="21"/>
        </w:rPr>
      </w:pPr>
      <w:r>
        <w:rPr>
          <w:b/>
          <w:bCs/>
          <w:spacing w:val="-3"/>
          <w:sz w:val="21"/>
          <w:szCs w:val="21"/>
        </w:rPr>
        <w:t>以上情形一经核查属实，我方愿意承担一切后果，并不再寻求任何旨在减轻或免除法律</w:t>
      </w:r>
      <w:r>
        <w:rPr>
          <w:b/>
          <w:bCs/>
          <w:spacing w:val="-5"/>
          <w:sz w:val="21"/>
          <w:szCs w:val="21"/>
        </w:rPr>
        <w:t>责任的辩解</w:t>
      </w:r>
      <w:r>
        <w:rPr>
          <w:rFonts w:hint="eastAsia"/>
          <w:b/>
          <w:bCs/>
          <w:spacing w:val="-5"/>
          <w:sz w:val="21"/>
          <w:szCs w:val="21"/>
          <w:lang w:eastAsia="zh-CN"/>
        </w:rPr>
        <w:t>。</w:t>
      </w:r>
    </w:p>
    <w:p w14:paraId="18D30589">
      <w:pPr>
        <w:pStyle w:val="6"/>
        <w:spacing w:before="180" w:line="227" w:lineRule="auto"/>
        <w:ind w:left="1891"/>
        <w:outlineLvl w:val="9"/>
        <w:rPr>
          <w:spacing w:val="7"/>
          <w:sz w:val="20"/>
          <w:szCs w:val="20"/>
        </w:rPr>
      </w:pPr>
    </w:p>
    <w:p w14:paraId="6A994F1A">
      <w:pPr>
        <w:pStyle w:val="6"/>
        <w:keepNext w:val="0"/>
        <w:keepLines w:val="0"/>
        <w:pageBreakBefore w:val="0"/>
        <w:widowControl/>
        <w:kinsoku w:val="0"/>
        <w:wordWrap/>
        <w:overflowPunct/>
        <w:topLinePunct w:val="0"/>
        <w:autoSpaceDE w:val="0"/>
        <w:autoSpaceDN w:val="0"/>
        <w:bidi w:val="0"/>
        <w:adjustRightInd w:val="0"/>
        <w:snapToGrid w:val="0"/>
        <w:spacing w:before="180" w:line="360" w:lineRule="auto"/>
        <w:ind w:left="1891"/>
        <w:textAlignment w:val="baseline"/>
        <w:outlineLvl w:val="9"/>
        <w:rPr>
          <w:spacing w:val="7"/>
          <w:sz w:val="20"/>
          <w:szCs w:val="20"/>
        </w:rPr>
      </w:pPr>
    </w:p>
    <w:p w14:paraId="0465828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outlineLvl w:val="9"/>
        <w:rPr>
          <w:sz w:val="20"/>
          <w:szCs w:val="20"/>
        </w:rPr>
      </w:pPr>
      <w:r>
        <w:rPr>
          <w:spacing w:val="7"/>
          <w:sz w:val="20"/>
          <w:szCs w:val="20"/>
        </w:rPr>
        <w:t>投标人</w:t>
      </w:r>
      <w:r>
        <w:rPr>
          <w:rFonts w:hint="eastAsia"/>
          <w:b/>
          <w:bCs/>
          <w:spacing w:val="7"/>
          <w:sz w:val="20"/>
          <w:szCs w:val="20"/>
        </w:rPr>
        <w:t>(</w:t>
      </w:r>
      <w:r>
        <w:rPr>
          <w:rFonts w:hint="eastAsia"/>
          <w:b/>
          <w:bCs/>
          <w:spacing w:val="7"/>
          <w:sz w:val="20"/>
          <w:szCs w:val="20"/>
          <w:lang w:val="en-US" w:eastAsia="zh-CN"/>
        </w:rPr>
        <w:t>公章或</w:t>
      </w:r>
      <w:r>
        <w:rPr>
          <w:rFonts w:hint="eastAsia"/>
          <w:b/>
          <w:bCs/>
          <w:spacing w:val="7"/>
          <w:sz w:val="20"/>
          <w:szCs w:val="20"/>
        </w:rPr>
        <w:t>CA证书签章)</w:t>
      </w:r>
      <w:r>
        <w:rPr>
          <w:spacing w:val="2"/>
          <w:sz w:val="20"/>
          <w:szCs w:val="20"/>
        </w:rPr>
        <w:t>：</w:t>
      </w:r>
    </w:p>
    <w:p w14:paraId="163D2B0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outlineLvl w:val="9"/>
        <w:rPr>
          <w:sz w:val="20"/>
          <w:szCs w:val="20"/>
        </w:rPr>
      </w:pPr>
      <w:r>
        <w:rPr>
          <w:spacing w:val="9"/>
          <w:sz w:val="20"/>
          <w:szCs w:val="20"/>
        </w:rPr>
        <w:t>法定代表人(负责人</w:t>
      </w:r>
      <w:r>
        <w:rPr>
          <w:rFonts w:hint="eastAsia"/>
          <w:spacing w:val="9"/>
          <w:sz w:val="20"/>
          <w:szCs w:val="20"/>
          <w:lang w:eastAsia="zh-CN"/>
        </w:rPr>
        <w:t>、</w:t>
      </w:r>
      <w:r>
        <w:rPr>
          <w:rFonts w:hint="eastAsia"/>
          <w:spacing w:val="9"/>
          <w:sz w:val="20"/>
          <w:szCs w:val="20"/>
          <w:lang w:val="en-US" w:eastAsia="zh-CN"/>
        </w:rPr>
        <w:t>自然人</w:t>
      </w:r>
      <w:r>
        <w:rPr>
          <w:spacing w:val="9"/>
          <w:sz w:val="20"/>
          <w:szCs w:val="20"/>
        </w:rPr>
        <w:t>)或相应的委托代理人</w:t>
      </w:r>
      <w:r>
        <w:rPr>
          <w:b/>
          <w:bCs/>
          <w:spacing w:val="8"/>
          <w:sz w:val="20"/>
          <w:szCs w:val="20"/>
        </w:rPr>
        <w:t>（</w:t>
      </w:r>
      <w:r>
        <w:rPr>
          <w:rFonts w:hint="eastAsia"/>
          <w:b/>
          <w:bCs/>
          <w:spacing w:val="8"/>
          <w:sz w:val="20"/>
          <w:szCs w:val="20"/>
          <w:lang w:val="en-US" w:eastAsia="zh-CN"/>
        </w:rPr>
        <w:t>签字</w:t>
      </w:r>
      <w:r>
        <w:rPr>
          <w:b/>
          <w:bCs/>
          <w:spacing w:val="8"/>
          <w:sz w:val="20"/>
          <w:szCs w:val="20"/>
        </w:rPr>
        <w:t>或个人</w:t>
      </w:r>
      <w:r>
        <w:rPr>
          <w:b/>
          <w:bCs/>
          <w:sz w:val="20"/>
          <w:szCs w:val="20"/>
        </w:rPr>
        <w:t>CA</w:t>
      </w:r>
      <w:r>
        <w:rPr>
          <w:b/>
          <w:bCs/>
          <w:spacing w:val="8"/>
          <w:sz w:val="20"/>
          <w:szCs w:val="20"/>
        </w:rPr>
        <w:t>认证证书签章</w:t>
      </w:r>
      <w:r>
        <w:rPr>
          <w:b/>
          <w:bCs/>
          <w:spacing w:val="-1"/>
          <w:sz w:val="20"/>
          <w:szCs w:val="20"/>
        </w:rPr>
        <w:t>）</w:t>
      </w:r>
      <w:r>
        <w:rPr>
          <w:spacing w:val="-1"/>
          <w:sz w:val="20"/>
          <w:szCs w:val="20"/>
        </w:rPr>
        <w:t>：</w:t>
      </w:r>
    </w:p>
    <w:p w14:paraId="670A98E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outlineLvl w:val="9"/>
        <w:rPr>
          <w:rFonts w:hint="default" w:eastAsia="宋体"/>
          <w:sz w:val="20"/>
          <w:szCs w:val="20"/>
          <w:lang w:val="en-US" w:eastAsia="zh-CN"/>
        </w:rPr>
        <w:sectPr>
          <w:footerReference r:id="rId22" w:type="default"/>
          <w:pgSz w:w="11906" w:h="16839"/>
          <w:pgMar w:top="1431" w:right="1149" w:bottom="875" w:left="1143" w:header="0" w:footer="713" w:gutter="0"/>
          <w:pgNumType w:fmt="decimal"/>
          <w:cols w:space="720" w:num="1"/>
        </w:sectPr>
      </w:pPr>
      <w:r>
        <w:rPr>
          <w:rFonts w:hint="eastAsia" w:eastAsia="宋体"/>
          <w:sz w:val="20"/>
          <w:szCs w:val="20"/>
          <w:lang w:val="en-US" w:eastAsia="zh-CN"/>
        </w:rPr>
        <w:t>日期：</w:t>
      </w:r>
    </w:p>
    <w:p w14:paraId="6EFD09F7">
      <w:pPr>
        <w:pStyle w:val="6"/>
        <w:spacing w:before="81" w:line="224" w:lineRule="auto"/>
        <w:ind w:left="21"/>
        <w:outlineLvl w:val="9"/>
      </w:pPr>
      <w:r>
        <w:rPr>
          <w:b/>
          <w:bCs/>
          <w:spacing w:val="6"/>
        </w:rPr>
        <w:t>二、商务、技术性响应及其他有效证明材料</w:t>
      </w:r>
    </w:p>
    <w:p w14:paraId="4E98BF12">
      <w:pPr>
        <w:pStyle w:val="6"/>
        <w:spacing w:before="22" w:line="223" w:lineRule="auto"/>
        <w:ind w:left="39"/>
        <w:outlineLvl w:val="9"/>
      </w:pPr>
      <w:r>
        <w:rPr>
          <w:b/>
          <w:bCs/>
          <w:spacing w:val="3"/>
        </w:rPr>
        <w:t>1.投标报价表（必须提供）</w:t>
      </w:r>
    </w:p>
    <w:p w14:paraId="19DF6F99">
      <w:pPr>
        <w:pStyle w:val="6"/>
        <w:spacing w:before="41" w:line="219" w:lineRule="auto"/>
        <w:ind w:left="38"/>
        <w:outlineLvl w:val="9"/>
        <w:rPr>
          <w:sz w:val="30"/>
          <w:szCs w:val="30"/>
        </w:rPr>
      </w:pPr>
      <w:r>
        <w:rPr>
          <w:b/>
          <w:bCs/>
          <w:spacing w:val="-21"/>
          <w:sz w:val="30"/>
          <w:szCs w:val="30"/>
        </w:rPr>
        <w:t>附件</w:t>
      </w:r>
    </w:p>
    <w:p w14:paraId="7F5C7855">
      <w:pPr>
        <w:pStyle w:val="6"/>
        <w:spacing w:before="154" w:line="223" w:lineRule="auto"/>
        <w:ind w:left="3394"/>
        <w:outlineLvl w:val="9"/>
      </w:pPr>
      <w:r>
        <w:rPr>
          <w:b/>
          <w:bCs/>
          <w:spacing w:val="4"/>
        </w:rPr>
        <w:t>投标报价表（格式）</w:t>
      </w:r>
    </w:p>
    <w:p w14:paraId="5DB08664">
      <w:pPr>
        <w:pStyle w:val="6"/>
        <w:spacing w:before="189" w:line="228" w:lineRule="auto"/>
        <w:ind w:left="11"/>
        <w:outlineLvl w:val="9"/>
        <w:rPr>
          <w:rFonts w:hint="eastAsia" w:eastAsia="宋体"/>
          <w:sz w:val="20"/>
          <w:szCs w:val="20"/>
          <w:lang w:eastAsia="zh-CN"/>
        </w:rPr>
      </w:pPr>
      <w:r>
        <w:rPr>
          <w:spacing w:val="9"/>
          <w:sz w:val="20"/>
          <w:szCs w:val="20"/>
        </w:rPr>
        <w:t>致：</w:t>
      </w:r>
      <w:r>
        <w:rPr>
          <w:rFonts w:hint="eastAsia"/>
          <w:spacing w:val="9"/>
          <w:sz w:val="20"/>
          <w:szCs w:val="20"/>
          <w:u w:val="single" w:color="auto"/>
          <w:lang w:eastAsia="zh-CN"/>
        </w:rPr>
        <w:t>广西合士嘉项目咨询有限公司</w:t>
      </w:r>
    </w:p>
    <w:p w14:paraId="22F68BE3">
      <w:pPr>
        <w:spacing w:line="327" w:lineRule="auto"/>
        <w:outlineLvl w:val="9"/>
        <w:rPr>
          <w:rFonts w:ascii="Arial"/>
          <w:sz w:val="21"/>
        </w:rPr>
      </w:pPr>
    </w:p>
    <w:p w14:paraId="297A55A4">
      <w:pPr>
        <w:pStyle w:val="6"/>
        <w:spacing w:before="66" w:line="260" w:lineRule="auto"/>
        <w:ind w:left="10" w:right="54" w:firstLine="420"/>
        <w:outlineLvl w:val="9"/>
        <w:rPr>
          <w:sz w:val="20"/>
          <w:szCs w:val="20"/>
        </w:rPr>
      </w:pPr>
      <w:r>
        <w:rPr>
          <w:spacing w:val="7"/>
          <w:sz w:val="20"/>
          <w:szCs w:val="20"/>
        </w:rPr>
        <w:t>根据贵方</w:t>
      </w:r>
      <w:r>
        <w:rPr>
          <w:rFonts w:hint="eastAsia"/>
          <w:spacing w:val="7"/>
          <w:sz w:val="20"/>
          <w:szCs w:val="20"/>
          <w:u w:val="single"/>
          <w:lang w:val="en-US" w:eastAsia="zh-CN"/>
        </w:rPr>
        <w:t xml:space="preserve">                 </w:t>
      </w:r>
      <w:r>
        <w:rPr>
          <w:spacing w:val="7"/>
          <w:sz w:val="20"/>
          <w:szCs w:val="20"/>
        </w:rPr>
        <w:t>项目招标文件，项目编号</w:t>
      </w:r>
      <w:r>
        <w:rPr>
          <w:rFonts w:hint="eastAsia"/>
          <w:spacing w:val="7"/>
          <w:sz w:val="20"/>
          <w:szCs w:val="20"/>
          <w:u w:val="single"/>
          <w:lang w:val="en-US" w:eastAsia="zh-CN"/>
        </w:rPr>
        <w:t xml:space="preserve">           </w:t>
      </w:r>
      <w:r>
        <w:rPr>
          <w:spacing w:val="7"/>
          <w:sz w:val="20"/>
          <w:szCs w:val="20"/>
        </w:rPr>
        <w:t>，签字代表</w:t>
      </w:r>
      <w:r>
        <w:rPr>
          <w:rFonts w:hint="eastAsia"/>
          <w:spacing w:val="7"/>
          <w:sz w:val="20"/>
          <w:szCs w:val="20"/>
          <w:u w:val="single"/>
          <w:lang w:val="en-US" w:eastAsia="zh-CN"/>
        </w:rPr>
        <w:t xml:space="preserve">     </w:t>
      </w:r>
      <w:r>
        <w:rPr>
          <w:spacing w:val="6"/>
          <w:sz w:val="20"/>
          <w:szCs w:val="20"/>
        </w:rPr>
        <w:t>（姓名）经正式授权并代表投标人</w:t>
      </w:r>
      <w:r>
        <w:rPr>
          <w:rFonts w:hint="eastAsia"/>
          <w:spacing w:val="6"/>
          <w:sz w:val="20"/>
          <w:szCs w:val="20"/>
          <w:u w:val="single" w:color="auto"/>
          <w:lang w:val="en-US" w:eastAsia="zh-CN"/>
        </w:rPr>
        <w:t xml:space="preserve">           </w:t>
      </w:r>
      <w:r>
        <w:rPr>
          <w:spacing w:val="6"/>
          <w:sz w:val="20"/>
          <w:szCs w:val="20"/>
          <w:u w:val="single" w:color="auto"/>
        </w:rPr>
        <w:t>（</w:t>
      </w:r>
      <w:r>
        <w:rPr>
          <w:spacing w:val="6"/>
          <w:sz w:val="20"/>
          <w:szCs w:val="20"/>
        </w:rPr>
        <w:t>投标单位名称</w:t>
      </w:r>
      <w:r>
        <w:rPr>
          <w:spacing w:val="20"/>
          <w:sz w:val="20"/>
          <w:szCs w:val="20"/>
        </w:rPr>
        <w:t>），</w:t>
      </w:r>
      <w:r>
        <w:rPr>
          <w:spacing w:val="6"/>
          <w:sz w:val="20"/>
          <w:szCs w:val="20"/>
        </w:rPr>
        <w:t>并做出如下报价：</w:t>
      </w:r>
    </w:p>
    <w:tbl>
      <w:tblPr>
        <w:tblStyle w:val="17"/>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676"/>
        <w:gridCol w:w="2384"/>
        <w:gridCol w:w="1874"/>
        <w:gridCol w:w="2267"/>
        <w:gridCol w:w="713"/>
      </w:tblGrid>
      <w:tr w14:paraId="28E55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29" w:type="dxa"/>
            <w:vAlign w:val="top"/>
          </w:tcPr>
          <w:p w14:paraId="60C5C556">
            <w:pPr>
              <w:pStyle w:val="18"/>
              <w:spacing w:before="230" w:line="228" w:lineRule="auto"/>
              <w:ind w:left="118"/>
              <w:outlineLvl w:val="9"/>
              <w:rPr>
                <w:sz w:val="20"/>
                <w:szCs w:val="20"/>
              </w:rPr>
            </w:pPr>
            <w:r>
              <w:rPr>
                <w:spacing w:val="3"/>
                <w:sz w:val="20"/>
                <w:szCs w:val="20"/>
              </w:rPr>
              <w:t>项号</w:t>
            </w:r>
          </w:p>
        </w:tc>
        <w:tc>
          <w:tcPr>
            <w:tcW w:w="1676" w:type="dxa"/>
            <w:vAlign w:val="top"/>
          </w:tcPr>
          <w:p w14:paraId="21F821C9">
            <w:pPr>
              <w:pStyle w:val="18"/>
              <w:spacing w:before="222" w:line="228" w:lineRule="auto"/>
              <w:ind w:left="256" w:firstLine="214" w:firstLineChars="100"/>
              <w:outlineLvl w:val="9"/>
              <w:rPr>
                <w:sz w:val="20"/>
                <w:szCs w:val="20"/>
              </w:rPr>
            </w:pPr>
            <w:r>
              <w:rPr>
                <w:spacing w:val="7"/>
                <w:sz w:val="20"/>
                <w:szCs w:val="20"/>
              </w:rPr>
              <w:t>服务名称</w:t>
            </w:r>
          </w:p>
        </w:tc>
        <w:tc>
          <w:tcPr>
            <w:tcW w:w="2384" w:type="dxa"/>
            <w:vAlign w:val="top"/>
          </w:tcPr>
          <w:p w14:paraId="127ADA37">
            <w:pPr>
              <w:pStyle w:val="18"/>
              <w:spacing w:before="229" w:line="228" w:lineRule="auto"/>
              <w:ind w:left="442"/>
              <w:outlineLvl w:val="9"/>
              <w:rPr>
                <w:sz w:val="20"/>
                <w:szCs w:val="20"/>
              </w:rPr>
            </w:pPr>
            <w:r>
              <w:rPr>
                <w:spacing w:val="7"/>
                <w:sz w:val="20"/>
                <w:szCs w:val="20"/>
              </w:rPr>
              <w:t>服务内容</w:t>
            </w:r>
          </w:p>
        </w:tc>
        <w:tc>
          <w:tcPr>
            <w:tcW w:w="1874" w:type="dxa"/>
            <w:vAlign w:val="top"/>
          </w:tcPr>
          <w:p w14:paraId="5B22F733">
            <w:pPr>
              <w:pStyle w:val="18"/>
              <w:spacing w:before="230" w:line="228" w:lineRule="auto"/>
              <w:ind w:left="571"/>
              <w:outlineLvl w:val="9"/>
              <w:rPr>
                <w:rFonts w:hint="default" w:eastAsia="宋体"/>
                <w:sz w:val="20"/>
                <w:szCs w:val="20"/>
                <w:lang w:val="en-US" w:eastAsia="zh-CN"/>
              </w:rPr>
            </w:pPr>
            <w:r>
              <w:rPr>
                <w:spacing w:val="3"/>
                <w:sz w:val="20"/>
                <w:szCs w:val="20"/>
              </w:rPr>
              <w:t>单位</w:t>
            </w:r>
            <w:r>
              <w:rPr>
                <w:rFonts w:hint="eastAsia"/>
                <w:spacing w:val="3"/>
                <w:sz w:val="20"/>
                <w:szCs w:val="20"/>
                <w:lang w:val="en-US" w:eastAsia="zh-CN"/>
              </w:rPr>
              <w:t>及数量</w:t>
            </w:r>
          </w:p>
        </w:tc>
        <w:tc>
          <w:tcPr>
            <w:tcW w:w="2267" w:type="dxa"/>
            <w:vAlign w:val="top"/>
          </w:tcPr>
          <w:p w14:paraId="086D3576">
            <w:pPr>
              <w:pStyle w:val="18"/>
              <w:spacing w:before="230" w:line="226" w:lineRule="auto"/>
              <w:ind w:left="354"/>
              <w:outlineLvl w:val="9"/>
              <w:rPr>
                <w:rFonts w:hint="default" w:eastAsia="宋体"/>
                <w:sz w:val="20"/>
                <w:szCs w:val="20"/>
                <w:lang w:val="en-US" w:eastAsia="zh-CN"/>
              </w:rPr>
            </w:pPr>
            <w:r>
              <w:rPr>
                <w:rFonts w:hint="eastAsia"/>
                <w:spacing w:val="7"/>
                <w:sz w:val="20"/>
                <w:szCs w:val="20"/>
                <w:lang w:val="en-US" w:eastAsia="zh-CN"/>
              </w:rPr>
              <w:t>投标总报价（元）</w:t>
            </w:r>
          </w:p>
        </w:tc>
        <w:tc>
          <w:tcPr>
            <w:tcW w:w="713" w:type="dxa"/>
            <w:vAlign w:val="top"/>
          </w:tcPr>
          <w:p w14:paraId="2BB1AC59">
            <w:pPr>
              <w:pStyle w:val="18"/>
              <w:spacing w:before="230" w:line="229" w:lineRule="auto"/>
              <w:ind w:left="156"/>
              <w:outlineLvl w:val="9"/>
              <w:rPr>
                <w:sz w:val="20"/>
                <w:szCs w:val="20"/>
              </w:rPr>
            </w:pPr>
            <w:r>
              <w:rPr>
                <w:spacing w:val="3"/>
                <w:sz w:val="20"/>
                <w:szCs w:val="20"/>
              </w:rPr>
              <w:t>备注</w:t>
            </w:r>
          </w:p>
        </w:tc>
      </w:tr>
      <w:tr w14:paraId="041B3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8" w:hRule="atLeast"/>
        </w:trPr>
        <w:tc>
          <w:tcPr>
            <w:tcW w:w="729" w:type="dxa"/>
            <w:vAlign w:val="top"/>
          </w:tcPr>
          <w:p w14:paraId="32925CE2">
            <w:pPr>
              <w:spacing w:line="280" w:lineRule="auto"/>
              <w:outlineLvl w:val="9"/>
              <w:rPr>
                <w:rFonts w:ascii="Arial"/>
                <w:sz w:val="21"/>
              </w:rPr>
            </w:pPr>
          </w:p>
          <w:p w14:paraId="21BBC376">
            <w:pPr>
              <w:spacing w:line="281" w:lineRule="auto"/>
              <w:outlineLvl w:val="9"/>
              <w:rPr>
                <w:rFonts w:ascii="Arial"/>
                <w:sz w:val="21"/>
              </w:rPr>
            </w:pPr>
          </w:p>
          <w:p w14:paraId="47BD0FA3">
            <w:pPr>
              <w:pStyle w:val="18"/>
              <w:spacing w:before="65" w:line="189" w:lineRule="auto"/>
              <w:ind w:left="334"/>
              <w:outlineLvl w:val="9"/>
              <w:rPr>
                <w:sz w:val="20"/>
                <w:szCs w:val="20"/>
              </w:rPr>
            </w:pPr>
            <w:r>
              <w:rPr>
                <w:sz w:val="20"/>
                <w:szCs w:val="20"/>
              </w:rPr>
              <w:t>1</w:t>
            </w:r>
          </w:p>
        </w:tc>
        <w:tc>
          <w:tcPr>
            <w:tcW w:w="1676" w:type="dxa"/>
            <w:vAlign w:val="top"/>
          </w:tcPr>
          <w:p w14:paraId="0219ABB8">
            <w:pPr>
              <w:pStyle w:val="18"/>
              <w:spacing w:before="148" w:line="228" w:lineRule="auto"/>
              <w:jc w:val="both"/>
              <w:outlineLvl w:val="9"/>
              <w:rPr>
                <w:sz w:val="20"/>
                <w:szCs w:val="20"/>
              </w:rPr>
            </w:pPr>
            <w:r>
              <w:rPr>
                <w:b w:val="0"/>
                <w:bCs w:val="0"/>
                <w:spacing w:val="5"/>
                <w:sz w:val="20"/>
                <w:szCs w:val="20"/>
              </w:rPr>
              <w:t>兴安县城北</w:t>
            </w:r>
            <w:r>
              <w:rPr>
                <w:b w:val="0"/>
                <w:bCs w:val="0"/>
                <w:spacing w:val="6"/>
                <w:sz w:val="20"/>
                <w:szCs w:val="20"/>
              </w:rPr>
              <w:t>及乡镇污水</w:t>
            </w:r>
            <w:r>
              <w:rPr>
                <w:b w:val="0"/>
                <w:bCs w:val="0"/>
                <w:spacing w:val="5"/>
                <w:sz w:val="20"/>
                <w:szCs w:val="20"/>
              </w:rPr>
              <w:t>处理厂运营管理服务</w:t>
            </w:r>
          </w:p>
        </w:tc>
        <w:tc>
          <w:tcPr>
            <w:tcW w:w="2384" w:type="dxa"/>
            <w:vAlign w:val="top"/>
          </w:tcPr>
          <w:p w14:paraId="3E3D2E17">
            <w:pPr>
              <w:spacing w:line="278" w:lineRule="auto"/>
              <w:outlineLvl w:val="9"/>
              <w:rPr>
                <w:rFonts w:ascii="Arial"/>
                <w:sz w:val="21"/>
              </w:rPr>
            </w:pPr>
          </w:p>
          <w:p w14:paraId="268EE5D7">
            <w:pPr>
              <w:pStyle w:val="18"/>
              <w:spacing w:before="65" w:line="248" w:lineRule="auto"/>
              <w:ind w:right="119"/>
              <w:jc w:val="both"/>
              <w:outlineLvl w:val="9"/>
              <w:rPr>
                <w:sz w:val="20"/>
                <w:szCs w:val="20"/>
              </w:rPr>
            </w:pPr>
            <w:r>
              <w:rPr>
                <w:spacing w:val="8"/>
                <w:sz w:val="20"/>
                <w:szCs w:val="20"/>
              </w:rPr>
              <w:t>按《服务采购需求》的要求完成</w:t>
            </w:r>
            <w:r>
              <w:rPr>
                <w:spacing w:val="25"/>
                <w:sz w:val="20"/>
                <w:szCs w:val="20"/>
              </w:rPr>
              <w:t>所有服务内容</w:t>
            </w:r>
          </w:p>
        </w:tc>
        <w:tc>
          <w:tcPr>
            <w:tcW w:w="1874" w:type="dxa"/>
            <w:vAlign w:val="top"/>
          </w:tcPr>
          <w:p w14:paraId="7F5C27D8">
            <w:pPr>
              <w:spacing w:line="264" w:lineRule="auto"/>
              <w:outlineLvl w:val="9"/>
              <w:rPr>
                <w:rFonts w:ascii="Arial"/>
                <w:sz w:val="21"/>
              </w:rPr>
            </w:pPr>
          </w:p>
          <w:p w14:paraId="37F41C25">
            <w:pPr>
              <w:spacing w:line="264" w:lineRule="auto"/>
              <w:outlineLvl w:val="9"/>
              <w:rPr>
                <w:rFonts w:ascii="Arial"/>
                <w:sz w:val="21"/>
              </w:rPr>
            </w:pPr>
          </w:p>
          <w:p w14:paraId="4A67A165">
            <w:pPr>
              <w:pStyle w:val="18"/>
              <w:spacing w:before="65" w:line="228" w:lineRule="auto"/>
              <w:ind w:left="676" w:firstLine="200" w:firstLineChars="100"/>
              <w:outlineLvl w:val="9"/>
              <w:rPr>
                <w:rFonts w:hint="default" w:eastAsia="宋体"/>
                <w:sz w:val="20"/>
                <w:szCs w:val="20"/>
                <w:lang w:val="en-US" w:eastAsia="zh-CN"/>
              </w:rPr>
            </w:pPr>
            <w:r>
              <w:rPr>
                <w:rFonts w:hint="eastAsia"/>
                <w:sz w:val="20"/>
                <w:szCs w:val="20"/>
                <w:lang w:val="en-US" w:eastAsia="zh-CN"/>
              </w:rPr>
              <w:t>1项</w:t>
            </w:r>
          </w:p>
        </w:tc>
        <w:tc>
          <w:tcPr>
            <w:tcW w:w="2267" w:type="dxa"/>
            <w:vAlign w:val="top"/>
          </w:tcPr>
          <w:p w14:paraId="318CB81D">
            <w:pPr>
              <w:outlineLvl w:val="9"/>
              <w:rPr>
                <w:rFonts w:hint="eastAsia" w:ascii="Arial" w:eastAsia="宋体"/>
                <w:sz w:val="21"/>
                <w:lang w:val="en-US" w:eastAsia="zh-CN"/>
              </w:rPr>
            </w:pPr>
            <w:r>
              <w:rPr>
                <w:rFonts w:hint="eastAsia" w:eastAsia="宋体"/>
                <w:sz w:val="21"/>
                <w:lang w:val="en-US" w:eastAsia="zh-CN"/>
              </w:rPr>
              <w:t xml:space="preserve"> </w:t>
            </w:r>
          </w:p>
        </w:tc>
        <w:tc>
          <w:tcPr>
            <w:tcW w:w="713" w:type="dxa"/>
            <w:vAlign w:val="top"/>
          </w:tcPr>
          <w:p w14:paraId="778CD1FE">
            <w:pPr>
              <w:outlineLvl w:val="9"/>
              <w:rPr>
                <w:rFonts w:ascii="Arial"/>
                <w:sz w:val="21"/>
              </w:rPr>
            </w:pPr>
          </w:p>
        </w:tc>
      </w:tr>
      <w:tr w14:paraId="30AC2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9643" w:type="dxa"/>
            <w:gridSpan w:val="6"/>
            <w:vAlign w:val="top"/>
          </w:tcPr>
          <w:p w14:paraId="57E8381D">
            <w:pPr>
              <w:spacing w:line="297" w:lineRule="auto"/>
              <w:outlineLvl w:val="9"/>
              <w:rPr>
                <w:rFonts w:ascii="Arial"/>
                <w:sz w:val="21"/>
              </w:rPr>
            </w:pPr>
          </w:p>
          <w:p w14:paraId="34280C3B">
            <w:pPr>
              <w:pStyle w:val="18"/>
              <w:spacing w:before="65" w:line="226" w:lineRule="auto"/>
              <w:ind w:left="117"/>
              <w:outlineLvl w:val="9"/>
              <w:rPr>
                <w:sz w:val="20"/>
                <w:szCs w:val="20"/>
              </w:rPr>
            </w:pPr>
            <w:r>
              <w:rPr>
                <w:spacing w:val="-4"/>
                <w:sz w:val="21"/>
                <w:szCs w:val="21"/>
              </w:rPr>
              <w:t>投标总报价（大写</w:t>
            </w:r>
            <w:r>
              <w:rPr>
                <w:spacing w:val="-1"/>
                <w:sz w:val="21"/>
                <w:szCs w:val="21"/>
              </w:rPr>
              <w:t>）：</w:t>
            </w:r>
            <w:r>
              <w:rPr>
                <w:rFonts w:hint="eastAsia"/>
                <w:spacing w:val="-1"/>
                <w:sz w:val="21"/>
                <w:szCs w:val="21"/>
                <w:lang w:val="en-US" w:eastAsia="zh-CN"/>
              </w:rPr>
              <w:t>人民币</w:t>
            </w:r>
            <w:r>
              <w:rPr>
                <w:rFonts w:hint="eastAsia"/>
                <w:spacing w:val="-1"/>
                <w:sz w:val="21"/>
                <w:szCs w:val="21"/>
                <w:u w:val="single"/>
                <w:lang w:val="en-US" w:eastAsia="zh-CN"/>
              </w:rPr>
              <w:t xml:space="preserve">                                </w:t>
            </w:r>
            <w:r>
              <w:rPr>
                <w:spacing w:val="-4"/>
                <w:sz w:val="21"/>
                <w:szCs w:val="21"/>
              </w:rPr>
              <w:t>元(￥</w:t>
            </w:r>
            <w:r>
              <w:rPr>
                <w:rFonts w:hint="eastAsia"/>
                <w:spacing w:val="-4"/>
                <w:sz w:val="21"/>
                <w:szCs w:val="21"/>
                <w:lang w:val="en-US" w:eastAsia="zh-CN"/>
              </w:rPr>
              <w:t xml:space="preserve">                </w:t>
            </w:r>
            <w:r>
              <w:rPr>
                <w:spacing w:val="-4"/>
                <w:sz w:val="21"/>
                <w:szCs w:val="21"/>
              </w:rPr>
              <w:t>)</w:t>
            </w:r>
          </w:p>
        </w:tc>
      </w:tr>
      <w:tr w14:paraId="6E9F9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9643" w:type="dxa"/>
            <w:gridSpan w:val="6"/>
            <w:vAlign w:val="top"/>
          </w:tcPr>
          <w:p w14:paraId="6597202A">
            <w:pPr>
              <w:pStyle w:val="18"/>
              <w:spacing w:before="216" w:line="262" w:lineRule="auto"/>
              <w:ind w:left="122" w:right="96" w:hanging="8"/>
              <w:outlineLvl w:val="9"/>
              <w:rPr>
                <w:sz w:val="20"/>
                <w:szCs w:val="20"/>
              </w:rPr>
            </w:pPr>
            <w:r>
              <w:rPr>
                <w:spacing w:val="-4"/>
                <w:sz w:val="21"/>
                <w:szCs w:val="21"/>
              </w:rPr>
              <w:t>服务期：自签订合同之日起一年（如在合同期限内，该项目因运营模式改变，通过公开招标方式引入了社会投</w:t>
            </w:r>
            <w:r>
              <w:rPr>
                <w:spacing w:val="-2"/>
                <w:sz w:val="21"/>
                <w:szCs w:val="21"/>
              </w:rPr>
              <w:t>资人，则合同终止，项目移交中标方运营管理，服务费用</w:t>
            </w:r>
            <w:r>
              <w:rPr>
                <w:spacing w:val="-3"/>
                <w:sz w:val="21"/>
                <w:szCs w:val="21"/>
              </w:rPr>
              <w:t>以实际运营时长支付）。</w:t>
            </w:r>
          </w:p>
        </w:tc>
      </w:tr>
      <w:tr w14:paraId="70696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643" w:type="dxa"/>
            <w:gridSpan w:val="6"/>
            <w:vAlign w:val="top"/>
          </w:tcPr>
          <w:p w14:paraId="10791EB0">
            <w:pPr>
              <w:pStyle w:val="18"/>
              <w:spacing w:before="166" w:line="298" w:lineRule="auto"/>
              <w:ind w:left="117" w:right="117"/>
              <w:outlineLvl w:val="9"/>
              <w:rPr>
                <w:sz w:val="20"/>
                <w:szCs w:val="20"/>
              </w:rPr>
            </w:pPr>
            <w:r>
              <w:rPr>
                <w:spacing w:val="9"/>
                <w:sz w:val="21"/>
                <w:szCs w:val="21"/>
              </w:rPr>
              <w:t>说明：投标报价指本次采购范围服务价款、调研费用、评估相关会议费用、服务人员费用、专家</w:t>
            </w:r>
            <w:r>
              <w:rPr>
                <w:spacing w:val="8"/>
                <w:sz w:val="21"/>
                <w:szCs w:val="21"/>
              </w:rPr>
              <w:t>费用、</w:t>
            </w:r>
            <w:r>
              <w:rPr>
                <w:spacing w:val="10"/>
                <w:sz w:val="21"/>
                <w:szCs w:val="21"/>
              </w:rPr>
              <w:t>差旅费、交通费、管理费、资料制作费、验</w:t>
            </w:r>
            <w:r>
              <w:rPr>
                <w:spacing w:val="9"/>
                <w:sz w:val="21"/>
                <w:szCs w:val="21"/>
              </w:rPr>
              <w:t>收费用、税金、利润、后续服务、培训等全部费用。</w:t>
            </w:r>
          </w:p>
        </w:tc>
      </w:tr>
    </w:tbl>
    <w:p w14:paraId="1F8F49E8">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outlineLvl w:val="9"/>
        <w:rPr>
          <w:rFonts w:hint="eastAsia" w:ascii="宋体" w:hAnsi="宋体"/>
          <w:color w:val="000000"/>
          <w:szCs w:val="21"/>
          <w:highlight w:val="none"/>
        </w:rPr>
      </w:pPr>
      <w:r>
        <w:rPr>
          <w:rFonts w:hint="eastAsia" w:ascii="宋体" w:hAnsi="宋体"/>
          <w:color w:val="000000"/>
          <w:szCs w:val="21"/>
          <w:highlight w:val="none"/>
          <w:lang w:val="en-US" w:eastAsia="zh-CN"/>
        </w:rPr>
        <w:t>与本投标有关的正式通讯地址为：</w:t>
      </w:r>
    </w:p>
    <w:p w14:paraId="4B1FE139">
      <w:pPr>
        <w:snapToGrid w:val="0"/>
        <w:spacing w:line="360" w:lineRule="auto"/>
        <w:outlineLvl w:val="9"/>
        <w:rPr>
          <w:rFonts w:hint="default" w:ascii="宋体" w:hAnsi="宋体"/>
          <w:color w:val="000000"/>
          <w:szCs w:val="21"/>
          <w:highlight w:val="none"/>
          <w:u w:val="single"/>
          <w:lang w:val="en-US"/>
        </w:rPr>
      </w:pPr>
      <w:r>
        <w:rPr>
          <w:rFonts w:hint="eastAsia" w:ascii="宋体" w:hAnsi="宋体"/>
          <w:color w:val="000000"/>
          <w:szCs w:val="21"/>
          <w:highlight w:val="none"/>
          <w:lang w:val="en-US" w:eastAsia="zh-CN"/>
        </w:rPr>
        <w:t>地址：</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lang w:val="en-US" w:eastAsia="zh-CN"/>
        </w:rPr>
        <w:t xml:space="preserve">   邮编：</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lang w:val="en-US" w:eastAsia="zh-CN"/>
        </w:rPr>
        <w:t xml:space="preserve">    电话、传真：</w:t>
      </w:r>
      <w:r>
        <w:rPr>
          <w:rFonts w:hint="eastAsia" w:ascii="宋体" w:hAnsi="宋体"/>
          <w:color w:val="000000"/>
          <w:szCs w:val="21"/>
          <w:highlight w:val="none"/>
          <w:u w:val="single"/>
          <w:lang w:val="en-US" w:eastAsia="zh-CN"/>
        </w:rPr>
        <w:t xml:space="preserve">             </w:t>
      </w:r>
    </w:p>
    <w:p w14:paraId="0B8E43E1">
      <w:pPr>
        <w:snapToGrid w:val="0"/>
        <w:spacing w:line="360" w:lineRule="auto"/>
        <w:outlineLvl w:val="9"/>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开户名称：</w:t>
      </w:r>
      <w:r>
        <w:rPr>
          <w:rFonts w:hint="eastAsia" w:ascii="宋体" w:hAnsi="宋体"/>
          <w:color w:val="000000"/>
          <w:szCs w:val="21"/>
          <w:highlight w:val="none"/>
          <w:u w:val="single"/>
          <w:lang w:val="en-US" w:eastAsia="zh-CN"/>
        </w:rPr>
        <w:t xml:space="preserve">                                        </w:t>
      </w:r>
    </w:p>
    <w:p w14:paraId="12115869">
      <w:pPr>
        <w:snapToGrid w:val="0"/>
        <w:spacing w:line="360" w:lineRule="auto"/>
        <w:outlineLvl w:val="9"/>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开户银行：</w:t>
      </w:r>
      <w:r>
        <w:rPr>
          <w:rFonts w:hint="eastAsia" w:ascii="宋体" w:hAnsi="宋体"/>
          <w:color w:val="000000"/>
          <w:szCs w:val="21"/>
          <w:highlight w:val="none"/>
          <w:u w:val="single"/>
          <w:lang w:val="en-US" w:eastAsia="zh-CN"/>
        </w:rPr>
        <w:t xml:space="preserve">                                        </w:t>
      </w:r>
    </w:p>
    <w:p w14:paraId="7B849F5C">
      <w:pPr>
        <w:snapToGrid w:val="0"/>
        <w:spacing w:line="360" w:lineRule="auto"/>
        <w:outlineLvl w:val="9"/>
        <w:rPr>
          <w:rFonts w:hint="default" w:ascii="宋体" w:hAnsi="宋体"/>
          <w:color w:val="000000"/>
          <w:szCs w:val="21"/>
          <w:highlight w:val="none"/>
          <w:u w:val="single"/>
          <w:lang w:val="en-US" w:eastAsia="zh-CN"/>
        </w:rPr>
      </w:pPr>
      <w:r>
        <w:rPr>
          <w:rFonts w:hint="eastAsia" w:ascii="宋体" w:hAnsi="宋体"/>
          <w:color w:val="000000"/>
          <w:szCs w:val="21"/>
          <w:highlight w:val="none"/>
          <w:lang w:val="en-US" w:eastAsia="zh-CN"/>
        </w:rPr>
        <w:t>账号：</w:t>
      </w:r>
      <w:r>
        <w:rPr>
          <w:rFonts w:hint="eastAsia" w:ascii="宋体" w:hAnsi="宋体"/>
          <w:color w:val="000000"/>
          <w:szCs w:val="21"/>
          <w:highlight w:val="none"/>
          <w:u w:val="single"/>
          <w:lang w:val="en-US" w:eastAsia="zh-CN"/>
        </w:rPr>
        <w:t xml:space="preserve">                                            </w:t>
      </w:r>
    </w:p>
    <w:p w14:paraId="457BC4FD">
      <w:pPr>
        <w:snapToGrid w:val="0"/>
        <w:spacing w:line="400" w:lineRule="exact"/>
        <w:jc w:val="left"/>
        <w:outlineLvl w:val="9"/>
        <w:rPr>
          <w:rFonts w:hint="eastAsia" w:ascii="宋体" w:hAnsi="宋体"/>
          <w:color w:val="000000"/>
          <w:szCs w:val="21"/>
          <w:highlight w:val="none"/>
          <w:u w:val="single"/>
        </w:rPr>
      </w:pPr>
      <w:r>
        <w:rPr>
          <w:rFonts w:hint="eastAsia" w:ascii="宋体" w:hAnsi="宋体"/>
          <w:color w:val="000000"/>
          <w:szCs w:val="21"/>
          <w:highlight w:val="none"/>
        </w:rPr>
        <w:t>投标人</w:t>
      </w:r>
      <w:r>
        <w:rPr>
          <w:rFonts w:hint="eastAsia" w:ascii="宋体" w:hAnsi="宋体" w:cs="宋体"/>
          <w:color w:val="000000"/>
          <w:szCs w:val="21"/>
          <w:highlight w:val="none"/>
        </w:rPr>
        <w:t xml:space="preserve"> </w:t>
      </w:r>
      <w:r>
        <w:rPr>
          <w:rFonts w:hint="eastAsia" w:ascii="宋体" w:hAnsi="宋体" w:cs="宋体"/>
          <w:b/>
          <w:bCs/>
          <w:color w:val="000000"/>
          <w:szCs w:val="21"/>
          <w:highlight w:val="none"/>
        </w:rPr>
        <w:t>(</w:t>
      </w:r>
      <w:r>
        <w:rPr>
          <w:rFonts w:hint="eastAsia" w:ascii="宋体" w:hAnsi="宋体" w:eastAsia="宋体" w:cs="宋体"/>
          <w:b/>
          <w:bCs/>
          <w:color w:val="000000"/>
          <w:szCs w:val="21"/>
          <w:highlight w:val="none"/>
          <w:lang w:val="en-US" w:eastAsia="zh-CN"/>
        </w:rPr>
        <w:t>公章或</w:t>
      </w:r>
      <w:r>
        <w:rPr>
          <w:rFonts w:hint="eastAsia" w:ascii="宋体" w:hAnsi="宋体"/>
          <w:b/>
          <w:bCs/>
          <w:color w:val="000000"/>
          <w:szCs w:val="21"/>
          <w:highlight w:val="none"/>
        </w:rPr>
        <w:t>CA证书签章</w:t>
      </w:r>
      <w:r>
        <w:rPr>
          <w:rFonts w:hint="eastAsia" w:ascii="宋体" w:hAnsi="宋体" w:cs="宋体"/>
          <w:b/>
          <w:bCs/>
          <w:color w:val="000000"/>
          <w:szCs w:val="21"/>
          <w:highlight w:val="none"/>
        </w:rPr>
        <w:t>)</w:t>
      </w:r>
      <w:r>
        <w:rPr>
          <w:rFonts w:hint="eastAsia" w:ascii="宋体" w:hAnsi="宋体"/>
          <w:color w:val="000000"/>
          <w:szCs w:val="21"/>
          <w:highlight w:val="none"/>
        </w:rPr>
        <w:t>：</w:t>
      </w:r>
      <w:r>
        <w:rPr>
          <w:rFonts w:hint="eastAsia" w:ascii="宋体" w:hAnsi="宋体"/>
          <w:color w:val="000000"/>
          <w:szCs w:val="21"/>
          <w:highlight w:val="none"/>
          <w:u w:val="single"/>
        </w:rPr>
        <w:t xml:space="preserve">                            </w:t>
      </w:r>
    </w:p>
    <w:p w14:paraId="5B1DFBE8">
      <w:pPr>
        <w:pStyle w:val="9"/>
        <w:spacing w:line="440" w:lineRule="exact"/>
        <w:jc w:val="left"/>
        <w:outlineLvl w:val="9"/>
        <w:rPr>
          <w:rFonts w:hint="eastAsia" w:hAnsi="宋体"/>
          <w:color w:val="000000"/>
          <w:szCs w:val="21"/>
          <w:highlight w:val="none"/>
          <w:u w:val="single"/>
        </w:rPr>
      </w:pPr>
      <w:r>
        <w:rPr>
          <w:rFonts w:hint="eastAsia" w:hAnsi="宋体"/>
          <w:color w:val="000000"/>
          <w:szCs w:val="21"/>
          <w:highlight w:val="none"/>
        </w:rPr>
        <w:t>法定代表人（负责人、自然人）</w:t>
      </w:r>
      <w:r>
        <w:rPr>
          <w:rFonts w:hint="eastAsia" w:hAnsi="宋体"/>
          <w:color w:val="000000"/>
          <w:highlight w:val="none"/>
        </w:rPr>
        <w:t>或相应的委托代理人</w:t>
      </w:r>
      <w:r>
        <w:rPr>
          <w:rFonts w:hint="eastAsia" w:hAnsi="宋体" w:cs="宋体"/>
          <w:color w:val="000000"/>
          <w:szCs w:val="21"/>
          <w:highlight w:val="none"/>
        </w:rPr>
        <w:t>（</w:t>
      </w:r>
      <w:r>
        <w:rPr>
          <w:rFonts w:hint="eastAsia" w:hAnsi="宋体" w:eastAsia="宋体" w:cs="宋体"/>
          <w:b/>
          <w:bCs/>
          <w:color w:val="000000"/>
          <w:szCs w:val="21"/>
          <w:highlight w:val="none"/>
          <w:lang w:val="en-US" w:eastAsia="zh-CN"/>
        </w:rPr>
        <w:t>签字</w:t>
      </w:r>
      <w:r>
        <w:rPr>
          <w:rFonts w:hint="eastAsia" w:hAnsi="宋体" w:cs="宋体"/>
          <w:b/>
          <w:bCs/>
          <w:color w:val="000000"/>
          <w:szCs w:val="21"/>
          <w:highlight w:val="none"/>
        </w:rPr>
        <w:t>或个人CA证书签章</w:t>
      </w:r>
      <w:r>
        <w:rPr>
          <w:rFonts w:hint="eastAsia" w:hAnsi="宋体" w:cs="宋体"/>
          <w:color w:val="000000"/>
          <w:szCs w:val="21"/>
          <w:highlight w:val="none"/>
        </w:rPr>
        <w:t>）</w:t>
      </w:r>
      <w:r>
        <w:rPr>
          <w:rFonts w:hint="eastAsia" w:hAnsi="宋体"/>
          <w:color w:val="000000"/>
          <w:highlight w:val="none"/>
        </w:rPr>
        <w:t>：</w:t>
      </w:r>
      <w:r>
        <w:rPr>
          <w:rFonts w:hint="eastAsia" w:hAnsi="宋体"/>
          <w:color w:val="000000"/>
          <w:szCs w:val="21"/>
          <w:highlight w:val="none"/>
          <w:u w:val="single"/>
        </w:rPr>
        <w:t xml:space="preserve">                           </w:t>
      </w:r>
    </w:p>
    <w:p w14:paraId="5F85F565">
      <w:pPr>
        <w:spacing w:line="340" w:lineRule="exact"/>
        <w:outlineLvl w:val="9"/>
        <w:rPr>
          <w:rFonts w:hint="eastAsia" w:ascii="宋体" w:hAnsi="宋体"/>
          <w:color w:val="000000"/>
          <w:szCs w:val="21"/>
          <w:highlight w:val="none"/>
          <w:u w:val="single"/>
        </w:rPr>
      </w:pPr>
      <w:r>
        <w:rPr>
          <w:rFonts w:hint="eastAsia" w:hAnsi="宋体"/>
          <w:color w:val="000000"/>
          <w:highlight w:val="none"/>
        </w:rPr>
        <w:t>日期：</w:t>
      </w:r>
      <w:r>
        <w:rPr>
          <w:rFonts w:hint="eastAsia" w:hAnsi="宋体"/>
          <w:color w:val="000000"/>
          <w:highlight w:val="none"/>
          <w:u w:val="single"/>
        </w:rPr>
        <w:t xml:space="preserve">                                        </w:t>
      </w:r>
    </w:p>
    <w:p w14:paraId="122A7A29">
      <w:pPr>
        <w:pStyle w:val="6"/>
        <w:spacing w:before="31" w:line="232" w:lineRule="auto"/>
        <w:outlineLvl w:val="9"/>
        <w:rPr>
          <w:sz w:val="20"/>
          <w:szCs w:val="20"/>
        </w:rPr>
      </w:pPr>
      <w:r>
        <w:rPr>
          <w:b/>
          <w:bCs/>
          <w:spacing w:val="-2"/>
          <w:sz w:val="20"/>
          <w:szCs w:val="20"/>
        </w:rPr>
        <w:t>注：</w:t>
      </w:r>
    </w:p>
    <w:p w14:paraId="6D1ED60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2" w:firstLineChars="200"/>
        <w:jc w:val="both"/>
        <w:textAlignment w:val="baseline"/>
        <w:outlineLvl w:val="9"/>
        <w:rPr>
          <w:sz w:val="20"/>
          <w:szCs w:val="20"/>
        </w:rPr>
      </w:pPr>
      <w:r>
        <w:rPr>
          <w:b/>
          <w:bCs/>
          <w:spacing w:val="5"/>
          <w:sz w:val="20"/>
          <w:szCs w:val="20"/>
        </w:rPr>
        <w:t>1.当本表由多页构成时，需逐页加盖投标人公章。</w:t>
      </w:r>
    </w:p>
    <w:p w14:paraId="1C7ACF9E">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6" w:firstLineChars="200"/>
        <w:jc w:val="both"/>
        <w:textAlignment w:val="baseline"/>
        <w:outlineLvl w:val="9"/>
        <w:rPr>
          <w:sz w:val="20"/>
          <w:szCs w:val="20"/>
        </w:rPr>
      </w:pPr>
      <w:r>
        <w:rPr>
          <w:b/>
          <w:bCs/>
          <w:spacing w:val="6"/>
          <w:sz w:val="20"/>
          <w:szCs w:val="20"/>
        </w:rPr>
        <w:t>2.投标人必须按本投标报价表（格式）要求注明清楚联系方式（包括地址、邮编、邮箱、电</w:t>
      </w:r>
      <w:r>
        <w:rPr>
          <w:b/>
          <w:bCs/>
          <w:spacing w:val="5"/>
          <w:sz w:val="20"/>
          <w:szCs w:val="20"/>
        </w:rPr>
        <w:t>话等</w:t>
      </w:r>
      <w:r>
        <w:rPr>
          <w:b/>
          <w:bCs/>
          <w:spacing w:val="-25"/>
          <w:sz w:val="20"/>
          <w:szCs w:val="20"/>
        </w:rPr>
        <w:t>），</w:t>
      </w:r>
    </w:p>
    <w:p w14:paraId="31782B63">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outlineLvl w:val="9"/>
        <w:rPr>
          <w:sz w:val="20"/>
          <w:szCs w:val="20"/>
        </w:rPr>
      </w:pPr>
      <w:r>
        <w:rPr>
          <w:b/>
          <w:bCs/>
          <w:spacing w:val="7"/>
          <w:sz w:val="20"/>
          <w:szCs w:val="20"/>
        </w:rPr>
        <w:t>从而确保中标结果等相关信息能及时通知到位。</w:t>
      </w:r>
    </w:p>
    <w:p w14:paraId="5D575784">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4" w:firstLineChars="200"/>
        <w:jc w:val="both"/>
        <w:textAlignment w:val="baseline"/>
        <w:outlineLvl w:val="9"/>
        <w:rPr>
          <w:sz w:val="20"/>
          <w:szCs w:val="20"/>
        </w:rPr>
      </w:pPr>
      <w:r>
        <w:rPr>
          <w:b/>
          <w:bCs/>
          <w:spacing w:val="8"/>
          <w:sz w:val="20"/>
          <w:szCs w:val="20"/>
        </w:rPr>
        <w:t>3.如全部或部分产品属于财政部《节能产品政府采购品目清单》或《环境标志产品政府采购品目清</w:t>
      </w:r>
    </w:p>
    <w:p w14:paraId="4E120745">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outlineLvl w:val="9"/>
        <w:rPr>
          <w:sz w:val="20"/>
          <w:szCs w:val="20"/>
        </w:rPr>
      </w:pPr>
      <w:r>
        <w:rPr>
          <w:b/>
          <w:bCs/>
          <w:spacing w:val="7"/>
          <w:sz w:val="20"/>
          <w:szCs w:val="20"/>
        </w:rPr>
        <w:t>单》内产品的，投标人应于投标文件中提供该产品由国家确定的认证机构出具的、处于有效期之</w:t>
      </w:r>
      <w:r>
        <w:rPr>
          <w:b/>
          <w:bCs/>
          <w:spacing w:val="9"/>
          <w:sz w:val="20"/>
          <w:szCs w:val="20"/>
        </w:rPr>
        <w:t>内的认证证书复印件及相应的品目清单（标</w:t>
      </w:r>
      <w:r>
        <w:rPr>
          <w:b/>
          <w:bCs/>
          <w:spacing w:val="8"/>
          <w:sz w:val="20"/>
          <w:szCs w:val="20"/>
        </w:rPr>
        <w:t>注出所投产品在品目清单中所属的品目</w:t>
      </w:r>
      <w:r>
        <w:rPr>
          <w:b/>
          <w:bCs/>
          <w:spacing w:val="-11"/>
          <w:sz w:val="20"/>
          <w:szCs w:val="20"/>
        </w:rPr>
        <w:t>），</w:t>
      </w:r>
      <w:r>
        <w:rPr>
          <w:b/>
          <w:bCs/>
          <w:spacing w:val="8"/>
          <w:sz w:val="20"/>
          <w:szCs w:val="20"/>
        </w:rPr>
        <w:t>以便评标</w:t>
      </w:r>
      <w:r>
        <w:rPr>
          <w:b/>
          <w:bCs/>
          <w:spacing w:val="7"/>
          <w:sz w:val="20"/>
          <w:szCs w:val="20"/>
        </w:rPr>
        <w:t>委员会作为评审或优先采购的依据。</w:t>
      </w:r>
    </w:p>
    <w:p w14:paraId="27BD8F47">
      <w:pPr>
        <w:spacing w:line="286" w:lineRule="auto"/>
        <w:outlineLvl w:val="9"/>
        <w:rPr>
          <w:sz w:val="20"/>
          <w:szCs w:val="20"/>
        </w:rPr>
        <w:sectPr>
          <w:footerReference r:id="rId23" w:type="default"/>
          <w:pgSz w:w="11906" w:h="16839"/>
          <w:pgMar w:top="1431" w:right="1082" w:bottom="875" w:left="1129" w:header="0" w:footer="713" w:gutter="0"/>
          <w:pgNumType w:fmt="decimal"/>
          <w:cols w:space="720" w:num="1"/>
        </w:sectPr>
      </w:pPr>
    </w:p>
    <w:p w14:paraId="22B141F9">
      <w:pPr>
        <w:pStyle w:val="6"/>
        <w:spacing w:before="147" w:line="234" w:lineRule="auto"/>
        <w:ind w:left="37" w:right="5212" w:hanging="18"/>
        <w:outlineLvl w:val="9"/>
        <w:rPr>
          <w:b/>
          <w:bCs/>
          <w:spacing w:val="3"/>
        </w:rPr>
      </w:pPr>
      <w:r>
        <w:rPr>
          <w:b/>
          <w:bCs/>
          <w:spacing w:val="3"/>
        </w:rPr>
        <w:t>2.技术规格偏离表（必须提供）</w:t>
      </w:r>
    </w:p>
    <w:p w14:paraId="5F82F58E"/>
    <w:p w14:paraId="75B7AA61">
      <w:pPr>
        <w:pStyle w:val="6"/>
        <w:spacing w:before="147" w:line="234" w:lineRule="auto"/>
        <w:ind w:left="37" w:right="5212" w:hanging="18"/>
        <w:outlineLvl w:val="9"/>
        <w:rPr>
          <w:sz w:val="30"/>
          <w:szCs w:val="30"/>
        </w:rPr>
      </w:pPr>
      <w:r>
        <w:rPr>
          <w:b/>
          <w:bCs/>
          <w:spacing w:val="-15"/>
          <w:sz w:val="30"/>
          <w:szCs w:val="30"/>
        </w:rPr>
        <w:t>附件：</w:t>
      </w:r>
    </w:p>
    <w:p w14:paraId="5A5F3801">
      <w:pPr>
        <w:pStyle w:val="6"/>
        <w:spacing w:before="155" w:line="225" w:lineRule="auto"/>
        <w:ind w:left="2748"/>
        <w:outlineLvl w:val="9"/>
      </w:pPr>
      <w:r>
        <w:rPr>
          <w:b/>
          <w:bCs/>
          <w:spacing w:val="6"/>
        </w:rPr>
        <w:t>技术规格偏离表（参考格式）</w:t>
      </w:r>
    </w:p>
    <w:p w14:paraId="721982AD">
      <w:pPr>
        <w:spacing w:line="84" w:lineRule="auto"/>
        <w:outlineLvl w:val="9"/>
        <w:rPr>
          <w:rFonts w:ascii="Arial"/>
          <w:sz w:val="2"/>
        </w:rPr>
      </w:pPr>
    </w:p>
    <w:tbl>
      <w:tblPr>
        <w:tblStyle w:val="17"/>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125"/>
        <w:gridCol w:w="2312"/>
        <w:gridCol w:w="2518"/>
        <w:gridCol w:w="2117"/>
      </w:tblGrid>
      <w:tr w14:paraId="0266F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13" w:type="dxa"/>
            <w:shd w:val="clear" w:color="auto" w:fill="8DB3E2"/>
            <w:vAlign w:val="top"/>
          </w:tcPr>
          <w:p w14:paraId="18F52A92">
            <w:pPr>
              <w:spacing w:line="247" w:lineRule="auto"/>
              <w:outlineLvl w:val="9"/>
              <w:rPr>
                <w:rFonts w:ascii="Arial"/>
                <w:color w:val="auto"/>
                <w:sz w:val="21"/>
              </w:rPr>
            </w:pPr>
          </w:p>
          <w:p w14:paraId="698F1875">
            <w:pPr>
              <w:pStyle w:val="18"/>
              <w:spacing w:before="65" w:line="229" w:lineRule="auto"/>
              <w:ind w:left="149"/>
              <w:outlineLvl w:val="9"/>
              <w:rPr>
                <w:color w:val="auto"/>
                <w:sz w:val="20"/>
                <w:szCs w:val="20"/>
              </w:rPr>
            </w:pPr>
            <w:r>
              <w:rPr>
                <w:b/>
                <w:bCs/>
                <w:color w:val="auto"/>
                <w:spacing w:val="4"/>
                <w:sz w:val="20"/>
                <w:szCs w:val="20"/>
              </w:rPr>
              <w:t>序号</w:t>
            </w:r>
          </w:p>
        </w:tc>
        <w:tc>
          <w:tcPr>
            <w:tcW w:w="2125" w:type="dxa"/>
            <w:shd w:val="clear" w:color="auto" w:fill="8DB3E2"/>
            <w:vAlign w:val="top"/>
          </w:tcPr>
          <w:p w14:paraId="704DD5D0">
            <w:pPr>
              <w:spacing w:line="246" w:lineRule="auto"/>
              <w:outlineLvl w:val="9"/>
              <w:rPr>
                <w:rFonts w:ascii="Arial"/>
                <w:color w:val="auto"/>
                <w:sz w:val="21"/>
              </w:rPr>
            </w:pPr>
          </w:p>
          <w:p w14:paraId="6EF9E1FE">
            <w:pPr>
              <w:pStyle w:val="18"/>
              <w:spacing w:before="65" w:line="228" w:lineRule="auto"/>
              <w:ind w:left="644"/>
              <w:outlineLvl w:val="9"/>
              <w:rPr>
                <w:color w:val="auto"/>
                <w:sz w:val="20"/>
                <w:szCs w:val="20"/>
              </w:rPr>
            </w:pPr>
            <w:r>
              <w:rPr>
                <w:b/>
                <w:bCs/>
                <w:color w:val="auto"/>
                <w:spacing w:val="6"/>
                <w:sz w:val="20"/>
                <w:szCs w:val="20"/>
              </w:rPr>
              <w:t>服务名称</w:t>
            </w:r>
          </w:p>
        </w:tc>
        <w:tc>
          <w:tcPr>
            <w:tcW w:w="2312" w:type="dxa"/>
            <w:shd w:val="clear" w:color="auto" w:fill="8DB3E2"/>
            <w:vAlign w:val="top"/>
          </w:tcPr>
          <w:p w14:paraId="13A01754">
            <w:pPr>
              <w:spacing w:line="246" w:lineRule="auto"/>
              <w:outlineLvl w:val="9"/>
              <w:rPr>
                <w:rFonts w:ascii="Arial"/>
                <w:color w:val="auto"/>
                <w:sz w:val="21"/>
              </w:rPr>
            </w:pPr>
          </w:p>
          <w:p w14:paraId="6E6C2FD2">
            <w:pPr>
              <w:pStyle w:val="18"/>
              <w:spacing w:before="65" w:line="228" w:lineRule="auto"/>
              <w:ind w:left="215"/>
              <w:outlineLvl w:val="9"/>
              <w:rPr>
                <w:color w:val="auto"/>
                <w:sz w:val="20"/>
                <w:szCs w:val="20"/>
              </w:rPr>
            </w:pPr>
            <w:r>
              <w:rPr>
                <w:b/>
                <w:bCs/>
                <w:color w:val="auto"/>
                <w:spacing w:val="7"/>
                <w:sz w:val="20"/>
                <w:szCs w:val="20"/>
              </w:rPr>
              <w:t>项目要求及技术需求</w:t>
            </w:r>
          </w:p>
        </w:tc>
        <w:tc>
          <w:tcPr>
            <w:tcW w:w="2518" w:type="dxa"/>
            <w:shd w:val="clear" w:color="auto" w:fill="8DB3E2"/>
            <w:vAlign w:val="top"/>
          </w:tcPr>
          <w:p w14:paraId="0D174D25">
            <w:pPr>
              <w:spacing w:line="246" w:lineRule="auto"/>
              <w:outlineLvl w:val="9"/>
              <w:rPr>
                <w:rFonts w:ascii="Arial"/>
                <w:color w:val="auto"/>
                <w:sz w:val="21"/>
              </w:rPr>
            </w:pPr>
          </w:p>
          <w:p w14:paraId="51856A1B">
            <w:pPr>
              <w:pStyle w:val="18"/>
              <w:spacing w:before="65" w:line="228" w:lineRule="auto"/>
              <w:ind w:left="319"/>
              <w:outlineLvl w:val="9"/>
              <w:rPr>
                <w:color w:val="auto"/>
                <w:sz w:val="20"/>
                <w:szCs w:val="20"/>
              </w:rPr>
            </w:pPr>
            <w:r>
              <w:rPr>
                <w:b/>
                <w:bCs/>
                <w:color w:val="auto"/>
                <w:spacing w:val="7"/>
                <w:sz w:val="20"/>
                <w:szCs w:val="20"/>
              </w:rPr>
              <w:t>投标文件的响应情况</w:t>
            </w:r>
          </w:p>
        </w:tc>
        <w:tc>
          <w:tcPr>
            <w:tcW w:w="2117" w:type="dxa"/>
            <w:shd w:val="clear" w:color="auto" w:fill="8DB3E2"/>
            <w:vAlign w:val="top"/>
          </w:tcPr>
          <w:p w14:paraId="684D7E94">
            <w:pPr>
              <w:spacing w:line="246" w:lineRule="auto"/>
              <w:outlineLvl w:val="9"/>
              <w:rPr>
                <w:rFonts w:ascii="Arial"/>
                <w:color w:val="auto"/>
                <w:sz w:val="21"/>
              </w:rPr>
            </w:pPr>
          </w:p>
          <w:p w14:paraId="204E1328">
            <w:pPr>
              <w:pStyle w:val="18"/>
              <w:spacing w:before="65" w:line="228" w:lineRule="auto"/>
              <w:ind w:left="431"/>
              <w:outlineLvl w:val="9"/>
              <w:rPr>
                <w:color w:val="auto"/>
                <w:sz w:val="20"/>
                <w:szCs w:val="20"/>
              </w:rPr>
            </w:pPr>
            <w:r>
              <w:rPr>
                <w:b/>
                <w:bCs/>
                <w:color w:val="auto"/>
                <w:spacing w:val="6"/>
                <w:sz w:val="20"/>
                <w:szCs w:val="20"/>
              </w:rPr>
              <w:t>偏离情况说明</w:t>
            </w:r>
          </w:p>
        </w:tc>
      </w:tr>
      <w:tr w14:paraId="36B75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top"/>
          </w:tcPr>
          <w:p w14:paraId="6ABD4BC5">
            <w:pPr>
              <w:pStyle w:val="18"/>
              <w:spacing w:before="301" w:line="189" w:lineRule="auto"/>
              <w:ind w:left="324"/>
              <w:outlineLvl w:val="9"/>
              <w:rPr>
                <w:sz w:val="20"/>
                <w:szCs w:val="20"/>
              </w:rPr>
            </w:pPr>
            <w:r>
              <w:rPr>
                <w:sz w:val="20"/>
                <w:szCs w:val="20"/>
              </w:rPr>
              <w:t>1</w:t>
            </w:r>
          </w:p>
        </w:tc>
        <w:tc>
          <w:tcPr>
            <w:tcW w:w="2125" w:type="dxa"/>
            <w:vAlign w:val="top"/>
          </w:tcPr>
          <w:p w14:paraId="394CE41C">
            <w:pPr>
              <w:outlineLvl w:val="9"/>
              <w:rPr>
                <w:rFonts w:ascii="Arial"/>
                <w:sz w:val="21"/>
              </w:rPr>
            </w:pPr>
          </w:p>
        </w:tc>
        <w:tc>
          <w:tcPr>
            <w:tcW w:w="2312" w:type="dxa"/>
            <w:vAlign w:val="top"/>
          </w:tcPr>
          <w:p w14:paraId="63D71492">
            <w:pPr>
              <w:outlineLvl w:val="9"/>
              <w:rPr>
                <w:rFonts w:ascii="Arial"/>
                <w:sz w:val="21"/>
              </w:rPr>
            </w:pPr>
          </w:p>
        </w:tc>
        <w:tc>
          <w:tcPr>
            <w:tcW w:w="2518" w:type="dxa"/>
            <w:vAlign w:val="top"/>
          </w:tcPr>
          <w:p w14:paraId="536371C6">
            <w:pPr>
              <w:outlineLvl w:val="9"/>
              <w:rPr>
                <w:rFonts w:ascii="Arial"/>
                <w:sz w:val="21"/>
              </w:rPr>
            </w:pPr>
          </w:p>
        </w:tc>
        <w:tc>
          <w:tcPr>
            <w:tcW w:w="2117" w:type="dxa"/>
            <w:vAlign w:val="top"/>
          </w:tcPr>
          <w:p w14:paraId="28AE96AF">
            <w:pPr>
              <w:outlineLvl w:val="9"/>
              <w:rPr>
                <w:rFonts w:ascii="Arial"/>
                <w:sz w:val="21"/>
              </w:rPr>
            </w:pPr>
          </w:p>
        </w:tc>
      </w:tr>
      <w:tr w14:paraId="4DC99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top"/>
          </w:tcPr>
          <w:p w14:paraId="1D41B29F">
            <w:pPr>
              <w:pStyle w:val="18"/>
              <w:spacing w:before="303" w:line="189" w:lineRule="auto"/>
              <w:ind w:left="311"/>
              <w:outlineLvl w:val="9"/>
              <w:rPr>
                <w:sz w:val="20"/>
                <w:szCs w:val="20"/>
              </w:rPr>
            </w:pPr>
            <w:r>
              <w:rPr>
                <w:sz w:val="20"/>
                <w:szCs w:val="20"/>
              </w:rPr>
              <w:t>2</w:t>
            </w:r>
          </w:p>
        </w:tc>
        <w:tc>
          <w:tcPr>
            <w:tcW w:w="2125" w:type="dxa"/>
            <w:vAlign w:val="top"/>
          </w:tcPr>
          <w:p w14:paraId="44A01FB0">
            <w:pPr>
              <w:outlineLvl w:val="9"/>
              <w:rPr>
                <w:rFonts w:ascii="Arial"/>
                <w:sz w:val="21"/>
              </w:rPr>
            </w:pPr>
          </w:p>
        </w:tc>
        <w:tc>
          <w:tcPr>
            <w:tcW w:w="2312" w:type="dxa"/>
            <w:vAlign w:val="top"/>
          </w:tcPr>
          <w:p w14:paraId="3CF55E63">
            <w:pPr>
              <w:outlineLvl w:val="9"/>
              <w:rPr>
                <w:rFonts w:ascii="Arial"/>
                <w:sz w:val="21"/>
              </w:rPr>
            </w:pPr>
          </w:p>
        </w:tc>
        <w:tc>
          <w:tcPr>
            <w:tcW w:w="2518" w:type="dxa"/>
            <w:vAlign w:val="top"/>
          </w:tcPr>
          <w:p w14:paraId="3202740B">
            <w:pPr>
              <w:outlineLvl w:val="9"/>
              <w:rPr>
                <w:rFonts w:ascii="Arial"/>
                <w:sz w:val="21"/>
              </w:rPr>
            </w:pPr>
          </w:p>
        </w:tc>
        <w:tc>
          <w:tcPr>
            <w:tcW w:w="2117" w:type="dxa"/>
            <w:vAlign w:val="top"/>
          </w:tcPr>
          <w:p w14:paraId="51E5A9B1">
            <w:pPr>
              <w:outlineLvl w:val="9"/>
              <w:rPr>
                <w:rFonts w:ascii="Arial"/>
                <w:sz w:val="21"/>
              </w:rPr>
            </w:pPr>
          </w:p>
        </w:tc>
      </w:tr>
      <w:tr w14:paraId="45ACD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top"/>
          </w:tcPr>
          <w:p w14:paraId="05CBED16">
            <w:pPr>
              <w:pStyle w:val="18"/>
              <w:spacing w:before="303" w:line="189" w:lineRule="auto"/>
              <w:ind w:left="313"/>
              <w:outlineLvl w:val="9"/>
              <w:rPr>
                <w:sz w:val="20"/>
                <w:szCs w:val="20"/>
              </w:rPr>
            </w:pPr>
            <w:r>
              <w:rPr>
                <w:sz w:val="20"/>
                <w:szCs w:val="20"/>
              </w:rPr>
              <w:t>3</w:t>
            </w:r>
          </w:p>
        </w:tc>
        <w:tc>
          <w:tcPr>
            <w:tcW w:w="2125" w:type="dxa"/>
            <w:vAlign w:val="top"/>
          </w:tcPr>
          <w:p w14:paraId="0CF57548">
            <w:pPr>
              <w:outlineLvl w:val="9"/>
              <w:rPr>
                <w:rFonts w:ascii="Arial"/>
                <w:sz w:val="21"/>
              </w:rPr>
            </w:pPr>
          </w:p>
        </w:tc>
        <w:tc>
          <w:tcPr>
            <w:tcW w:w="2312" w:type="dxa"/>
            <w:vAlign w:val="top"/>
          </w:tcPr>
          <w:p w14:paraId="31721A9D">
            <w:pPr>
              <w:outlineLvl w:val="9"/>
              <w:rPr>
                <w:rFonts w:ascii="Arial"/>
                <w:sz w:val="21"/>
              </w:rPr>
            </w:pPr>
          </w:p>
        </w:tc>
        <w:tc>
          <w:tcPr>
            <w:tcW w:w="2518" w:type="dxa"/>
            <w:vAlign w:val="top"/>
          </w:tcPr>
          <w:p w14:paraId="479AA8BD">
            <w:pPr>
              <w:outlineLvl w:val="9"/>
              <w:rPr>
                <w:rFonts w:ascii="Arial"/>
                <w:sz w:val="21"/>
              </w:rPr>
            </w:pPr>
          </w:p>
        </w:tc>
        <w:tc>
          <w:tcPr>
            <w:tcW w:w="2117" w:type="dxa"/>
            <w:vAlign w:val="top"/>
          </w:tcPr>
          <w:p w14:paraId="5BA0B11B">
            <w:pPr>
              <w:outlineLvl w:val="9"/>
              <w:rPr>
                <w:rFonts w:ascii="Arial"/>
                <w:sz w:val="21"/>
              </w:rPr>
            </w:pPr>
          </w:p>
        </w:tc>
      </w:tr>
      <w:tr w14:paraId="02FC6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top"/>
          </w:tcPr>
          <w:p w14:paraId="658BC6B9">
            <w:pPr>
              <w:pStyle w:val="18"/>
              <w:spacing w:before="305" w:line="189" w:lineRule="auto"/>
              <w:ind w:left="308"/>
              <w:outlineLvl w:val="9"/>
              <w:rPr>
                <w:sz w:val="20"/>
                <w:szCs w:val="20"/>
              </w:rPr>
            </w:pPr>
            <w:r>
              <w:rPr>
                <w:sz w:val="20"/>
                <w:szCs w:val="20"/>
              </w:rPr>
              <w:t>4</w:t>
            </w:r>
          </w:p>
        </w:tc>
        <w:tc>
          <w:tcPr>
            <w:tcW w:w="2125" w:type="dxa"/>
            <w:vAlign w:val="top"/>
          </w:tcPr>
          <w:p w14:paraId="046505B3">
            <w:pPr>
              <w:outlineLvl w:val="9"/>
              <w:rPr>
                <w:rFonts w:ascii="Arial"/>
                <w:sz w:val="21"/>
              </w:rPr>
            </w:pPr>
          </w:p>
        </w:tc>
        <w:tc>
          <w:tcPr>
            <w:tcW w:w="2312" w:type="dxa"/>
            <w:vAlign w:val="top"/>
          </w:tcPr>
          <w:p w14:paraId="4C6C8089">
            <w:pPr>
              <w:outlineLvl w:val="9"/>
              <w:rPr>
                <w:rFonts w:ascii="Arial"/>
                <w:sz w:val="21"/>
              </w:rPr>
            </w:pPr>
          </w:p>
        </w:tc>
        <w:tc>
          <w:tcPr>
            <w:tcW w:w="2518" w:type="dxa"/>
            <w:vAlign w:val="top"/>
          </w:tcPr>
          <w:p w14:paraId="6C5755D2">
            <w:pPr>
              <w:outlineLvl w:val="9"/>
              <w:rPr>
                <w:rFonts w:ascii="Arial"/>
                <w:sz w:val="21"/>
              </w:rPr>
            </w:pPr>
          </w:p>
        </w:tc>
        <w:tc>
          <w:tcPr>
            <w:tcW w:w="2117" w:type="dxa"/>
            <w:vAlign w:val="top"/>
          </w:tcPr>
          <w:p w14:paraId="6B29A33A">
            <w:pPr>
              <w:outlineLvl w:val="9"/>
              <w:rPr>
                <w:rFonts w:ascii="Arial"/>
                <w:sz w:val="21"/>
              </w:rPr>
            </w:pPr>
          </w:p>
        </w:tc>
      </w:tr>
      <w:tr w14:paraId="4F272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14:paraId="2B633B5A">
            <w:pPr>
              <w:pStyle w:val="18"/>
              <w:spacing w:before="272" w:line="282" w:lineRule="exact"/>
              <w:ind w:left="163"/>
              <w:outlineLvl w:val="9"/>
              <w:rPr>
                <w:sz w:val="20"/>
                <w:szCs w:val="20"/>
              </w:rPr>
            </w:pPr>
            <w:r>
              <w:rPr>
                <w:spacing w:val="-2"/>
                <w:position w:val="1"/>
                <w:sz w:val="20"/>
                <w:szCs w:val="20"/>
              </w:rPr>
              <w:t>……</w:t>
            </w:r>
          </w:p>
        </w:tc>
        <w:tc>
          <w:tcPr>
            <w:tcW w:w="2125" w:type="dxa"/>
            <w:vAlign w:val="top"/>
          </w:tcPr>
          <w:p w14:paraId="0421202E">
            <w:pPr>
              <w:outlineLvl w:val="9"/>
              <w:rPr>
                <w:rFonts w:ascii="Arial"/>
                <w:sz w:val="21"/>
              </w:rPr>
            </w:pPr>
          </w:p>
        </w:tc>
        <w:tc>
          <w:tcPr>
            <w:tcW w:w="2312" w:type="dxa"/>
            <w:vAlign w:val="top"/>
          </w:tcPr>
          <w:p w14:paraId="44C9D008">
            <w:pPr>
              <w:outlineLvl w:val="9"/>
              <w:rPr>
                <w:rFonts w:ascii="Arial"/>
                <w:sz w:val="21"/>
              </w:rPr>
            </w:pPr>
          </w:p>
        </w:tc>
        <w:tc>
          <w:tcPr>
            <w:tcW w:w="2518" w:type="dxa"/>
            <w:vAlign w:val="top"/>
          </w:tcPr>
          <w:p w14:paraId="5E8F139A">
            <w:pPr>
              <w:outlineLvl w:val="9"/>
              <w:rPr>
                <w:rFonts w:ascii="Arial"/>
                <w:sz w:val="21"/>
              </w:rPr>
            </w:pPr>
          </w:p>
        </w:tc>
        <w:tc>
          <w:tcPr>
            <w:tcW w:w="2117" w:type="dxa"/>
            <w:vAlign w:val="top"/>
          </w:tcPr>
          <w:p w14:paraId="7403C9BA">
            <w:pPr>
              <w:outlineLvl w:val="9"/>
              <w:rPr>
                <w:rFonts w:ascii="Arial"/>
                <w:sz w:val="21"/>
              </w:rPr>
            </w:pPr>
          </w:p>
        </w:tc>
      </w:tr>
      <w:tr w14:paraId="315DE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13" w:type="dxa"/>
            <w:vAlign w:val="top"/>
          </w:tcPr>
          <w:p w14:paraId="0CB7318D">
            <w:pPr>
              <w:spacing w:line="242" w:lineRule="auto"/>
              <w:outlineLvl w:val="9"/>
              <w:rPr>
                <w:rFonts w:ascii="Arial"/>
                <w:sz w:val="21"/>
              </w:rPr>
            </w:pPr>
          </w:p>
          <w:p w14:paraId="79A3CC3B">
            <w:pPr>
              <w:pStyle w:val="18"/>
              <w:spacing w:before="65" w:line="187" w:lineRule="auto"/>
              <w:ind w:left="302"/>
              <w:outlineLvl w:val="9"/>
              <w:rPr>
                <w:sz w:val="20"/>
                <w:szCs w:val="20"/>
              </w:rPr>
            </w:pPr>
            <w:r>
              <w:rPr>
                <w:spacing w:val="2"/>
                <w:sz w:val="20"/>
                <w:szCs w:val="20"/>
              </w:rPr>
              <w:t>N</w:t>
            </w:r>
          </w:p>
        </w:tc>
        <w:tc>
          <w:tcPr>
            <w:tcW w:w="2125" w:type="dxa"/>
            <w:vAlign w:val="top"/>
          </w:tcPr>
          <w:p w14:paraId="45D35DBA">
            <w:pPr>
              <w:outlineLvl w:val="9"/>
              <w:rPr>
                <w:rFonts w:ascii="Arial"/>
                <w:sz w:val="21"/>
              </w:rPr>
            </w:pPr>
          </w:p>
        </w:tc>
        <w:tc>
          <w:tcPr>
            <w:tcW w:w="2312" w:type="dxa"/>
            <w:vAlign w:val="top"/>
          </w:tcPr>
          <w:p w14:paraId="45E201B6">
            <w:pPr>
              <w:outlineLvl w:val="9"/>
              <w:rPr>
                <w:rFonts w:ascii="Arial"/>
                <w:sz w:val="21"/>
              </w:rPr>
            </w:pPr>
          </w:p>
        </w:tc>
        <w:tc>
          <w:tcPr>
            <w:tcW w:w="2518" w:type="dxa"/>
            <w:vAlign w:val="top"/>
          </w:tcPr>
          <w:p w14:paraId="3BC81E72">
            <w:pPr>
              <w:outlineLvl w:val="9"/>
              <w:rPr>
                <w:rFonts w:ascii="Arial"/>
                <w:sz w:val="21"/>
              </w:rPr>
            </w:pPr>
          </w:p>
        </w:tc>
        <w:tc>
          <w:tcPr>
            <w:tcW w:w="2117" w:type="dxa"/>
            <w:vAlign w:val="top"/>
          </w:tcPr>
          <w:p w14:paraId="3D4FB19F">
            <w:pPr>
              <w:outlineLvl w:val="9"/>
              <w:rPr>
                <w:rFonts w:ascii="Arial"/>
                <w:sz w:val="21"/>
              </w:rPr>
            </w:pPr>
          </w:p>
        </w:tc>
      </w:tr>
    </w:tbl>
    <w:p w14:paraId="5571244A">
      <w:pPr>
        <w:pStyle w:val="6"/>
        <w:spacing w:before="267" w:line="504" w:lineRule="auto"/>
        <w:ind w:left="14" w:right="150" w:hanging="3"/>
        <w:outlineLvl w:val="9"/>
        <w:rPr>
          <w:sz w:val="20"/>
          <w:szCs w:val="20"/>
        </w:rPr>
      </w:pPr>
      <w:r>
        <w:rPr>
          <w:spacing w:val="9"/>
          <w:sz w:val="20"/>
          <w:szCs w:val="20"/>
        </w:rPr>
        <w:t>注：供应商应对照招标文件中</w:t>
      </w:r>
      <w:r>
        <w:rPr>
          <w:rFonts w:hint="eastAsia"/>
          <w:spacing w:val="9"/>
          <w:sz w:val="20"/>
          <w:szCs w:val="20"/>
          <w:lang w:val="en-US" w:eastAsia="zh-CN"/>
        </w:rPr>
        <w:t>第三章“服务采购需求”中的</w:t>
      </w:r>
      <w:r>
        <w:rPr>
          <w:spacing w:val="9"/>
          <w:sz w:val="20"/>
          <w:szCs w:val="20"/>
        </w:rPr>
        <w:t>项目要求及技术需求的内容逐条响</w:t>
      </w:r>
      <w:r>
        <w:rPr>
          <w:spacing w:val="8"/>
          <w:sz w:val="20"/>
          <w:szCs w:val="20"/>
        </w:rPr>
        <w:t>应，并在“偏离情况说明”栏注明“正偏</w:t>
      </w:r>
      <w:r>
        <w:rPr>
          <w:spacing w:val="4"/>
          <w:sz w:val="20"/>
          <w:szCs w:val="20"/>
        </w:rPr>
        <w:t>离”、“负偏离”或“无偏离”。</w:t>
      </w:r>
    </w:p>
    <w:p w14:paraId="3BEE4B92">
      <w:pPr>
        <w:spacing w:line="281" w:lineRule="auto"/>
        <w:outlineLvl w:val="9"/>
        <w:rPr>
          <w:rFonts w:ascii="Arial"/>
          <w:sz w:val="21"/>
        </w:rPr>
      </w:pPr>
    </w:p>
    <w:p w14:paraId="134637EC">
      <w:pPr>
        <w:spacing w:line="282" w:lineRule="auto"/>
        <w:outlineLvl w:val="9"/>
        <w:rPr>
          <w:rFonts w:ascii="Arial"/>
          <w:sz w:val="21"/>
        </w:rPr>
      </w:pPr>
    </w:p>
    <w:p w14:paraId="4543B54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sz w:val="20"/>
          <w:szCs w:val="20"/>
        </w:rPr>
      </w:pPr>
      <w:r>
        <w:rPr>
          <w:spacing w:val="7"/>
          <w:sz w:val="20"/>
          <w:szCs w:val="20"/>
        </w:rPr>
        <w:t>投标人</w:t>
      </w:r>
      <w:r>
        <w:rPr>
          <w:b/>
          <w:bCs/>
          <w:spacing w:val="7"/>
          <w:sz w:val="20"/>
          <w:szCs w:val="20"/>
        </w:rPr>
        <w:t>（</w:t>
      </w:r>
      <w:r>
        <w:rPr>
          <w:rFonts w:hint="eastAsia"/>
          <w:b/>
          <w:bCs/>
          <w:spacing w:val="7"/>
          <w:sz w:val="20"/>
          <w:szCs w:val="20"/>
          <w:lang w:val="en-US" w:eastAsia="zh-CN"/>
        </w:rPr>
        <w:t>公章或</w:t>
      </w:r>
      <w:r>
        <w:rPr>
          <w:b/>
          <w:bCs/>
          <w:sz w:val="20"/>
          <w:szCs w:val="20"/>
        </w:rPr>
        <w:t>CA</w:t>
      </w:r>
      <w:r>
        <w:rPr>
          <w:b/>
          <w:bCs/>
          <w:spacing w:val="7"/>
          <w:sz w:val="20"/>
          <w:szCs w:val="20"/>
        </w:rPr>
        <w:t>认证证书签章</w:t>
      </w:r>
      <w:r>
        <w:rPr>
          <w:b/>
          <w:bCs/>
          <w:spacing w:val="2"/>
          <w:sz w:val="20"/>
          <w:szCs w:val="20"/>
        </w:rPr>
        <w:t>）</w:t>
      </w:r>
      <w:r>
        <w:rPr>
          <w:spacing w:val="2"/>
          <w:sz w:val="20"/>
          <w:szCs w:val="20"/>
        </w:rPr>
        <w:t>：</w:t>
      </w:r>
    </w:p>
    <w:p w14:paraId="7FB8C6C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ascii="Arial"/>
          <w:sz w:val="21"/>
        </w:rPr>
      </w:pPr>
      <w:r>
        <w:rPr>
          <w:spacing w:val="9"/>
          <w:sz w:val="20"/>
          <w:szCs w:val="20"/>
        </w:rPr>
        <w:t>法定代表人(负责人</w:t>
      </w:r>
      <w:r>
        <w:rPr>
          <w:rFonts w:hint="eastAsia"/>
          <w:spacing w:val="9"/>
          <w:sz w:val="20"/>
          <w:szCs w:val="20"/>
          <w:lang w:eastAsia="zh-CN"/>
        </w:rPr>
        <w:t>、</w:t>
      </w:r>
      <w:r>
        <w:rPr>
          <w:rFonts w:hint="eastAsia"/>
          <w:spacing w:val="9"/>
          <w:sz w:val="20"/>
          <w:szCs w:val="20"/>
          <w:lang w:val="en-US" w:eastAsia="zh-CN"/>
        </w:rPr>
        <w:t>自然人</w:t>
      </w:r>
      <w:r>
        <w:rPr>
          <w:spacing w:val="9"/>
          <w:sz w:val="20"/>
          <w:szCs w:val="20"/>
        </w:rPr>
        <w:t>)或相应的委托代理人</w:t>
      </w:r>
      <w:r>
        <w:rPr>
          <w:b/>
          <w:bCs/>
          <w:spacing w:val="8"/>
          <w:sz w:val="20"/>
          <w:szCs w:val="20"/>
        </w:rPr>
        <w:t>（</w:t>
      </w:r>
      <w:r>
        <w:rPr>
          <w:rFonts w:hint="eastAsia"/>
          <w:b/>
          <w:bCs/>
          <w:spacing w:val="8"/>
          <w:sz w:val="20"/>
          <w:szCs w:val="20"/>
          <w:lang w:val="en-US" w:eastAsia="zh-CN"/>
        </w:rPr>
        <w:t>签字</w:t>
      </w:r>
      <w:r>
        <w:rPr>
          <w:b/>
          <w:bCs/>
          <w:spacing w:val="8"/>
          <w:sz w:val="20"/>
          <w:szCs w:val="20"/>
        </w:rPr>
        <w:t>或个人</w:t>
      </w:r>
      <w:r>
        <w:rPr>
          <w:b/>
          <w:bCs/>
          <w:sz w:val="20"/>
          <w:szCs w:val="20"/>
        </w:rPr>
        <w:t>CA</w:t>
      </w:r>
      <w:r>
        <w:rPr>
          <w:b/>
          <w:bCs/>
          <w:spacing w:val="8"/>
          <w:sz w:val="20"/>
          <w:szCs w:val="20"/>
        </w:rPr>
        <w:t>认证证书签章</w:t>
      </w:r>
      <w:r>
        <w:rPr>
          <w:b/>
          <w:bCs/>
          <w:spacing w:val="-1"/>
          <w:sz w:val="20"/>
          <w:szCs w:val="20"/>
        </w:rPr>
        <w:t>）</w:t>
      </w:r>
      <w:r>
        <w:rPr>
          <w:spacing w:val="-1"/>
          <w:sz w:val="20"/>
          <w:szCs w:val="20"/>
        </w:rPr>
        <w:t>：</w:t>
      </w:r>
    </w:p>
    <w:p w14:paraId="55ADB7F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sz w:val="20"/>
          <w:szCs w:val="20"/>
        </w:rPr>
      </w:pPr>
      <w:r>
        <w:rPr>
          <w:spacing w:val="-13"/>
          <w:sz w:val="20"/>
          <w:szCs w:val="20"/>
        </w:rPr>
        <w:t>日期：</w:t>
      </w:r>
    </w:p>
    <w:p w14:paraId="30258B7A">
      <w:pPr>
        <w:spacing w:line="346" w:lineRule="auto"/>
        <w:outlineLvl w:val="9"/>
        <w:rPr>
          <w:rFonts w:ascii="Arial"/>
          <w:sz w:val="21"/>
        </w:rPr>
      </w:pPr>
    </w:p>
    <w:p w14:paraId="359A4A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0"/>
          <w:szCs w:val="20"/>
        </w:rPr>
      </w:pPr>
      <w:r>
        <w:rPr>
          <w:rFonts w:hint="eastAsia" w:ascii="宋体" w:hAnsi="宋体" w:eastAsia="宋体" w:cs="宋体"/>
          <w:sz w:val="20"/>
          <w:szCs w:val="20"/>
        </w:rPr>
        <w:t>注：1</w:t>
      </w:r>
      <w:r>
        <w:rPr>
          <w:rFonts w:hint="eastAsia" w:ascii="宋体" w:hAnsi="宋体" w:eastAsia="宋体" w:cs="宋体"/>
          <w:sz w:val="20"/>
          <w:szCs w:val="20"/>
          <w:lang w:eastAsia="zh-CN"/>
        </w:rPr>
        <w:t>、</w:t>
      </w:r>
      <w:r>
        <w:rPr>
          <w:rFonts w:hint="eastAsia" w:ascii="宋体" w:hAnsi="宋体" w:eastAsia="宋体" w:cs="宋体"/>
          <w:sz w:val="20"/>
          <w:szCs w:val="20"/>
        </w:rPr>
        <w:t>投标报价表须由法定代表人(负责人、自然人)或相应的委托代理人签字（或个人CA证书签章）并加盖投标人公章（CA证书签章）。</w:t>
      </w:r>
    </w:p>
    <w:p w14:paraId="1A2E5C1F">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rPr>
        <w:t>当本表由多页构成时，需逐页加盖投标人公章（CA证书签</w:t>
      </w:r>
      <w:r>
        <w:rPr>
          <w:rFonts w:hint="eastAsia" w:ascii="宋体" w:hAnsi="宋体" w:eastAsia="宋体" w:cs="宋体"/>
          <w:sz w:val="20"/>
          <w:szCs w:val="20"/>
          <w:lang w:val="en-US" w:eastAsia="zh-CN"/>
        </w:rPr>
        <w:t>章</w:t>
      </w:r>
      <w:r>
        <w:rPr>
          <w:rFonts w:hint="eastAsia" w:ascii="宋体" w:hAnsi="宋体" w:eastAsia="宋体" w:cs="宋体"/>
          <w:sz w:val="20"/>
          <w:szCs w:val="20"/>
          <w:lang w:eastAsia="zh-CN"/>
        </w:rPr>
        <w:t>，</w:t>
      </w:r>
      <w:r>
        <w:rPr>
          <w:rFonts w:hint="eastAsia" w:ascii="宋体" w:hAnsi="宋体" w:eastAsia="宋体" w:cs="宋体"/>
          <w:sz w:val="20"/>
          <w:szCs w:val="20"/>
        </w:rPr>
        <w:t>属自然人的须逐页签字或个人CA签章）</w:t>
      </w:r>
      <w:r>
        <w:rPr>
          <w:rFonts w:hint="eastAsia" w:ascii="宋体" w:hAnsi="宋体" w:eastAsia="宋体" w:cs="宋体"/>
          <w:sz w:val="20"/>
          <w:szCs w:val="20"/>
          <w:lang w:eastAsia="zh-CN"/>
        </w:rPr>
        <w:t>。</w:t>
      </w:r>
    </w:p>
    <w:p w14:paraId="1DF8D825">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lang w:eastAsia="zh-CN"/>
        </w:rPr>
        <w:t>、</w:t>
      </w:r>
      <w:r>
        <w:rPr>
          <w:rFonts w:hint="eastAsia" w:ascii="宋体" w:hAnsi="宋体" w:eastAsia="宋体" w:cs="宋体"/>
          <w:sz w:val="20"/>
          <w:szCs w:val="20"/>
        </w:rPr>
        <w:t>投标人必须按本投标报价表（格式）要求注明清楚联系方式（包括地址、邮编、邮箱、电话等），从而确保中标结果等相关信息能及时通知到位。</w:t>
      </w:r>
    </w:p>
    <w:p w14:paraId="1E51577E">
      <w:pPr>
        <w:spacing w:line="219" w:lineRule="auto"/>
        <w:rPr>
          <w:sz w:val="28"/>
          <w:szCs w:val="28"/>
        </w:rPr>
        <w:sectPr>
          <w:footerReference r:id="rId24" w:type="default"/>
          <w:pgSz w:w="11906" w:h="16839"/>
          <w:pgMar w:top="1431" w:right="986" w:bottom="875" w:left="1129" w:header="0" w:footer="713" w:gutter="0"/>
          <w:pgNumType w:fmt="decimal"/>
          <w:cols w:space="720" w:num="1"/>
        </w:sectPr>
      </w:pPr>
    </w:p>
    <w:p w14:paraId="561234C3">
      <w:pPr>
        <w:pStyle w:val="6"/>
        <w:spacing w:before="292" w:line="224" w:lineRule="auto"/>
        <w:ind w:left="7"/>
        <w:outlineLvl w:val="9"/>
      </w:pPr>
      <w:r>
        <w:rPr>
          <w:b/>
          <w:bCs/>
          <w:spacing w:val="5"/>
        </w:rPr>
        <w:t>3.投标人的服务承诺书（</w:t>
      </w:r>
      <w:r>
        <w:rPr>
          <w:rFonts w:hint="eastAsia"/>
          <w:b/>
          <w:bCs/>
          <w:spacing w:val="5"/>
          <w:lang w:val="en-US" w:eastAsia="zh-CN"/>
        </w:rPr>
        <w:t>必须</w:t>
      </w:r>
      <w:r>
        <w:rPr>
          <w:b/>
          <w:bCs/>
          <w:spacing w:val="5"/>
        </w:rPr>
        <w:t>提供）</w:t>
      </w:r>
    </w:p>
    <w:p w14:paraId="2C8902F5">
      <w:pPr>
        <w:spacing w:line="269" w:lineRule="auto"/>
        <w:outlineLvl w:val="9"/>
        <w:rPr>
          <w:rFonts w:ascii="Arial"/>
          <w:sz w:val="21"/>
        </w:rPr>
      </w:pPr>
    </w:p>
    <w:p w14:paraId="1C14031D">
      <w:pPr>
        <w:spacing w:line="270" w:lineRule="auto"/>
        <w:outlineLvl w:val="9"/>
        <w:rPr>
          <w:rFonts w:ascii="Arial"/>
          <w:sz w:val="21"/>
        </w:rPr>
      </w:pPr>
    </w:p>
    <w:p w14:paraId="74735D87">
      <w:pPr>
        <w:pStyle w:val="6"/>
        <w:kinsoku w:val="0"/>
        <w:overflowPunct w:val="0"/>
        <w:spacing w:line="381" w:lineRule="exact"/>
        <w:ind w:left="474"/>
        <w:jc w:val="center"/>
        <w:outlineLvl w:val="9"/>
        <w:rPr>
          <w:rFonts w:hint="eastAsia"/>
          <w:color w:val="000000"/>
          <w:sz w:val="32"/>
          <w:highlight w:val="none"/>
        </w:rPr>
      </w:pPr>
      <w:r>
        <w:rPr>
          <w:rFonts w:hint="eastAsia" w:hAnsi="宋体"/>
          <w:b/>
          <w:color w:val="000000"/>
          <w:sz w:val="32"/>
          <w:szCs w:val="32"/>
          <w:highlight w:val="none"/>
          <w:lang w:val="en-US" w:eastAsia="zh-CN"/>
        </w:rPr>
        <w:t>服务承诺书</w:t>
      </w:r>
      <w:r>
        <w:rPr>
          <w:rFonts w:hint="eastAsia"/>
          <w:b/>
          <w:color w:val="000000"/>
          <w:sz w:val="32"/>
          <w:highlight w:val="none"/>
        </w:rPr>
        <w:t>（格式）</w:t>
      </w:r>
    </w:p>
    <w:p w14:paraId="7FA1B5C9">
      <w:pPr>
        <w:tabs>
          <w:tab w:val="left" w:pos="1305"/>
        </w:tabs>
        <w:spacing w:line="400" w:lineRule="exact"/>
        <w:outlineLvl w:val="9"/>
        <w:rPr>
          <w:rFonts w:hint="eastAsia" w:ascii="宋体" w:hAnsi="宋体" w:cs="宋体"/>
          <w:b/>
          <w:bCs/>
          <w:color w:val="000000"/>
          <w:sz w:val="32"/>
          <w:szCs w:val="20"/>
          <w:highlight w:val="none"/>
        </w:rPr>
      </w:pPr>
    </w:p>
    <w:p w14:paraId="043F237F">
      <w:pPr>
        <w:tabs>
          <w:tab w:val="left" w:pos="1305"/>
        </w:tabs>
        <w:spacing w:line="400" w:lineRule="exact"/>
        <w:outlineLvl w:val="9"/>
        <w:rPr>
          <w:rFonts w:hint="eastAsia" w:ascii="宋体" w:hAnsi="宋体" w:cs="宋体"/>
          <w:b/>
          <w:bCs/>
          <w:color w:val="000000"/>
          <w:sz w:val="32"/>
          <w:szCs w:val="20"/>
          <w:highlight w:val="none"/>
        </w:rPr>
      </w:pPr>
      <w:r>
        <w:rPr>
          <w:rFonts w:hint="eastAsia" w:ascii="宋体" w:hAnsi="宋体" w:cs="宋体"/>
          <w:b/>
          <w:bCs/>
          <w:color w:val="000000"/>
          <w:sz w:val="32"/>
          <w:szCs w:val="20"/>
          <w:highlight w:val="none"/>
        </w:rPr>
        <w:t>（由投标人根据项目实际情况和</w:t>
      </w:r>
      <w:r>
        <w:rPr>
          <w:rFonts w:hint="eastAsia" w:ascii="宋体" w:hAnsi="宋体" w:cs="宋体"/>
          <w:b/>
          <w:bCs/>
          <w:color w:val="000000"/>
          <w:sz w:val="32"/>
          <w:szCs w:val="20"/>
          <w:highlight w:val="none"/>
          <w:lang w:eastAsia="zh-CN"/>
        </w:rPr>
        <w:t>服务采购需求</w:t>
      </w:r>
      <w:r>
        <w:rPr>
          <w:rFonts w:hint="eastAsia" w:ascii="宋体" w:hAnsi="宋体" w:cs="宋体"/>
          <w:b/>
          <w:bCs/>
          <w:color w:val="000000"/>
          <w:sz w:val="32"/>
          <w:szCs w:val="20"/>
          <w:highlight w:val="none"/>
        </w:rPr>
        <w:t>的要求自行编制）</w:t>
      </w:r>
    </w:p>
    <w:p w14:paraId="291FA080">
      <w:pPr>
        <w:pStyle w:val="6"/>
        <w:outlineLvl w:val="9"/>
        <w:rPr>
          <w:rFonts w:hint="eastAsia" w:ascii="宋体" w:hAnsi="宋体" w:cs="宋体"/>
          <w:b/>
          <w:bCs/>
          <w:color w:val="000000"/>
          <w:sz w:val="32"/>
          <w:szCs w:val="20"/>
          <w:highlight w:val="none"/>
        </w:rPr>
      </w:pPr>
    </w:p>
    <w:p w14:paraId="05E1875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outlineLvl w:val="9"/>
        <w:rPr>
          <w:rFonts w:hint="eastAsia" w:asciiTheme="minorEastAsia" w:hAnsiTheme="minorEastAsia" w:eastAsiaTheme="minorEastAsia" w:cstheme="minorEastAsia"/>
          <w:color w:val="000000"/>
          <w:sz w:val="20"/>
          <w:szCs w:val="20"/>
          <w:highlight w:val="none"/>
          <w:u w:val="single"/>
          <w:lang w:eastAsia="zh-CN"/>
        </w:rPr>
      </w:pPr>
      <w:r>
        <w:rPr>
          <w:rFonts w:hint="eastAsia" w:asciiTheme="minorEastAsia" w:hAnsiTheme="minorEastAsia" w:eastAsiaTheme="minorEastAsia" w:cstheme="minorEastAsia"/>
          <w:color w:val="000000"/>
          <w:sz w:val="20"/>
          <w:szCs w:val="20"/>
          <w:highlight w:val="none"/>
        </w:rPr>
        <w:t>投标人</w:t>
      </w:r>
      <w:r>
        <w:rPr>
          <w:rFonts w:hint="eastAsia" w:asciiTheme="minorEastAsia" w:hAnsiTheme="minorEastAsia" w:eastAsiaTheme="minorEastAsia" w:cstheme="minorEastAsia"/>
          <w:b/>
          <w:bCs/>
          <w:color w:val="000000"/>
          <w:sz w:val="20"/>
          <w:szCs w:val="20"/>
          <w:highlight w:val="none"/>
        </w:rPr>
        <w:t>（</w:t>
      </w:r>
      <w:r>
        <w:rPr>
          <w:rFonts w:hint="eastAsia" w:asciiTheme="minorEastAsia" w:hAnsiTheme="minorEastAsia" w:eastAsiaTheme="minorEastAsia" w:cstheme="minorEastAsia"/>
          <w:b/>
          <w:bCs/>
          <w:color w:val="000000"/>
          <w:sz w:val="20"/>
          <w:szCs w:val="20"/>
          <w:highlight w:val="none"/>
          <w:lang w:val="en-US" w:eastAsia="zh-CN"/>
        </w:rPr>
        <w:t>公章或</w:t>
      </w:r>
      <w:r>
        <w:rPr>
          <w:rFonts w:hint="eastAsia" w:asciiTheme="minorEastAsia" w:hAnsiTheme="minorEastAsia" w:eastAsiaTheme="minorEastAsia" w:cstheme="minorEastAsia"/>
          <w:b/>
          <w:bCs/>
          <w:color w:val="000000"/>
          <w:sz w:val="20"/>
          <w:szCs w:val="20"/>
          <w:highlight w:val="none"/>
        </w:rPr>
        <w:t>CA证书签章）</w:t>
      </w:r>
      <w:r>
        <w:rPr>
          <w:rFonts w:hint="eastAsia" w:asciiTheme="minorEastAsia" w:hAnsiTheme="minorEastAsia" w:eastAsiaTheme="minorEastAsia" w:cstheme="minorEastAsia"/>
          <w:color w:val="000000"/>
          <w:sz w:val="20"/>
          <w:szCs w:val="20"/>
          <w:highlight w:val="none"/>
        </w:rPr>
        <w:t>：</w:t>
      </w:r>
    </w:p>
    <w:p w14:paraId="47F14BC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outlineLvl w:val="9"/>
        <w:rPr>
          <w:rFonts w:hint="eastAsia" w:asciiTheme="minorEastAsia" w:hAnsiTheme="minorEastAsia" w:eastAsiaTheme="minorEastAsia" w:cstheme="minorEastAsia"/>
          <w:color w:val="000000"/>
          <w:sz w:val="20"/>
          <w:szCs w:val="20"/>
          <w:highlight w:val="none"/>
          <w:u w:val="single"/>
          <w:lang w:eastAsia="zh-CN"/>
        </w:rPr>
      </w:pPr>
      <w:r>
        <w:rPr>
          <w:rFonts w:hint="eastAsia" w:asciiTheme="minorEastAsia" w:hAnsiTheme="minorEastAsia" w:eastAsiaTheme="minorEastAsia" w:cstheme="minorEastAsia"/>
          <w:color w:val="000000"/>
          <w:sz w:val="20"/>
          <w:szCs w:val="20"/>
          <w:highlight w:val="none"/>
        </w:rPr>
        <w:t>法定代表人（负责人、自然人）或相应的委托代理人</w:t>
      </w:r>
      <w:r>
        <w:rPr>
          <w:rFonts w:hint="eastAsia" w:asciiTheme="minorEastAsia" w:hAnsiTheme="minorEastAsia" w:eastAsiaTheme="minorEastAsia" w:cstheme="minorEastAsia"/>
          <w:color w:val="000000"/>
          <w:sz w:val="20"/>
          <w:szCs w:val="20"/>
          <w:highlight w:val="none"/>
          <w:lang w:eastAsia="zh-CN"/>
        </w:rPr>
        <w:t>（</w:t>
      </w:r>
      <w:r>
        <w:rPr>
          <w:rFonts w:hint="eastAsia" w:asciiTheme="minorEastAsia" w:hAnsiTheme="minorEastAsia" w:eastAsiaTheme="minorEastAsia" w:cstheme="minorEastAsia"/>
          <w:b/>
          <w:bCs/>
          <w:color w:val="000000"/>
          <w:sz w:val="20"/>
          <w:szCs w:val="20"/>
          <w:highlight w:val="none"/>
        </w:rPr>
        <w:t>签字或个人CA证书签章</w:t>
      </w:r>
      <w:r>
        <w:rPr>
          <w:rFonts w:hint="eastAsia" w:asciiTheme="minorEastAsia" w:hAnsiTheme="minorEastAsia" w:eastAsiaTheme="minorEastAsia" w:cstheme="minorEastAsia"/>
          <w:color w:val="000000"/>
          <w:sz w:val="20"/>
          <w:szCs w:val="20"/>
          <w:highlight w:val="none"/>
        </w:rPr>
        <w:t>）：</w:t>
      </w:r>
    </w:p>
    <w:p w14:paraId="6EA0CE3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outlineLvl w:val="9"/>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color w:val="000000"/>
          <w:sz w:val="20"/>
          <w:szCs w:val="20"/>
          <w:highlight w:val="none"/>
        </w:rPr>
        <w:t>日期：</w:t>
      </w:r>
    </w:p>
    <w:p w14:paraId="74D3788E">
      <w:pPr>
        <w:spacing w:line="253" w:lineRule="auto"/>
        <w:outlineLvl w:val="9"/>
        <w:rPr>
          <w:rFonts w:ascii="Arial"/>
          <w:sz w:val="21"/>
        </w:rPr>
      </w:pPr>
    </w:p>
    <w:p w14:paraId="4017CA5E">
      <w:pPr>
        <w:spacing w:line="254" w:lineRule="auto"/>
        <w:outlineLvl w:val="9"/>
        <w:rPr>
          <w:rFonts w:ascii="Arial"/>
          <w:sz w:val="21"/>
        </w:rPr>
      </w:pPr>
    </w:p>
    <w:p w14:paraId="0AD9DD87">
      <w:pPr>
        <w:spacing w:line="254" w:lineRule="auto"/>
        <w:outlineLvl w:val="9"/>
        <w:rPr>
          <w:rFonts w:ascii="Arial"/>
          <w:sz w:val="21"/>
        </w:rPr>
      </w:pPr>
    </w:p>
    <w:p w14:paraId="64C56C61">
      <w:pPr>
        <w:pStyle w:val="6"/>
        <w:spacing w:before="102" w:line="225" w:lineRule="auto"/>
        <w:outlineLvl w:val="9"/>
      </w:pPr>
      <w:r>
        <w:rPr>
          <w:b/>
          <w:bCs/>
          <w:spacing w:val="9"/>
        </w:rPr>
        <w:t>4.服务实施方案（根据服务</w:t>
      </w:r>
      <w:r>
        <w:rPr>
          <w:rFonts w:hint="eastAsia"/>
          <w:b/>
          <w:bCs/>
          <w:spacing w:val="9"/>
          <w:lang w:val="en-US" w:eastAsia="zh-CN"/>
        </w:rPr>
        <w:t>采购</w:t>
      </w:r>
      <w:r>
        <w:rPr>
          <w:b/>
          <w:bCs/>
          <w:spacing w:val="9"/>
        </w:rPr>
        <w:t>需求和评标办法自行</w:t>
      </w:r>
      <w:r>
        <w:rPr>
          <w:b/>
          <w:bCs/>
          <w:spacing w:val="8"/>
        </w:rPr>
        <w:t>编制</w:t>
      </w:r>
      <w:r>
        <w:rPr>
          <w:b/>
          <w:bCs/>
          <w:spacing w:val="-16"/>
        </w:rPr>
        <w:t>）（</w:t>
      </w:r>
      <w:r>
        <w:rPr>
          <w:b/>
          <w:bCs/>
          <w:spacing w:val="8"/>
        </w:rPr>
        <w:t>如有，请提</w:t>
      </w:r>
      <w:r>
        <w:rPr>
          <w:b/>
          <w:bCs/>
          <w:spacing w:val="-5"/>
        </w:rPr>
        <w:t>供）</w:t>
      </w:r>
    </w:p>
    <w:p w14:paraId="4B939393">
      <w:pPr>
        <w:spacing w:line="280" w:lineRule="auto"/>
        <w:outlineLvl w:val="9"/>
        <w:rPr>
          <w:rFonts w:ascii="Arial"/>
          <w:sz w:val="21"/>
        </w:rPr>
      </w:pPr>
    </w:p>
    <w:p w14:paraId="2DEDD896">
      <w:pPr>
        <w:pStyle w:val="2"/>
        <w:rPr>
          <w:rFonts w:ascii="Arial"/>
          <w:sz w:val="21"/>
        </w:rPr>
      </w:pPr>
    </w:p>
    <w:p w14:paraId="365DA4D7">
      <w:pPr>
        <w:pStyle w:val="2"/>
        <w:rPr>
          <w:rFonts w:ascii="Arial"/>
          <w:sz w:val="21"/>
        </w:rPr>
      </w:pPr>
    </w:p>
    <w:p w14:paraId="603EAB18">
      <w:pPr>
        <w:spacing w:line="280" w:lineRule="auto"/>
        <w:outlineLvl w:val="9"/>
        <w:rPr>
          <w:rFonts w:hint="default" w:ascii="Arial" w:eastAsia="宋体"/>
          <w:sz w:val="21"/>
          <w:lang w:val="en-US" w:eastAsia="zh-CN"/>
        </w:rPr>
      </w:pPr>
      <w:r>
        <w:rPr>
          <w:rFonts w:hint="eastAsia" w:eastAsia="宋体"/>
          <w:sz w:val="21"/>
          <w:lang w:val="en-US" w:eastAsia="zh-CN"/>
        </w:rPr>
        <w:t xml:space="preserve">                                                          </w:t>
      </w:r>
      <w:r>
        <w:rPr>
          <w:rFonts w:hint="eastAsia" w:eastAsia="宋体"/>
          <w:sz w:val="32"/>
          <w:szCs w:val="32"/>
          <w:lang w:val="en-US" w:eastAsia="zh-CN"/>
        </w:rPr>
        <w:t xml:space="preserve">  （格式自拟）</w:t>
      </w:r>
    </w:p>
    <w:p w14:paraId="06C3CCA9">
      <w:pPr>
        <w:spacing w:line="280" w:lineRule="auto"/>
        <w:outlineLvl w:val="9"/>
        <w:rPr>
          <w:rFonts w:ascii="Arial"/>
          <w:sz w:val="21"/>
        </w:rPr>
      </w:pPr>
    </w:p>
    <w:p w14:paraId="0B9C6D16">
      <w:pPr>
        <w:pStyle w:val="2"/>
        <w:rPr>
          <w:rFonts w:ascii="Arial"/>
          <w:sz w:val="21"/>
        </w:rPr>
      </w:pPr>
    </w:p>
    <w:p w14:paraId="363AA4D1">
      <w:pPr>
        <w:pStyle w:val="2"/>
        <w:rPr>
          <w:rFonts w:ascii="Arial"/>
          <w:sz w:val="21"/>
        </w:rPr>
      </w:pPr>
    </w:p>
    <w:p w14:paraId="30DF27E7">
      <w:pPr>
        <w:pStyle w:val="2"/>
        <w:rPr>
          <w:rFonts w:ascii="Arial"/>
          <w:sz w:val="21"/>
        </w:rPr>
      </w:pPr>
    </w:p>
    <w:p w14:paraId="3FA6959D">
      <w:pPr>
        <w:pStyle w:val="2"/>
        <w:rPr>
          <w:rFonts w:ascii="Arial"/>
          <w:sz w:val="21"/>
        </w:rPr>
      </w:pPr>
    </w:p>
    <w:p w14:paraId="19BADC0F">
      <w:pPr>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outlineLvl w:val="9"/>
        <w:rPr>
          <w:rFonts w:ascii="Arial"/>
          <w:sz w:val="21"/>
        </w:rPr>
      </w:pPr>
    </w:p>
    <w:p w14:paraId="280DDF3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left"/>
        <w:textAlignment w:val="baseline"/>
        <w:outlineLvl w:val="9"/>
        <w:rPr>
          <w:sz w:val="20"/>
          <w:szCs w:val="20"/>
        </w:rPr>
      </w:pPr>
      <w:r>
        <w:rPr>
          <w:spacing w:val="7"/>
          <w:sz w:val="20"/>
          <w:szCs w:val="20"/>
        </w:rPr>
        <w:t>投标人</w:t>
      </w:r>
      <w:r>
        <w:rPr>
          <w:b/>
          <w:bCs/>
          <w:spacing w:val="7"/>
          <w:sz w:val="20"/>
          <w:szCs w:val="20"/>
        </w:rPr>
        <w:t>（</w:t>
      </w:r>
      <w:r>
        <w:rPr>
          <w:rFonts w:hint="eastAsia"/>
          <w:b/>
          <w:bCs/>
          <w:spacing w:val="7"/>
          <w:sz w:val="20"/>
          <w:szCs w:val="20"/>
          <w:lang w:val="en-US" w:eastAsia="zh-CN"/>
        </w:rPr>
        <w:t>公章或</w:t>
      </w:r>
      <w:r>
        <w:rPr>
          <w:b/>
          <w:bCs/>
          <w:sz w:val="20"/>
          <w:szCs w:val="20"/>
        </w:rPr>
        <w:t>CA</w:t>
      </w:r>
      <w:r>
        <w:rPr>
          <w:b/>
          <w:bCs/>
          <w:spacing w:val="7"/>
          <w:sz w:val="20"/>
          <w:szCs w:val="20"/>
        </w:rPr>
        <w:t>认证证书签章</w:t>
      </w:r>
      <w:r>
        <w:rPr>
          <w:b/>
          <w:bCs/>
          <w:spacing w:val="2"/>
          <w:sz w:val="20"/>
          <w:szCs w:val="20"/>
        </w:rPr>
        <w:t>）</w:t>
      </w:r>
      <w:r>
        <w:rPr>
          <w:spacing w:val="2"/>
          <w:sz w:val="20"/>
          <w:szCs w:val="20"/>
        </w:rPr>
        <w:t>：</w:t>
      </w:r>
    </w:p>
    <w:p w14:paraId="17D27A2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outlineLvl w:val="9"/>
        <w:rPr>
          <w:sz w:val="20"/>
          <w:szCs w:val="20"/>
        </w:rPr>
      </w:pPr>
      <w:r>
        <w:rPr>
          <w:spacing w:val="9"/>
          <w:sz w:val="20"/>
          <w:szCs w:val="20"/>
        </w:rPr>
        <w:t>法定代表人(负责人</w:t>
      </w:r>
      <w:r>
        <w:rPr>
          <w:rFonts w:hint="eastAsia"/>
          <w:spacing w:val="9"/>
          <w:sz w:val="20"/>
          <w:szCs w:val="20"/>
          <w:lang w:eastAsia="zh-CN"/>
        </w:rPr>
        <w:t>、</w:t>
      </w:r>
      <w:r>
        <w:rPr>
          <w:rFonts w:hint="eastAsia"/>
          <w:spacing w:val="9"/>
          <w:sz w:val="20"/>
          <w:szCs w:val="20"/>
          <w:lang w:val="en-US" w:eastAsia="zh-CN"/>
        </w:rPr>
        <w:t>自然人</w:t>
      </w:r>
      <w:r>
        <w:rPr>
          <w:spacing w:val="9"/>
          <w:sz w:val="20"/>
          <w:szCs w:val="20"/>
        </w:rPr>
        <w:t>)或相应的委托代理人</w:t>
      </w:r>
      <w:r>
        <w:rPr>
          <w:spacing w:val="8"/>
          <w:sz w:val="20"/>
          <w:szCs w:val="20"/>
        </w:rPr>
        <w:t>签字</w:t>
      </w:r>
      <w:r>
        <w:rPr>
          <w:b/>
          <w:bCs/>
          <w:spacing w:val="8"/>
          <w:sz w:val="20"/>
          <w:szCs w:val="20"/>
        </w:rPr>
        <w:t>（或个人</w:t>
      </w:r>
      <w:r>
        <w:rPr>
          <w:b/>
          <w:bCs/>
          <w:sz w:val="20"/>
          <w:szCs w:val="20"/>
        </w:rPr>
        <w:t>CA</w:t>
      </w:r>
      <w:r>
        <w:rPr>
          <w:b/>
          <w:bCs/>
          <w:spacing w:val="8"/>
          <w:sz w:val="20"/>
          <w:szCs w:val="20"/>
        </w:rPr>
        <w:t>认证证书签章</w:t>
      </w:r>
      <w:r>
        <w:rPr>
          <w:b/>
          <w:bCs/>
          <w:spacing w:val="-1"/>
          <w:sz w:val="20"/>
          <w:szCs w:val="20"/>
        </w:rPr>
        <w:t>）</w:t>
      </w:r>
      <w:r>
        <w:rPr>
          <w:spacing w:val="-1"/>
          <w:sz w:val="20"/>
          <w:szCs w:val="20"/>
        </w:rPr>
        <w:t>：</w:t>
      </w:r>
    </w:p>
    <w:p w14:paraId="1656F56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left"/>
        <w:textAlignment w:val="baseline"/>
        <w:outlineLvl w:val="9"/>
        <w:rPr>
          <w:sz w:val="20"/>
          <w:szCs w:val="20"/>
        </w:rPr>
      </w:pPr>
      <w:r>
        <w:rPr>
          <w:spacing w:val="-13"/>
          <w:sz w:val="20"/>
          <w:szCs w:val="20"/>
        </w:rPr>
        <w:t>日期：</w:t>
      </w:r>
    </w:p>
    <w:p w14:paraId="7321C927">
      <w:pPr>
        <w:spacing w:line="311" w:lineRule="auto"/>
        <w:outlineLvl w:val="9"/>
        <w:rPr>
          <w:rFonts w:ascii="Arial"/>
          <w:sz w:val="21"/>
        </w:rPr>
      </w:pPr>
    </w:p>
    <w:p w14:paraId="3F179525">
      <w:pPr>
        <w:spacing w:line="311" w:lineRule="auto"/>
        <w:outlineLvl w:val="9"/>
        <w:rPr>
          <w:rFonts w:ascii="Arial"/>
          <w:sz w:val="21"/>
        </w:rPr>
      </w:pPr>
    </w:p>
    <w:p w14:paraId="724BB4F0">
      <w:pPr>
        <w:pStyle w:val="2"/>
        <w:rPr>
          <w:rFonts w:ascii="Arial"/>
          <w:sz w:val="21"/>
        </w:rPr>
      </w:pPr>
    </w:p>
    <w:p w14:paraId="7697CE55">
      <w:pPr>
        <w:pStyle w:val="2"/>
        <w:rPr>
          <w:rFonts w:ascii="Arial"/>
          <w:sz w:val="21"/>
        </w:rPr>
      </w:pPr>
    </w:p>
    <w:p w14:paraId="5006FA20">
      <w:pPr>
        <w:pStyle w:val="2"/>
        <w:rPr>
          <w:rFonts w:ascii="Arial"/>
          <w:sz w:val="21"/>
        </w:rPr>
      </w:pPr>
    </w:p>
    <w:p w14:paraId="56C6931E">
      <w:pPr>
        <w:pStyle w:val="2"/>
        <w:rPr>
          <w:rFonts w:ascii="Arial"/>
          <w:sz w:val="21"/>
        </w:rPr>
      </w:pPr>
    </w:p>
    <w:p w14:paraId="5AD68458">
      <w:pPr>
        <w:pStyle w:val="2"/>
        <w:rPr>
          <w:rFonts w:ascii="Arial"/>
          <w:sz w:val="21"/>
        </w:rPr>
      </w:pPr>
    </w:p>
    <w:p w14:paraId="4F3B183B">
      <w:pPr>
        <w:pStyle w:val="2"/>
        <w:rPr>
          <w:rFonts w:ascii="Arial"/>
          <w:sz w:val="21"/>
        </w:rPr>
      </w:pPr>
    </w:p>
    <w:p w14:paraId="6AA01E2C">
      <w:pPr>
        <w:pStyle w:val="2"/>
        <w:rPr>
          <w:rFonts w:ascii="Arial"/>
          <w:sz w:val="21"/>
        </w:rPr>
      </w:pPr>
    </w:p>
    <w:p w14:paraId="089579C8">
      <w:pPr>
        <w:pStyle w:val="2"/>
        <w:rPr>
          <w:rFonts w:ascii="Arial"/>
          <w:sz w:val="21"/>
        </w:rPr>
      </w:pPr>
    </w:p>
    <w:p w14:paraId="68C0FE01">
      <w:pPr>
        <w:pStyle w:val="2"/>
        <w:rPr>
          <w:rFonts w:ascii="Arial"/>
          <w:sz w:val="21"/>
        </w:rPr>
      </w:pPr>
    </w:p>
    <w:p w14:paraId="23E3834F">
      <w:pPr>
        <w:pStyle w:val="2"/>
        <w:rPr>
          <w:rFonts w:ascii="Arial"/>
          <w:sz w:val="21"/>
        </w:rPr>
      </w:pPr>
    </w:p>
    <w:p w14:paraId="6F8988A3">
      <w:pPr>
        <w:pStyle w:val="2"/>
        <w:rPr>
          <w:rFonts w:ascii="Arial"/>
          <w:sz w:val="21"/>
        </w:rPr>
      </w:pPr>
    </w:p>
    <w:p w14:paraId="2BE87B29">
      <w:pPr>
        <w:pStyle w:val="2"/>
        <w:rPr>
          <w:rFonts w:ascii="Arial"/>
          <w:sz w:val="21"/>
        </w:rPr>
      </w:pPr>
    </w:p>
    <w:p w14:paraId="79C42251">
      <w:pPr>
        <w:pStyle w:val="2"/>
        <w:rPr>
          <w:rFonts w:ascii="Arial"/>
          <w:sz w:val="21"/>
        </w:rPr>
      </w:pPr>
    </w:p>
    <w:p w14:paraId="7C5C0F88">
      <w:pPr>
        <w:pStyle w:val="2"/>
        <w:rPr>
          <w:rFonts w:ascii="Arial"/>
          <w:sz w:val="21"/>
        </w:rPr>
      </w:pPr>
    </w:p>
    <w:p w14:paraId="2A2EFF82">
      <w:pPr>
        <w:pStyle w:val="2"/>
        <w:rPr>
          <w:rFonts w:ascii="Arial"/>
          <w:sz w:val="21"/>
        </w:rPr>
      </w:pPr>
    </w:p>
    <w:p w14:paraId="47943678">
      <w:pPr>
        <w:spacing w:line="311" w:lineRule="auto"/>
        <w:outlineLvl w:val="9"/>
        <w:rPr>
          <w:rFonts w:ascii="Arial"/>
          <w:sz w:val="21"/>
        </w:rPr>
      </w:pPr>
    </w:p>
    <w:p w14:paraId="1924DB4B">
      <w:pPr>
        <w:pStyle w:val="6"/>
        <w:spacing w:before="102" w:line="224" w:lineRule="auto"/>
        <w:jc w:val="center"/>
        <w:outlineLvl w:val="9"/>
      </w:pPr>
      <w:r>
        <w:rPr>
          <w:b/>
          <w:bCs/>
        </w:rPr>
        <w:t>5.“服务采购需求”中要求必须提供的有效证明文</w:t>
      </w:r>
      <w:r>
        <w:rPr>
          <w:b/>
          <w:bCs/>
          <w:spacing w:val="-1"/>
        </w:rPr>
        <w:t>件（如有，请提供）</w:t>
      </w:r>
    </w:p>
    <w:p w14:paraId="1E2964D2">
      <w:pPr>
        <w:spacing w:line="244" w:lineRule="auto"/>
        <w:outlineLvl w:val="9"/>
        <w:rPr>
          <w:rFonts w:ascii="Arial"/>
          <w:sz w:val="21"/>
        </w:rPr>
      </w:pPr>
    </w:p>
    <w:p w14:paraId="71AF514B">
      <w:pPr>
        <w:spacing w:line="244" w:lineRule="auto"/>
        <w:outlineLvl w:val="9"/>
        <w:rPr>
          <w:rFonts w:ascii="Arial"/>
          <w:sz w:val="21"/>
        </w:rPr>
      </w:pPr>
    </w:p>
    <w:p w14:paraId="63108534">
      <w:pPr>
        <w:pStyle w:val="2"/>
        <w:rPr>
          <w:rFonts w:ascii="Arial"/>
          <w:sz w:val="21"/>
        </w:rPr>
      </w:pPr>
    </w:p>
    <w:p w14:paraId="34BD8F8F">
      <w:pPr>
        <w:pStyle w:val="2"/>
        <w:rPr>
          <w:rFonts w:ascii="Arial"/>
          <w:sz w:val="21"/>
        </w:rPr>
      </w:pPr>
    </w:p>
    <w:p w14:paraId="2F43D0DF">
      <w:pPr>
        <w:spacing w:line="244" w:lineRule="auto"/>
        <w:outlineLvl w:val="9"/>
        <w:rPr>
          <w:rFonts w:ascii="Arial"/>
          <w:sz w:val="21"/>
        </w:rPr>
      </w:pPr>
    </w:p>
    <w:p w14:paraId="547B61B6">
      <w:pPr>
        <w:spacing w:line="244" w:lineRule="auto"/>
        <w:outlineLvl w:val="9"/>
        <w:rPr>
          <w:rFonts w:ascii="Arial"/>
          <w:sz w:val="21"/>
        </w:rPr>
      </w:pPr>
    </w:p>
    <w:p w14:paraId="30F05D93">
      <w:pPr>
        <w:pStyle w:val="6"/>
        <w:spacing w:before="102" w:line="224" w:lineRule="auto"/>
        <w:ind w:left="3"/>
        <w:outlineLvl w:val="9"/>
      </w:pPr>
      <w:r>
        <w:rPr>
          <w:b/>
          <w:bCs/>
          <w:spacing w:val="6"/>
        </w:rPr>
        <w:t>6.项目实施人员一览表（格式自拟，如有，请提供）；</w:t>
      </w:r>
    </w:p>
    <w:p w14:paraId="371148D7">
      <w:pPr>
        <w:spacing w:line="351" w:lineRule="auto"/>
        <w:outlineLvl w:val="9"/>
        <w:rPr>
          <w:rFonts w:ascii="Arial"/>
          <w:sz w:val="21"/>
        </w:rPr>
      </w:pPr>
    </w:p>
    <w:p w14:paraId="17C12B29">
      <w:pPr>
        <w:pStyle w:val="2"/>
        <w:rPr>
          <w:rFonts w:ascii="Arial"/>
          <w:sz w:val="21"/>
        </w:rPr>
      </w:pPr>
    </w:p>
    <w:p w14:paraId="4227C462">
      <w:pPr>
        <w:pStyle w:val="2"/>
        <w:rPr>
          <w:rFonts w:ascii="Arial"/>
          <w:sz w:val="21"/>
        </w:rPr>
      </w:pPr>
    </w:p>
    <w:p w14:paraId="4F4E01C7">
      <w:pPr>
        <w:spacing w:line="351" w:lineRule="auto"/>
        <w:outlineLvl w:val="9"/>
        <w:rPr>
          <w:rFonts w:ascii="Arial"/>
          <w:sz w:val="21"/>
        </w:rPr>
      </w:pPr>
    </w:p>
    <w:p w14:paraId="6B178F77">
      <w:pPr>
        <w:spacing w:line="351" w:lineRule="auto"/>
        <w:outlineLvl w:val="9"/>
        <w:rPr>
          <w:rFonts w:ascii="Arial"/>
          <w:sz w:val="21"/>
        </w:rPr>
      </w:pPr>
    </w:p>
    <w:p w14:paraId="7611F37B">
      <w:pPr>
        <w:pStyle w:val="6"/>
        <w:spacing w:before="101" w:line="224" w:lineRule="auto"/>
        <w:ind w:left="8"/>
        <w:outlineLvl w:val="9"/>
      </w:pPr>
      <w:r>
        <w:rPr>
          <w:b/>
          <w:bCs/>
          <w:spacing w:val="10"/>
        </w:rPr>
        <w:t>7.投标人202</w:t>
      </w:r>
      <w:r>
        <w:rPr>
          <w:rFonts w:hint="eastAsia"/>
          <w:b/>
          <w:bCs/>
          <w:spacing w:val="10"/>
          <w:lang w:val="en-US" w:eastAsia="zh-CN"/>
        </w:rPr>
        <w:t>2</w:t>
      </w:r>
      <w:r>
        <w:rPr>
          <w:b/>
          <w:bCs/>
          <w:spacing w:val="10"/>
        </w:rPr>
        <w:t>年以来具有同类服务项目的业绩证明材料【</w:t>
      </w:r>
      <w:r>
        <w:rPr>
          <w:b/>
          <w:bCs/>
          <w:spacing w:val="9"/>
        </w:rPr>
        <w:t>无不良记</w:t>
      </w:r>
    </w:p>
    <w:p w14:paraId="3F4D1111">
      <w:pPr>
        <w:pStyle w:val="6"/>
        <w:spacing w:before="23" w:line="231" w:lineRule="auto"/>
        <w:ind w:right="135" w:firstLine="2"/>
        <w:outlineLvl w:val="9"/>
      </w:pPr>
      <w:r>
        <w:rPr>
          <w:b/>
          <w:bCs/>
          <w:spacing w:val="7"/>
        </w:rPr>
        <w:t>录，提供合同复印件或中标（成交）通知书，并能清晰反映所项目名</w:t>
      </w:r>
      <w:r>
        <w:rPr>
          <w:b/>
          <w:bCs/>
          <w:spacing w:val="3"/>
        </w:rPr>
        <w:t>称、类型、日期等内容】（如有，请提供</w:t>
      </w:r>
      <w:r>
        <w:rPr>
          <w:b/>
          <w:bCs/>
          <w:spacing w:val="-3"/>
        </w:rPr>
        <w:t>）；</w:t>
      </w:r>
    </w:p>
    <w:p w14:paraId="3DFD9F8B">
      <w:pPr>
        <w:spacing w:line="324" w:lineRule="auto"/>
        <w:outlineLvl w:val="9"/>
        <w:rPr>
          <w:rFonts w:ascii="Arial"/>
          <w:sz w:val="21"/>
        </w:rPr>
      </w:pPr>
    </w:p>
    <w:p w14:paraId="3FD268BE">
      <w:pPr>
        <w:spacing w:line="325" w:lineRule="auto"/>
        <w:outlineLvl w:val="9"/>
        <w:rPr>
          <w:rFonts w:ascii="Arial"/>
          <w:sz w:val="21"/>
        </w:rPr>
      </w:pPr>
    </w:p>
    <w:p w14:paraId="04455F49">
      <w:pPr>
        <w:pStyle w:val="2"/>
        <w:rPr>
          <w:rFonts w:ascii="Arial"/>
          <w:sz w:val="21"/>
        </w:rPr>
      </w:pPr>
    </w:p>
    <w:p w14:paraId="686076C6">
      <w:pPr>
        <w:pStyle w:val="2"/>
        <w:rPr>
          <w:rFonts w:ascii="Arial"/>
          <w:sz w:val="21"/>
        </w:rPr>
      </w:pPr>
    </w:p>
    <w:p w14:paraId="6F067AA2">
      <w:pPr>
        <w:pStyle w:val="2"/>
        <w:rPr>
          <w:rFonts w:ascii="Arial"/>
          <w:sz w:val="21"/>
        </w:rPr>
      </w:pPr>
    </w:p>
    <w:p w14:paraId="6E3712DD">
      <w:pPr>
        <w:pStyle w:val="6"/>
        <w:spacing w:before="101" w:line="224" w:lineRule="auto"/>
        <w:ind w:left="2"/>
        <w:outlineLvl w:val="9"/>
      </w:pPr>
      <w:r>
        <w:rPr>
          <w:b/>
          <w:bCs/>
          <w:spacing w:val="6"/>
        </w:rPr>
        <w:t>8.投标人的履约能力相关证明材料（如有，请提供）</w:t>
      </w:r>
    </w:p>
    <w:p w14:paraId="22376CAC">
      <w:pPr>
        <w:spacing w:line="224" w:lineRule="auto"/>
        <w:outlineLvl w:val="9"/>
        <w:sectPr>
          <w:footerReference r:id="rId25" w:type="default"/>
          <w:pgSz w:w="11906" w:h="16839"/>
          <w:pgMar w:top="1431" w:right="1002" w:bottom="875" w:left="1143" w:header="0" w:footer="713" w:gutter="0"/>
          <w:pgNumType w:fmt="decimal"/>
          <w:cols w:space="720" w:num="1"/>
        </w:sectPr>
      </w:pPr>
    </w:p>
    <w:p w14:paraId="3FEC7A36">
      <w:pPr>
        <w:pStyle w:val="6"/>
        <w:spacing w:before="165" w:line="224" w:lineRule="auto"/>
        <w:jc w:val="right"/>
        <w:outlineLvl w:val="9"/>
      </w:pPr>
      <w:r>
        <w:rPr>
          <w:b/>
          <w:bCs/>
          <w:spacing w:val="5"/>
        </w:rPr>
        <w:t>9、中小企业声明函（见附件</w:t>
      </w:r>
      <w:r>
        <w:rPr>
          <w:b/>
          <w:bCs/>
          <w:spacing w:val="-39"/>
        </w:rPr>
        <w:t>）（</w:t>
      </w:r>
      <w:r>
        <w:rPr>
          <w:b/>
          <w:bCs/>
          <w:spacing w:val="5"/>
        </w:rPr>
        <w:t>如投标人为中小微型企业的，格式见</w:t>
      </w:r>
    </w:p>
    <w:p w14:paraId="56E53682">
      <w:pPr>
        <w:pStyle w:val="6"/>
        <w:spacing w:before="23" w:line="231" w:lineRule="auto"/>
        <w:ind w:left="10" w:right="2" w:firstLine="19"/>
        <w:outlineLvl w:val="9"/>
      </w:pPr>
      <w:r>
        <w:rPr>
          <w:b/>
          <w:bCs/>
          <w:spacing w:val="7"/>
        </w:rPr>
        <w:t>附件，投标人对出具的声明函真实性负责，</w:t>
      </w:r>
      <w:r>
        <w:rPr>
          <w:b/>
          <w:bCs/>
          <w:spacing w:val="6"/>
        </w:rPr>
        <w:t>中标结果将同时公告企业</w:t>
      </w:r>
      <w:r>
        <w:rPr>
          <w:b/>
          <w:bCs/>
          <w:spacing w:val="8"/>
        </w:rPr>
        <w:t>《中小企业声明函》，接受社会监督</w:t>
      </w:r>
      <w:r>
        <w:rPr>
          <w:b/>
          <w:bCs/>
          <w:spacing w:val="-9"/>
        </w:rPr>
        <w:t>）（</w:t>
      </w:r>
      <w:r>
        <w:rPr>
          <w:b/>
          <w:bCs/>
          <w:spacing w:val="8"/>
        </w:rPr>
        <w:t>如有，请提供）</w:t>
      </w:r>
    </w:p>
    <w:p w14:paraId="12319134">
      <w:pPr>
        <w:pStyle w:val="6"/>
        <w:spacing w:before="54" w:line="227" w:lineRule="auto"/>
        <w:ind w:left="17"/>
        <w:outlineLvl w:val="9"/>
        <w:rPr>
          <w:b/>
          <w:bCs/>
          <w:spacing w:val="-5"/>
          <w:sz w:val="20"/>
          <w:szCs w:val="20"/>
        </w:rPr>
      </w:pPr>
    </w:p>
    <w:p w14:paraId="28A85F36">
      <w:pPr>
        <w:pStyle w:val="6"/>
        <w:spacing w:before="65" w:line="441" w:lineRule="auto"/>
        <w:ind w:right="169" w:firstLine="641"/>
        <w:outlineLvl w:val="9"/>
        <w:rPr>
          <w:b/>
          <w:bCs/>
          <w:color w:val="333333"/>
          <w:spacing w:val="-9"/>
          <w:sz w:val="24"/>
          <w:szCs w:val="24"/>
        </w:rPr>
      </w:pPr>
      <w:r>
        <w:rPr>
          <w:b/>
          <w:bCs/>
          <w:color w:val="333333"/>
          <w:spacing w:val="-9"/>
          <w:sz w:val="24"/>
          <w:szCs w:val="24"/>
        </w:rPr>
        <w:t>附件</w:t>
      </w:r>
    </w:p>
    <w:p w14:paraId="2A96FA35">
      <w:pPr>
        <w:pStyle w:val="6"/>
        <w:spacing w:before="137" w:line="228" w:lineRule="auto"/>
        <w:ind w:left="3925"/>
        <w:outlineLvl w:val="9"/>
        <w:rPr>
          <w:sz w:val="24"/>
          <w:szCs w:val="24"/>
        </w:rPr>
      </w:pPr>
      <w:r>
        <w:rPr>
          <w:spacing w:val="6"/>
          <w:sz w:val="24"/>
          <w:szCs w:val="24"/>
        </w:rPr>
        <w:t>中小企业声明函（格式）</w:t>
      </w:r>
    </w:p>
    <w:p w14:paraId="4A0D592C">
      <w:pPr>
        <w:spacing w:line="330" w:lineRule="auto"/>
        <w:outlineLvl w:val="9"/>
        <w:rPr>
          <w:rFonts w:ascii="Arial"/>
          <w:sz w:val="24"/>
          <w:szCs w:val="24"/>
        </w:rPr>
      </w:pPr>
    </w:p>
    <w:p w14:paraId="43DC575B">
      <w:pPr>
        <w:pStyle w:val="6"/>
        <w:spacing w:before="65" w:line="441" w:lineRule="auto"/>
        <w:ind w:right="169" w:firstLine="641"/>
        <w:outlineLvl w:val="9"/>
        <w:rPr>
          <w:sz w:val="24"/>
          <w:szCs w:val="24"/>
        </w:rPr>
      </w:pPr>
      <w:r>
        <w:rPr>
          <w:color w:val="333333"/>
          <w:spacing w:val="-9"/>
          <w:sz w:val="24"/>
          <w:szCs w:val="24"/>
        </w:rPr>
        <w:t>本公司郑重声明，根据《政府采购促进中小企业发展管理办法》（财库﹝2020﹞</w:t>
      </w:r>
      <w:r>
        <w:rPr>
          <w:color w:val="333333"/>
          <w:spacing w:val="-10"/>
          <w:sz w:val="24"/>
          <w:szCs w:val="24"/>
        </w:rPr>
        <w:t>46号）的规定，本公司参</w:t>
      </w:r>
      <w:r>
        <w:rPr>
          <w:color w:val="333333"/>
          <w:spacing w:val="-11"/>
          <w:sz w:val="24"/>
          <w:szCs w:val="24"/>
        </w:rPr>
        <w:t>加</w:t>
      </w:r>
      <w:r>
        <w:rPr>
          <w:color w:val="333333"/>
          <w:spacing w:val="-11"/>
          <w:sz w:val="24"/>
          <w:szCs w:val="24"/>
          <w:u w:val="single" w:color="auto"/>
        </w:rPr>
        <w:t>（单位名称）</w:t>
      </w:r>
      <w:r>
        <w:rPr>
          <w:color w:val="333333"/>
          <w:spacing w:val="-11"/>
          <w:sz w:val="24"/>
          <w:szCs w:val="24"/>
        </w:rPr>
        <w:t>的</w:t>
      </w:r>
      <w:r>
        <w:rPr>
          <w:color w:val="333333"/>
          <w:spacing w:val="-11"/>
          <w:sz w:val="24"/>
          <w:szCs w:val="24"/>
          <w:u w:val="single" w:color="auto"/>
        </w:rPr>
        <w:t>（项目名称）</w:t>
      </w:r>
      <w:r>
        <w:rPr>
          <w:color w:val="333333"/>
          <w:spacing w:val="-11"/>
          <w:sz w:val="24"/>
          <w:szCs w:val="24"/>
        </w:rPr>
        <w:t>采购活动</w:t>
      </w:r>
      <w:r>
        <w:rPr>
          <w:spacing w:val="-11"/>
          <w:sz w:val="24"/>
          <w:szCs w:val="24"/>
        </w:rPr>
        <w:t>，服务全部由符合政策要求的中小企业承接。相关企业的具体情况如下：</w:t>
      </w:r>
    </w:p>
    <w:p w14:paraId="3B7771B6">
      <w:pPr>
        <w:pStyle w:val="6"/>
        <w:spacing w:before="34" w:line="449" w:lineRule="auto"/>
        <w:ind w:right="129" w:firstLine="645"/>
        <w:outlineLvl w:val="9"/>
        <w:rPr>
          <w:sz w:val="24"/>
          <w:szCs w:val="24"/>
        </w:rPr>
      </w:pPr>
      <w:r>
        <w:rPr>
          <w:sz w:val="24"/>
          <w:szCs w:val="24"/>
          <w:u w:val="single" w:color="auto"/>
        </w:rPr>
        <w:t>兴安县城北及乡镇污水处理厂运营管理服务,</w:t>
      </w:r>
      <w:r>
        <w:rPr>
          <w:spacing w:val="-1"/>
          <w:sz w:val="24"/>
          <w:szCs w:val="24"/>
        </w:rPr>
        <w:t>属于</w:t>
      </w:r>
      <w:r>
        <w:rPr>
          <w:spacing w:val="-1"/>
          <w:sz w:val="24"/>
          <w:szCs w:val="24"/>
          <w:u w:val="single" w:color="auto"/>
        </w:rPr>
        <w:t>其他未列明行业*</w:t>
      </w:r>
      <w:r>
        <w:rPr>
          <w:spacing w:val="-1"/>
          <w:sz w:val="24"/>
          <w:szCs w:val="24"/>
        </w:rPr>
        <w:t>；承接企业为</w:t>
      </w:r>
      <w:r>
        <w:rPr>
          <w:rFonts w:hint="eastAsia"/>
          <w:spacing w:val="-1"/>
          <w:sz w:val="24"/>
          <w:szCs w:val="24"/>
          <w:u w:val="single"/>
          <w:lang w:val="en-US" w:eastAsia="zh-CN"/>
        </w:rPr>
        <w:t xml:space="preserve"> </w:t>
      </w:r>
      <w:r>
        <w:rPr>
          <w:spacing w:val="-1"/>
          <w:sz w:val="24"/>
          <w:szCs w:val="24"/>
          <w:u w:val="single" w:color="auto"/>
        </w:rPr>
        <w:t>（企业名称</w:t>
      </w:r>
      <w:r>
        <w:rPr>
          <w:spacing w:val="-15"/>
          <w:sz w:val="24"/>
          <w:szCs w:val="24"/>
          <w:u w:val="single" w:color="auto"/>
        </w:rPr>
        <w:t>）</w:t>
      </w:r>
      <w:r>
        <w:rPr>
          <w:spacing w:val="-15"/>
          <w:sz w:val="24"/>
          <w:szCs w:val="24"/>
        </w:rPr>
        <w:t>，</w:t>
      </w:r>
      <w:r>
        <w:rPr>
          <w:spacing w:val="-1"/>
          <w:sz w:val="24"/>
          <w:szCs w:val="24"/>
        </w:rPr>
        <w:t>从</w:t>
      </w:r>
      <w:r>
        <w:rPr>
          <w:spacing w:val="-6"/>
          <w:sz w:val="24"/>
          <w:szCs w:val="24"/>
        </w:rPr>
        <w:t>业人员</w:t>
      </w:r>
      <w:r>
        <w:rPr>
          <w:rFonts w:hint="eastAsia"/>
          <w:spacing w:val="-6"/>
          <w:sz w:val="24"/>
          <w:szCs w:val="24"/>
          <w:u w:val="single"/>
          <w:lang w:val="en-US" w:eastAsia="zh-CN"/>
        </w:rPr>
        <w:t xml:space="preserve">    </w:t>
      </w:r>
      <w:r>
        <w:rPr>
          <w:spacing w:val="-6"/>
          <w:sz w:val="24"/>
          <w:szCs w:val="24"/>
        </w:rPr>
        <w:t>人，营业收入为</w:t>
      </w:r>
      <w:r>
        <w:rPr>
          <w:rFonts w:hint="eastAsia"/>
          <w:spacing w:val="-6"/>
          <w:sz w:val="24"/>
          <w:szCs w:val="24"/>
          <w:lang w:val="en-US" w:eastAsia="zh-CN"/>
        </w:rPr>
        <w:t xml:space="preserve"> </w:t>
      </w:r>
      <w:r>
        <w:rPr>
          <w:rFonts w:hint="eastAsia"/>
          <w:spacing w:val="-6"/>
          <w:sz w:val="24"/>
          <w:szCs w:val="24"/>
          <w:u w:val="single"/>
          <w:lang w:val="en-US" w:eastAsia="zh-CN"/>
        </w:rPr>
        <w:t xml:space="preserve">   </w:t>
      </w:r>
      <w:r>
        <w:rPr>
          <w:spacing w:val="-6"/>
          <w:sz w:val="24"/>
          <w:szCs w:val="24"/>
        </w:rPr>
        <w:t>万元，资产</w:t>
      </w:r>
      <w:r>
        <w:rPr>
          <w:spacing w:val="-7"/>
          <w:sz w:val="24"/>
          <w:szCs w:val="24"/>
        </w:rPr>
        <w:t>总额为</w:t>
      </w:r>
      <w:r>
        <w:rPr>
          <w:rFonts w:hint="eastAsia"/>
          <w:spacing w:val="-7"/>
          <w:sz w:val="24"/>
          <w:szCs w:val="24"/>
          <w:lang w:val="en-US" w:eastAsia="zh-CN"/>
        </w:rPr>
        <w:t xml:space="preserve"> </w:t>
      </w:r>
      <w:r>
        <w:rPr>
          <w:rFonts w:hint="eastAsia"/>
          <w:spacing w:val="-7"/>
          <w:sz w:val="24"/>
          <w:szCs w:val="24"/>
          <w:u w:val="single"/>
          <w:lang w:val="en-US" w:eastAsia="zh-CN"/>
        </w:rPr>
        <w:t xml:space="preserve">     </w:t>
      </w:r>
      <w:r>
        <w:rPr>
          <w:color w:val="333333"/>
          <w:spacing w:val="-7"/>
          <w:sz w:val="24"/>
          <w:szCs w:val="24"/>
        </w:rPr>
        <w:t>万元，属于</w:t>
      </w:r>
      <w:r>
        <w:rPr>
          <w:rFonts w:hint="eastAsia"/>
          <w:color w:val="333333"/>
          <w:spacing w:val="-7"/>
          <w:sz w:val="24"/>
          <w:szCs w:val="24"/>
          <w:u w:val="single"/>
          <w:lang w:val="en-US" w:eastAsia="zh-CN"/>
        </w:rPr>
        <w:t xml:space="preserve">      </w:t>
      </w:r>
      <w:r>
        <w:rPr>
          <w:color w:val="333333"/>
          <w:spacing w:val="-7"/>
          <w:sz w:val="24"/>
          <w:szCs w:val="24"/>
          <w:u w:val="single" w:color="auto"/>
        </w:rPr>
        <w:t>（中型企业、小型</w:t>
      </w:r>
      <w:r>
        <w:rPr>
          <w:color w:val="333333"/>
          <w:spacing w:val="-9"/>
          <w:sz w:val="24"/>
          <w:szCs w:val="24"/>
          <w:u w:val="single" w:color="auto"/>
        </w:rPr>
        <w:t>企业、微型企业</w:t>
      </w:r>
      <w:r>
        <w:rPr>
          <w:color w:val="333333"/>
          <w:spacing w:val="1"/>
          <w:sz w:val="24"/>
          <w:szCs w:val="24"/>
          <w:u w:val="single" w:color="auto"/>
        </w:rPr>
        <w:t>）</w:t>
      </w:r>
      <w:r>
        <w:rPr>
          <w:color w:val="333333"/>
          <w:spacing w:val="1"/>
          <w:sz w:val="24"/>
          <w:szCs w:val="24"/>
        </w:rPr>
        <w:t>；</w:t>
      </w:r>
    </w:p>
    <w:p w14:paraId="75877F22">
      <w:pPr>
        <w:pStyle w:val="6"/>
        <w:spacing w:before="66" w:line="444" w:lineRule="auto"/>
        <w:ind w:left="17" w:right="124" w:firstLine="388"/>
        <w:outlineLvl w:val="9"/>
        <w:rPr>
          <w:sz w:val="24"/>
          <w:szCs w:val="24"/>
        </w:rPr>
      </w:pPr>
      <w:r>
        <w:rPr>
          <w:color w:val="333333"/>
          <w:spacing w:val="-10"/>
          <w:sz w:val="24"/>
          <w:szCs w:val="24"/>
        </w:rPr>
        <w:t>以上企业，不属于大企业的分支机构，不存在控股股东为大企</w:t>
      </w:r>
      <w:r>
        <w:rPr>
          <w:color w:val="333333"/>
          <w:spacing w:val="-11"/>
          <w:sz w:val="24"/>
          <w:szCs w:val="24"/>
        </w:rPr>
        <w:t>业的情形，也不存在与大企业的负责人为同一人</w:t>
      </w:r>
      <w:r>
        <w:rPr>
          <w:color w:val="333333"/>
          <w:spacing w:val="-10"/>
          <w:sz w:val="24"/>
          <w:szCs w:val="24"/>
        </w:rPr>
        <w:t>的情形。</w:t>
      </w:r>
    </w:p>
    <w:p w14:paraId="35830033">
      <w:pPr>
        <w:pStyle w:val="6"/>
        <w:spacing w:before="55" w:line="227" w:lineRule="auto"/>
        <w:ind w:left="647"/>
        <w:outlineLvl w:val="9"/>
        <w:rPr>
          <w:sz w:val="24"/>
          <w:szCs w:val="24"/>
        </w:rPr>
      </w:pPr>
      <w:r>
        <w:rPr>
          <w:color w:val="333333"/>
          <w:spacing w:val="-10"/>
          <w:sz w:val="24"/>
          <w:szCs w:val="24"/>
        </w:rPr>
        <w:t>本企业对上述声明内容的真实性负责。如有虚假，将依法承担相应责任。</w:t>
      </w:r>
    </w:p>
    <w:p w14:paraId="6F09A5B4">
      <w:pPr>
        <w:spacing w:line="430" w:lineRule="auto"/>
        <w:outlineLvl w:val="9"/>
        <w:rPr>
          <w:rFonts w:hint="default" w:ascii="Arial" w:eastAsia="宋体"/>
          <w:sz w:val="24"/>
          <w:szCs w:val="24"/>
          <w:lang w:val="en-US" w:eastAsia="zh-CN"/>
        </w:rPr>
      </w:pPr>
      <w:r>
        <w:rPr>
          <w:rFonts w:hint="eastAsia" w:eastAsia="宋体"/>
          <w:sz w:val="24"/>
          <w:szCs w:val="24"/>
          <w:lang w:val="en-US" w:eastAsia="zh-CN"/>
        </w:rPr>
        <w:t xml:space="preserve">  </w:t>
      </w:r>
    </w:p>
    <w:p w14:paraId="23F3421E">
      <w:pPr>
        <w:pStyle w:val="6"/>
        <w:spacing w:before="65" w:line="227" w:lineRule="auto"/>
        <w:ind w:left="3784"/>
        <w:outlineLvl w:val="9"/>
        <w:rPr>
          <w:sz w:val="24"/>
          <w:szCs w:val="24"/>
        </w:rPr>
      </w:pPr>
      <w:r>
        <w:rPr>
          <w:b/>
          <w:bCs/>
          <w:spacing w:val="7"/>
          <w:sz w:val="24"/>
          <w:szCs w:val="24"/>
        </w:rPr>
        <w:t>企业名称（</w:t>
      </w:r>
      <w:r>
        <w:rPr>
          <w:rFonts w:hint="eastAsia"/>
          <w:b/>
          <w:bCs/>
          <w:spacing w:val="7"/>
          <w:sz w:val="24"/>
          <w:szCs w:val="24"/>
          <w:lang w:val="en-US" w:eastAsia="zh-CN"/>
        </w:rPr>
        <w:t>公章或</w:t>
      </w:r>
      <w:r>
        <w:rPr>
          <w:b/>
          <w:bCs/>
          <w:sz w:val="24"/>
          <w:szCs w:val="24"/>
        </w:rPr>
        <w:t>CA</w:t>
      </w:r>
      <w:r>
        <w:rPr>
          <w:b/>
          <w:bCs/>
          <w:spacing w:val="7"/>
          <w:sz w:val="24"/>
          <w:szCs w:val="24"/>
        </w:rPr>
        <w:t>证书签章</w:t>
      </w:r>
      <w:r>
        <w:rPr>
          <w:b/>
          <w:bCs/>
          <w:spacing w:val="-2"/>
          <w:sz w:val="24"/>
          <w:szCs w:val="24"/>
        </w:rPr>
        <w:t>）：</w:t>
      </w:r>
    </w:p>
    <w:p w14:paraId="47A78B17">
      <w:pPr>
        <w:spacing w:line="349" w:lineRule="auto"/>
        <w:outlineLvl w:val="9"/>
        <w:rPr>
          <w:rFonts w:ascii="Arial"/>
          <w:sz w:val="24"/>
          <w:szCs w:val="24"/>
        </w:rPr>
      </w:pPr>
    </w:p>
    <w:p w14:paraId="72F20ED1">
      <w:pPr>
        <w:pStyle w:val="6"/>
        <w:spacing w:before="65" w:line="228" w:lineRule="auto"/>
        <w:ind w:left="3816"/>
        <w:outlineLvl w:val="9"/>
        <w:rPr>
          <w:sz w:val="24"/>
          <w:szCs w:val="24"/>
        </w:rPr>
      </w:pPr>
      <w:r>
        <w:rPr>
          <w:b/>
          <w:bCs/>
          <w:spacing w:val="-9"/>
          <w:sz w:val="24"/>
          <w:szCs w:val="24"/>
        </w:rPr>
        <w:t>日期：</w:t>
      </w:r>
      <w:r>
        <w:rPr>
          <w:rFonts w:hint="eastAsia"/>
          <w:b/>
          <w:bCs/>
          <w:spacing w:val="-9"/>
          <w:sz w:val="24"/>
          <w:szCs w:val="24"/>
          <w:lang w:val="en-US" w:eastAsia="zh-CN"/>
        </w:rPr>
        <w:t xml:space="preserve">   年   月   日  </w:t>
      </w:r>
    </w:p>
    <w:p w14:paraId="33A0E252">
      <w:pPr>
        <w:spacing w:line="364" w:lineRule="auto"/>
        <w:outlineLvl w:val="9"/>
        <w:rPr>
          <w:rFonts w:ascii="Arial"/>
          <w:sz w:val="24"/>
          <w:szCs w:val="24"/>
        </w:rPr>
      </w:pPr>
    </w:p>
    <w:p w14:paraId="288CBA24">
      <w:pPr>
        <w:pStyle w:val="6"/>
        <w:spacing w:before="66" w:line="228" w:lineRule="auto"/>
        <w:outlineLvl w:val="9"/>
        <w:rPr>
          <w:rFonts w:hint="eastAsia" w:eastAsia="宋体"/>
          <w:sz w:val="24"/>
          <w:szCs w:val="24"/>
          <w:lang w:eastAsia="zh-CN"/>
        </w:rPr>
        <w:sectPr>
          <w:footerReference r:id="rId26" w:type="default"/>
          <w:pgSz w:w="11906" w:h="16839"/>
          <w:pgMar w:top="1431" w:right="1135" w:bottom="875" w:left="1140" w:header="0" w:footer="713" w:gutter="0"/>
          <w:pgNumType w:fmt="decimal"/>
          <w:cols w:space="720" w:num="1"/>
        </w:sectPr>
      </w:pPr>
      <w:r>
        <w:rPr>
          <w:spacing w:val="11"/>
          <w:sz w:val="24"/>
          <w:szCs w:val="24"/>
        </w:rPr>
        <w:t>注：从业人员、营业收入、资产总额填报上一年度数据，无上一年度数据的新成立企业可不填报。</w:t>
      </w:r>
    </w:p>
    <w:p w14:paraId="6921C8A3">
      <w:pPr>
        <w:pStyle w:val="6"/>
        <w:spacing w:before="62" w:line="236" w:lineRule="auto"/>
        <w:ind w:left="11" w:right="16" w:firstLine="24"/>
        <w:outlineLvl w:val="9"/>
      </w:pPr>
      <w:r>
        <w:rPr>
          <w:b/>
          <w:bCs/>
          <w:spacing w:val="6"/>
        </w:rPr>
        <w:t>10.符合条件的残疾人福利性单位参加政府采购活动时，提供《残</w:t>
      </w:r>
      <w:r>
        <w:rPr>
          <w:b/>
          <w:bCs/>
          <w:spacing w:val="3"/>
        </w:rPr>
        <w:t>疾人福利性单位声明函》，并对声明的真实性负责（如有，请提供</w:t>
      </w:r>
      <w:r>
        <w:rPr>
          <w:b/>
          <w:bCs/>
          <w:spacing w:val="-47"/>
        </w:rPr>
        <w:t>）；</w:t>
      </w:r>
    </w:p>
    <w:p w14:paraId="33CC0D59">
      <w:pPr>
        <w:spacing w:line="278" w:lineRule="auto"/>
        <w:outlineLvl w:val="9"/>
        <w:rPr>
          <w:rFonts w:ascii="Arial"/>
          <w:sz w:val="21"/>
        </w:rPr>
      </w:pPr>
    </w:p>
    <w:p w14:paraId="7BDADDDF">
      <w:pPr>
        <w:spacing w:line="278" w:lineRule="auto"/>
        <w:outlineLvl w:val="9"/>
        <w:rPr>
          <w:rFonts w:ascii="Arial"/>
          <w:sz w:val="21"/>
        </w:rPr>
      </w:pPr>
    </w:p>
    <w:p w14:paraId="141D4AAC">
      <w:pPr>
        <w:pStyle w:val="6"/>
        <w:spacing w:before="101" w:line="224" w:lineRule="auto"/>
        <w:ind w:left="507"/>
        <w:outlineLvl w:val="9"/>
      </w:pPr>
      <w:r>
        <w:rPr>
          <w:b/>
          <w:bCs/>
          <w:spacing w:val="-9"/>
        </w:rPr>
        <w:t>附件：</w:t>
      </w:r>
    </w:p>
    <w:p w14:paraId="6D2BBB89">
      <w:pPr>
        <w:spacing w:line="281" w:lineRule="auto"/>
        <w:outlineLvl w:val="9"/>
        <w:rPr>
          <w:rFonts w:ascii="Arial"/>
          <w:sz w:val="21"/>
        </w:rPr>
      </w:pPr>
    </w:p>
    <w:p w14:paraId="48ED724F">
      <w:pPr>
        <w:spacing w:line="282" w:lineRule="auto"/>
        <w:outlineLvl w:val="9"/>
        <w:rPr>
          <w:rFonts w:ascii="Arial"/>
          <w:sz w:val="21"/>
        </w:rPr>
      </w:pPr>
    </w:p>
    <w:p w14:paraId="702E0969">
      <w:pPr>
        <w:pStyle w:val="6"/>
        <w:spacing w:before="100" w:line="225" w:lineRule="auto"/>
        <w:ind w:left="2422"/>
        <w:outlineLvl w:val="9"/>
      </w:pPr>
      <w:r>
        <w:rPr>
          <w:b/>
          <w:bCs/>
          <w:spacing w:val="6"/>
        </w:rPr>
        <w:t>残疾人福利性单位声明函（格式）</w:t>
      </w:r>
    </w:p>
    <w:p w14:paraId="7189FBD6">
      <w:pPr>
        <w:spacing w:line="268" w:lineRule="auto"/>
        <w:outlineLvl w:val="9"/>
        <w:rPr>
          <w:rFonts w:ascii="Arial"/>
          <w:sz w:val="21"/>
        </w:rPr>
      </w:pPr>
    </w:p>
    <w:p w14:paraId="2631A7A0">
      <w:pPr>
        <w:spacing w:line="268" w:lineRule="auto"/>
        <w:outlineLvl w:val="9"/>
        <w:rPr>
          <w:rFonts w:ascii="Arial"/>
          <w:sz w:val="21"/>
        </w:rPr>
      </w:pPr>
    </w:p>
    <w:p w14:paraId="6CC8437A">
      <w:pPr>
        <w:spacing w:line="268" w:lineRule="auto"/>
        <w:outlineLvl w:val="9"/>
        <w:rPr>
          <w:rFonts w:ascii="Arial"/>
          <w:sz w:val="21"/>
        </w:rPr>
      </w:pPr>
    </w:p>
    <w:p w14:paraId="2093FC7B">
      <w:pPr>
        <w:pStyle w:val="6"/>
        <w:tabs>
          <w:tab w:val="left" w:pos="925"/>
        </w:tabs>
        <w:spacing w:before="98" w:line="355" w:lineRule="auto"/>
        <w:ind w:right="23" w:firstLine="636"/>
        <w:jc w:val="both"/>
        <w:outlineLvl w:val="9"/>
        <w:rPr>
          <w:sz w:val="30"/>
          <w:szCs w:val="30"/>
        </w:rPr>
      </w:pPr>
      <w:r>
        <w:rPr>
          <w:spacing w:val="6"/>
          <w:sz w:val="30"/>
          <w:szCs w:val="30"/>
        </w:rPr>
        <w:t>本单位郑重声明，根据《财政部</w:t>
      </w:r>
      <w:r>
        <w:rPr>
          <w:rFonts w:hint="eastAsia"/>
          <w:spacing w:val="6"/>
          <w:sz w:val="30"/>
          <w:szCs w:val="30"/>
          <w:lang w:val="en-US" w:eastAsia="zh-CN"/>
        </w:rPr>
        <w:t xml:space="preserve"> </w:t>
      </w:r>
      <w:r>
        <w:rPr>
          <w:spacing w:val="6"/>
          <w:sz w:val="30"/>
          <w:szCs w:val="30"/>
        </w:rPr>
        <w:t>民政部</w:t>
      </w:r>
      <w:r>
        <w:rPr>
          <w:rFonts w:hint="eastAsia"/>
          <w:spacing w:val="6"/>
          <w:sz w:val="30"/>
          <w:szCs w:val="30"/>
          <w:lang w:val="en-US" w:eastAsia="zh-CN"/>
        </w:rPr>
        <w:t xml:space="preserve"> </w:t>
      </w:r>
      <w:r>
        <w:rPr>
          <w:spacing w:val="6"/>
          <w:sz w:val="30"/>
          <w:szCs w:val="30"/>
        </w:rPr>
        <w:t>中国</w:t>
      </w:r>
      <w:r>
        <w:rPr>
          <w:spacing w:val="5"/>
          <w:sz w:val="30"/>
          <w:szCs w:val="30"/>
        </w:rPr>
        <w:t>残疾人联合会关于促进残疾人就业政府采购政策的通知》（财库</w:t>
      </w:r>
      <w:r>
        <w:rPr>
          <w:spacing w:val="5"/>
        </w:rPr>
        <w:t>〔2017〕141</w:t>
      </w:r>
      <w:r>
        <w:rPr>
          <w:spacing w:val="5"/>
          <w:sz w:val="30"/>
          <w:szCs w:val="30"/>
        </w:rPr>
        <w:t>号）的规定，</w:t>
      </w:r>
      <w:r>
        <w:rPr>
          <w:spacing w:val="20"/>
          <w:sz w:val="30"/>
          <w:szCs w:val="30"/>
        </w:rPr>
        <w:t>本单位为符合条件的残疾人福利性单位，且本单位参加</w:t>
      </w:r>
      <w:r>
        <w:rPr>
          <w:rFonts w:hint="eastAsia"/>
          <w:spacing w:val="20"/>
          <w:sz w:val="30"/>
          <w:szCs w:val="30"/>
          <w:u w:val="single"/>
          <w:lang w:val="en-US" w:eastAsia="zh-CN"/>
        </w:rPr>
        <w:t xml:space="preserve">        </w:t>
      </w:r>
      <w:r>
        <w:rPr>
          <w:spacing w:val="20"/>
          <w:sz w:val="30"/>
          <w:szCs w:val="30"/>
        </w:rPr>
        <w:t>单位的</w:t>
      </w:r>
      <w:r>
        <w:rPr>
          <w:sz w:val="30"/>
          <w:szCs w:val="30"/>
          <w:u w:val="single" w:color="auto"/>
        </w:rPr>
        <w:tab/>
      </w:r>
      <w:r>
        <w:rPr>
          <w:rFonts w:hint="eastAsia"/>
          <w:sz w:val="30"/>
          <w:szCs w:val="30"/>
          <w:u w:val="single" w:color="auto"/>
          <w:lang w:val="en-US" w:eastAsia="zh-CN"/>
        </w:rPr>
        <w:t xml:space="preserve"> </w:t>
      </w:r>
      <w:r>
        <w:rPr>
          <w:spacing w:val="15"/>
          <w:sz w:val="30"/>
          <w:szCs w:val="30"/>
        </w:rPr>
        <w:t>项目采购活动提供本单位制造的货物（由本单位承担工程/</w:t>
      </w:r>
      <w:r>
        <w:rPr>
          <w:spacing w:val="14"/>
          <w:sz w:val="30"/>
          <w:szCs w:val="30"/>
        </w:rPr>
        <w:t>提供</w:t>
      </w:r>
      <w:r>
        <w:rPr>
          <w:spacing w:val="10"/>
          <w:sz w:val="30"/>
          <w:szCs w:val="30"/>
        </w:rPr>
        <w:t>服务</w:t>
      </w:r>
      <w:r>
        <w:rPr>
          <w:spacing w:val="17"/>
          <w:sz w:val="30"/>
          <w:szCs w:val="30"/>
        </w:rPr>
        <w:t>），</w:t>
      </w:r>
      <w:r>
        <w:rPr>
          <w:spacing w:val="10"/>
          <w:sz w:val="30"/>
          <w:szCs w:val="30"/>
        </w:rPr>
        <w:t>或者提供其他残疾人福利性单位制造的货物（不包括使用非残</w:t>
      </w:r>
      <w:r>
        <w:rPr>
          <w:spacing w:val="11"/>
          <w:sz w:val="30"/>
          <w:szCs w:val="30"/>
        </w:rPr>
        <w:t>疾人福利性单位注册商标的货物）。</w:t>
      </w:r>
    </w:p>
    <w:p w14:paraId="1E919B96">
      <w:pPr>
        <w:pStyle w:val="6"/>
        <w:spacing w:before="50" w:line="219" w:lineRule="auto"/>
        <w:jc w:val="right"/>
        <w:outlineLvl w:val="9"/>
        <w:rPr>
          <w:sz w:val="30"/>
          <w:szCs w:val="30"/>
        </w:rPr>
      </w:pPr>
      <w:r>
        <w:rPr>
          <w:spacing w:val="3"/>
          <w:sz w:val="30"/>
          <w:szCs w:val="30"/>
        </w:rPr>
        <w:t>本单位对上述声明的真实性负责。如有虚假，将依法承担相应责任。</w:t>
      </w:r>
    </w:p>
    <w:p w14:paraId="36ABA6BB">
      <w:pPr>
        <w:spacing w:line="359" w:lineRule="auto"/>
        <w:outlineLvl w:val="9"/>
        <w:rPr>
          <w:rFonts w:ascii="Arial"/>
          <w:sz w:val="21"/>
        </w:rPr>
      </w:pPr>
    </w:p>
    <w:p w14:paraId="5A1EDA66">
      <w:pPr>
        <w:spacing w:line="359" w:lineRule="auto"/>
        <w:outlineLvl w:val="9"/>
        <w:rPr>
          <w:rFonts w:ascii="Arial"/>
          <w:sz w:val="21"/>
        </w:rPr>
      </w:pPr>
    </w:p>
    <w:p w14:paraId="2A6B3EF5">
      <w:pPr>
        <w:pStyle w:val="6"/>
        <w:spacing w:before="65" w:line="227" w:lineRule="auto"/>
        <w:ind w:left="3784"/>
        <w:outlineLvl w:val="9"/>
        <w:rPr>
          <w:sz w:val="24"/>
          <w:szCs w:val="24"/>
        </w:rPr>
      </w:pPr>
      <w:r>
        <w:rPr>
          <w:b/>
          <w:bCs/>
          <w:spacing w:val="7"/>
          <w:sz w:val="24"/>
          <w:szCs w:val="24"/>
        </w:rPr>
        <w:t>企业名称（</w:t>
      </w:r>
      <w:r>
        <w:rPr>
          <w:rFonts w:hint="eastAsia"/>
          <w:b/>
          <w:bCs/>
          <w:spacing w:val="7"/>
          <w:sz w:val="24"/>
          <w:szCs w:val="24"/>
          <w:lang w:val="en-US" w:eastAsia="zh-CN"/>
        </w:rPr>
        <w:t>公章或</w:t>
      </w:r>
      <w:r>
        <w:rPr>
          <w:b/>
          <w:bCs/>
          <w:sz w:val="24"/>
          <w:szCs w:val="24"/>
        </w:rPr>
        <w:t>CA</w:t>
      </w:r>
      <w:r>
        <w:rPr>
          <w:b/>
          <w:bCs/>
          <w:spacing w:val="7"/>
          <w:sz w:val="24"/>
          <w:szCs w:val="24"/>
        </w:rPr>
        <w:t>证书签章</w:t>
      </w:r>
      <w:r>
        <w:rPr>
          <w:b/>
          <w:bCs/>
          <w:spacing w:val="-2"/>
          <w:sz w:val="24"/>
          <w:szCs w:val="24"/>
        </w:rPr>
        <w:t>）：</w:t>
      </w:r>
    </w:p>
    <w:p w14:paraId="1D1F33CC">
      <w:pPr>
        <w:spacing w:line="349" w:lineRule="auto"/>
        <w:outlineLvl w:val="9"/>
        <w:rPr>
          <w:rFonts w:ascii="Arial"/>
          <w:sz w:val="24"/>
          <w:szCs w:val="24"/>
        </w:rPr>
      </w:pPr>
    </w:p>
    <w:p w14:paraId="7DFE7067">
      <w:pPr>
        <w:pStyle w:val="6"/>
        <w:spacing w:before="65" w:line="228" w:lineRule="auto"/>
        <w:ind w:left="3816"/>
        <w:outlineLvl w:val="9"/>
        <w:rPr>
          <w:sz w:val="24"/>
          <w:szCs w:val="24"/>
        </w:rPr>
      </w:pPr>
      <w:r>
        <w:rPr>
          <w:b/>
          <w:bCs/>
          <w:spacing w:val="-9"/>
          <w:sz w:val="24"/>
          <w:szCs w:val="24"/>
        </w:rPr>
        <w:t>日期：</w:t>
      </w:r>
      <w:r>
        <w:rPr>
          <w:rFonts w:hint="eastAsia"/>
          <w:b/>
          <w:bCs/>
          <w:spacing w:val="-9"/>
          <w:sz w:val="24"/>
          <w:szCs w:val="24"/>
          <w:lang w:val="en-US" w:eastAsia="zh-CN"/>
        </w:rPr>
        <w:t xml:space="preserve">   </w:t>
      </w:r>
      <w:r>
        <w:rPr>
          <w:b/>
          <w:bCs/>
          <w:spacing w:val="-9"/>
          <w:sz w:val="24"/>
          <w:szCs w:val="24"/>
        </w:rPr>
        <w:t>年</w:t>
      </w:r>
      <w:r>
        <w:rPr>
          <w:rFonts w:hint="eastAsia"/>
          <w:b/>
          <w:bCs/>
          <w:spacing w:val="-9"/>
          <w:sz w:val="24"/>
          <w:szCs w:val="24"/>
          <w:lang w:val="en-US" w:eastAsia="zh-CN"/>
        </w:rPr>
        <w:t xml:space="preserve">   </w:t>
      </w:r>
      <w:r>
        <w:rPr>
          <w:b/>
          <w:bCs/>
          <w:spacing w:val="-9"/>
          <w:sz w:val="24"/>
          <w:szCs w:val="24"/>
        </w:rPr>
        <w:t>月</w:t>
      </w:r>
      <w:r>
        <w:rPr>
          <w:rFonts w:hint="eastAsia"/>
          <w:b/>
          <w:bCs/>
          <w:spacing w:val="-9"/>
          <w:sz w:val="24"/>
          <w:szCs w:val="24"/>
          <w:lang w:val="en-US" w:eastAsia="zh-CN"/>
        </w:rPr>
        <w:t xml:space="preserve">   </w:t>
      </w:r>
      <w:r>
        <w:rPr>
          <w:b/>
          <w:bCs/>
          <w:spacing w:val="-9"/>
          <w:sz w:val="24"/>
          <w:szCs w:val="24"/>
        </w:rPr>
        <w:t>日</w:t>
      </w:r>
    </w:p>
    <w:p w14:paraId="10F6A998">
      <w:pPr>
        <w:spacing w:line="250" w:lineRule="auto"/>
        <w:outlineLvl w:val="9"/>
        <w:rPr>
          <w:rFonts w:ascii="Arial"/>
          <w:sz w:val="21"/>
        </w:rPr>
      </w:pPr>
    </w:p>
    <w:p w14:paraId="496B895B">
      <w:pPr>
        <w:spacing w:line="250" w:lineRule="auto"/>
        <w:outlineLvl w:val="9"/>
        <w:rPr>
          <w:rFonts w:ascii="Arial"/>
          <w:sz w:val="21"/>
        </w:rPr>
      </w:pPr>
    </w:p>
    <w:p w14:paraId="47EFBB88">
      <w:pPr>
        <w:spacing w:line="250" w:lineRule="auto"/>
        <w:outlineLvl w:val="9"/>
        <w:rPr>
          <w:rFonts w:ascii="Arial"/>
          <w:sz w:val="21"/>
        </w:rPr>
      </w:pPr>
    </w:p>
    <w:p w14:paraId="42D83F38">
      <w:pPr>
        <w:spacing w:line="250" w:lineRule="auto"/>
        <w:outlineLvl w:val="9"/>
        <w:rPr>
          <w:rFonts w:ascii="Arial"/>
          <w:sz w:val="21"/>
        </w:rPr>
      </w:pPr>
    </w:p>
    <w:p w14:paraId="22AAACE1">
      <w:pPr>
        <w:spacing w:line="250" w:lineRule="auto"/>
        <w:outlineLvl w:val="9"/>
        <w:rPr>
          <w:rFonts w:ascii="Arial"/>
          <w:sz w:val="21"/>
        </w:rPr>
      </w:pPr>
    </w:p>
    <w:p w14:paraId="72206B76">
      <w:pPr>
        <w:spacing w:line="250" w:lineRule="auto"/>
        <w:outlineLvl w:val="9"/>
        <w:rPr>
          <w:rFonts w:ascii="Arial"/>
          <w:sz w:val="21"/>
        </w:rPr>
      </w:pPr>
    </w:p>
    <w:p w14:paraId="1A6713C3">
      <w:pPr>
        <w:spacing w:line="251" w:lineRule="auto"/>
        <w:outlineLvl w:val="9"/>
        <w:rPr>
          <w:rFonts w:ascii="Arial"/>
          <w:sz w:val="21"/>
        </w:rPr>
      </w:pPr>
    </w:p>
    <w:p w14:paraId="40CFC652">
      <w:pPr>
        <w:spacing w:line="251" w:lineRule="auto"/>
        <w:outlineLvl w:val="9"/>
        <w:rPr>
          <w:rFonts w:ascii="Arial"/>
          <w:sz w:val="21"/>
        </w:rPr>
      </w:pPr>
    </w:p>
    <w:p w14:paraId="15610087">
      <w:pPr>
        <w:pStyle w:val="6"/>
        <w:spacing w:before="102" w:line="224" w:lineRule="auto"/>
        <w:ind w:left="36"/>
        <w:outlineLvl w:val="9"/>
      </w:pPr>
      <w:r>
        <w:rPr>
          <w:b/>
          <w:bCs/>
          <w:spacing w:val="11"/>
        </w:rPr>
        <w:t>11.投标人可结合本项目的评标办法视自身情况自行提交相关证明材</w:t>
      </w:r>
    </w:p>
    <w:p w14:paraId="51DF1B92">
      <w:pPr>
        <w:pStyle w:val="6"/>
        <w:spacing w:before="125" w:line="224" w:lineRule="auto"/>
        <w:ind w:left="12"/>
        <w:outlineLvl w:val="9"/>
      </w:pPr>
      <w:r>
        <w:rPr>
          <w:b/>
          <w:bCs/>
          <w:spacing w:val="5"/>
        </w:rPr>
        <w:t>料（如有，请提供）</w:t>
      </w:r>
    </w:p>
    <w:sectPr>
      <w:footerReference r:id="rId27" w:type="default"/>
      <w:pgSz w:w="11906" w:h="16839"/>
      <w:pgMar w:top="1120" w:right="1039" w:bottom="875" w:left="1132" w:header="0" w:footer="71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D10EE">
    <w:pPr>
      <w:tabs>
        <w:tab w:val="center" w:pos="4900"/>
      </w:tabs>
      <w:spacing w:line="176" w:lineRule="auto"/>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413D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DD413D2">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4B4D7D52">
    <w:pPr>
      <w:tabs>
        <w:tab w:val="center" w:pos="4900"/>
      </w:tabs>
      <w:spacing w:line="176" w:lineRule="auto"/>
      <w:rPr>
        <w:rFonts w:hint="eastAsia" w:ascii="Times New Roman" w:hAnsi="Times New Roman" w:eastAsia="宋体" w:cs="Times New Roman"/>
        <w:sz w:val="18"/>
        <w:szCs w:val="18"/>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9AF26">
    <w:pPr>
      <w:spacing w:line="176" w:lineRule="auto"/>
      <w:ind w:left="49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55202">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3DF55202">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5F75C">
    <w:pPr>
      <w:spacing w:line="176" w:lineRule="auto"/>
      <w:ind w:left="49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73215">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9273215">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90050">
    <w:pPr>
      <w:spacing w:line="176" w:lineRule="auto"/>
      <w:ind w:left="47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3BC5F">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083BC5F">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3814">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85D29">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9785D29">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9FBF4">
    <w:pPr>
      <w:spacing w:line="14" w:lineRule="auto"/>
      <w:rPr>
        <w:rFonts w:ascii="Arial"/>
        <w:sz w:val="2"/>
      </w:rPr>
    </w:pP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0BB9E">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2B0BB9E">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C6DB">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B524D">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E0B524D">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6DE1A">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DCB54">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622DCB54">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FB1C">
    <w:pPr>
      <w:spacing w:line="176" w:lineRule="auto"/>
      <w:ind w:left="47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B4650">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1EAB4650">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77D8A">
    <w:pPr>
      <w:spacing w:line="176" w:lineRule="auto"/>
      <w:ind w:left="47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F34F6">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41F34F6">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04807">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B3638">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F4B3638">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539A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F6FDD">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5DF6FDD">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9F63">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F8553">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56F8553">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933E7">
    <w:pPr>
      <w:spacing w:line="176" w:lineRule="auto"/>
      <w:ind w:left="47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5602C">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1F5602C">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8168E">
    <w:pPr>
      <w:spacing w:line="176" w:lineRule="auto"/>
      <w:ind w:left="47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1B5FF">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58E1B5FF">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D232A">
    <w:pPr>
      <w:spacing w:line="176" w:lineRule="auto"/>
      <w:ind w:left="4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5FD34">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315FD34">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62FC">
    <w:pPr>
      <w:spacing w:line="176" w:lineRule="auto"/>
      <w:ind w:left="44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A2F01">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42A2F01">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51715">
    <w:pPr>
      <w:spacing w:line="176" w:lineRule="auto"/>
      <w:ind w:left="44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E488D">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85E488D">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BE26D">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1DA6B">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5D1DA6B">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1643">
    <w:pPr>
      <w:spacing w:line="176" w:lineRule="auto"/>
      <w:ind w:left="70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4283A">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5C4283A">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AD1E9">
    <w:pPr>
      <w:spacing w:line="176" w:lineRule="auto"/>
      <w:ind w:left="70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4FF3F">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3C4FF3F">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19F28">
    <w:pPr>
      <w:spacing w:line="176" w:lineRule="auto"/>
      <w:ind w:left="70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72479">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F372479">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4E0B2">
    <w:pPr>
      <w:spacing w:line="176" w:lineRule="auto"/>
      <w:ind w:left="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2A052">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FB2A052">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E5B82"/>
    <w:multiLevelType w:val="singleLevel"/>
    <w:tmpl w:val="808E5B82"/>
    <w:lvl w:ilvl="0" w:tentative="0">
      <w:start w:val="1"/>
      <w:numFmt w:val="chineseCounting"/>
      <w:suff w:val="space"/>
      <w:lvlText w:val="第%1条"/>
      <w:lvlJc w:val="left"/>
      <w:rPr>
        <w:rFonts w:hint="eastAsia"/>
      </w:rPr>
    </w:lvl>
  </w:abstractNum>
  <w:abstractNum w:abstractNumId="1">
    <w:nsid w:val="04D727EA"/>
    <w:multiLevelType w:val="singleLevel"/>
    <w:tmpl w:val="04D727EA"/>
    <w:lvl w:ilvl="0" w:tentative="0">
      <w:start w:val="1"/>
      <w:numFmt w:val="decimal"/>
      <w:suff w:val="nothing"/>
      <w:lvlText w:val="（%1）"/>
      <w:lvlJc w:val="left"/>
      <w:pPr>
        <w:ind w:left="-28"/>
      </w:pPr>
    </w:lvl>
  </w:abstractNum>
  <w:abstractNum w:abstractNumId="2">
    <w:nsid w:val="3FF140AA"/>
    <w:multiLevelType w:val="singleLevel"/>
    <w:tmpl w:val="3FF140AA"/>
    <w:lvl w:ilvl="0" w:tentative="0">
      <w:start w:val="6"/>
      <w:numFmt w:val="chineseCounting"/>
      <w:suff w:val="nothing"/>
      <w:lvlText w:val="%1、"/>
      <w:lvlJc w:val="left"/>
      <w:rPr>
        <w:rFonts w:hint="eastAsia"/>
      </w:rPr>
    </w:lvl>
  </w:abstractNum>
  <w:abstractNum w:abstractNumId="3">
    <w:nsid w:val="5BAFC4FC"/>
    <w:multiLevelType w:val="singleLevel"/>
    <w:tmpl w:val="5BAFC4FC"/>
    <w:lvl w:ilvl="0" w:tentative="0">
      <w:start w:val="5"/>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FF5E28"/>
    <w:rsid w:val="01DF284D"/>
    <w:rsid w:val="03851EDB"/>
    <w:rsid w:val="03B079EE"/>
    <w:rsid w:val="05634BD7"/>
    <w:rsid w:val="05834800"/>
    <w:rsid w:val="062A05AB"/>
    <w:rsid w:val="06B932AD"/>
    <w:rsid w:val="07991F77"/>
    <w:rsid w:val="07E04497"/>
    <w:rsid w:val="08591B53"/>
    <w:rsid w:val="087A387F"/>
    <w:rsid w:val="0AE14029"/>
    <w:rsid w:val="0B21132B"/>
    <w:rsid w:val="0B930577"/>
    <w:rsid w:val="0BB4055A"/>
    <w:rsid w:val="0C197F77"/>
    <w:rsid w:val="0D291396"/>
    <w:rsid w:val="0D801756"/>
    <w:rsid w:val="0DC12675"/>
    <w:rsid w:val="0ECA1CDC"/>
    <w:rsid w:val="0EF13588"/>
    <w:rsid w:val="12AE2D66"/>
    <w:rsid w:val="14586A2D"/>
    <w:rsid w:val="15B57830"/>
    <w:rsid w:val="15D51BAF"/>
    <w:rsid w:val="19245884"/>
    <w:rsid w:val="19832ED4"/>
    <w:rsid w:val="1A221EEC"/>
    <w:rsid w:val="1B6805D3"/>
    <w:rsid w:val="1B7B17D6"/>
    <w:rsid w:val="1CCE26B8"/>
    <w:rsid w:val="1CFB61C7"/>
    <w:rsid w:val="1DA344B8"/>
    <w:rsid w:val="1E6F4F37"/>
    <w:rsid w:val="2156269E"/>
    <w:rsid w:val="220F2808"/>
    <w:rsid w:val="23736492"/>
    <w:rsid w:val="25103E1D"/>
    <w:rsid w:val="291017F0"/>
    <w:rsid w:val="2A232EC6"/>
    <w:rsid w:val="2E0777D8"/>
    <w:rsid w:val="30273D1D"/>
    <w:rsid w:val="30611C19"/>
    <w:rsid w:val="31017F68"/>
    <w:rsid w:val="310B6BF3"/>
    <w:rsid w:val="3196159F"/>
    <w:rsid w:val="31A55A98"/>
    <w:rsid w:val="338F01C0"/>
    <w:rsid w:val="33D637D7"/>
    <w:rsid w:val="340F73E6"/>
    <w:rsid w:val="34415230"/>
    <w:rsid w:val="349079A6"/>
    <w:rsid w:val="35337F82"/>
    <w:rsid w:val="36A007CA"/>
    <w:rsid w:val="37335CB7"/>
    <w:rsid w:val="37BE0490"/>
    <w:rsid w:val="386E308D"/>
    <w:rsid w:val="3AED39F6"/>
    <w:rsid w:val="3B3D2A48"/>
    <w:rsid w:val="3BC85233"/>
    <w:rsid w:val="3C4936B2"/>
    <w:rsid w:val="3CAE0392"/>
    <w:rsid w:val="3E83129F"/>
    <w:rsid w:val="3FDF2363"/>
    <w:rsid w:val="3FEB18D8"/>
    <w:rsid w:val="413D1A79"/>
    <w:rsid w:val="42DD05ED"/>
    <w:rsid w:val="43644E69"/>
    <w:rsid w:val="439F3E42"/>
    <w:rsid w:val="451F1690"/>
    <w:rsid w:val="455D4764"/>
    <w:rsid w:val="456D0411"/>
    <w:rsid w:val="459F48C9"/>
    <w:rsid w:val="48912EFC"/>
    <w:rsid w:val="48BE7F68"/>
    <w:rsid w:val="4A8A0D03"/>
    <w:rsid w:val="4ADA6548"/>
    <w:rsid w:val="4C755A4E"/>
    <w:rsid w:val="4E7A59B5"/>
    <w:rsid w:val="50FC2503"/>
    <w:rsid w:val="527E1EAF"/>
    <w:rsid w:val="5292739E"/>
    <w:rsid w:val="590429E2"/>
    <w:rsid w:val="59091BAA"/>
    <w:rsid w:val="59626B1C"/>
    <w:rsid w:val="5D224603"/>
    <w:rsid w:val="5D990C06"/>
    <w:rsid w:val="5E4B0F37"/>
    <w:rsid w:val="5EBB3B43"/>
    <w:rsid w:val="5EC4610A"/>
    <w:rsid w:val="5EF16216"/>
    <w:rsid w:val="5F184590"/>
    <w:rsid w:val="5F195895"/>
    <w:rsid w:val="5F362887"/>
    <w:rsid w:val="618847DE"/>
    <w:rsid w:val="663743F7"/>
    <w:rsid w:val="666E71B0"/>
    <w:rsid w:val="66942B9D"/>
    <w:rsid w:val="66B64BED"/>
    <w:rsid w:val="67221B58"/>
    <w:rsid w:val="69191EBB"/>
    <w:rsid w:val="694957E4"/>
    <w:rsid w:val="69601EB7"/>
    <w:rsid w:val="69E043C5"/>
    <w:rsid w:val="6B1B02AE"/>
    <w:rsid w:val="6B32518D"/>
    <w:rsid w:val="6B617732"/>
    <w:rsid w:val="6BC64795"/>
    <w:rsid w:val="6C1E3C87"/>
    <w:rsid w:val="6C6D6ECE"/>
    <w:rsid w:val="6D88378A"/>
    <w:rsid w:val="6DA507CB"/>
    <w:rsid w:val="6E9F397C"/>
    <w:rsid w:val="6F593630"/>
    <w:rsid w:val="6F6D46CD"/>
    <w:rsid w:val="6FE3701E"/>
    <w:rsid w:val="71CB693B"/>
    <w:rsid w:val="71FE04BF"/>
    <w:rsid w:val="72095CA7"/>
    <w:rsid w:val="735F059B"/>
    <w:rsid w:val="75417AF4"/>
    <w:rsid w:val="766375C8"/>
    <w:rsid w:val="77067DED"/>
    <w:rsid w:val="78252C49"/>
    <w:rsid w:val="7AD178D7"/>
    <w:rsid w:val="7B796B44"/>
    <w:rsid w:val="7BBB0302"/>
    <w:rsid w:val="7C0D3321"/>
    <w:rsid w:val="7C4C3FAE"/>
    <w:rsid w:val="7CE41467"/>
    <w:rsid w:val="7E0515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6"/>
    <w:qFormat/>
    <w:uiPriority w:val="0"/>
    <w:pPr>
      <w:keepNext/>
      <w:keepLines/>
      <w:tabs>
        <w:tab w:val="left" w:pos="425"/>
      </w:tabs>
      <w:spacing w:beforeLines="200" w:line="360" w:lineRule="auto"/>
      <w:ind w:left="425" w:hanging="425"/>
      <w:jc w:val="left"/>
      <w:outlineLvl w:val="0"/>
    </w:pPr>
    <w:rPr>
      <w:rFonts w:ascii="Arial" w:hAnsi="Arial"/>
      <w:bCs/>
      <w:color w:val="000000"/>
      <w:kern w:val="44"/>
      <w:sz w:val="32"/>
      <w:szCs w:val="32"/>
      <w:lang w:val="pt-BR"/>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character" w:default="1" w:styleId="15">
    <w:name w:val="Default Paragraph Font"/>
    <w:semiHidden/>
    <w:qFormat/>
    <w:uiPriority w:val="0"/>
  </w:style>
  <w:style w:type="table" w:default="1" w:styleId="1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2">
    <w:name w:val="PlainText"/>
    <w:basedOn w:val="1"/>
    <w:qFormat/>
    <w:uiPriority w:val="0"/>
    <w:rPr>
      <w:rFonts w:ascii="宋体" w:hAnsi="Courier New"/>
      <w:szCs w:val="21"/>
    </w:rPr>
  </w:style>
  <w:style w:type="paragraph" w:styleId="5">
    <w:name w:val="annotation text"/>
    <w:basedOn w:val="1"/>
    <w:qFormat/>
    <w:uiPriority w:val="0"/>
    <w:pPr>
      <w:jc w:val="left"/>
    </w:pPr>
  </w:style>
  <w:style w:type="paragraph" w:styleId="6">
    <w:name w:val="Body Text"/>
    <w:basedOn w:val="1"/>
    <w:next w:val="1"/>
    <w:semiHidden/>
    <w:qFormat/>
    <w:uiPriority w:val="0"/>
    <w:rPr>
      <w:rFonts w:ascii="宋体" w:hAnsi="宋体" w:eastAsia="宋体" w:cs="宋体"/>
      <w:sz w:val="31"/>
      <w:szCs w:val="31"/>
      <w:lang w:val="en-US" w:eastAsia="en-US" w:bidi="ar-SA"/>
    </w:rPr>
  </w:style>
  <w:style w:type="paragraph" w:styleId="7">
    <w:name w:val="Body Text Indent"/>
    <w:basedOn w:val="1"/>
    <w:next w:val="8"/>
    <w:qFormat/>
    <w:uiPriority w:val="0"/>
    <w:pPr>
      <w:spacing w:after="120"/>
      <w:ind w:left="420" w:leftChars="200"/>
    </w:pPr>
    <w:rPr>
      <w:rFonts w:ascii="Times New Roman" w:hAnsi="Times New Roman"/>
    </w:rPr>
  </w:style>
  <w:style w:type="paragraph" w:styleId="8">
    <w:name w:val="envelope return"/>
    <w:basedOn w:val="1"/>
    <w:qFormat/>
    <w:uiPriority w:val="0"/>
    <w:rPr>
      <w:rFonts w:ascii="Arial" w:hAnsi="Arial" w:eastAsia="宋体" w:cs="Times New Roman"/>
    </w:rPr>
  </w:style>
  <w:style w:type="paragraph" w:styleId="9">
    <w:name w:val="Plain Text"/>
    <w:basedOn w:val="1"/>
    <w:next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character" w:customStyle="1" w:styleId="16">
    <w:name w:val="标题 1 Char"/>
    <w:basedOn w:val="15"/>
    <w:link w:val="3"/>
    <w:qFormat/>
    <w:uiPriority w:val="0"/>
    <w:rPr>
      <w:rFonts w:ascii="Arial" w:hAnsi="Arial"/>
      <w:bCs/>
      <w:color w:val="000000"/>
      <w:kern w:val="44"/>
      <w:sz w:val="32"/>
      <w:szCs w:val="32"/>
      <w:lang w:val="pt-BR"/>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首行缩进"/>
    <w:basedOn w:val="1"/>
    <w:qFormat/>
    <w:uiPriority w:val="0"/>
    <w:pPr>
      <w:ind w:firstLine="48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WPSOffice手动目录 1"/>
    <w:qFormat/>
    <w:uiPriority w:val="0"/>
    <w:pPr>
      <w:ind w:leftChars="0"/>
    </w:pPr>
    <w:rPr>
      <w:rFonts w:ascii="Arial" w:hAnsi="Arial" w:eastAsia="Arial" w:cs="Arial"/>
      <w:sz w:val="20"/>
      <w:szCs w:val="20"/>
    </w:rPr>
  </w:style>
  <w:style w:type="paragraph" w:customStyle="1" w:styleId="22">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jpe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38509</Words>
  <Characters>41045</Characters>
  <TotalTime>15</TotalTime>
  <ScaleCrop>false</ScaleCrop>
  <LinksUpToDate>false</LinksUpToDate>
  <CharactersWithSpaces>42465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2023-12-28T15:12:00Z</dcterms:created>
  <dc:creator>Administrator</dc:creator>
  <cp:lastModifiedBy>梁浮图。</cp:lastModifiedBy>
  <dcterms:modified xsi:type="dcterms:W3CDTF">2026-03-23T11:08:59Z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2024-12-02T15:09:07Z</vt:filetime>
  </property>
  <property fmtid="{D5CDD505-2E9C-101B-9397-08002B2CF9AE}" pid="4" name="KSOTemplateDocerSaveRecord">
    <vt:lpwstr>eyJoZGlkIjoiYTliNTE5MTI2Y2QwNTFjZTBjMDI2OTBiNWY3N2Q3MGIiLCJ1c2VySWQiOiIyNzEwNDk4MDUifQ==</vt:lpwstr>
  </property>
  <property fmtid="{D5CDD505-2E9C-101B-9397-08002B2CF9AE}" pid="5" name="KSOProductBuildVer">
    <vt:lpwstr>2052-12.1.0.25225</vt:lpwstr>
  </property>
  <property fmtid="{D5CDD505-2E9C-101B-9397-08002B2CF9AE}" pid="6" name="ICV">
    <vt:lpwstr>593C360DA24042B38CC6DBEA263F74C3_13</vt:lpwstr>
  </property>
</Properties>
</file>